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9A20E">
      <w:pPr>
        <w:widowControl/>
        <w:spacing w:before="480" w:beforeLines="200" w:line="360" w:lineRule="auto"/>
        <w:jc w:val="center"/>
        <w:rPr>
          <w:rFonts w:ascii="宋体" w:hAnsi="宋体"/>
          <w:kern w:val="0"/>
          <w:sz w:val="40"/>
          <w:szCs w:val="40"/>
        </w:rPr>
      </w:pPr>
      <w:bookmarkStart w:id="0" w:name="_Toc31881"/>
      <w:bookmarkStart w:id="1" w:name="_Toc22505"/>
      <w:bookmarkStart w:id="2" w:name="_Toc17911"/>
      <w:bookmarkStart w:id="3" w:name="_Toc21558468"/>
      <w:bookmarkStart w:id="4" w:name="_Toc26510"/>
      <w:bookmarkStart w:id="5" w:name="_Toc40865320"/>
      <w:bookmarkStart w:id="6" w:name="_Toc43860090"/>
      <w:bookmarkStart w:id="7" w:name="_Toc529609423"/>
      <w:bookmarkStart w:id="8" w:name="_Toc525258158"/>
      <w:bookmarkStart w:id="9" w:name="_Toc40750392"/>
      <w:bookmarkStart w:id="10" w:name="_Toc525434523"/>
    </w:p>
    <w:p w14:paraId="29DACCDA">
      <w:pPr>
        <w:widowControl/>
        <w:spacing w:before="480" w:beforeLines="200" w:line="360" w:lineRule="auto"/>
        <w:jc w:val="center"/>
        <w:rPr>
          <w:rFonts w:ascii="宋体" w:hAnsi="宋体"/>
          <w:kern w:val="0"/>
          <w:sz w:val="40"/>
          <w:szCs w:val="40"/>
        </w:rPr>
      </w:pPr>
      <w:r>
        <w:rPr>
          <w:rFonts w:hint="eastAsia" w:ascii="宋体" w:hAnsi="宋体"/>
          <w:kern w:val="0"/>
          <w:sz w:val="40"/>
          <w:szCs w:val="40"/>
        </w:rPr>
        <w:t>湖南金帝烟花爆竹制造有限公司</w:t>
      </w:r>
    </w:p>
    <w:p w14:paraId="49F191E6">
      <w:pPr>
        <w:widowControl/>
        <w:spacing w:line="360" w:lineRule="auto"/>
        <w:jc w:val="center"/>
        <w:rPr>
          <w:rFonts w:ascii="宋体" w:hAnsi="宋体"/>
          <w:kern w:val="0"/>
          <w:sz w:val="40"/>
          <w:szCs w:val="40"/>
        </w:rPr>
      </w:pPr>
      <w:bookmarkStart w:id="11" w:name="OLE_LINK11"/>
      <w:bookmarkStart w:id="12" w:name="OLE_LINK12"/>
      <w:r>
        <w:rPr>
          <w:rFonts w:hint="eastAsia" w:ascii="宋体" w:hAnsi="宋体"/>
          <w:kern w:val="0"/>
          <w:sz w:val="40"/>
          <w:szCs w:val="40"/>
        </w:rPr>
        <w:t>泉水工区扩建项目</w:t>
      </w:r>
    </w:p>
    <w:bookmarkEnd w:id="11"/>
    <w:bookmarkEnd w:id="12"/>
    <w:p w14:paraId="53770210">
      <w:pPr>
        <w:widowControl/>
        <w:spacing w:line="360" w:lineRule="auto"/>
        <w:jc w:val="center"/>
        <w:rPr>
          <w:rFonts w:ascii="黑体" w:hAnsi="黑体" w:eastAsia="黑体"/>
          <w:kern w:val="0"/>
          <w:sz w:val="44"/>
          <w:szCs w:val="44"/>
        </w:rPr>
      </w:pPr>
      <w:r>
        <w:rPr>
          <w:rFonts w:hint="eastAsia" w:ascii="黑体" w:hAnsi="黑体" w:eastAsia="黑体"/>
          <w:kern w:val="0"/>
          <w:sz w:val="44"/>
          <w:szCs w:val="44"/>
        </w:rPr>
        <w:t>安全预评价报告</w:t>
      </w:r>
    </w:p>
    <w:p w14:paraId="17971407">
      <w:pPr>
        <w:widowControl/>
        <w:spacing w:line="360" w:lineRule="auto"/>
        <w:jc w:val="center"/>
        <w:rPr>
          <w:rFonts w:ascii="宋体" w:hAnsi="宋体"/>
          <w:kern w:val="0"/>
          <w:sz w:val="44"/>
          <w:szCs w:val="44"/>
        </w:rPr>
      </w:pPr>
    </w:p>
    <w:p w14:paraId="19E81FD2">
      <w:pPr>
        <w:adjustRightInd w:val="0"/>
        <w:snapToGrid w:val="0"/>
        <w:jc w:val="center"/>
        <w:rPr>
          <w:rFonts w:ascii="Arial" w:hAnsi="Arial"/>
          <w:spacing w:val="60"/>
          <w:sz w:val="44"/>
          <w:szCs w:val="28"/>
        </w:rPr>
      </w:pPr>
    </w:p>
    <w:p w14:paraId="79197581">
      <w:pPr>
        <w:adjustRightInd w:val="0"/>
        <w:snapToGrid w:val="0"/>
        <w:jc w:val="center"/>
        <w:rPr>
          <w:rFonts w:ascii="Arial" w:hAnsi="Arial"/>
          <w:spacing w:val="60"/>
          <w:sz w:val="44"/>
          <w:szCs w:val="28"/>
        </w:rPr>
      </w:pPr>
    </w:p>
    <w:p w14:paraId="60BDDB3C">
      <w:pPr>
        <w:adjustRightInd w:val="0"/>
        <w:snapToGrid w:val="0"/>
        <w:jc w:val="center"/>
        <w:rPr>
          <w:rFonts w:ascii="Arial" w:hAnsi="Arial"/>
          <w:spacing w:val="60"/>
          <w:sz w:val="44"/>
          <w:szCs w:val="28"/>
        </w:rPr>
      </w:pPr>
    </w:p>
    <w:p w14:paraId="6E9072EC">
      <w:pPr>
        <w:adjustRightInd w:val="0"/>
        <w:snapToGrid w:val="0"/>
        <w:jc w:val="center"/>
        <w:rPr>
          <w:rFonts w:ascii="Arial" w:hAnsi="Arial"/>
          <w:spacing w:val="60"/>
          <w:sz w:val="44"/>
          <w:szCs w:val="28"/>
        </w:rPr>
      </w:pPr>
    </w:p>
    <w:p w14:paraId="3695B7AE">
      <w:pPr>
        <w:adjustRightInd w:val="0"/>
        <w:snapToGrid w:val="0"/>
        <w:jc w:val="center"/>
        <w:rPr>
          <w:rFonts w:ascii="Arial" w:hAnsi="Arial"/>
          <w:spacing w:val="60"/>
          <w:sz w:val="44"/>
          <w:szCs w:val="28"/>
        </w:rPr>
      </w:pPr>
    </w:p>
    <w:p w14:paraId="28B45013">
      <w:pPr>
        <w:adjustRightInd w:val="0"/>
        <w:snapToGrid w:val="0"/>
        <w:jc w:val="center"/>
        <w:rPr>
          <w:rFonts w:ascii="Arial" w:hAnsi="Arial"/>
          <w:spacing w:val="60"/>
          <w:sz w:val="44"/>
          <w:szCs w:val="28"/>
        </w:rPr>
      </w:pPr>
    </w:p>
    <w:p w14:paraId="2870B5C8">
      <w:pPr>
        <w:adjustRightInd w:val="0"/>
        <w:snapToGrid w:val="0"/>
        <w:jc w:val="center"/>
        <w:rPr>
          <w:rFonts w:ascii="Arial" w:hAnsi="Arial"/>
          <w:spacing w:val="60"/>
          <w:sz w:val="44"/>
          <w:szCs w:val="28"/>
        </w:rPr>
      </w:pPr>
    </w:p>
    <w:p w14:paraId="06FA7B13">
      <w:pPr>
        <w:adjustRightInd w:val="0"/>
        <w:snapToGrid w:val="0"/>
        <w:jc w:val="center"/>
        <w:rPr>
          <w:rFonts w:ascii="Arial" w:hAnsi="Arial"/>
          <w:spacing w:val="60"/>
          <w:sz w:val="44"/>
          <w:szCs w:val="28"/>
        </w:rPr>
      </w:pPr>
    </w:p>
    <w:p w14:paraId="52502AF8">
      <w:pPr>
        <w:adjustRightInd w:val="0"/>
        <w:snapToGrid w:val="0"/>
        <w:jc w:val="center"/>
        <w:rPr>
          <w:rFonts w:ascii="Arial" w:hAnsi="Arial"/>
          <w:spacing w:val="60"/>
          <w:sz w:val="44"/>
          <w:szCs w:val="28"/>
        </w:rPr>
      </w:pPr>
    </w:p>
    <w:p w14:paraId="688D463B">
      <w:pPr>
        <w:adjustRightInd w:val="0"/>
        <w:snapToGrid w:val="0"/>
        <w:jc w:val="center"/>
        <w:rPr>
          <w:rFonts w:ascii="Arial" w:hAnsi="Arial"/>
          <w:spacing w:val="60"/>
          <w:sz w:val="44"/>
          <w:szCs w:val="28"/>
        </w:rPr>
      </w:pPr>
    </w:p>
    <w:p w14:paraId="0ECC32FB">
      <w:pPr>
        <w:adjustRightInd w:val="0"/>
        <w:snapToGrid w:val="0"/>
        <w:jc w:val="center"/>
        <w:rPr>
          <w:rFonts w:ascii="Arial" w:hAnsi="Arial"/>
          <w:spacing w:val="60"/>
          <w:sz w:val="44"/>
          <w:szCs w:val="28"/>
        </w:rPr>
      </w:pPr>
    </w:p>
    <w:p w14:paraId="4ACC9017">
      <w:pPr>
        <w:adjustRightInd w:val="0"/>
        <w:snapToGrid w:val="0"/>
        <w:jc w:val="center"/>
        <w:rPr>
          <w:rFonts w:ascii="Arial" w:hAnsi="Arial"/>
          <w:spacing w:val="60"/>
          <w:sz w:val="44"/>
          <w:szCs w:val="28"/>
        </w:rPr>
      </w:pPr>
    </w:p>
    <w:p w14:paraId="24C09215">
      <w:pPr>
        <w:spacing w:line="560" w:lineRule="exact"/>
        <w:jc w:val="center"/>
        <w:rPr>
          <w:rFonts w:ascii="宋体" w:hAnsi="宋体" w:cs="宋体"/>
          <w:kern w:val="0"/>
          <w:sz w:val="44"/>
          <w:szCs w:val="44"/>
        </w:rPr>
      </w:pPr>
      <w:r>
        <w:rPr>
          <w:rFonts w:hint="eastAsia" w:ascii="宋体" w:hAnsi="宋体" w:cs="宋体"/>
          <w:kern w:val="0"/>
          <w:sz w:val="44"/>
          <w:szCs w:val="44"/>
        </w:rPr>
        <w:t>江西赣安安全生产科学技术咨询服务中心</w:t>
      </w:r>
    </w:p>
    <w:p w14:paraId="0AB0ED4C">
      <w:pPr>
        <w:spacing w:line="560" w:lineRule="exact"/>
        <w:jc w:val="center"/>
        <w:rPr>
          <w:rFonts w:ascii="宋体" w:hAnsi="宋体" w:cs="宋体"/>
          <w:kern w:val="0"/>
          <w:sz w:val="32"/>
          <w:szCs w:val="32"/>
        </w:rPr>
      </w:pPr>
      <w:r>
        <w:rPr>
          <w:rFonts w:hint="eastAsia" w:ascii="宋体" w:hAnsi="宋体" w:cs="宋体"/>
          <w:kern w:val="0"/>
          <w:sz w:val="32"/>
          <w:szCs w:val="32"/>
        </w:rPr>
        <w:t>资质证书编号：APJ-（赣）-002</w:t>
      </w:r>
    </w:p>
    <w:p w14:paraId="408C42E4">
      <w:pPr>
        <w:spacing w:line="560" w:lineRule="exact"/>
        <w:jc w:val="center"/>
        <w:rPr>
          <w:rFonts w:ascii="宋体" w:hAnsi="宋体" w:cs="宋体"/>
          <w:kern w:val="0"/>
          <w:sz w:val="32"/>
          <w:szCs w:val="32"/>
        </w:rPr>
        <w:sectPr>
          <w:headerReference r:id="rId4" w:type="first"/>
          <w:headerReference r:id="rId3" w:type="default"/>
          <w:footerReference r:id="rId5" w:type="default"/>
          <w:footerReference r:id="rId6" w:type="even"/>
          <w:type w:val="oddPage"/>
          <w:pgSz w:w="11906" w:h="16838"/>
          <w:pgMar w:top="1440" w:right="1800" w:bottom="1440" w:left="1800" w:header="993" w:footer="854" w:gutter="0"/>
          <w:pgBorders>
            <w:top w:val="none" w:sz="0" w:space="0"/>
            <w:left w:val="none" w:sz="0" w:space="0"/>
            <w:bottom w:val="none" w:sz="0" w:space="0"/>
            <w:right w:val="none" w:sz="0" w:space="0"/>
          </w:pgBorders>
          <w:pgNumType w:fmt="upperRoman" w:start="1"/>
          <w:cols w:space="720" w:num="1"/>
          <w:titlePg/>
          <w:docGrid w:linePitch="312" w:charSpace="0"/>
        </w:sectPr>
      </w:pPr>
      <w:r>
        <w:rPr>
          <w:rFonts w:hint="eastAsia" w:ascii="宋体" w:hAnsi="宋体" w:cs="宋体"/>
          <w:kern w:val="0"/>
          <w:sz w:val="32"/>
          <w:szCs w:val="32"/>
        </w:rPr>
        <w:t>二〇二六年九月三日</w:t>
      </w:r>
    </w:p>
    <w:p w14:paraId="5FEF0D34">
      <w:pPr>
        <w:spacing w:line="560" w:lineRule="exact"/>
        <w:jc w:val="center"/>
        <w:rPr>
          <w:rFonts w:ascii="宋体" w:hAnsi="宋体" w:cs="宋体"/>
          <w:kern w:val="0"/>
          <w:sz w:val="32"/>
          <w:szCs w:val="32"/>
        </w:rPr>
      </w:pPr>
    </w:p>
    <w:p w14:paraId="70DA5EB3">
      <w:pPr>
        <w:adjustRightInd w:val="0"/>
        <w:ind w:right="-105" w:rightChars="-50"/>
        <w:jc w:val="center"/>
        <w:rPr>
          <w:rFonts w:ascii="Arial" w:hAnsi="Arial" w:eastAsia="黑体"/>
          <w:sz w:val="52"/>
          <w:szCs w:val="20"/>
        </w:rPr>
      </w:pPr>
    </w:p>
    <w:p w14:paraId="046FFEEE">
      <w:pPr>
        <w:spacing w:line="360" w:lineRule="auto"/>
        <w:jc w:val="center"/>
        <w:rPr>
          <w:rFonts w:ascii="宋体" w:hAnsi="宋体"/>
          <w:kern w:val="0"/>
          <w:sz w:val="36"/>
          <w:szCs w:val="36"/>
        </w:rPr>
      </w:pPr>
      <w:r>
        <w:rPr>
          <w:rFonts w:hint="eastAsia" w:ascii="宋体" w:hAnsi="宋体"/>
          <w:kern w:val="0"/>
          <w:sz w:val="36"/>
          <w:szCs w:val="36"/>
        </w:rPr>
        <w:t>湖南金帝烟花爆竹制造有限公司</w:t>
      </w:r>
    </w:p>
    <w:p w14:paraId="5793945A">
      <w:pPr>
        <w:widowControl/>
        <w:spacing w:line="360" w:lineRule="auto"/>
        <w:jc w:val="center"/>
        <w:rPr>
          <w:rFonts w:ascii="宋体" w:hAnsi="宋体"/>
          <w:kern w:val="0"/>
          <w:sz w:val="36"/>
          <w:szCs w:val="36"/>
        </w:rPr>
      </w:pPr>
      <w:r>
        <w:rPr>
          <w:rFonts w:hint="eastAsia" w:ascii="宋体" w:hAnsi="宋体"/>
          <w:kern w:val="0"/>
          <w:sz w:val="36"/>
          <w:szCs w:val="36"/>
        </w:rPr>
        <w:t>泉水工区扩建项目</w:t>
      </w:r>
    </w:p>
    <w:p w14:paraId="53AF1AC2">
      <w:pPr>
        <w:spacing w:line="360" w:lineRule="auto"/>
        <w:jc w:val="center"/>
        <w:rPr>
          <w:rFonts w:ascii="黑体" w:hAnsi="黑体" w:eastAsia="黑体"/>
          <w:kern w:val="0"/>
          <w:sz w:val="36"/>
          <w:szCs w:val="36"/>
        </w:rPr>
      </w:pPr>
      <w:r>
        <w:rPr>
          <w:rFonts w:hint="eastAsia" w:ascii="黑体" w:hAnsi="黑体" w:eastAsia="黑体"/>
          <w:kern w:val="0"/>
          <w:sz w:val="36"/>
          <w:szCs w:val="36"/>
        </w:rPr>
        <w:t>安全预评价报告</w:t>
      </w:r>
    </w:p>
    <w:p w14:paraId="7FA26B0D">
      <w:pPr>
        <w:spacing w:line="360" w:lineRule="auto"/>
        <w:jc w:val="center"/>
        <w:rPr>
          <w:rFonts w:ascii="宋体" w:hAnsi="宋体"/>
          <w:kern w:val="0"/>
          <w:sz w:val="44"/>
          <w:szCs w:val="44"/>
        </w:rPr>
      </w:pPr>
    </w:p>
    <w:p w14:paraId="14F1C51D">
      <w:pPr>
        <w:adjustRightInd w:val="0"/>
        <w:ind w:right="-105" w:rightChars="-50"/>
        <w:jc w:val="center"/>
        <w:rPr>
          <w:rFonts w:ascii="Arial" w:hAnsi="Arial" w:eastAsia="黑体"/>
          <w:sz w:val="52"/>
          <w:szCs w:val="20"/>
        </w:rPr>
      </w:pPr>
    </w:p>
    <w:p w14:paraId="1A23B8E3">
      <w:pPr>
        <w:adjustRightInd w:val="0"/>
        <w:ind w:right="-105" w:rightChars="-50"/>
        <w:jc w:val="center"/>
        <w:rPr>
          <w:rFonts w:ascii="Arial" w:hAnsi="Arial" w:eastAsia="黑体"/>
          <w:sz w:val="52"/>
          <w:szCs w:val="20"/>
        </w:rPr>
      </w:pPr>
    </w:p>
    <w:p w14:paraId="67789DA6">
      <w:pPr>
        <w:adjustRightInd w:val="0"/>
        <w:ind w:right="-105" w:rightChars="-50"/>
        <w:jc w:val="center"/>
        <w:rPr>
          <w:rFonts w:ascii="Arial" w:hAnsi="Arial" w:eastAsia="黑体"/>
          <w:sz w:val="52"/>
          <w:szCs w:val="20"/>
        </w:rPr>
      </w:pPr>
    </w:p>
    <w:p w14:paraId="1944EA8F">
      <w:pPr>
        <w:adjustRightInd w:val="0"/>
        <w:ind w:right="-105" w:rightChars="-50"/>
        <w:jc w:val="center"/>
        <w:rPr>
          <w:rFonts w:ascii="Arial" w:hAnsi="Arial" w:eastAsia="黑体"/>
          <w:sz w:val="52"/>
          <w:szCs w:val="20"/>
        </w:rPr>
      </w:pPr>
    </w:p>
    <w:p w14:paraId="03E73018">
      <w:pPr>
        <w:adjustRightInd w:val="0"/>
        <w:ind w:right="-105" w:rightChars="-50"/>
        <w:jc w:val="center"/>
        <w:rPr>
          <w:rFonts w:ascii="Arial" w:hAnsi="Arial" w:eastAsia="黑体"/>
          <w:sz w:val="52"/>
          <w:szCs w:val="20"/>
        </w:rPr>
      </w:pPr>
    </w:p>
    <w:p w14:paraId="572CA86A">
      <w:pPr>
        <w:adjustRightInd w:val="0"/>
        <w:ind w:right="-105" w:rightChars="-50"/>
        <w:jc w:val="center"/>
        <w:rPr>
          <w:rFonts w:ascii="Arial" w:hAnsi="Arial" w:eastAsia="黑体"/>
          <w:sz w:val="52"/>
          <w:szCs w:val="20"/>
        </w:rPr>
      </w:pPr>
    </w:p>
    <w:p w14:paraId="6745BDFA">
      <w:pPr>
        <w:adjustRightInd w:val="0"/>
        <w:ind w:right="-105" w:rightChars="-50"/>
        <w:jc w:val="center"/>
        <w:rPr>
          <w:rFonts w:ascii="Arial" w:hAnsi="Arial" w:eastAsia="黑体"/>
          <w:sz w:val="52"/>
          <w:szCs w:val="20"/>
        </w:rPr>
      </w:pPr>
    </w:p>
    <w:p w14:paraId="799606FE">
      <w:pPr>
        <w:spacing w:line="360" w:lineRule="auto"/>
        <w:jc w:val="center"/>
        <w:rPr>
          <w:rFonts w:ascii="宋体" w:hAnsi="宋体"/>
          <w:b w:val="0"/>
          <w:sz w:val="28"/>
          <w:szCs w:val="20"/>
        </w:rPr>
      </w:pPr>
      <w:r>
        <w:rPr>
          <w:rFonts w:hint="eastAsia" w:ascii="宋体" w:hAnsi="宋体"/>
          <w:b w:val="0"/>
          <w:sz w:val="28"/>
          <w:szCs w:val="20"/>
        </w:rPr>
        <w:t>法定代表人：</w:t>
      </w:r>
      <w:r>
        <w:rPr>
          <w:rFonts w:hint="eastAsia" w:ascii="宋体" w:hAnsi="宋体"/>
          <w:b w:val="0"/>
          <w:sz w:val="28"/>
        </w:rPr>
        <w:t>应 宏</w:t>
      </w:r>
    </w:p>
    <w:p w14:paraId="0B97430D">
      <w:pPr>
        <w:spacing w:line="360" w:lineRule="auto"/>
        <w:jc w:val="center"/>
        <w:rPr>
          <w:rFonts w:ascii="宋体" w:hAnsi="宋体"/>
          <w:b w:val="0"/>
          <w:sz w:val="28"/>
        </w:rPr>
      </w:pPr>
      <w:r>
        <w:rPr>
          <w:rFonts w:hint="eastAsia" w:ascii="宋体" w:hAnsi="宋体"/>
          <w:b w:val="0"/>
          <w:sz w:val="28"/>
          <w:szCs w:val="20"/>
        </w:rPr>
        <w:t>技术负责人：</w:t>
      </w:r>
      <w:r>
        <w:rPr>
          <w:rFonts w:hint="eastAsia" w:ascii="宋体" w:hAnsi="宋体"/>
          <w:b w:val="0"/>
          <w:sz w:val="28"/>
        </w:rPr>
        <w:t>应 宏</w:t>
      </w:r>
    </w:p>
    <w:p w14:paraId="44F3F81A">
      <w:pPr>
        <w:spacing w:line="360" w:lineRule="auto"/>
        <w:jc w:val="center"/>
        <w:rPr>
          <w:rFonts w:ascii="宋体" w:hAnsi="宋体"/>
          <w:b w:val="0"/>
          <w:sz w:val="28"/>
          <w:szCs w:val="20"/>
        </w:rPr>
      </w:pPr>
      <w:r>
        <w:rPr>
          <w:rFonts w:hint="eastAsia" w:ascii="宋体" w:hAnsi="宋体"/>
          <w:b w:val="0"/>
          <w:sz w:val="28"/>
          <w:szCs w:val="20"/>
        </w:rPr>
        <w:t>评价项目负责人：</w:t>
      </w:r>
      <w:r>
        <w:rPr>
          <w:rFonts w:hint="eastAsia" w:ascii="宋体" w:hAnsi="宋体"/>
          <w:b w:val="0"/>
          <w:bCs/>
          <w:sz w:val="28"/>
          <w:szCs w:val="20"/>
        </w:rPr>
        <w:t xml:space="preserve">卢 </w:t>
      </w:r>
      <w:r>
        <w:rPr>
          <w:rFonts w:ascii="宋体" w:hAnsi="宋体"/>
          <w:b w:val="0"/>
          <w:bCs/>
          <w:sz w:val="28"/>
          <w:szCs w:val="20"/>
        </w:rPr>
        <w:t xml:space="preserve"> </w:t>
      </w:r>
      <w:r>
        <w:rPr>
          <w:rFonts w:hint="eastAsia" w:ascii="宋体" w:hAnsi="宋体"/>
          <w:b w:val="0"/>
          <w:bCs/>
          <w:sz w:val="28"/>
          <w:szCs w:val="20"/>
        </w:rPr>
        <w:t>鑫</w:t>
      </w:r>
    </w:p>
    <w:p w14:paraId="5E81E7FE">
      <w:pPr>
        <w:adjustRightInd w:val="0"/>
        <w:snapToGrid w:val="0"/>
        <w:spacing w:line="520" w:lineRule="exact"/>
        <w:jc w:val="center"/>
        <w:rPr>
          <w:rFonts w:ascii="Arial" w:hAnsi="Arial" w:cs="Arial"/>
          <w:b w:val="0"/>
          <w:sz w:val="28"/>
          <w:szCs w:val="28"/>
        </w:rPr>
      </w:pPr>
      <w:r>
        <w:rPr>
          <w:rFonts w:hint="eastAsia" w:ascii="宋体" w:hAnsi="宋体" w:cs="宋体"/>
          <w:sz w:val="28"/>
          <w:szCs w:val="28"/>
        </w:rPr>
        <w:t>报告完成时间：二○二六年九月三日</w:t>
      </w:r>
    </w:p>
    <w:p w14:paraId="38ADE05A">
      <w:pPr>
        <w:widowControl/>
        <w:spacing w:before="240" w:beforeLines="100" w:line="360" w:lineRule="auto"/>
        <w:jc w:val="center"/>
        <w:rPr>
          <w:rFonts w:ascii="宋体" w:hAnsi="宋体"/>
          <w:b w:val="0"/>
          <w:kern w:val="0"/>
          <w:sz w:val="40"/>
          <w:szCs w:val="40"/>
        </w:rPr>
      </w:pPr>
      <w:r>
        <w:rPr>
          <w:rFonts w:ascii="Arial" w:hAnsi="Arial" w:cs="Arial"/>
          <w:b w:val="0"/>
          <w:sz w:val="28"/>
          <w:szCs w:val="28"/>
        </w:rPr>
        <w:br w:type="page"/>
      </w:r>
      <w:r>
        <w:rPr>
          <w:rFonts w:hint="eastAsia" w:ascii="宋体" w:hAnsi="宋体"/>
          <w:b w:val="0"/>
          <w:kern w:val="0"/>
          <w:sz w:val="40"/>
          <w:szCs w:val="40"/>
        </w:rPr>
        <w:t>湖南金帝烟花爆竹制造有限公司</w:t>
      </w:r>
    </w:p>
    <w:p w14:paraId="0184B7D0">
      <w:pPr>
        <w:widowControl/>
        <w:spacing w:line="360" w:lineRule="auto"/>
        <w:jc w:val="center"/>
        <w:rPr>
          <w:rFonts w:ascii="宋体" w:hAnsi="宋体"/>
          <w:b w:val="0"/>
          <w:bCs/>
          <w:kern w:val="0"/>
          <w:sz w:val="40"/>
          <w:szCs w:val="40"/>
        </w:rPr>
      </w:pPr>
      <w:r>
        <w:rPr>
          <w:rFonts w:hint="eastAsia" w:ascii="宋体" w:hAnsi="宋体"/>
          <w:b w:val="0"/>
          <w:bCs/>
          <w:kern w:val="0"/>
          <w:sz w:val="40"/>
          <w:szCs w:val="40"/>
        </w:rPr>
        <w:t>泉水工区扩建项目</w:t>
      </w:r>
    </w:p>
    <w:p w14:paraId="5B8C553E">
      <w:pPr>
        <w:widowControl/>
        <w:spacing w:before="100" w:beforeAutospacing="1" w:after="100" w:afterAutospacing="1" w:line="600" w:lineRule="exact"/>
        <w:jc w:val="center"/>
        <w:rPr>
          <w:rFonts w:ascii="宋体" w:hAnsi="宋体" w:cs="宋体"/>
          <w:b w:val="0"/>
          <w:kern w:val="0"/>
          <w:sz w:val="36"/>
          <w:szCs w:val="36"/>
        </w:rPr>
      </w:pPr>
      <w:r>
        <w:rPr>
          <w:rFonts w:hint="eastAsia" w:ascii="宋体" w:hAnsi="宋体" w:cs="宋体"/>
          <w:b w:val="0"/>
          <w:kern w:val="0"/>
          <w:sz w:val="36"/>
          <w:szCs w:val="36"/>
        </w:rPr>
        <w:t>安全预</w:t>
      </w:r>
      <w:r>
        <w:rPr>
          <w:rFonts w:ascii="宋体" w:hAnsi="宋体" w:cs="宋体"/>
          <w:b w:val="0"/>
          <w:kern w:val="0"/>
          <w:sz w:val="36"/>
          <w:szCs w:val="36"/>
        </w:rPr>
        <w:t>评价</w:t>
      </w:r>
      <w:r>
        <w:rPr>
          <w:rFonts w:hint="eastAsia" w:ascii="宋体" w:hAnsi="宋体" w:cs="宋体"/>
          <w:b w:val="0"/>
          <w:kern w:val="0"/>
          <w:sz w:val="36"/>
          <w:szCs w:val="36"/>
        </w:rPr>
        <w:t>技术服务</w:t>
      </w:r>
      <w:r>
        <w:rPr>
          <w:rFonts w:ascii="宋体" w:hAnsi="宋体" w:cs="宋体"/>
          <w:b w:val="0"/>
          <w:kern w:val="0"/>
          <w:sz w:val="36"/>
          <w:szCs w:val="36"/>
        </w:rPr>
        <w:t>承诺书</w:t>
      </w:r>
    </w:p>
    <w:p w14:paraId="31AF0B95">
      <w:pPr>
        <w:widowControl/>
        <w:spacing w:line="420" w:lineRule="auto"/>
        <w:ind w:firstLine="640" w:firstLineChars="200"/>
        <w:rPr>
          <w:rFonts w:ascii="宋体" w:hAnsi="宋体" w:cs="宋体"/>
          <w:b w:val="0"/>
          <w:kern w:val="0"/>
          <w:sz w:val="32"/>
          <w:szCs w:val="32"/>
        </w:rPr>
      </w:pPr>
      <w:r>
        <w:rPr>
          <w:rFonts w:hint="eastAsia" w:ascii="宋体" w:hAnsi="宋体" w:cs="宋体"/>
          <w:b w:val="0"/>
          <w:kern w:val="0"/>
          <w:sz w:val="32"/>
          <w:szCs w:val="32"/>
        </w:rPr>
        <w:t xml:space="preserve">一、在本项目安全评价活动过程中，我单位严格遵守《中华人民共和国安全生产法》及相关法律、法规和标准的要求。  </w:t>
      </w:r>
    </w:p>
    <w:p w14:paraId="235C3330">
      <w:pPr>
        <w:widowControl/>
        <w:spacing w:line="420" w:lineRule="auto"/>
        <w:ind w:firstLine="640" w:firstLineChars="200"/>
        <w:rPr>
          <w:rFonts w:ascii="宋体" w:hAnsi="宋体" w:cs="宋体"/>
          <w:b w:val="0"/>
          <w:kern w:val="0"/>
          <w:sz w:val="32"/>
          <w:szCs w:val="32"/>
        </w:rPr>
      </w:pPr>
      <w:r>
        <w:rPr>
          <w:rFonts w:hint="eastAsia" w:ascii="宋体" w:hAnsi="宋体" w:cs="宋体"/>
          <w:b w:val="0"/>
          <w:kern w:val="0"/>
          <w:sz w:val="32"/>
          <w:szCs w:val="32"/>
        </w:rPr>
        <w:t>二、在本项目安全评价活动过程中，我单位作为第三方，未受到任何组织和个人的干预和影响，依法独立开展工作，保证了技术服务活动的客观公正性。</w:t>
      </w:r>
    </w:p>
    <w:p w14:paraId="23248D09">
      <w:pPr>
        <w:widowControl/>
        <w:spacing w:line="420" w:lineRule="auto"/>
        <w:ind w:firstLine="640" w:firstLineChars="200"/>
        <w:rPr>
          <w:rFonts w:ascii="宋体" w:hAnsi="宋体" w:cs="宋体"/>
          <w:b w:val="0"/>
          <w:kern w:val="0"/>
          <w:sz w:val="32"/>
          <w:szCs w:val="32"/>
        </w:rPr>
      </w:pPr>
      <w:r>
        <w:rPr>
          <w:rFonts w:hint="eastAsia" w:ascii="宋体" w:hAnsi="宋体" w:cs="宋体"/>
          <w:b w:val="0"/>
          <w:kern w:val="0"/>
          <w:sz w:val="32"/>
          <w:szCs w:val="32"/>
        </w:rPr>
        <w:t>三、我单位按照实事求是的原则，对本项目进行安全预评价，确保出具的报告均真实有效，报告所提出的措施具有针对性、有效性和可行性。</w:t>
      </w:r>
    </w:p>
    <w:p w14:paraId="4C434884">
      <w:pPr>
        <w:widowControl/>
        <w:spacing w:line="420" w:lineRule="auto"/>
        <w:ind w:firstLine="640" w:firstLineChars="200"/>
        <w:rPr>
          <w:rFonts w:ascii="宋体" w:hAnsi="宋体" w:cs="宋体"/>
          <w:b w:val="0"/>
          <w:kern w:val="0"/>
          <w:sz w:val="32"/>
          <w:szCs w:val="32"/>
        </w:rPr>
      </w:pPr>
      <w:r>
        <w:rPr>
          <w:rFonts w:hint="eastAsia" w:ascii="宋体" w:hAnsi="宋体" w:cs="宋体"/>
          <w:b w:val="0"/>
          <w:kern w:val="0"/>
          <w:sz w:val="32"/>
          <w:szCs w:val="32"/>
        </w:rPr>
        <w:t xml:space="preserve">四、我单位对本项目安全评价报告中结论性内容承担法律责任。 </w:t>
      </w:r>
    </w:p>
    <w:p w14:paraId="4C41DD46">
      <w:pPr>
        <w:widowControl/>
        <w:wordWrap w:val="0"/>
        <w:spacing w:before="100" w:beforeAutospacing="1" w:after="100" w:afterAutospacing="1" w:line="425" w:lineRule="auto"/>
        <w:ind w:firstLine="480"/>
        <w:jc w:val="left"/>
        <w:rPr>
          <w:rFonts w:ascii="宋体" w:hAnsi="宋体" w:cs="宋体"/>
          <w:b w:val="0"/>
          <w:kern w:val="0"/>
          <w:sz w:val="10"/>
          <w:szCs w:val="10"/>
        </w:rPr>
      </w:pPr>
      <w:r>
        <w:rPr>
          <w:rFonts w:hint="eastAsia" w:ascii="宋体" w:hAnsi="宋体" w:cs="宋体"/>
          <w:b w:val="0"/>
          <w:kern w:val="0"/>
          <w:sz w:val="10"/>
          <w:szCs w:val="10"/>
        </w:rPr>
        <w:t xml:space="preserve">                     </w:t>
      </w:r>
    </w:p>
    <w:p w14:paraId="15D2A0CC">
      <w:pPr>
        <w:widowControl/>
        <w:wordWrap w:val="0"/>
        <w:spacing w:line="360" w:lineRule="auto"/>
        <w:ind w:left="5280" w:hanging="5280" w:hangingChars="1650"/>
        <w:jc w:val="right"/>
        <w:rPr>
          <w:rFonts w:ascii="宋体" w:hAnsi="宋体" w:cs="宋体"/>
          <w:b w:val="0"/>
          <w:kern w:val="0"/>
          <w:sz w:val="30"/>
          <w:szCs w:val="30"/>
        </w:rPr>
      </w:pPr>
      <w:r>
        <w:rPr>
          <w:rFonts w:hint="eastAsia" w:ascii="宋体" w:hAnsi="宋体" w:cs="宋体"/>
          <w:b w:val="0"/>
          <w:kern w:val="0"/>
          <w:sz w:val="32"/>
          <w:szCs w:val="32"/>
        </w:rPr>
        <w:t xml:space="preserve">                </w:t>
      </w:r>
      <w:r>
        <w:rPr>
          <w:rFonts w:ascii="宋体" w:hAnsi="宋体"/>
          <w:b w:val="0"/>
          <w:sz w:val="30"/>
          <w:szCs w:val="30"/>
        </w:rPr>
        <w:t>江西赣安安全生产科学技术咨询服务中心</w:t>
      </w:r>
    </w:p>
    <w:p w14:paraId="4C6F67D5">
      <w:pPr>
        <w:jc w:val="center"/>
        <w:rPr>
          <w:rFonts w:ascii="宋体" w:hAnsi="宋体" w:cs="宋体"/>
          <w:b w:val="0"/>
          <w:kern w:val="0"/>
          <w:sz w:val="32"/>
          <w:szCs w:val="32"/>
        </w:rPr>
      </w:pPr>
      <w:r>
        <w:rPr>
          <w:rFonts w:hint="eastAsia" w:ascii="宋体" w:hAnsi="宋体" w:cs="宋体"/>
          <w:b w:val="0"/>
          <w:kern w:val="0"/>
          <w:sz w:val="32"/>
          <w:szCs w:val="32"/>
        </w:rPr>
        <w:t xml:space="preserve">                             202</w:t>
      </w:r>
      <w:r>
        <w:rPr>
          <w:rFonts w:ascii="宋体" w:hAnsi="宋体" w:cs="宋体"/>
          <w:b w:val="0"/>
          <w:kern w:val="0"/>
          <w:sz w:val="32"/>
          <w:szCs w:val="32"/>
        </w:rPr>
        <w:t>6</w:t>
      </w:r>
      <w:r>
        <w:rPr>
          <w:rFonts w:hint="eastAsia" w:ascii="宋体" w:hAnsi="宋体" w:cs="宋体"/>
          <w:b w:val="0"/>
          <w:kern w:val="0"/>
          <w:sz w:val="32"/>
          <w:szCs w:val="32"/>
        </w:rPr>
        <w:t>年09月03日</w:t>
      </w:r>
    </w:p>
    <w:p w14:paraId="68EF3948">
      <w:pPr>
        <w:adjustRightInd w:val="0"/>
        <w:snapToGrid w:val="0"/>
        <w:spacing w:line="360" w:lineRule="auto"/>
        <w:ind w:firstLine="560" w:firstLineChars="200"/>
        <w:jc w:val="center"/>
        <w:rPr>
          <w:rFonts w:ascii="Arial" w:hAnsi="Arial" w:cs="Arial"/>
          <w:b w:val="0"/>
          <w:sz w:val="28"/>
          <w:szCs w:val="28"/>
        </w:rPr>
        <w:sectPr>
          <w:headerReference r:id="rId8" w:type="first"/>
          <w:footerReference r:id="rId10" w:type="first"/>
          <w:headerReference r:id="rId7" w:type="default"/>
          <w:footerReference r:id="rId9" w:type="default"/>
          <w:pgSz w:w="11906" w:h="16838"/>
          <w:pgMar w:top="1417" w:right="1417" w:bottom="1417" w:left="1417" w:header="851" w:footer="854" w:gutter="0"/>
          <w:pgBorders>
            <w:top w:val="none" w:sz="0" w:space="0"/>
            <w:left w:val="none" w:sz="0" w:space="0"/>
            <w:bottom w:val="none" w:sz="0" w:space="0"/>
            <w:right w:val="none" w:sz="0" w:space="0"/>
          </w:pgBorders>
          <w:pgNumType w:fmt="upperRoman" w:start="1"/>
          <w:cols w:space="720" w:num="1"/>
          <w:docGrid w:linePitch="312" w:charSpace="0"/>
        </w:sectPr>
      </w:pPr>
    </w:p>
    <w:p w14:paraId="3C75765E">
      <w:pPr>
        <w:spacing w:before="240" w:beforeLines="100" w:line="360" w:lineRule="auto"/>
        <w:jc w:val="center"/>
        <w:rPr>
          <w:rFonts w:ascii="宋体" w:hAnsi="宋体"/>
          <w:sz w:val="32"/>
        </w:rPr>
      </w:pPr>
      <w:r>
        <w:rPr>
          <w:rFonts w:hint="eastAsia" w:ascii="宋体" w:hAnsi="宋体"/>
          <w:sz w:val="32"/>
        </w:rPr>
        <w:t>湖南金帝烟花爆竹制造有限公司</w:t>
      </w:r>
    </w:p>
    <w:p w14:paraId="014ACD9E">
      <w:pPr>
        <w:spacing w:line="360" w:lineRule="auto"/>
        <w:jc w:val="center"/>
        <w:rPr>
          <w:rFonts w:ascii="宋体" w:hAnsi="宋体"/>
          <w:sz w:val="32"/>
        </w:rPr>
      </w:pPr>
      <w:r>
        <w:rPr>
          <w:rFonts w:hint="eastAsia" w:ascii="宋体" w:hAnsi="宋体"/>
          <w:sz w:val="32"/>
        </w:rPr>
        <w:t>泉水工区扩建项目</w:t>
      </w:r>
    </w:p>
    <w:p w14:paraId="2DBED53B">
      <w:pPr>
        <w:spacing w:line="360" w:lineRule="auto"/>
        <w:jc w:val="center"/>
        <w:rPr>
          <w:rFonts w:ascii="宋体" w:hAnsi="宋体"/>
          <w:sz w:val="32"/>
        </w:rPr>
      </w:pPr>
      <w:r>
        <w:rPr>
          <w:rFonts w:hint="eastAsia" w:ascii="宋体" w:hAnsi="宋体"/>
          <w:sz w:val="32"/>
        </w:rPr>
        <w:t>安全预评价报告</w:t>
      </w:r>
    </w:p>
    <w:p w14:paraId="0D070012">
      <w:pPr>
        <w:spacing w:line="360" w:lineRule="auto"/>
        <w:jc w:val="center"/>
        <w:rPr>
          <w:rFonts w:ascii="宋体" w:hAnsi="宋体"/>
          <w:sz w:val="32"/>
        </w:rPr>
      </w:pPr>
      <w:r>
        <w:rPr>
          <w:rFonts w:hint="eastAsia" w:ascii="宋体" w:hAnsi="宋体"/>
          <w:sz w:val="32"/>
        </w:rPr>
        <w:t>评 价 人 员</w:t>
      </w:r>
    </w:p>
    <w:tbl>
      <w:tblPr>
        <w:tblStyle w:val="88"/>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099"/>
        <w:gridCol w:w="2977"/>
        <w:gridCol w:w="1276"/>
        <w:gridCol w:w="1275"/>
        <w:gridCol w:w="1311"/>
      </w:tblGrid>
      <w:tr w14:paraId="6C0F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490" w:type="dxa"/>
            <w:vAlign w:val="center"/>
          </w:tcPr>
          <w:p w14:paraId="609A6407">
            <w:pPr>
              <w:jc w:val="center"/>
              <w:rPr>
                <w:rFonts w:ascii="宋体" w:hAnsi="宋体" w:cs="宋体"/>
                <w:b w:val="0"/>
                <w:bCs/>
                <w:color w:val="000000"/>
                <w:sz w:val="24"/>
              </w:rPr>
            </w:pPr>
          </w:p>
        </w:tc>
        <w:tc>
          <w:tcPr>
            <w:tcW w:w="1099" w:type="dxa"/>
            <w:vAlign w:val="center"/>
          </w:tcPr>
          <w:p w14:paraId="1DFC4C8E">
            <w:pPr>
              <w:jc w:val="center"/>
              <w:rPr>
                <w:rFonts w:ascii="宋体" w:hAnsi="宋体" w:cs="宋体"/>
                <w:b w:val="0"/>
                <w:bCs/>
                <w:color w:val="000000"/>
                <w:sz w:val="24"/>
              </w:rPr>
            </w:pPr>
            <w:r>
              <w:rPr>
                <w:rFonts w:hint="eastAsia" w:ascii="宋体" w:hAnsi="宋体" w:cs="宋体"/>
                <w:b w:val="0"/>
                <w:bCs/>
                <w:color w:val="000000"/>
                <w:sz w:val="24"/>
              </w:rPr>
              <w:t>姓名</w:t>
            </w:r>
          </w:p>
        </w:tc>
        <w:tc>
          <w:tcPr>
            <w:tcW w:w="2977" w:type="dxa"/>
            <w:vAlign w:val="center"/>
          </w:tcPr>
          <w:p w14:paraId="7311A3DF">
            <w:pPr>
              <w:jc w:val="center"/>
              <w:rPr>
                <w:rFonts w:ascii="宋体" w:hAnsi="宋体" w:cs="宋体"/>
                <w:b w:val="0"/>
                <w:bCs/>
                <w:color w:val="000000"/>
                <w:sz w:val="24"/>
              </w:rPr>
            </w:pPr>
            <w:r>
              <w:rPr>
                <w:rFonts w:hint="eastAsia" w:ascii="宋体" w:hAnsi="宋体" w:cs="宋体"/>
                <w:b w:val="0"/>
                <w:bCs/>
                <w:color w:val="000000"/>
                <w:sz w:val="24"/>
              </w:rPr>
              <w:t>职业资格证书号</w:t>
            </w:r>
          </w:p>
        </w:tc>
        <w:tc>
          <w:tcPr>
            <w:tcW w:w="1276" w:type="dxa"/>
            <w:vAlign w:val="center"/>
          </w:tcPr>
          <w:p w14:paraId="06C89C60">
            <w:pPr>
              <w:jc w:val="center"/>
              <w:rPr>
                <w:rFonts w:ascii="宋体" w:hAnsi="宋体" w:cs="宋体"/>
                <w:b w:val="0"/>
                <w:bCs/>
                <w:color w:val="000000"/>
                <w:sz w:val="24"/>
              </w:rPr>
            </w:pPr>
            <w:r>
              <w:rPr>
                <w:rFonts w:hint="eastAsia" w:ascii="宋体" w:hAnsi="宋体" w:cs="宋体"/>
                <w:b w:val="0"/>
                <w:bCs/>
                <w:color w:val="000000"/>
                <w:sz w:val="24"/>
              </w:rPr>
              <w:t>从业信息</w:t>
            </w:r>
          </w:p>
          <w:p w14:paraId="5923B3D0">
            <w:pPr>
              <w:jc w:val="center"/>
              <w:rPr>
                <w:rFonts w:ascii="宋体" w:hAnsi="宋体" w:cs="宋体"/>
                <w:b w:val="0"/>
                <w:bCs/>
                <w:color w:val="000000"/>
                <w:sz w:val="24"/>
              </w:rPr>
            </w:pPr>
            <w:r>
              <w:rPr>
                <w:rFonts w:hint="eastAsia" w:ascii="宋体" w:hAnsi="宋体" w:cs="宋体"/>
                <w:b w:val="0"/>
                <w:bCs/>
                <w:color w:val="000000"/>
                <w:sz w:val="24"/>
              </w:rPr>
              <w:t>识别卡号</w:t>
            </w:r>
          </w:p>
        </w:tc>
        <w:tc>
          <w:tcPr>
            <w:tcW w:w="1275" w:type="dxa"/>
            <w:vAlign w:val="center"/>
          </w:tcPr>
          <w:p w14:paraId="49B62175">
            <w:pPr>
              <w:jc w:val="center"/>
              <w:rPr>
                <w:rFonts w:ascii="宋体" w:hAnsi="宋体" w:cs="宋体"/>
                <w:b w:val="0"/>
                <w:bCs/>
                <w:color w:val="000000"/>
                <w:sz w:val="24"/>
              </w:rPr>
            </w:pPr>
            <w:r>
              <w:rPr>
                <w:rFonts w:hint="eastAsia" w:ascii="宋体" w:hAnsi="宋体" w:cs="宋体"/>
                <w:b w:val="0"/>
                <w:bCs/>
                <w:color w:val="000000"/>
                <w:sz w:val="24"/>
              </w:rPr>
              <w:t>专业</w:t>
            </w:r>
          </w:p>
        </w:tc>
        <w:tc>
          <w:tcPr>
            <w:tcW w:w="1311" w:type="dxa"/>
            <w:vAlign w:val="center"/>
          </w:tcPr>
          <w:p w14:paraId="6B2E58BF">
            <w:pPr>
              <w:jc w:val="center"/>
              <w:rPr>
                <w:rFonts w:ascii="宋体" w:hAnsi="宋体" w:cs="宋体"/>
                <w:b w:val="0"/>
                <w:bCs/>
                <w:color w:val="000000"/>
                <w:sz w:val="24"/>
              </w:rPr>
            </w:pPr>
            <w:r>
              <w:rPr>
                <w:rFonts w:hint="eastAsia" w:ascii="宋体" w:hAnsi="宋体" w:cs="宋体"/>
                <w:b w:val="0"/>
                <w:bCs/>
                <w:color w:val="000000"/>
                <w:sz w:val="24"/>
              </w:rPr>
              <w:t>签字</w:t>
            </w:r>
          </w:p>
        </w:tc>
      </w:tr>
      <w:tr w14:paraId="7CCC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Align w:val="center"/>
          </w:tcPr>
          <w:p w14:paraId="2C14FABE">
            <w:pPr>
              <w:jc w:val="center"/>
              <w:rPr>
                <w:rFonts w:ascii="宋体" w:hAnsi="宋体" w:cs="宋体"/>
                <w:b w:val="0"/>
                <w:bCs/>
                <w:color w:val="000000"/>
                <w:sz w:val="24"/>
              </w:rPr>
            </w:pPr>
            <w:r>
              <w:rPr>
                <w:rFonts w:hint="eastAsia" w:ascii="宋体" w:hAnsi="宋体" w:cs="宋体"/>
                <w:b w:val="0"/>
                <w:bCs/>
                <w:color w:val="000000"/>
                <w:sz w:val="24"/>
              </w:rPr>
              <w:t>项目负责人</w:t>
            </w:r>
          </w:p>
        </w:tc>
        <w:tc>
          <w:tcPr>
            <w:tcW w:w="1099" w:type="dxa"/>
            <w:vAlign w:val="center"/>
          </w:tcPr>
          <w:p w14:paraId="3BE4064B">
            <w:pPr>
              <w:jc w:val="center"/>
              <w:rPr>
                <w:rFonts w:ascii="宋体" w:hAnsi="宋体" w:cs="宋体"/>
                <w:b w:val="0"/>
                <w:bCs/>
                <w:color w:val="000000"/>
                <w:sz w:val="24"/>
              </w:rPr>
            </w:pPr>
            <w:r>
              <w:rPr>
                <w:rFonts w:hint="eastAsia" w:ascii="宋体" w:hAnsi="宋体" w:cs="宋体"/>
                <w:b w:val="0"/>
                <w:bCs/>
                <w:color w:val="000000"/>
                <w:sz w:val="24"/>
              </w:rPr>
              <w:t>卢 鑫</w:t>
            </w:r>
          </w:p>
        </w:tc>
        <w:tc>
          <w:tcPr>
            <w:tcW w:w="2977" w:type="dxa"/>
            <w:vAlign w:val="center"/>
          </w:tcPr>
          <w:p w14:paraId="35D238B9">
            <w:pPr>
              <w:jc w:val="center"/>
              <w:rPr>
                <w:rFonts w:ascii="宋体" w:hAnsi="宋体" w:cs="宋体"/>
                <w:b w:val="0"/>
                <w:bCs/>
                <w:color w:val="000000"/>
                <w:sz w:val="24"/>
              </w:rPr>
            </w:pPr>
            <w:r>
              <w:rPr>
                <w:rFonts w:hint="eastAsia" w:ascii="宋体" w:hAnsi="宋体" w:cs="宋体"/>
                <w:b w:val="0"/>
                <w:bCs/>
                <w:color w:val="000000"/>
                <w:sz w:val="24"/>
              </w:rPr>
              <w:t>20201104637000004899</w:t>
            </w:r>
          </w:p>
        </w:tc>
        <w:tc>
          <w:tcPr>
            <w:tcW w:w="1276" w:type="dxa"/>
            <w:vAlign w:val="center"/>
          </w:tcPr>
          <w:p w14:paraId="5CD6E400">
            <w:pPr>
              <w:jc w:val="center"/>
              <w:rPr>
                <w:rFonts w:ascii="宋体" w:hAnsi="宋体" w:cs="宋体"/>
                <w:b w:val="0"/>
                <w:bCs/>
                <w:color w:val="000000"/>
                <w:sz w:val="24"/>
              </w:rPr>
            </w:pPr>
            <w:r>
              <w:rPr>
                <w:rFonts w:hint="eastAsia" w:ascii="宋体" w:hAnsi="宋体" w:cs="宋体"/>
                <w:b w:val="0"/>
                <w:bCs/>
                <w:color w:val="000000"/>
                <w:sz w:val="24"/>
              </w:rPr>
              <w:t>3</w:t>
            </w:r>
            <w:r>
              <w:rPr>
                <w:rFonts w:ascii="宋体" w:hAnsi="宋体" w:cs="宋体"/>
                <w:b w:val="0"/>
                <w:bCs/>
                <w:color w:val="000000"/>
                <w:sz w:val="24"/>
              </w:rPr>
              <w:t>72203</w:t>
            </w:r>
          </w:p>
          <w:p w14:paraId="3AF5C930">
            <w:pPr>
              <w:jc w:val="center"/>
              <w:rPr>
                <w:rFonts w:ascii="宋体" w:hAnsi="宋体" w:cs="宋体"/>
                <w:b w:val="0"/>
                <w:bCs/>
                <w:color w:val="000000"/>
                <w:sz w:val="24"/>
              </w:rPr>
            </w:pPr>
            <w:r>
              <w:rPr>
                <w:rFonts w:ascii="宋体" w:hAnsi="宋体" w:cs="宋体"/>
                <w:b w:val="0"/>
                <w:bCs/>
                <w:color w:val="000000"/>
                <w:sz w:val="24"/>
              </w:rPr>
              <w:t>02793</w:t>
            </w:r>
          </w:p>
        </w:tc>
        <w:tc>
          <w:tcPr>
            <w:tcW w:w="1275" w:type="dxa"/>
            <w:vAlign w:val="center"/>
          </w:tcPr>
          <w:p w14:paraId="02341394">
            <w:pPr>
              <w:snapToGrid w:val="0"/>
              <w:jc w:val="center"/>
              <w:rPr>
                <w:rFonts w:ascii="宋体" w:hAnsi="宋体" w:cs="宋体"/>
                <w:b w:val="0"/>
                <w:bCs/>
                <w:color w:val="000000"/>
                <w:sz w:val="24"/>
              </w:rPr>
            </w:pPr>
            <w:r>
              <w:rPr>
                <w:rFonts w:ascii="宋体" w:hAnsi="宋体" w:cs="宋体"/>
                <w:b w:val="0"/>
                <w:bCs/>
                <w:color w:val="000000"/>
                <w:sz w:val="24"/>
              </w:rPr>
              <w:t>安全工程</w:t>
            </w:r>
          </w:p>
        </w:tc>
        <w:tc>
          <w:tcPr>
            <w:tcW w:w="1311" w:type="dxa"/>
            <w:vAlign w:val="center"/>
          </w:tcPr>
          <w:p w14:paraId="22DFBFC7">
            <w:pPr>
              <w:snapToGrid w:val="0"/>
              <w:jc w:val="center"/>
              <w:rPr>
                <w:rFonts w:ascii="宋体" w:hAnsi="宋体" w:cs="宋体"/>
                <w:b w:val="0"/>
                <w:bCs/>
                <w:color w:val="000000"/>
                <w:sz w:val="24"/>
              </w:rPr>
            </w:pPr>
          </w:p>
        </w:tc>
      </w:tr>
      <w:tr w14:paraId="599A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restart"/>
            <w:vAlign w:val="center"/>
          </w:tcPr>
          <w:p w14:paraId="5D8BE4E9">
            <w:pPr>
              <w:jc w:val="center"/>
              <w:rPr>
                <w:rFonts w:ascii="宋体" w:hAnsi="宋体" w:cs="宋体"/>
                <w:b w:val="0"/>
                <w:bCs/>
                <w:color w:val="000000"/>
                <w:sz w:val="24"/>
              </w:rPr>
            </w:pPr>
            <w:r>
              <w:rPr>
                <w:rFonts w:hint="eastAsia" w:ascii="宋体" w:hAnsi="宋体" w:cs="宋体"/>
                <w:b w:val="0"/>
                <w:bCs/>
                <w:color w:val="000000"/>
                <w:sz w:val="24"/>
              </w:rPr>
              <w:t>项目组成员</w:t>
            </w:r>
          </w:p>
        </w:tc>
        <w:tc>
          <w:tcPr>
            <w:tcW w:w="1099" w:type="dxa"/>
            <w:vAlign w:val="center"/>
          </w:tcPr>
          <w:p w14:paraId="5AD9A645">
            <w:pPr>
              <w:jc w:val="center"/>
              <w:rPr>
                <w:rFonts w:ascii="宋体" w:hAnsi="宋体" w:cs="宋体"/>
                <w:b w:val="0"/>
                <w:bCs/>
                <w:color w:val="000000"/>
                <w:sz w:val="24"/>
              </w:rPr>
            </w:pPr>
            <w:r>
              <w:rPr>
                <w:rFonts w:hint="eastAsia" w:ascii="宋体" w:hAnsi="宋体" w:cs="宋体"/>
                <w:b w:val="0"/>
                <w:bCs/>
                <w:color w:val="000000"/>
                <w:sz w:val="24"/>
              </w:rPr>
              <w:t>卢 鑫</w:t>
            </w:r>
          </w:p>
        </w:tc>
        <w:tc>
          <w:tcPr>
            <w:tcW w:w="2977" w:type="dxa"/>
            <w:vAlign w:val="center"/>
          </w:tcPr>
          <w:p w14:paraId="6ACC86EC">
            <w:pPr>
              <w:jc w:val="center"/>
              <w:rPr>
                <w:rFonts w:ascii="宋体" w:hAnsi="宋体" w:cs="宋体"/>
                <w:b w:val="0"/>
                <w:bCs/>
                <w:color w:val="000000"/>
                <w:sz w:val="24"/>
              </w:rPr>
            </w:pPr>
            <w:r>
              <w:rPr>
                <w:rFonts w:hint="eastAsia" w:ascii="宋体" w:hAnsi="宋体" w:cs="宋体"/>
                <w:b w:val="0"/>
                <w:bCs/>
                <w:color w:val="000000"/>
                <w:sz w:val="24"/>
              </w:rPr>
              <w:t>20201104637000004899</w:t>
            </w:r>
          </w:p>
        </w:tc>
        <w:tc>
          <w:tcPr>
            <w:tcW w:w="1276" w:type="dxa"/>
            <w:vAlign w:val="center"/>
          </w:tcPr>
          <w:p w14:paraId="4360EE1E">
            <w:pPr>
              <w:jc w:val="center"/>
              <w:rPr>
                <w:rFonts w:ascii="宋体" w:hAnsi="宋体" w:cs="宋体"/>
                <w:b w:val="0"/>
                <w:bCs/>
                <w:color w:val="000000"/>
                <w:sz w:val="24"/>
              </w:rPr>
            </w:pPr>
            <w:r>
              <w:rPr>
                <w:rFonts w:hint="eastAsia" w:ascii="宋体" w:hAnsi="宋体" w:cs="宋体"/>
                <w:b w:val="0"/>
                <w:bCs/>
                <w:color w:val="000000"/>
                <w:sz w:val="24"/>
              </w:rPr>
              <w:t>3</w:t>
            </w:r>
            <w:r>
              <w:rPr>
                <w:rFonts w:ascii="宋体" w:hAnsi="宋体" w:cs="宋体"/>
                <w:b w:val="0"/>
                <w:bCs/>
                <w:color w:val="000000"/>
                <w:sz w:val="24"/>
              </w:rPr>
              <w:t>72203</w:t>
            </w:r>
          </w:p>
          <w:p w14:paraId="789BBB67">
            <w:pPr>
              <w:jc w:val="center"/>
              <w:rPr>
                <w:rFonts w:ascii="宋体" w:hAnsi="宋体" w:cs="宋体"/>
                <w:b w:val="0"/>
                <w:bCs/>
                <w:color w:val="000000"/>
                <w:sz w:val="24"/>
              </w:rPr>
            </w:pPr>
            <w:r>
              <w:rPr>
                <w:rFonts w:ascii="宋体" w:hAnsi="宋体" w:cs="宋体"/>
                <w:b w:val="0"/>
                <w:bCs/>
                <w:color w:val="000000"/>
                <w:sz w:val="24"/>
              </w:rPr>
              <w:t>02793</w:t>
            </w:r>
          </w:p>
        </w:tc>
        <w:tc>
          <w:tcPr>
            <w:tcW w:w="1275" w:type="dxa"/>
            <w:vAlign w:val="center"/>
          </w:tcPr>
          <w:p w14:paraId="09715BB4">
            <w:pPr>
              <w:snapToGrid w:val="0"/>
              <w:jc w:val="center"/>
              <w:rPr>
                <w:rFonts w:ascii="宋体" w:hAnsi="宋体" w:cs="宋体"/>
                <w:b w:val="0"/>
                <w:bCs/>
                <w:color w:val="000000"/>
                <w:sz w:val="24"/>
              </w:rPr>
            </w:pPr>
            <w:r>
              <w:rPr>
                <w:rFonts w:ascii="宋体" w:hAnsi="宋体" w:cs="宋体"/>
                <w:b w:val="0"/>
                <w:bCs/>
                <w:color w:val="000000"/>
                <w:sz w:val="24"/>
              </w:rPr>
              <w:t>安全工程</w:t>
            </w:r>
          </w:p>
        </w:tc>
        <w:tc>
          <w:tcPr>
            <w:tcW w:w="1311" w:type="dxa"/>
            <w:vAlign w:val="center"/>
          </w:tcPr>
          <w:p w14:paraId="5CD7B07A">
            <w:pPr>
              <w:snapToGrid w:val="0"/>
              <w:jc w:val="center"/>
              <w:rPr>
                <w:rFonts w:ascii="宋体" w:hAnsi="宋体" w:cs="宋体"/>
                <w:b w:val="0"/>
                <w:bCs/>
                <w:color w:val="000000"/>
                <w:sz w:val="24"/>
              </w:rPr>
            </w:pPr>
          </w:p>
        </w:tc>
      </w:tr>
      <w:tr w14:paraId="168D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continue"/>
            <w:vAlign w:val="center"/>
          </w:tcPr>
          <w:p w14:paraId="07BD14CD">
            <w:pPr>
              <w:jc w:val="center"/>
              <w:rPr>
                <w:rFonts w:ascii="宋体" w:hAnsi="宋体" w:cs="宋体"/>
                <w:b w:val="0"/>
                <w:bCs/>
                <w:color w:val="000000"/>
                <w:sz w:val="24"/>
              </w:rPr>
            </w:pPr>
          </w:p>
        </w:tc>
        <w:tc>
          <w:tcPr>
            <w:tcW w:w="1099" w:type="dxa"/>
            <w:vAlign w:val="center"/>
          </w:tcPr>
          <w:p w14:paraId="7BD3B81D">
            <w:pPr>
              <w:jc w:val="center"/>
              <w:rPr>
                <w:rFonts w:ascii="宋体" w:hAnsi="宋体" w:cs="宋体"/>
                <w:b w:val="0"/>
                <w:bCs/>
                <w:color w:val="000000"/>
                <w:sz w:val="24"/>
              </w:rPr>
            </w:pPr>
            <w:r>
              <w:rPr>
                <w:rFonts w:hint="eastAsia" w:ascii="宋体" w:hAnsi="宋体" w:cs="宋体"/>
                <w:b w:val="0"/>
                <w:bCs/>
                <w:color w:val="000000"/>
                <w:sz w:val="24"/>
              </w:rPr>
              <w:t>王建新</w:t>
            </w:r>
          </w:p>
        </w:tc>
        <w:tc>
          <w:tcPr>
            <w:tcW w:w="2977" w:type="dxa"/>
            <w:vAlign w:val="center"/>
          </w:tcPr>
          <w:p w14:paraId="044B20DB">
            <w:pPr>
              <w:jc w:val="center"/>
              <w:rPr>
                <w:rFonts w:ascii="宋体" w:hAnsi="宋体" w:cs="宋体"/>
                <w:b w:val="0"/>
                <w:bCs/>
                <w:color w:val="000000"/>
                <w:sz w:val="24"/>
              </w:rPr>
            </w:pPr>
            <w:r>
              <w:rPr>
                <w:rFonts w:hint="eastAsia" w:ascii="宋体" w:hAnsi="宋体" w:cs="宋体"/>
                <w:b w:val="0"/>
                <w:bCs/>
                <w:color w:val="000000"/>
                <w:sz w:val="24"/>
              </w:rPr>
              <w:t>1200000000100297</w:t>
            </w:r>
          </w:p>
        </w:tc>
        <w:tc>
          <w:tcPr>
            <w:tcW w:w="1276" w:type="dxa"/>
            <w:vAlign w:val="center"/>
          </w:tcPr>
          <w:p w14:paraId="51382FD3">
            <w:pPr>
              <w:jc w:val="center"/>
              <w:rPr>
                <w:rFonts w:ascii="宋体" w:hAnsi="宋体" w:cs="宋体"/>
                <w:b w:val="0"/>
                <w:bCs/>
                <w:color w:val="000000"/>
                <w:sz w:val="24"/>
              </w:rPr>
            </w:pPr>
            <w:r>
              <w:rPr>
                <w:rFonts w:hint="eastAsia" w:ascii="宋体" w:hAnsi="宋体" w:cs="宋体"/>
                <w:b w:val="0"/>
                <w:bCs/>
                <w:color w:val="000000"/>
                <w:sz w:val="24"/>
              </w:rPr>
              <w:t>009826</w:t>
            </w:r>
          </w:p>
        </w:tc>
        <w:tc>
          <w:tcPr>
            <w:tcW w:w="1275" w:type="dxa"/>
            <w:vAlign w:val="center"/>
          </w:tcPr>
          <w:p w14:paraId="738F8951">
            <w:pPr>
              <w:snapToGrid w:val="0"/>
              <w:jc w:val="center"/>
              <w:rPr>
                <w:rFonts w:ascii="宋体" w:hAnsi="宋体" w:cs="宋体"/>
                <w:b w:val="0"/>
                <w:bCs/>
                <w:color w:val="000000"/>
                <w:sz w:val="24"/>
              </w:rPr>
            </w:pPr>
            <w:r>
              <w:rPr>
                <w:rFonts w:hint="eastAsia" w:ascii="宋体" w:hAnsi="宋体" w:cs="宋体"/>
                <w:b w:val="0"/>
                <w:bCs/>
                <w:color w:val="000000"/>
                <w:sz w:val="24"/>
              </w:rPr>
              <w:t>爆炸技术</w:t>
            </w:r>
          </w:p>
        </w:tc>
        <w:tc>
          <w:tcPr>
            <w:tcW w:w="1311" w:type="dxa"/>
            <w:vAlign w:val="center"/>
          </w:tcPr>
          <w:p w14:paraId="6493D632">
            <w:pPr>
              <w:snapToGrid w:val="0"/>
              <w:jc w:val="center"/>
              <w:rPr>
                <w:rFonts w:ascii="宋体" w:hAnsi="宋体" w:cs="宋体"/>
                <w:b w:val="0"/>
                <w:bCs/>
                <w:color w:val="000000"/>
                <w:sz w:val="24"/>
              </w:rPr>
            </w:pPr>
          </w:p>
        </w:tc>
      </w:tr>
      <w:tr w14:paraId="3C1B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continue"/>
            <w:vAlign w:val="center"/>
          </w:tcPr>
          <w:p w14:paraId="3E2D2F0D">
            <w:pPr>
              <w:jc w:val="center"/>
              <w:rPr>
                <w:rFonts w:ascii="宋体" w:hAnsi="宋体" w:cs="宋体"/>
                <w:b w:val="0"/>
                <w:bCs/>
                <w:color w:val="000000"/>
                <w:sz w:val="24"/>
              </w:rPr>
            </w:pPr>
          </w:p>
        </w:tc>
        <w:tc>
          <w:tcPr>
            <w:tcW w:w="1099" w:type="dxa"/>
            <w:vAlign w:val="center"/>
          </w:tcPr>
          <w:p w14:paraId="6672E6C1">
            <w:pPr>
              <w:jc w:val="center"/>
              <w:rPr>
                <w:rFonts w:ascii="宋体" w:hAnsi="宋体" w:cs="宋体"/>
                <w:b w:val="0"/>
                <w:bCs/>
                <w:color w:val="000000"/>
                <w:sz w:val="24"/>
              </w:rPr>
            </w:pPr>
            <w:r>
              <w:rPr>
                <w:rFonts w:hint="eastAsia" w:ascii="宋体" w:hAnsi="宋体" w:cs="宋体"/>
                <w:b w:val="0"/>
                <w:bCs/>
                <w:color w:val="000000"/>
                <w:sz w:val="24"/>
              </w:rPr>
              <w:t>姚 渊</w:t>
            </w:r>
          </w:p>
        </w:tc>
        <w:tc>
          <w:tcPr>
            <w:tcW w:w="2977" w:type="dxa"/>
            <w:vAlign w:val="center"/>
          </w:tcPr>
          <w:p w14:paraId="610B5C91">
            <w:pPr>
              <w:jc w:val="center"/>
              <w:rPr>
                <w:rFonts w:ascii="宋体" w:hAnsi="宋体" w:cs="宋体"/>
                <w:b w:val="0"/>
                <w:bCs/>
                <w:color w:val="000000"/>
                <w:sz w:val="24"/>
              </w:rPr>
            </w:pPr>
            <w:r>
              <w:rPr>
                <w:rFonts w:hint="eastAsia" w:ascii="宋体" w:hAnsi="宋体" w:cs="宋体"/>
                <w:b w:val="0"/>
                <w:bCs/>
                <w:color w:val="000000"/>
                <w:sz w:val="24"/>
              </w:rPr>
              <w:t>1100000000302052</w:t>
            </w:r>
          </w:p>
        </w:tc>
        <w:tc>
          <w:tcPr>
            <w:tcW w:w="1276" w:type="dxa"/>
            <w:vAlign w:val="center"/>
          </w:tcPr>
          <w:p w14:paraId="0BEB1A72">
            <w:pPr>
              <w:jc w:val="center"/>
              <w:rPr>
                <w:rFonts w:ascii="宋体" w:hAnsi="宋体" w:cs="宋体"/>
                <w:b w:val="0"/>
                <w:bCs/>
                <w:color w:val="000000"/>
                <w:sz w:val="24"/>
              </w:rPr>
            </w:pPr>
            <w:r>
              <w:rPr>
                <w:rFonts w:hint="eastAsia" w:ascii="宋体" w:hAnsi="宋体" w:cs="宋体"/>
                <w:b w:val="0"/>
                <w:bCs/>
                <w:color w:val="000000"/>
                <w:sz w:val="24"/>
              </w:rPr>
              <w:t>018487</w:t>
            </w:r>
          </w:p>
        </w:tc>
        <w:tc>
          <w:tcPr>
            <w:tcW w:w="1275" w:type="dxa"/>
            <w:vAlign w:val="center"/>
          </w:tcPr>
          <w:p w14:paraId="55622CE1">
            <w:pPr>
              <w:snapToGrid w:val="0"/>
              <w:jc w:val="center"/>
              <w:rPr>
                <w:rFonts w:ascii="宋体" w:hAnsi="宋体" w:cs="宋体"/>
                <w:b w:val="0"/>
                <w:bCs/>
                <w:color w:val="000000"/>
                <w:sz w:val="24"/>
              </w:rPr>
            </w:pPr>
            <w:r>
              <w:rPr>
                <w:rFonts w:hint="eastAsia" w:ascii="宋体" w:hAnsi="宋体" w:cs="宋体"/>
                <w:b w:val="0"/>
                <w:bCs/>
                <w:color w:val="000000"/>
                <w:sz w:val="24"/>
              </w:rPr>
              <w:t>火炸药</w:t>
            </w:r>
          </w:p>
        </w:tc>
        <w:tc>
          <w:tcPr>
            <w:tcW w:w="1311" w:type="dxa"/>
            <w:vAlign w:val="center"/>
          </w:tcPr>
          <w:p w14:paraId="326086AF">
            <w:pPr>
              <w:snapToGrid w:val="0"/>
              <w:jc w:val="center"/>
              <w:rPr>
                <w:rFonts w:ascii="宋体" w:hAnsi="宋体" w:cs="宋体"/>
                <w:b w:val="0"/>
                <w:bCs/>
                <w:color w:val="000000"/>
                <w:sz w:val="24"/>
              </w:rPr>
            </w:pPr>
          </w:p>
        </w:tc>
      </w:tr>
      <w:tr w14:paraId="720C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continue"/>
            <w:vAlign w:val="center"/>
          </w:tcPr>
          <w:p w14:paraId="1047EC24">
            <w:pPr>
              <w:jc w:val="center"/>
              <w:rPr>
                <w:rFonts w:ascii="宋体" w:hAnsi="宋体" w:cs="宋体"/>
                <w:b w:val="0"/>
                <w:bCs/>
                <w:color w:val="000000"/>
                <w:sz w:val="24"/>
              </w:rPr>
            </w:pPr>
          </w:p>
        </w:tc>
        <w:tc>
          <w:tcPr>
            <w:tcW w:w="1099" w:type="dxa"/>
            <w:vAlign w:val="center"/>
          </w:tcPr>
          <w:p w14:paraId="323ACCD6">
            <w:pPr>
              <w:jc w:val="center"/>
              <w:rPr>
                <w:rFonts w:ascii="宋体" w:hAnsi="宋体" w:cs="宋体"/>
                <w:b w:val="0"/>
                <w:bCs/>
                <w:color w:val="000000"/>
                <w:sz w:val="24"/>
              </w:rPr>
            </w:pPr>
            <w:r>
              <w:rPr>
                <w:rFonts w:hint="eastAsia" w:ascii="宋体" w:hAnsi="宋体" w:cs="宋体"/>
                <w:b w:val="0"/>
                <w:bCs/>
                <w:color w:val="000000"/>
                <w:sz w:val="24"/>
              </w:rPr>
              <w:t>谢寒梅</w:t>
            </w:r>
          </w:p>
        </w:tc>
        <w:tc>
          <w:tcPr>
            <w:tcW w:w="2977" w:type="dxa"/>
            <w:vAlign w:val="center"/>
          </w:tcPr>
          <w:p w14:paraId="14D10A95">
            <w:pPr>
              <w:jc w:val="center"/>
              <w:rPr>
                <w:rFonts w:ascii="宋体" w:hAnsi="宋体" w:cs="宋体"/>
                <w:b w:val="0"/>
                <w:bCs/>
                <w:color w:val="000000"/>
                <w:sz w:val="24"/>
              </w:rPr>
            </w:pPr>
            <w:r>
              <w:rPr>
                <w:rFonts w:hint="eastAsia" w:ascii="宋体" w:hAnsi="宋体" w:cs="宋体"/>
                <w:b w:val="0"/>
                <w:bCs/>
                <w:color w:val="000000"/>
                <w:sz w:val="24"/>
              </w:rPr>
              <w:t>20130333603300000033</w:t>
            </w:r>
          </w:p>
          <w:p w14:paraId="328FABA1">
            <w:pPr>
              <w:jc w:val="center"/>
              <w:rPr>
                <w:rFonts w:ascii="宋体" w:hAnsi="宋体" w:cs="宋体"/>
                <w:b w:val="0"/>
                <w:bCs/>
                <w:color w:val="000000"/>
                <w:sz w:val="24"/>
              </w:rPr>
            </w:pPr>
            <w:r>
              <w:rPr>
                <w:rFonts w:hint="eastAsia" w:ascii="宋体" w:hAnsi="宋体" w:cs="宋体"/>
                <w:b w:val="0"/>
                <w:bCs/>
                <w:color w:val="000000"/>
                <w:sz w:val="24"/>
              </w:rPr>
              <w:t>12360008</w:t>
            </w:r>
          </w:p>
        </w:tc>
        <w:tc>
          <w:tcPr>
            <w:tcW w:w="1276" w:type="dxa"/>
            <w:vAlign w:val="center"/>
          </w:tcPr>
          <w:p w14:paraId="4CB80D7D">
            <w:pPr>
              <w:jc w:val="center"/>
              <w:rPr>
                <w:rFonts w:ascii="宋体" w:hAnsi="宋体" w:cs="宋体"/>
                <w:b w:val="0"/>
                <w:bCs/>
                <w:color w:val="000000"/>
                <w:sz w:val="24"/>
              </w:rPr>
            </w:pPr>
            <w:r>
              <w:rPr>
                <w:rFonts w:ascii="宋体" w:hAnsi="宋体" w:cs="宋体"/>
                <w:b w:val="0"/>
                <w:bCs/>
                <w:color w:val="000000"/>
                <w:sz w:val="24"/>
              </w:rPr>
              <w:t>361401</w:t>
            </w:r>
          </w:p>
          <w:p w14:paraId="4BEA519F">
            <w:pPr>
              <w:jc w:val="center"/>
              <w:rPr>
                <w:rFonts w:ascii="宋体" w:hAnsi="宋体" w:cs="宋体"/>
                <w:b w:val="0"/>
                <w:bCs/>
                <w:color w:val="000000"/>
                <w:sz w:val="24"/>
              </w:rPr>
            </w:pPr>
            <w:r>
              <w:rPr>
                <w:rFonts w:ascii="宋体" w:hAnsi="宋体" w:cs="宋体"/>
                <w:b w:val="0"/>
                <w:bCs/>
                <w:color w:val="000000"/>
                <w:sz w:val="24"/>
              </w:rPr>
              <w:t>60899</w:t>
            </w:r>
          </w:p>
        </w:tc>
        <w:tc>
          <w:tcPr>
            <w:tcW w:w="1275" w:type="dxa"/>
            <w:vAlign w:val="center"/>
          </w:tcPr>
          <w:p w14:paraId="774A1919">
            <w:pPr>
              <w:snapToGrid w:val="0"/>
              <w:jc w:val="center"/>
              <w:rPr>
                <w:rFonts w:ascii="宋体" w:hAnsi="宋体" w:cs="宋体"/>
                <w:b w:val="0"/>
                <w:bCs/>
                <w:color w:val="000000"/>
                <w:sz w:val="24"/>
              </w:rPr>
            </w:pPr>
            <w:r>
              <w:rPr>
                <w:rFonts w:hint="eastAsia" w:ascii="宋体" w:hAnsi="宋体" w:cs="宋体"/>
                <w:b w:val="0"/>
                <w:bCs/>
                <w:color w:val="000000"/>
                <w:sz w:val="24"/>
              </w:rPr>
              <w:t>电气</w:t>
            </w:r>
          </w:p>
        </w:tc>
        <w:tc>
          <w:tcPr>
            <w:tcW w:w="1311" w:type="dxa"/>
            <w:vAlign w:val="center"/>
          </w:tcPr>
          <w:p w14:paraId="70B1DA33">
            <w:pPr>
              <w:snapToGrid w:val="0"/>
              <w:jc w:val="center"/>
              <w:rPr>
                <w:rFonts w:ascii="宋体" w:hAnsi="宋体" w:cs="宋体"/>
                <w:b w:val="0"/>
                <w:bCs/>
                <w:color w:val="000000"/>
                <w:sz w:val="24"/>
              </w:rPr>
            </w:pPr>
          </w:p>
        </w:tc>
      </w:tr>
      <w:tr w14:paraId="5ECA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continue"/>
            <w:vAlign w:val="center"/>
          </w:tcPr>
          <w:p w14:paraId="72658C5E">
            <w:pPr>
              <w:jc w:val="center"/>
              <w:rPr>
                <w:rFonts w:ascii="宋体" w:hAnsi="宋体" w:cs="宋体"/>
                <w:b w:val="0"/>
                <w:bCs/>
                <w:color w:val="000000"/>
                <w:sz w:val="24"/>
              </w:rPr>
            </w:pPr>
          </w:p>
        </w:tc>
        <w:tc>
          <w:tcPr>
            <w:tcW w:w="1099" w:type="dxa"/>
            <w:vAlign w:val="center"/>
          </w:tcPr>
          <w:p w14:paraId="3CC6DCC6">
            <w:pPr>
              <w:jc w:val="center"/>
              <w:rPr>
                <w:rFonts w:ascii="宋体" w:hAnsi="宋体" w:cs="宋体"/>
                <w:b w:val="0"/>
                <w:bCs/>
                <w:color w:val="000000"/>
                <w:sz w:val="24"/>
              </w:rPr>
            </w:pPr>
            <w:r>
              <w:rPr>
                <w:rFonts w:hint="eastAsia" w:ascii="宋体" w:hAnsi="宋体" w:cs="宋体"/>
                <w:b w:val="0"/>
                <w:bCs/>
                <w:color w:val="000000"/>
                <w:sz w:val="24"/>
              </w:rPr>
              <w:t>黄伯扬</w:t>
            </w:r>
          </w:p>
        </w:tc>
        <w:tc>
          <w:tcPr>
            <w:tcW w:w="2977" w:type="dxa"/>
            <w:vAlign w:val="center"/>
          </w:tcPr>
          <w:p w14:paraId="34105DB0">
            <w:pPr>
              <w:widowControl/>
              <w:jc w:val="center"/>
              <w:rPr>
                <w:rFonts w:ascii="宋体" w:hAnsi="宋体"/>
                <w:b w:val="0"/>
                <w:color w:val="000000"/>
                <w:kern w:val="0"/>
                <w:sz w:val="24"/>
              </w:rPr>
            </w:pPr>
            <w:r>
              <w:rPr>
                <w:rFonts w:hint="eastAsia" w:ascii="宋体" w:hAnsi="宋体"/>
                <w:b w:val="0"/>
                <w:color w:val="000000"/>
                <w:kern w:val="0"/>
                <w:sz w:val="24"/>
              </w:rPr>
              <w:t>20170333603320173607</w:t>
            </w:r>
          </w:p>
          <w:p w14:paraId="72E706E5">
            <w:pPr>
              <w:widowControl/>
              <w:jc w:val="center"/>
              <w:rPr>
                <w:rFonts w:ascii="宋体" w:hAnsi="宋体" w:cs="宋体"/>
                <w:bCs/>
                <w:color w:val="000000"/>
                <w:kern w:val="0"/>
                <w:sz w:val="24"/>
              </w:rPr>
            </w:pPr>
            <w:r>
              <w:rPr>
                <w:rFonts w:hint="eastAsia" w:ascii="宋体" w:hAnsi="宋体"/>
                <w:b w:val="0"/>
                <w:color w:val="000000"/>
                <w:kern w:val="0"/>
                <w:sz w:val="24"/>
              </w:rPr>
              <w:t>33000088</w:t>
            </w:r>
          </w:p>
        </w:tc>
        <w:tc>
          <w:tcPr>
            <w:tcW w:w="1276" w:type="dxa"/>
            <w:vAlign w:val="center"/>
          </w:tcPr>
          <w:p w14:paraId="240076DB">
            <w:pPr>
              <w:widowControl/>
              <w:jc w:val="center"/>
              <w:rPr>
                <w:rFonts w:ascii="宋体" w:hAnsi="宋体"/>
                <w:b w:val="0"/>
                <w:color w:val="000000"/>
                <w:kern w:val="0"/>
                <w:sz w:val="24"/>
              </w:rPr>
            </w:pPr>
            <w:r>
              <w:rPr>
                <w:rFonts w:hint="eastAsia" w:ascii="宋体" w:hAnsi="宋体"/>
                <w:b w:val="0"/>
                <w:color w:val="000000"/>
                <w:kern w:val="0"/>
                <w:sz w:val="24"/>
              </w:rPr>
              <w:t>361902</w:t>
            </w:r>
          </w:p>
          <w:p w14:paraId="40DC662E">
            <w:pPr>
              <w:widowControl/>
              <w:jc w:val="center"/>
              <w:rPr>
                <w:rFonts w:ascii="宋体" w:hAnsi="宋体" w:cs="宋体"/>
                <w:bCs/>
                <w:color w:val="000000"/>
                <w:kern w:val="0"/>
                <w:sz w:val="24"/>
              </w:rPr>
            </w:pPr>
            <w:r>
              <w:rPr>
                <w:rFonts w:hint="eastAsia" w:ascii="宋体" w:hAnsi="宋体"/>
                <w:b w:val="0"/>
                <w:color w:val="000000"/>
                <w:kern w:val="0"/>
                <w:sz w:val="24"/>
              </w:rPr>
              <w:t>12639</w:t>
            </w:r>
          </w:p>
        </w:tc>
        <w:tc>
          <w:tcPr>
            <w:tcW w:w="1275" w:type="dxa"/>
            <w:vAlign w:val="center"/>
          </w:tcPr>
          <w:p w14:paraId="6248DC82">
            <w:pPr>
              <w:snapToGrid w:val="0"/>
              <w:jc w:val="center"/>
              <w:rPr>
                <w:rFonts w:ascii="宋体" w:hAnsi="宋体" w:cs="宋体"/>
                <w:b w:val="0"/>
                <w:bCs/>
                <w:color w:val="000000"/>
                <w:sz w:val="24"/>
              </w:rPr>
            </w:pPr>
            <w:r>
              <w:rPr>
                <w:rFonts w:hint="eastAsia" w:ascii="宋体" w:hAnsi="宋体" w:cs="宋体"/>
                <w:b w:val="0"/>
                <w:bCs/>
                <w:color w:val="000000"/>
                <w:sz w:val="24"/>
              </w:rPr>
              <w:t>化工机械</w:t>
            </w:r>
          </w:p>
        </w:tc>
        <w:tc>
          <w:tcPr>
            <w:tcW w:w="1311" w:type="dxa"/>
            <w:vAlign w:val="center"/>
          </w:tcPr>
          <w:p w14:paraId="2040535A">
            <w:pPr>
              <w:snapToGrid w:val="0"/>
              <w:jc w:val="center"/>
              <w:rPr>
                <w:rFonts w:ascii="宋体" w:hAnsi="宋体" w:cs="宋体"/>
                <w:b w:val="0"/>
                <w:bCs/>
                <w:color w:val="000000"/>
                <w:sz w:val="24"/>
              </w:rPr>
            </w:pPr>
          </w:p>
        </w:tc>
      </w:tr>
      <w:tr w14:paraId="1160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restart"/>
            <w:vAlign w:val="center"/>
          </w:tcPr>
          <w:p w14:paraId="141D1D8C">
            <w:pPr>
              <w:jc w:val="center"/>
              <w:rPr>
                <w:rFonts w:ascii="宋体" w:hAnsi="宋体" w:cs="宋体"/>
                <w:b w:val="0"/>
                <w:bCs/>
                <w:color w:val="000000"/>
                <w:sz w:val="24"/>
              </w:rPr>
            </w:pPr>
            <w:r>
              <w:rPr>
                <w:rFonts w:hint="eastAsia" w:ascii="宋体" w:hAnsi="宋体" w:cs="宋体"/>
                <w:b w:val="0"/>
                <w:bCs/>
                <w:color w:val="000000"/>
                <w:sz w:val="24"/>
              </w:rPr>
              <w:t>报告编制人</w:t>
            </w:r>
          </w:p>
        </w:tc>
        <w:tc>
          <w:tcPr>
            <w:tcW w:w="1099" w:type="dxa"/>
            <w:vAlign w:val="center"/>
          </w:tcPr>
          <w:p w14:paraId="3C033A68">
            <w:pPr>
              <w:jc w:val="center"/>
              <w:rPr>
                <w:rFonts w:ascii="宋体" w:hAnsi="宋体" w:cs="宋体"/>
                <w:b w:val="0"/>
                <w:bCs/>
                <w:color w:val="000000"/>
                <w:sz w:val="24"/>
              </w:rPr>
            </w:pPr>
            <w:r>
              <w:rPr>
                <w:rFonts w:hint="eastAsia" w:ascii="宋体" w:hAnsi="宋体" w:cs="宋体"/>
                <w:b w:val="0"/>
                <w:bCs/>
                <w:color w:val="000000"/>
                <w:sz w:val="24"/>
              </w:rPr>
              <w:t>卢 鑫</w:t>
            </w:r>
          </w:p>
        </w:tc>
        <w:tc>
          <w:tcPr>
            <w:tcW w:w="2977" w:type="dxa"/>
            <w:vAlign w:val="center"/>
          </w:tcPr>
          <w:p w14:paraId="62E48A9C">
            <w:pPr>
              <w:jc w:val="center"/>
              <w:rPr>
                <w:rFonts w:ascii="宋体" w:hAnsi="宋体" w:cs="宋体"/>
                <w:b w:val="0"/>
                <w:bCs/>
                <w:color w:val="000000"/>
                <w:sz w:val="24"/>
              </w:rPr>
            </w:pPr>
            <w:r>
              <w:rPr>
                <w:rFonts w:hint="eastAsia" w:ascii="宋体" w:hAnsi="宋体" w:cs="宋体"/>
                <w:b w:val="0"/>
                <w:bCs/>
                <w:color w:val="000000"/>
                <w:sz w:val="24"/>
              </w:rPr>
              <w:t>20201104637000004899</w:t>
            </w:r>
          </w:p>
        </w:tc>
        <w:tc>
          <w:tcPr>
            <w:tcW w:w="1276" w:type="dxa"/>
            <w:vAlign w:val="center"/>
          </w:tcPr>
          <w:p w14:paraId="74A672E9">
            <w:pPr>
              <w:jc w:val="center"/>
              <w:rPr>
                <w:rFonts w:ascii="宋体" w:hAnsi="宋体" w:cs="宋体"/>
                <w:b w:val="0"/>
                <w:bCs/>
                <w:color w:val="000000"/>
                <w:sz w:val="24"/>
              </w:rPr>
            </w:pPr>
            <w:r>
              <w:rPr>
                <w:rFonts w:hint="eastAsia" w:ascii="宋体" w:hAnsi="宋体" w:cs="宋体"/>
                <w:b w:val="0"/>
                <w:bCs/>
                <w:color w:val="000000"/>
                <w:sz w:val="24"/>
              </w:rPr>
              <w:t>3</w:t>
            </w:r>
            <w:r>
              <w:rPr>
                <w:rFonts w:ascii="宋体" w:hAnsi="宋体" w:cs="宋体"/>
                <w:b w:val="0"/>
                <w:bCs/>
                <w:color w:val="000000"/>
                <w:sz w:val="24"/>
              </w:rPr>
              <w:t>72203</w:t>
            </w:r>
          </w:p>
          <w:p w14:paraId="30935898">
            <w:pPr>
              <w:jc w:val="center"/>
              <w:rPr>
                <w:rFonts w:ascii="宋体" w:hAnsi="宋体" w:cs="宋体"/>
                <w:b w:val="0"/>
                <w:bCs/>
                <w:color w:val="000000"/>
                <w:sz w:val="24"/>
              </w:rPr>
            </w:pPr>
            <w:r>
              <w:rPr>
                <w:rFonts w:ascii="宋体" w:hAnsi="宋体" w:cs="宋体"/>
                <w:b w:val="0"/>
                <w:bCs/>
                <w:color w:val="000000"/>
                <w:sz w:val="24"/>
              </w:rPr>
              <w:t>02793</w:t>
            </w:r>
          </w:p>
        </w:tc>
        <w:tc>
          <w:tcPr>
            <w:tcW w:w="1275" w:type="dxa"/>
            <w:vAlign w:val="center"/>
          </w:tcPr>
          <w:p w14:paraId="1FBA941D">
            <w:pPr>
              <w:snapToGrid w:val="0"/>
              <w:jc w:val="center"/>
              <w:rPr>
                <w:rFonts w:ascii="宋体" w:hAnsi="宋体" w:cs="宋体"/>
                <w:b w:val="0"/>
                <w:bCs/>
                <w:color w:val="000000"/>
                <w:sz w:val="24"/>
              </w:rPr>
            </w:pPr>
            <w:r>
              <w:rPr>
                <w:rFonts w:ascii="宋体" w:hAnsi="宋体" w:cs="宋体"/>
                <w:b w:val="0"/>
                <w:bCs/>
                <w:color w:val="000000"/>
                <w:sz w:val="24"/>
              </w:rPr>
              <w:t>安全工程</w:t>
            </w:r>
          </w:p>
        </w:tc>
        <w:tc>
          <w:tcPr>
            <w:tcW w:w="1311" w:type="dxa"/>
            <w:vAlign w:val="center"/>
          </w:tcPr>
          <w:p w14:paraId="53D0EEA8">
            <w:pPr>
              <w:snapToGrid w:val="0"/>
              <w:jc w:val="center"/>
              <w:rPr>
                <w:rFonts w:ascii="宋体" w:hAnsi="宋体" w:cs="宋体"/>
                <w:b w:val="0"/>
                <w:bCs/>
                <w:color w:val="000000"/>
                <w:sz w:val="24"/>
              </w:rPr>
            </w:pPr>
          </w:p>
        </w:tc>
      </w:tr>
      <w:tr w14:paraId="5C9C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Merge w:val="continue"/>
            <w:vAlign w:val="center"/>
          </w:tcPr>
          <w:p w14:paraId="3E164383">
            <w:pPr>
              <w:jc w:val="center"/>
              <w:rPr>
                <w:rFonts w:ascii="宋体" w:hAnsi="宋体" w:cs="宋体"/>
                <w:b w:val="0"/>
                <w:bCs/>
                <w:color w:val="000000"/>
                <w:sz w:val="24"/>
              </w:rPr>
            </w:pPr>
          </w:p>
        </w:tc>
        <w:tc>
          <w:tcPr>
            <w:tcW w:w="1099" w:type="dxa"/>
            <w:vAlign w:val="center"/>
          </w:tcPr>
          <w:p w14:paraId="7728C696">
            <w:pPr>
              <w:jc w:val="center"/>
              <w:rPr>
                <w:rFonts w:ascii="宋体" w:hAnsi="宋体" w:cs="宋体"/>
                <w:b w:val="0"/>
                <w:bCs/>
                <w:color w:val="000000"/>
                <w:sz w:val="24"/>
              </w:rPr>
            </w:pPr>
            <w:r>
              <w:rPr>
                <w:rFonts w:hint="eastAsia" w:ascii="宋体" w:hAnsi="宋体" w:cs="宋体"/>
                <w:b w:val="0"/>
                <w:bCs/>
                <w:color w:val="000000"/>
                <w:sz w:val="24"/>
              </w:rPr>
              <w:t>王建新</w:t>
            </w:r>
          </w:p>
        </w:tc>
        <w:tc>
          <w:tcPr>
            <w:tcW w:w="2977" w:type="dxa"/>
            <w:vAlign w:val="center"/>
          </w:tcPr>
          <w:p w14:paraId="72576C10">
            <w:pPr>
              <w:jc w:val="center"/>
              <w:rPr>
                <w:rFonts w:ascii="宋体" w:hAnsi="宋体" w:cs="宋体"/>
                <w:b w:val="0"/>
                <w:bCs/>
                <w:color w:val="000000"/>
                <w:sz w:val="24"/>
              </w:rPr>
            </w:pPr>
            <w:r>
              <w:rPr>
                <w:rFonts w:hint="eastAsia" w:ascii="宋体" w:hAnsi="宋体" w:cs="宋体"/>
                <w:b w:val="0"/>
                <w:bCs/>
                <w:color w:val="000000"/>
                <w:sz w:val="24"/>
              </w:rPr>
              <w:t>1200000000100297</w:t>
            </w:r>
          </w:p>
        </w:tc>
        <w:tc>
          <w:tcPr>
            <w:tcW w:w="1276" w:type="dxa"/>
            <w:vAlign w:val="center"/>
          </w:tcPr>
          <w:p w14:paraId="1ED9A085">
            <w:pPr>
              <w:jc w:val="center"/>
              <w:rPr>
                <w:rFonts w:ascii="宋体" w:hAnsi="宋体" w:cs="宋体"/>
                <w:b w:val="0"/>
                <w:bCs/>
                <w:color w:val="000000"/>
                <w:sz w:val="24"/>
              </w:rPr>
            </w:pPr>
            <w:r>
              <w:rPr>
                <w:rFonts w:hint="eastAsia" w:ascii="宋体" w:hAnsi="宋体" w:cs="宋体"/>
                <w:b w:val="0"/>
                <w:bCs/>
                <w:color w:val="000000"/>
                <w:sz w:val="24"/>
              </w:rPr>
              <w:t>009826</w:t>
            </w:r>
          </w:p>
        </w:tc>
        <w:tc>
          <w:tcPr>
            <w:tcW w:w="1275" w:type="dxa"/>
            <w:vAlign w:val="center"/>
          </w:tcPr>
          <w:p w14:paraId="1DEFC7CA">
            <w:pPr>
              <w:snapToGrid w:val="0"/>
              <w:jc w:val="center"/>
              <w:rPr>
                <w:rFonts w:ascii="宋体" w:hAnsi="宋体" w:cs="宋体"/>
                <w:b w:val="0"/>
                <w:bCs/>
                <w:color w:val="000000"/>
                <w:sz w:val="24"/>
              </w:rPr>
            </w:pPr>
            <w:r>
              <w:rPr>
                <w:rFonts w:hint="eastAsia" w:ascii="宋体" w:hAnsi="宋体" w:cs="宋体"/>
                <w:b w:val="0"/>
                <w:bCs/>
                <w:color w:val="000000"/>
                <w:sz w:val="24"/>
              </w:rPr>
              <w:t>爆炸技术</w:t>
            </w:r>
          </w:p>
        </w:tc>
        <w:tc>
          <w:tcPr>
            <w:tcW w:w="1311" w:type="dxa"/>
            <w:vAlign w:val="center"/>
          </w:tcPr>
          <w:p w14:paraId="12D05013">
            <w:pPr>
              <w:snapToGrid w:val="0"/>
              <w:jc w:val="center"/>
              <w:rPr>
                <w:rFonts w:ascii="宋体" w:hAnsi="宋体" w:cs="宋体"/>
                <w:b w:val="0"/>
                <w:bCs/>
                <w:color w:val="000000"/>
                <w:sz w:val="24"/>
              </w:rPr>
            </w:pPr>
          </w:p>
        </w:tc>
      </w:tr>
      <w:tr w14:paraId="1CA2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Align w:val="center"/>
          </w:tcPr>
          <w:p w14:paraId="016CACCA">
            <w:pPr>
              <w:jc w:val="center"/>
              <w:rPr>
                <w:rFonts w:ascii="宋体" w:hAnsi="宋体" w:cs="宋体"/>
                <w:b w:val="0"/>
                <w:bCs/>
                <w:color w:val="000000"/>
                <w:sz w:val="24"/>
              </w:rPr>
            </w:pPr>
            <w:r>
              <w:rPr>
                <w:rFonts w:hint="eastAsia" w:ascii="宋体" w:hAnsi="宋体" w:cs="宋体"/>
                <w:b w:val="0"/>
                <w:bCs/>
                <w:color w:val="000000"/>
                <w:sz w:val="24"/>
              </w:rPr>
              <w:t>报告审核人</w:t>
            </w:r>
          </w:p>
        </w:tc>
        <w:tc>
          <w:tcPr>
            <w:tcW w:w="1099" w:type="dxa"/>
            <w:vAlign w:val="center"/>
          </w:tcPr>
          <w:p w14:paraId="412D7FF3">
            <w:pPr>
              <w:jc w:val="center"/>
              <w:rPr>
                <w:rFonts w:ascii="宋体" w:hAnsi="宋体" w:cs="宋体"/>
                <w:b w:val="0"/>
                <w:bCs/>
                <w:color w:val="000000"/>
                <w:sz w:val="24"/>
              </w:rPr>
            </w:pPr>
            <w:r>
              <w:rPr>
                <w:rFonts w:hint="eastAsia" w:ascii="宋体" w:hAnsi="宋体" w:cs="宋体"/>
                <w:b w:val="0"/>
                <w:bCs/>
                <w:color w:val="000000"/>
                <w:sz w:val="24"/>
              </w:rPr>
              <w:t>郑 强</w:t>
            </w:r>
          </w:p>
        </w:tc>
        <w:tc>
          <w:tcPr>
            <w:tcW w:w="2977" w:type="dxa"/>
            <w:vAlign w:val="center"/>
          </w:tcPr>
          <w:p w14:paraId="09925A75">
            <w:pPr>
              <w:jc w:val="center"/>
              <w:rPr>
                <w:rFonts w:ascii="宋体" w:hAnsi="宋体" w:cs="宋体"/>
                <w:b w:val="0"/>
                <w:bCs/>
                <w:color w:val="000000"/>
                <w:sz w:val="24"/>
              </w:rPr>
            </w:pPr>
            <w:r>
              <w:rPr>
                <w:rFonts w:hint="eastAsia" w:ascii="宋体" w:hAnsi="宋体" w:cs="宋体"/>
                <w:b w:val="0"/>
                <w:bCs/>
                <w:color w:val="000000"/>
                <w:sz w:val="24"/>
              </w:rPr>
              <w:t>0138957</w:t>
            </w:r>
          </w:p>
        </w:tc>
        <w:tc>
          <w:tcPr>
            <w:tcW w:w="1276" w:type="dxa"/>
            <w:vAlign w:val="center"/>
          </w:tcPr>
          <w:p w14:paraId="4EA4FCE4">
            <w:pPr>
              <w:jc w:val="center"/>
              <w:rPr>
                <w:rFonts w:ascii="宋体" w:hAnsi="宋体" w:cs="宋体"/>
                <w:b w:val="0"/>
                <w:bCs/>
                <w:color w:val="000000"/>
                <w:sz w:val="24"/>
              </w:rPr>
            </w:pPr>
            <w:r>
              <w:rPr>
                <w:rFonts w:hint="eastAsia" w:ascii="宋体" w:hAnsi="宋体" w:cs="宋体"/>
                <w:b w:val="0"/>
                <w:bCs/>
                <w:color w:val="000000"/>
                <w:sz w:val="24"/>
              </w:rPr>
              <w:t>361101</w:t>
            </w:r>
          </w:p>
          <w:p w14:paraId="2A868E1F">
            <w:pPr>
              <w:jc w:val="center"/>
              <w:rPr>
                <w:rFonts w:ascii="宋体" w:hAnsi="宋体" w:cs="宋体"/>
                <w:b w:val="0"/>
                <w:bCs/>
                <w:color w:val="000000"/>
                <w:sz w:val="24"/>
              </w:rPr>
            </w:pPr>
            <w:r>
              <w:rPr>
                <w:rFonts w:hint="eastAsia" w:ascii="宋体" w:hAnsi="宋体" w:cs="宋体"/>
                <w:b w:val="0"/>
                <w:bCs/>
                <w:color w:val="000000"/>
                <w:sz w:val="24"/>
              </w:rPr>
              <w:t>12733</w:t>
            </w:r>
          </w:p>
        </w:tc>
        <w:tc>
          <w:tcPr>
            <w:tcW w:w="1275" w:type="dxa"/>
            <w:vAlign w:val="center"/>
          </w:tcPr>
          <w:p w14:paraId="07070632">
            <w:pPr>
              <w:snapToGrid w:val="0"/>
              <w:jc w:val="center"/>
              <w:rPr>
                <w:rFonts w:ascii="宋体" w:hAnsi="宋体" w:cs="宋体"/>
                <w:b w:val="0"/>
                <w:bCs/>
                <w:color w:val="000000"/>
                <w:sz w:val="24"/>
              </w:rPr>
            </w:pPr>
            <w:r>
              <w:rPr>
                <w:rFonts w:hint="eastAsia" w:ascii="宋体" w:hAnsi="宋体" w:cs="宋体"/>
                <w:b w:val="0"/>
                <w:bCs/>
                <w:color w:val="000000"/>
                <w:sz w:val="24"/>
              </w:rPr>
              <w:t>爆炸技术</w:t>
            </w:r>
          </w:p>
        </w:tc>
        <w:tc>
          <w:tcPr>
            <w:tcW w:w="1311" w:type="dxa"/>
            <w:vAlign w:val="center"/>
          </w:tcPr>
          <w:p w14:paraId="338551DB">
            <w:pPr>
              <w:snapToGrid w:val="0"/>
              <w:jc w:val="center"/>
              <w:rPr>
                <w:rFonts w:ascii="宋体" w:hAnsi="宋体" w:cs="宋体"/>
                <w:b w:val="0"/>
                <w:bCs/>
                <w:color w:val="000000"/>
                <w:sz w:val="24"/>
              </w:rPr>
            </w:pPr>
          </w:p>
        </w:tc>
      </w:tr>
      <w:tr w14:paraId="7098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Align w:val="center"/>
          </w:tcPr>
          <w:p w14:paraId="0DE89CC3">
            <w:pPr>
              <w:jc w:val="center"/>
              <w:rPr>
                <w:rFonts w:ascii="宋体" w:hAnsi="宋体" w:cs="宋体"/>
                <w:b w:val="0"/>
                <w:bCs/>
                <w:color w:val="000000"/>
                <w:sz w:val="24"/>
              </w:rPr>
            </w:pPr>
            <w:r>
              <w:rPr>
                <w:rFonts w:hint="eastAsia" w:ascii="宋体" w:hAnsi="宋体" w:cs="宋体"/>
                <w:b w:val="0"/>
                <w:bCs/>
                <w:color w:val="000000"/>
                <w:sz w:val="24"/>
              </w:rPr>
              <w:t>过程控制</w:t>
            </w:r>
          </w:p>
          <w:p w14:paraId="2FD2947F">
            <w:pPr>
              <w:jc w:val="center"/>
              <w:rPr>
                <w:rFonts w:ascii="宋体" w:hAnsi="宋体" w:cs="宋体"/>
                <w:b w:val="0"/>
                <w:bCs/>
                <w:color w:val="000000"/>
                <w:sz w:val="24"/>
              </w:rPr>
            </w:pPr>
            <w:r>
              <w:rPr>
                <w:rFonts w:hint="eastAsia" w:ascii="宋体" w:hAnsi="宋体" w:cs="宋体"/>
                <w:b w:val="0"/>
                <w:bCs/>
                <w:color w:val="000000"/>
                <w:sz w:val="24"/>
              </w:rPr>
              <w:t>负责人</w:t>
            </w:r>
          </w:p>
        </w:tc>
        <w:tc>
          <w:tcPr>
            <w:tcW w:w="1099" w:type="dxa"/>
            <w:vAlign w:val="center"/>
          </w:tcPr>
          <w:p w14:paraId="3C9793B2">
            <w:pPr>
              <w:jc w:val="center"/>
              <w:rPr>
                <w:rFonts w:ascii="宋体" w:hAnsi="宋体" w:cs="宋体"/>
                <w:b w:val="0"/>
                <w:bCs/>
                <w:color w:val="000000"/>
                <w:sz w:val="24"/>
              </w:rPr>
            </w:pPr>
            <w:r>
              <w:rPr>
                <w:rFonts w:hint="eastAsia" w:ascii="宋体" w:hAnsi="宋体" w:cs="宋体"/>
                <w:b w:val="0"/>
                <w:bCs/>
                <w:color w:val="000000"/>
                <w:sz w:val="24"/>
              </w:rPr>
              <w:t>檀廷斌</w:t>
            </w:r>
          </w:p>
        </w:tc>
        <w:tc>
          <w:tcPr>
            <w:tcW w:w="2977" w:type="dxa"/>
            <w:vAlign w:val="center"/>
          </w:tcPr>
          <w:p w14:paraId="1E09D90D">
            <w:pPr>
              <w:jc w:val="center"/>
              <w:rPr>
                <w:rFonts w:ascii="宋体" w:hAnsi="宋体" w:cs="宋体"/>
                <w:b w:val="0"/>
                <w:bCs/>
                <w:color w:val="000000"/>
                <w:sz w:val="24"/>
              </w:rPr>
            </w:pPr>
            <w:r>
              <w:rPr>
                <w:rFonts w:ascii="宋体" w:hAnsi="Times New Roman" w:cs="宋体"/>
                <w:b w:val="0"/>
                <w:kern w:val="0"/>
                <w:sz w:val="24"/>
              </w:rPr>
              <w:t>20231004636000000380</w:t>
            </w:r>
          </w:p>
        </w:tc>
        <w:tc>
          <w:tcPr>
            <w:tcW w:w="1276" w:type="dxa"/>
            <w:vAlign w:val="center"/>
          </w:tcPr>
          <w:p w14:paraId="7AD882D6">
            <w:pPr>
              <w:jc w:val="center"/>
              <w:rPr>
                <w:rFonts w:ascii="宋体" w:hAnsi="宋体" w:cs="宋体"/>
                <w:b w:val="0"/>
                <w:bCs/>
                <w:color w:val="000000"/>
                <w:sz w:val="24"/>
              </w:rPr>
            </w:pPr>
            <w:r>
              <w:rPr>
                <w:rFonts w:ascii="宋体" w:hAnsi="宋体" w:cs="宋体"/>
                <w:b w:val="0"/>
                <w:bCs/>
                <w:color w:val="000000"/>
                <w:sz w:val="24"/>
              </w:rPr>
              <w:t>362504</w:t>
            </w:r>
          </w:p>
          <w:p w14:paraId="5F205802">
            <w:pPr>
              <w:jc w:val="center"/>
              <w:rPr>
                <w:rFonts w:ascii="宋体" w:hAnsi="宋体" w:cs="宋体"/>
                <w:b w:val="0"/>
                <w:bCs/>
                <w:color w:val="000000"/>
                <w:sz w:val="24"/>
              </w:rPr>
            </w:pPr>
            <w:r>
              <w:rPr>
                <w:rFonts w:ascii="宋体" w:hAnsi="宋体" w:cs="宋体"/>
                <w:b w:val="0"/>
                <w:bCs/>
                <w:color w:val="000000"/>
                <w:sz w:val="24"/>
              </w:rPr>
              <w:t>07310</w:t>
            </w:r>
          </w:p>
        </w:tc>
        <w:tc>
          <w:tcPr>
            <w:tcW w:w="1275" w:type="dxa"/>
            <w:vAlign w:val="center"/>
          </w:tcPr>
          <w:p w14:paraId="76DD1FC3">
            <w:pPr>
              <w:snapToGrid w:val="0"/>
              <w:jc w:val="center"/>
              <w:rPr>
                <w:rFonts w:ascii="宋体" w:hAnsi="宋体" w:cs="宋体"/>
                <w:b w:val="0"/>
                <w:bCs/>
                <w:color w:val="000000"/>
                <w:sz w:val="24"/>
              </w:rPr>
            </w:pPr>
            <w:r>
              <w:rPr>
                <w:rFonts w:hint="eastAsia" w:ascii="宋体" w:hAnsi="宋体" w:cs="宋体"/>
                <w:b w:val="0"/>
                <w:bCs/>
                <w:color w:val="000000"/>
                <w:sz w:val="24"/>
              </w:rPr>
              <w:t>化工工艺</w:t>
            </w:r>
          </w:p>
        </w:tc>
        <w:tc>
          <w:tcPr>
            <w:tcW w:w="1311" w:type="dxa"/>
            <w:vAlign w:val="center"/>
          </w:tcPr>
          <w:p w14:paraId="1C187048">
            <w:pPr>
              <w:snapToGrid w:val="0"/>
              <w:jc w:val="center"/>
              <w:rPr>
                <w:rFonts w:ascii="宋体" w:hAnsi="宋体" w:cs="宋体"/>
                <w:b w:val="0"/>
                <w:bCs/>
                <w:color w:val="000000"/>
                <w:sz w:val="24"/>
              </w:rPr>
            </w:pPr>
          </w:p>
        </w:tc>
      </w:tr>
      <w:tr w14:paraId="5A1C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90" w:type="dxa"/>
            <w:vAlign w:val="center"/>
          </w:tcPr>
          <w:p w14:paraId="1AADDF6C">
            <w:pPr>
              <w:jc w:val="center"/>
              <w:rPr>
                <w:rFonts w:ascii="宋体" w:hAnsi="宋体" w:cs="宋体"/>
                <w:b w:val="0"/>
                <w:bCs/>
                <w:color w:val="000000"/>
                <w:sz w:val="24"/>
              </w:rPr>
            </w:pPr>
            <w:r>
              <w:rPr>
                <w:rFonts w:hint="eastAsia" w:ascii="宋体" w:hAnsi="宋体" w:cs="宋体"/>
                <w:b w:val="0"/>
                <w:bCs/>
                <w:color w:val="000000"/>
                <w:sz w:val="24"/>
              </w:rPr>
              <w:t>技术负责人</w:t>
            </w:r>
          </w:p>
        </w:tc>
        <w:tc>
          <w:tcPr>
            <w:tcW w:w="1099" w:type="dxa"/>
            <w:vAlign w:val="center"/>
          </w:tcPr>
          <w:p w14:paraId="1B60E3EA">
            <w:pPr>
              <w:jc w:val="center"/>
              <w:rPr>
                <w:rFonts w:ascii="宋体" w:hAnsi="宋体" w:cs="宋体"/>
                <w:b w:val="0"/>
                <w:bCs/>
                <w:color w:val="000000"/>
                <w:sz w:val="24"/>
              </w:rPr>
            </w:pPr>
            <w:r>
              <w:rPr>
                <w:rFonts w:hint="eastAsia" w:ascii="宋体" w:hAnsi="宋体" w:cs="宋体"/>
                <w:b w:val="0"/>
                <w:bCs/>
                <w:color w:val="000000"/>
                <w:sz w:val="24"/>
              </w:rPr>
              <w:t>应 宏</w:t>
            </w:r>
          </w:p>
        </w:tc>
        <w:tc>
          <w:tcPr>
            <w:tcW w:w="2977" w:type="dxa"/>
            <w:vAlign w:val="center"/>
          </w:tcPr>
          <w:p w14:paraId="6F144BE4">
            <w:pPr>
              <w:jc w:val="center"/>
              <w:rPr>
                <w:rFonts w:ascii="宋体" w:hAnsi="宋体" w:cs="宋体"/>
                <w:b w:val="0"/>
                <w:bCs/>
                <w:color w:val="000000"/>
                <w:sz w:val="24"/>
              </w:rPr>
            </w:pPr>
            <w:r>
              <w:rPr>
                <w:rFonts w:hint="eastAsia" w:ascii="宋体" w:hAnsi="宋体" w:cs="宋体"/>
                <w:b w:val="0"/>
                <w:bCs/>
                <w:color w:val="000000"/>
                <w:sz w:val="24"/>
              </w:rPr>
              <w:t>0044969</w:t>
            </w:r>
          </w:p>
        </w:tc>
        <w:tc>
          <w:tcPr>
            <w:tcW w:w="1276" w:type="dxa"/>
            <w:vAlign w:val="center"/>
          </w:tcPr>
          <w:p w14:paraId="78B05965">
            <w:pPr>
              <w:jc w:val="center"/>
              <w:rPr>
                <w:rFonts w:ascii="宋体" w:hAnsi="宋体" w:cs="宋体"/>
                <w:b w:val="0"/>
                <w:bCs/>
                <w:color w:val="000000"/>
                <w:sz w:val="24"/>
              </w:rPr>
            </w:pPr>
            <w:r>
              <w:rPr>
                <w:rFonts w:ascii="宋体" w:hAnsi="宋体" w:cs="宋体"/>
                <w:b w:val="0"/>
                <w:bCs/>
                <w:color w:val="000000"/>
                <w:sz w:val="24"/>
              </w:rPr>
              <w:t>360700</w:t>
            </w:r>
          </w:p>
          <w:p w14:paraId="2062635E">
            <w:pPr>
              <w:jc w:val="center"/>
              <w:rPr>
                <w:rFonts w:ascii="宋体" w:hAnsi="宋体" w:cs="宋体"/>
                <w:b w:val="0"/>
                <w:bCs/>
                <w:color w:val="000000"/>
                <w:sz w:val="24"/>
              </w:rPr>
            </w:pPr>
            <w:r>
              <w:rPr>
                <w:rFonts w:ascii="宋体" w:hAnsi="宋体" w:cs="宋体"/>
                <w:b w:val="0"/>
                <w:bCs/>
                <w:color w:val="000000"/>
                <w:sz w:val="24"/>
              </w:rPr>
              <w:t>32238</w:t>
            </w:r>
          </w:p>
        </w:tc>
        <w:tc>
          <w:tcPr>
            <w:tcW w:w="1275" w:type="dxa"/>
            <w:vAlign w:val="center"/>
          </w:tcPr>
          <w:p w14:paraId="798AC15F">
            <w:pPr>
              <w:jc w:val="center"/>
              <w:rPr>
                <w:rFonts w:ascii="宋体" w:hAnsi="宋体" w:cs="宋体"/>
                <w:b w:val="0"/>
                <w:bCs/>
                <w:color w:val="000000"/>
                <w:sz w:val="24"/>
              </w:rPr>
            </w:pPr>
            <w:r>
              <w:rPr>
                <w:rFonts w:hint="eastAsia" w:ascii="宋体" w:hAnsi="宋体" w:cs="宋体"/>
                <w:b w:val="0"/>
                <w:bCs/>
                <w:color w:val="000000"/>
                <w:sz w:val="24"/>
              </w:rPr>
              <w:t>电气</w:t>
            </w:r>
          </w:p>
        </w:tc>
        <w:tc>
          <w:tcPr>
            <w:tcW w:w="1311" w:type="dxa"/>
            <w:vAlign w:val="center"/>
          </w:tcPr>
          <w:p w14:paraId="5B294A81">
            <w:pPr>
              <w:jc w:val="center"/>
              <w:rPr>
                <w:rFonts w:ascii="宋体" w:hAnsi="宋体" w:cs="宋体"/>
                <w:b w:val="0"/>
                <w:bCs/>
                <w:color w:val="000000"/>
                <w:sz w:val="24"/>
              </w:rPr>
            </w:pPr>
          </w:p>
        </w:tc>
      </w:tr>
    </w:tbl>
    <w:p w14:paraId="013B20C2">
      <w:pPr>
        <w:widowControl/>
        <w:jc w:val="left"/>
        <w:rPr>
          <w:rFonts w:ascii="宋体" w:hAnsi="宋体"/>
          <w:b w:val="0"/>
          <w:sz w:val="32"/>
        </w:rPr>
      </w:pPr>
    </w:p>
    <w:p w14:paraId="54645B03">
      <w:pPr>
        <w:spacing w:before="100" w:beforeAutospacing="1" w:after="100" w:afterAutospacing="1" w:line="560" w:lineRule="exact"/>
        <w:jc w:val="center"/>
        <w:rPr>
          <w:rFonts w:ascii="黑体" w:hAnsi="宋体" w:eastAsia="黑体"/>
          <w:b w:val="0"/>
          <w:kern w:val="0"/>
          <w:sz w:val="32"/>
          <w:szCs w:val="32"/>
        </w:rPr>
      </w:pPr>
      <w:r>
        <w:rPr>
          <w:rFonts w:ascii="宋体" w:hAnsi="宋体"/>
          <w:b w:val="0"/>
          <w:sz w:val="32"/>
        </w:rPr>
        <w:br w:type="page"/>
      </w:r>
      <w:bookmarkStart w:id="13" w:name="_Toc484713645"/>
      <w:bookmarkStart w:id="14" w:name="_Toc447630430"/>
      <w:bookmarkStart w:id="15" w:name="_Toc447637008"/>
      <w:bookmarkStart w:id="16" w:name="_Toc2827"/>
      <w:bookmarkStart w:id="17" w:name="_Toc496620770"/>
      <w:bookmarkStart w:id="18" w:name="_Toc482029270"/>
      <w:bookmarkStart w:id="19" w:name="_Toc499287773"/>
      <w:bookmarkStart w:id="20" w:name="_Toc528532633"/>
      <w:bookmarkStart w:id="21" w:name="_Toc447639152"/>
      <w:r>
        <w:rPr>
          <w:rFonts w:hint="eastAsia" w:ascii="黑体" w:hAnsi="宋体" w:eastAsia="黑体"/>
          <w:b w:val="0"/>
          <w:kern w:val="0"/>
          <w:sz w:val="32"/>
          <w:szCs w:val="32"/>
        </w:rPr>
        <w:t>前 言</w:t>
      </w:r>
      <w:bookmarkEnd w:id="13"/>
      <w:bookmarkEnd w:id="14"/>
      <w:bookmarkEnd w:id="15"/>
      <w:bookmarkEnd w:id="16"/>
      <w:bookmarkEnd w:id="17"/>
      <w:bookmarkEnd w:id="18"/>
      <w:bookmarkEnd w:id="19"/>
      <w:bookmarkEnd w:id="20"/>
      <w:bookmarkEnd w:id="21"/>
    </w:p>
    <w:p w14:paraId="29046632">
      <w:pPr>
        <w:adjustRightInd w:val="0"/>
        <w:snapToGrid w:val="0"/>
        <w:spacing w:line="360" w:lineRule="auto"/>
        <w:ind w:firstLine="560" w:firstLineChars="200"/>
        <w:rPr>
          <w:rFonts w:ascii="宋体" w:hAnsi="宋体" w:cs="Arial"/>
          <w:b w:val="0"/>
          <w:sz w:val="28"/>
        </w:rPr>
      </w:pPr>
      <w:r>
        <w:rPr>
          <w:rFonts w:hint="eastAsia" w:ascii="宋体" w:hAnsi="宋体" w:cs="Arial"/>
          <w:b w:val="0"/>
          <w:sz w:val="28"/>
        </w:rPr>
        <w:t>湖南金帝烟花爆竹制造有限公司成立于</w:t>
      </w:r>
      <w:r>
        <w:rPr>
          <w:rFonts w:ascii="宋体" w:hAnsi="宋体" w:cs="Arial"/>
          <w:b w:val="0"/>
          <w:sz w:val="28"/>
        </w:rPr>
        <w:t>20</w:t>
      </w:r>
      <w:r>
        <w:rPr>
          <w:rFonts w:hint="eastAsia" w:ascii="宋体" w:hAnsi="宋体" w:cs="Arial"/>
          <w:b w:val="0"/>
          <w:sz w:val="28"/>
        </w:rPr>
        <w:t>17</w:t>
      </w:r>
      <w:r>
        <w:rPr>
          <w:rFonts w:ascii="宋体" w:hAnsi="宋体" w:cs="Arial"/>
          <w:b w:val="0"/>
          <w:sz w:val="28"/>
        </w:rPr>
        <w:t>年</w:t>
      </w:r>
      <w:r>
        <w:rPr>
          <w:rFonts w:hint="eastAsia" w:ascii="宋体" w:hAnsi="宋体" w:cs="Arial"/>
          <w:b w:val="0"/>
          <w:sz w:val="28"/>
        </w:rPr>
        <w:t>10</w:t>
      </w:r>
      <w:r>
        <w:rPr>
          <w:rFonts w:ascii="宋体" w:hAnsi="宋体" w:cs="Arial"/>
          <w:b w:val="0"/>
          <w:sz w:val="28"/>
        </w:rPr>
        <w:t>月</w:t>
      </w:r>
      <w:r>
        <w:rPr>
          <w:rFonts w:hint="eastAsia" w:ascii="宋体" w:hAnsi="宋体" w:cs="Arial"/>
          <w:b w:val="0"/>
          <w:sz w:val="28"/>
        </w:rPr>
        <w:t>，住所：醴陵市王仙镇灌冲村，公司类型：有限责任公司（自然人独资），统一社会信用代码:91430281MA4M7TAW7Y，法定代表人：唐鑫根。该企业现持有2</w:t>
      </w:r>
      <w:r>
        <w:rPr>
          <w:rFonts w:ascii="宋体" w:hAnsi="宋体" w:cs="Arial"/>
          <w:b w:val="0"/>
          <w:sz w:val="28"/>
        </w:rPr>
        <w:t>0</w:t>
      </w:r>
      <w:r>
        <w:rPr>
          <w:rFonts w:hint="eastAsia" w:ascii="宋体" w:hAnsi="宋体" w:cs="Arial"/>
          <w:b w:val="0"/>
          <w:sz w:val="28"/>
        </w:rPr>
        <w:t>24年1月24日由湖南省应急管理厅核发的烟花爆竹安全生产许可证，编号：（湘• B）YH 安许证字〔2023〕030346 号，有效期：2023 年 10 月 30 日至 2026 年 10 月 29 日，许可范围：</w:t>
      </w:r>
      <w:r>
        <w:rPr>
          <w:rFonts w:ascii="宋体" w:hAnsi="宋体" w:cs="Arial"/>
          <w:b w:val="0"/>
          <w:sz w:val="28"/>
        </w:rPr>
        <w:t>烟花类：组合烟花（C）级、升空类（旋转升空，C）级、玩具类（造型玩具，C、D）级、旋转类（无固定轴，C、D）级、吐珠类（C）级；本次仅许可主厂区（王仙镇灌冲村）：组合烟花（C）级、升空类（旋转升空，C）级、玩具类（造型玩具，C、D）级、旋转类（无固定轴，C、D）级、吐珠类（C）级。二工区安全引工区（浦口镇泮川村）不在本次许可范围内</w:t>
      </w:r>
      <w:r>
        <w:rPr>
          <w:rFonts w:hint="eastAsia" w:ascii="宋体" w:hAnsi="宋体" w:cs="Arial"/>
          <w:b w:val="0"/>
          <w:sz w:val="28"/>
        </w:rPr>
        <w:t>。</w:t>
      </w:r>
    </w:p>
    <w:p w14:paraId="28D164E2">
      <w:pPr>
        <w:adjustRightInd w:val="0"/>
        <w:snapToGrid w:val="0"/>
        <w:spacing w:line="360" w:lineRule="auto"/>
        <w:ind w:firstLine="560" w:firstLineChars="200"/>
        <w:rPr>
          <w:rFonts w:ascii="宋体" w:hAnsi="宋体" w:cs="Arial"/>
          <w:b w:val="0"/>
          <w:sz w:val="28"/>
        </w:rPr>
      </w:pPr>
      <w:r>
        <w:rPr>
          <w:rFonts w:ascii="宋体" w:hAnsi="宋体" w:cs="Arial"/>
          <w:b w:val="0"/>
          <w:sz w:val="28"/>
        </w:rPr>
        <w:t>根据《湖南省应急管理厅关于醴陵市增加黑火药供给产能的批复》（湘应急函〔2024〕33 号），湖南金帝烟花爆竹制造有限公司于 2024 年 7 月提出申请在醴陵市沩山镇泉水村新建黑火药（粒状）生产线项目，建设项目</w:t>
      </w:r>
      <w:r>
        <w:rPr>
          <w:rFonts w:hint="eastAsia" w:ascii="宋体" w:hAnsi="宋体" w:cs="Arial"/>
          <w:b w:val="0"/>
          <w:sz w:val="28"/>
        </w:rPr>
        <w:t>2024年</w:t>
      </w:r>
      <w:r>
        <w:rPr>
          <w:rFonts w:ascii="宋体" w:hAnsi="宋体" w:cs="Arial"/>
          <w:b w:val="0"/>
          <w:sz w:val="28"/>
        </w:rPr>
        <w:t>委托湖南省泰衡民用爆破工程安全设计咨询有限公司进行了安全设施设计，</w:t>
      </w:r>
      <w:r>
        <w:rPr>
          <w:rFonts w:hint="eastAsia" w:ascii="宋体" w:hAnsi="宋体" w:cs="Arial"/>
          <w:b w:val="0"/>
          <w:bCs/>
          <w:sz w:val="28"/>
        </w:rPr>
        <w:t>建设项目安全设施设计经湖南省应急管理厅组织的专家组审查通过，</w:t>
      </w:r>
      <w:r>
        <w:rPr>
          <w:rFonts w:hint="eastAsia" w:ascii="宋体" w:hAnsi="宋体" w:cs="Arial"/>
          <w:b w:val="0"/>
          <w:sz w:val="28"/>
        </w:rPr>
        <w:t>2024年11月18日</w:t>
      </w:r>
      <w:r>
        <w:rPr>
          <w:rFonts w:hint="eastAsia" w:ascii="宋体" w:hAnsi="宋体" w:cs="Arial"/>
          <w:b w:val="0"/>
          <w:bCs/>
          <w:sz w:val="28"/>
        </w:rPr>
        <w:t>由湖南省应急管理厅下发安全设施设计审查批复：湘应急许烟设审字〔2024〕第</w:t>
      </w:r>
      <w:r>
        <w:rPr>
          <w:rFonts w:ascii="宋体" w:hAnsi="宋体" w:cs="Arial"/>
          <w:b w:val="0"/>
          <w:bCs/>
          <w:sz w:val="28"/>
        </w:rPr>
        <w:t>0</w:t>
      </w:r>
      <w:r>
        <w:rPr>
          <w:rFonts w:hint="eastAsia" w:ascii="宋体" w:hAnsi="宋体" w:cs="Arial"/>
          <w:b w:val="0"/>
          <w:bCs/>
          <w:sz w:val="28"/>
        </w:rPr>
        <w:t>64号，建设工程现正建设中；</w:t>
      </w:r>
      <w:r>
        <w:rPr>
          <w:rFonts w:ascii="宋体" w:hAnsi="宋体" w:cs="Arial"/>
          <w:b w:val="0"/>
          <w:sz w:val="28"/>
        </w:rPr>
        <w:t>根据</w:t>
      </w:r>
      <w:r>
        <w:rPr>
          <w:rFonts w:hint="eastAsia" w:ascii="宋体" w:hAnsi="宋体" w:cs="Arial"/>
          <w:b w:val="0"/>
          <w:sz w:val="28"/>
        </w:rPr>
        <w:t>2024年12月27日由</w:t>
      </w:r>
      <w:r>
        <w:rPr>
          <w:rFonts w:ascii="宋体" w:hAnsi="宋体" w:cs="Arial"/>
          <w:b w:val="0"/>
          <w:sz w:val="28"/>
        </w:rPr>
        <w:t>湖南省应急管理厅下发的《湖南省应急管理厅关于同意湖南省科富花炮实业有限公司等两家企业改扩建的批复》（湘应急函〔2024〕</w:t>
      </w:r>
      <w:r>
        <w:rPr>
          <w:rFonts w:hint="eastAsia" w:ascii="宋体" w:hAnsi="宋体" w:cs="Arial"/>
          <w:b w:val="0"/>
          <w:sz w:val="28"/>
        </w:rPr>
        <w:t>30</w:t>
      </w:r>
      <w:r>
        <w:rPr>
          <w:rFonts w:ascii="宋体" w:hAnsi="宋体" w:cs="Arial"/>
          <w:b w:val="0"/>
          <w:sz w:val="28"/>
        </w:rPr>
        <w:t xml:space="preserve"> 号），同意批准湖南金帝烟花爆竹制造有限公司在原批复（湘应急函〔2024〕33 号，</w:t>
      </w:r>
      <w:r>
        <w:rPr>
          <w:rFonts w:hint="eastAsia" w:ascii="宋体" w:hAnsi="宋体" w:cs="Arial"/>
          <w:b w:val="0"/>
          <w:bCs/>
          <w:sz w:val="28"/>
        </w:rPr>
        <w:t>湘应急许烟设审字〔2024〕第</w:t>
      </w:r>
      <w:r>
        <w:rPr>
          <w:rFonts w:ascii="宋体" w:hAnsi="宋体" w:cs="Arial"/>
          <w:b w:val="0"/>
          <w:bCs/>
          <w:sz w:val="28"/>
        </w:rPr>
        <w:t>0</w:t>
      </w:r>
      <w:r>
        <w:rPr>
          <w:rFonts w:hint="eastAsia" w:ascii="宋体" w:hAnsi="宋体" w:cs="Arial"/>
          <w:b w:val="0"/>
          <w:bCs/>
          <w:sz w:val="28"/>
        </w:rPr>
        <w:t>64号</w:t>
      </w:r>
      <w:r>
        <w:rPr>
          <w:rFonts w:ascii="宋体" w:hAnsi="宋体" w:cs="Arial"/>
          <w:b w:val="0"/>
          <w:sz w:val="28"/>
        </w:rPr>
        <w:t>）基础上拟扩建</w:t>
      </w:r>
      <w:r>
        <w:rPr>
          <w:rFonts w:hint="eastAsia" w:ascii="宋体" w:hAnsi="宋体" w:cs="Arial"/>
          <w:b w:val="0"/>
          <w:sz w:val="28"/>
        </w:rPr>
        <w:t>1条黑火药（粉状）生产线，建设项目（湖南金帝烟花爆竹制造有限公司泉水工区扩建项</w:t>
      </w:r>
      <w:r>
        <w:rPr>
          <w:rFonts w:hint="eastAsia" w:ascii="宋体" w:hAnsi="宋体" w:cs="Arial"/>
          <w:b w:val="0"/>
          <w:sz w:val="28"/>
          <w:szCs w:val="28"/>
        </w:rPr>
        <w:t>目</w:t>
      </w:r>
      <w:r>
        <w:rPr>
          <w:rFonts w:hint="eastAsia" w:ascii="宋体" w:hAnsi="宋体" w:cs="Arial"/>
          <w:b w:val="0"/>
          <w:sz w:val="28"/>
        </w:rPr>
        <w:t>）</w:t>
      </w:r>
      <w:r>
        <w:rPr>
          <w:rFonts w:hint="eastAsia" w:ascii="宋体" w:hAnsi="宋体" w:cs="Arial"/>
          <w:b w:val="0"/>
          <w:sz w:val="28"/>
          <w:szCs w:val="28"/>
        </w:rPr>
        <w:t>2026年3月5日在</w:t>
      </w:r>
      <w:r>
        <w:rPr>
          <w:rFonts w:ascii="宋体" w:hAnsi="宋体" w:cs="Arial"/>
          <w:b w:val="0"/>
          <w:sz w:val="28"/>
          <w:szCs w:val="28"/>
        </w:rPr>
        <w:t>醴陵市发展和改革局登记备案：见附件《企业投资项目备案证明》（醴发改备〔202</w:t>
      </w:r>
      <w:r>
        <w:rPr>
          <w:rFonts w:hint="eastAsia" w:ascii="宋体" w:hAnsi="宋体" w:cs="Arial"/>
          <w:b w:val="0"/>
          <w:sz w:val="28"/>
          <w:szCs w:val="28"/>
        </w:rPr>
        <w:t>6</w:t>
      </w:r>
      <w:r>
        <w:rPr>
          <w:rFonts w:ascii="宋体" w:hAnsi="宋体" w:cs="Arial"/>
          <w:b w:val="0"/>
          <w:sz w:val="28"/>
          <w:szCs w:val="28"/>
        </w:rPr>
        <w:t>〕</w:t>
      </w:r>
      <w:r>
        <w:rPr>
          <w:rFonts w:hint="eastAsia" w:ascii="宋体" w:hAnsi="宋体" w:cs="Arial"/>
          <w:b w:val="0"/>
          <w:sz w:val="28"/>
        </w:rPr>
        <w:t>95</w:t>
      </w:r>
      <w:r>
        <w:rPr>
          <w:rFonts w:ascii="宋体" w:hAnsi="宋体" w:cs="Arial"/>
          <w:b w:val="0"/>
          <w:sz w:val="28"/>
        </w:rPr>
        <w:t xml:space="preserve"> 号）</w:t>
      </w:r>
      <w:r>
        <w:rPr>
          <w:rFonts w:hint="eastAsia" w:ascii="宋体" w:hAnsi="宋体" w:cs="Arial"/>
          <w:b w:val="0"/>
          <w:bCs/>
          <w:sz w:val="28"/>
        </w:rPr>
        <w:t>，项目编码：2</w:t>
      </w:r>
      <w:r>
        <w:rPr>
          <w:rFonts w:ascii="宋体" w:hAnsi="宋体" w:cs="Arial"/>
          <w:b w:val="0"/>
          <w:bCs/>
          <w:sz w:val="28"/>
        </w:rPr>
        <w:t>603-430281-04-05-410078。</w:t>
      </w:r>
    </w:p>
    <w:p w14:paraId="0417E7FB">
      <w:pPr>
        <w:adjustRightInd w:val="0"/>
        <w:snapToGrid w:val="0"/>
        <w:spacing w:line="360" w:lineRule="auto"/>
        <w:ind w:firstLine="560" w:firstLineChars="200"/>
        <w:rPr>
          <w:rFonts w:ascii="宋体" w:hAnsi="宋体" w:cs="Arial"/>
          <w:b w:val="0"/>
          <w:sz w:val="28"/>
        </w:rPr>
      </w:pPr>
      <w:r>
        <w:rPr>
          <w:rFonts w:hint="eastAsia" w:ascii="宋体" w:hAnsi="宋体" w:cs="Arial"/>
          <w:b w:val="0"/>
          <w:sz w:val="28"/>
        </w:rPr>
        <w:t>根据《建设项目安全设施“三同时”监督管理办法》（国家安全生产监督管理总局令第36号，第77号令修改）的规定，“生产经营单位新建、改扩建工程项目的安全设施必须与主体工程同时设计、同时施工、同时投入生产和使用”。因此，该项目应按照建设项目“三同时”要求履行有关审查程序。</w:t>
      </w:r>
    </w:p>
    <w:p w14:paraId="242B2C4D">
      <w:pPr>
        <w:adjustRightInd w:val="0"/>
        <w:snapToGrid w:val="0"/>
        <w:spacing w:line="360" w:lineRule="auto"/>
        <w:ind w:firstLine="560" w:firstLineChars="200"/>
        <w:rPr>
          <w:rFonts w:ascii="宋体" w:hAnsi="宋体" w:cs="Arial"/>
          <w:b w:val="0"/>
          <w:sz w:val="28"/>
        </w:rPr>
      </w:pPr>
      <w:r>
        <w:rPr>
          <w:rFonts w:ascii="宋体" w:hAnsi="宋体" w:cs="Arial"/>
          <w:b w:val="0"/>
          <w:sz w:val="28"/>
        </w:rPr>
        <w:t>根据上述规定，</w:t>
      </w:r>
      <w:r>
        <w:rPr>
          <w:rFonts w:hint="eastAsia" w:ascii="宋体" w:hAnsi="宋体" w:cs="Arial"/>
          <w:b w:val="0"/>
          <w:sz w:val="28"/>
        </w:rPr>
        <w:t>湖南金帝烟花爆竹制造有限公司（下称“该企业”）委托我</w:t>
      </w:r>
      <w:r>
        <w:rPr>
          <w:rFonts w:ascii="宋体" w:hAnsi="宋体" w:cs="Arial"/>
          <w:b w:val="0"/>
          <w:sz w:val="28"/>
        </w:rPr>
        <w:t>江西赣安安全生产科学技术咨询服务中心</w:t>
      </w:r>
      <w:r>
        <w:rPr>
          <w:rFonts w:hint="eastAsia" w:ascii="宋体" w:hAnsi="宋体" w:cs="Arial"/>
          <w:b w:val="0"/>
          <w:sz w:val="28"/>
        </w:rPr>
        <w:t>（下称“我中心”）</w:t>
      </w:r>
      <w:r>
        <w:rPr>
          <w:rFonts w:ascii="宋体" w:hAnsi="宋体" w:cs="Arial"/>
          <w:b w:val="0"/>
          <w:sz w:val="28"/>
        </w:rPr>
        <w:t>对</w:t>
      </w:r>
      <w:r>
        <w:rPr>
          <w:rFonts w:hint="eastAsia" w:ascii="宋体" w:hAnsi="宋体" w:cs="Arial"/>
          <w:b w:val="0"/>
          <w:sz w:val="28"/>
        </w:rPr>
        <w:t>该企业的泉水工区扩建项目</w:t>
      </w:r>
      <w:r>
        <w:rPr>
          <w:rFonts w:ascii="宋体" w:hAnsi="宋体" w:cs="Arial"/>
          <w:b w:val="0"/>
          <w:sz w:val="28"/>
        </w:rPr>
        <w:t>进行安全预评价。我</w:t>
      </w:r>
      <w:r>
        <w:rPr>
          <w:rFonts w:hint="eastAsia" w:ascii="宋体" w:hAnsi="宋体" w:cs="Arial"/>
          <w:b w:val="0"/>
          <w:sz w:val="28"/>
        </w:rPr>
        <w:t>中心</w:t>
      </w:r>
      <w:r>
        <w:rPr>
          <w:rFonts w:ascii="宋体" w:hAnsi="宋体" w:cs="Arial"/>
          <w:b w:val="0"/>
          <w:sz w:val="28"/>
        </w:rPr>
        <w:t>接受委托后，立即组织相关技术人员对</w:t>
      </w:r>
      <w:r>
        <w:rPr>
          <w:rFonts w:hint="eastAsia" w:ascii="宋体" w:hAnsi="宋体" w:cs="Arial"/>
          <w:b w:val="0"/>
          <w:sz w:val="28"/>
        </w:rPr>
        <w:t>湖南金帝烟花爆竹制造有限公司泉水工区扩建项目</w:t>
      </w:r>
      <w:r>
        <w:rPr>
          <w:rFonts w:ascii="宋体" w:hAnsi="宋体" w:cs="Arial"/>
          <w:b w:val="0"/>
          <w:sz w:val="28"/>
        </w:rPr>
        <w:t>相关资料进行了全面仔细的分析、研究，并根据有关规范，辨识和分析该项目存在的各种危险、有害因素，并经定性、定量分析评价，编写了《</w:t>
      </w:r>
      <w:r>
        <w:rPr>
          <w:rFonts w:hint="eastAsia" w:ascii="宋体" w:hAnsi="宋体" w:cs="Arial"/>
          <w:b w:val="0"/>
          <w:sz w:val="28"/>
        </w:rPr>
        <w:t>湖南金帝烟花爆竹制造有限公司泉水工区扩建项目</w:t>
      </w:r>
      <w:r>
        <w:rPr>
          <w:rFonts w:ascii="宋体" w:hAnsi="宋体" w:cs="Arial"/>
          <w:b w:val="0"/>
          <w:sz w:val="28"/>
        </w:rPr>
        <w:t>安全预评价报告》。</w:t>
      </w:r>
    </w:p>
    <w:p w14:paraId="274F4E94">
      <w:pPr>
        <w:adjustRightInd w:val="0"/>
        <w:snapToGrid w:val="0"/>
        <w:spacing w:line="360" w:lineRule="auto"/>
        <w:ind w:firstLine="560" w:firstLineChars="200"/>
        <w:rPr>
          <w:rFonts w:ascii="宋体" w:hAnsi="宋体" w:cs="Arial"/>
          <w:b w:val="0"/>
          <w:sz w:val="28"/>
        </w:rPr>
      </w:pPr>
      <w:r>
        <w:rPr>
          <w:rFonts w:ascii="宋体" w:hAnsi="宋体" w:cs="Arial"/>
          <w:b w:val="0"/>
          <w:sz w:val="28"/>
        </w:rPr>
        <w:t>在本次评价过程中，在现场调研、资料收集和意见沟通过程中，得到了企业领导、相关人员及设计单位的积极配合及协助，在此表示感谢！</w:t>
      </w:r>
    </w:p>
    <w:p w14:paraId="28865DFB">
      <w:pPr>
        <w:pStyle w:val="2"/>
        <w:ind w:firstLine="562"/>
      </w:pPr>
      <w:r>
        <w:br w:type="page"/>
      </w:r>
    </w:p>
    <w:p w14:paraId="45D03455">
      <w:pPr>
        <w:pStyle w:val="2"/>
        <w:ind w:firstLine="560"/>
        <w:rPr>
          <w:rFonts w:asciiTheme="minorEastAsia" w:hAnsiTheme="minorEastAsia" w:eastAsiaTheme="minorEastAsia"/>
          <w:b w:val="0"/>
          <w:bCs/>
          <w:snapToGrid w:val="0"/>
          <w:kern w:val="2"/>
          <w:szCs w:val="28"/>
        </w:rPr>
        <w:sectPr>
          <w:pgSz w:w="11906" w:h="16838"/>
          <w:pgMar w:top="1417" w:right="1417" w:bottom="1417" w:left="1417" w:header="851" w:footer="863" w:gutter="0"/>
          <w:pgBorders>
            <w:top w:val="none" w:sz="0" w:space="0"/>
            <w:left w:val="none" w:sz="0" w:space="0"/>
            <w:bottom w:val="none" w:sz="0" w:space="0"/>
            <w:right w:val="none" w:sz="0" w:space="0"/>
          </w:pgBorders>
          <w:pgNumType w:fmt="upperRoman"/>
          <w:cols w:space="720" w:num="1"/>
          <w:docGrid w:linePitch="312" w:charSpace="0"/>
        </w:sectPr>
      </w:pPr>
    </w:p>
    <w:p w14:paraId="5F748C06">
      <w:pPr>
        <w:widowControl/>
        <w:spacing w:before="120" w:beforeLines="50" w:line="360" w:lineRule="auto"/>
        <w:jc w:val="center"/>
        <w:rPr>
          <w:rFonts w:asciiTheme="minorEastAsia" w:hAnsiTheme="minorEastAsia" w:eastAsiaTheme="minorEastAsia"/>
          <w:bCs/>
          <w:sz w:val="44"/>
          <w:szCs w:val="44"/>
        </w:rPr>
      </w:pPr>
      <w:r>
        <w:rPr>
          <w:rFonts w:hint="eastAsia" w:asciiTheme="minorEastAsia" w:hAnsiTheme="minorEastAsia" w:eastAsiaTheme="minorEastAsia"/>
          <w:bCs/>
          <w:sz w:val="44"/>
          <w:szCs w:val="44"/>
        </w:rPr>
        <w:t>目 录</w:t>
      </w:r>
    </w:p>
    <w:p w14:paraId="152CB8A5">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b w:val="0"/>
          <w:bCs w:val="0"/>
          <w:caps w:val="0"/>
          <w:sz w:val="28"/>
          <w:szCs w:val="28"/>
        </w:rPr>
        <w:fldChar w:fldCharType="begin"/>
      </w:r>
      <w:r>
        <w:rPr>
          <w:rFonts w:hint="default" w:ascii="Times New Roman" w:hAnsi="Times New Roman" w:eastAsia="宋体" w:cs="Times New Roman"/>
          <w:b w:val="0"/>
          <w:bCs w:val="0"/>
          <w:caps w:val="0"/>
          <w:sz w:val="28"/>
          <w:szCs w:val="28"/>
        </w:rPr>
        <w:instrText xml:space="preserve"> TOC \o "1-2" \h \z \u </w:instrText>
      </w:r>
      <w:r>
        <w:rPr>
          <w:rFonts w:hint="default" w:ascii="Times New Roman" w:hAnsi="Times New Roman" w:eastAsia="宋体" w:cs="Times New Roman"/>
          <w:b w:val="0"/>
          <w:bCs w:val="0"/>
          <w:caps w:val="0"/>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"_Toc239191484"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第一章 安全评价概述</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_Toc239191484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FB44C15">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"_Toc239191485"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1.1安全评价目的</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_Toc239191485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72D7C008">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"_Toc239191486"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1.2编制依据</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59EEDD3A">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"_Toc239191487"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1.3预评价范围和内容</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_Toc239191487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3BA9F0AF">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"_Toc239191488"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1.4安全预评价程序</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18331A9">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"_Toc239191489"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第二章  建设项目概况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_Toc239191489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2114C9D5">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"_Toc239191490"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2.1建设单位概况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_Toc239191490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358FB504">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"_Toc239191491"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2.2建设项目概况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520281D">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"_Toc239191492"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2.3地区气象、水文、地质情况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DAFD7F9">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"_Toc239191493"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2.4企业生产工艺流程</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_Toc239191493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7DFD3376">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"_Toc239191494"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2.5原材料预计用量</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_Toc239191494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75AC250F">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"_Toc239191495"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2.6主要生产设施设备</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_Toc239191495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8169F91">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"_Toc239191496"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2.7内外部安全距离</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6F465E7">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"_Toc239191497"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2.8公用工程</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_Toc239191497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25</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28F61BCC">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"_Toc239191498"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2.9企业安全管理情况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4952287">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"_Toc239191499"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第三章 主要危险、有害因素辨识与分析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_Toc239191499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85A381B">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"_Toc239191500"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3.1危险、有害因素分析方法</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_Toc239191500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827644F">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"_Toc239191501"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3.2扩建项目可能发生的生产事故分类</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A40183E">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"_Toc239191502"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3.3主要原料、半成品、成品的危险有害因素分析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7EEF1CB">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"_Toc239191503"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3.4工艺过程危险有害因素分析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_Toc239191503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4BEC878">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"_Toc239191504"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3.5重大危险源辨识</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_Toc239191504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42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61D879F">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"_Toc239191505"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3.6主要机械设备危险有害因素分析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_Toc239191505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48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5E8CB69">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"_Toc239191506"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3.7安全距离危险有害因素分析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ED03D29">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"_Toc239191507"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3.8储运过程危险有害因素分析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_Toc239191507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35C70258">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"_Toc239191508"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3.9环境危险有害因素分析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54</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2EB1C981">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"_Toc239191509"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3.10建筑施工过程危险因素分析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_Toc239191509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758C240A">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"_Toc239191510"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3.11人员因素危险性分析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_Toc239191510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C4F8D18">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"_Toc239191511"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3.12主要危险有害因素分析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32E49621">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"_Toc239191512"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第四章 评价单元划分及评价方法的选择</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65</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660439D">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"_Toc239191513"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4.1评价单元划分</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_Toc239191513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65</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360E866C">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"_Toc239191514"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4.2评价方法的选择</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_Toc239191514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65</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647B366">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"_Toc239191515"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4.3选用的安全评价方法简介</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_Toc239191515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7BA4BE9">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"_Toc239191516"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第五章 定性定量评价</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70FF0D26">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"_Toc239191517"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5.1建设项目安全条件单元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_Toc239191517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3A84D0A">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"_Toc239191518"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5.2建设项目总体布局单元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6AA03134">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"_Toc239191519"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5.3安全设施及公用工程单元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_Toc239191519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E8C770D">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"_Toc239191520"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5.4安全管理单元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_Toc239191520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83</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DBFFB6D">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"_Toc239191521"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5.5生产过程单元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91D45F0">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"_Toc239191522"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5.6建筑施工单元</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310CAA7">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"_Toc239191523"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5.7事故后果模拟分析（定量评价）</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_Toc239191523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93</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63B2091">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"_Toc239191524"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第六章 安全对策措施建议</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_Toc239191524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101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255D217C">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"_Toc239191525"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6.1安全对策措施建议的依据</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_Toc239191525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101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00DA5E7A">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"_Toc239191526"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6.2安全对策措施建议的原则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101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54672C49">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"_Toc239191527"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6.3安全对策措施建议</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_Toc239191527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101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51ACEAE">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"_Toc239191528"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第七章 安全预评价结论</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077A634">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"_Toc239191529"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7.1主要危险、有害因素分析结果</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_Toc239191529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92FED2F">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"_Toc239191530"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7.2安全预评价结果</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_Toc239191530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126</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4EAB0B2D">
      <w:pPr>
        <w:pStyle w:val="75"/>
        <w:tabs>
          <w:tab w:val="right" w:leader="dot" w:pos="9062"/>
        </w:tabs>
        <w:spacing w:line="312" w:lineRule="auto"/>
        <w:rPr>
          <w:rFonts w:hint="default" w:ascii="Times New Roman" w:hAnsi="Times New Roman" w:eastAsia="宋体" w:cs="Times New Roman"/>
          <w:small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"_Toc239191531"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bCs/>
          <w:snapToGrid w:val="0"/>
          <w:sz w:val="28"/>
          <w:szCs w:val="28"/>
        </w:rPr>
        <w:t>7.3综合预评价结论</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_Toc239191531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2D894CB">
      <w:pPr>
        <w:pStyle w:val="60"/>
        <w:tabs>
          <w:tab w:val="right" w:leader="dot" w:pos="9062"/>
        </w:tabs>
        <w:spacing w:line="312" w:lineRule="auto"/>
        <w:rPr>
          <w:rFonts w:hint="default" w:ascii="Times New Roman" w:hAnsi="Times New Roman" w:eastAsia="宋体" w:cs="Times New Roman"/>
          <w:b w:val="0"/>
          <w:bCs w:val="0"/>
          <w:caps w:val="0"/>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"_Toc239191532" </w:instrText>
      </w:r>
      <w:r>
        <w:rPr>
          <w:rFonts w:hint="default" w:ascii="Times New Roman" w:hAnsi="Times New Roman" w:eastAsia="宋体" w:cs="Times New Roman"/>
          <w:sz w:val="28"/>
          <w:szCs w:val="28"/>
        </w:rPr>
        <w:fldChar w:fldCharType="separate"/>
      </w:r>
      <w:r>
        <w:rPr>
          <w:rStyle w:val="98"/>
          <w:rFonts w:hint="default" w:ascii="Times New Roman" w:hAnsi="Times New Roman" w:eastAsia="宋体" w:cs="Times New Roman"/>
          <w:sz w:val="28"/>
          <w:szCs w:val="28"/>
        </w:rPr>
        <w:t>附 件</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_Toc239191532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end"/>
      </w:r>
    </w:p>
    <w:p w14:paraId="19D0E240">
      <w:pPr>
        <w:spacing w:line="276" w:lineRule="auto"/>
        <w:rPr>
          <w:rFonts w:cs="Arial" w:asciiTheme="minorEastAsia" w:hAnsiTheme="minorEastAsia" w:eastAsiaTheme="minorEastAsia"/>
          <w:b w:val="0"/>
          <w:bCs/>
          <w:caps/>
          <w:sz w:val="24"/>
        </w:rPr>
      </w:pPr>
      <w:r>
        <w:rPr>
          <w:rFonts w:hint="default" w:ascii="Times New Roman" w:hAnsi="Times New Roman" w:eastAsia="宋体" w:cs="Times New Roman"/>
          <w:b w:val="0"/>
          <w:bCs/>
          <w:caps/>
          <w:sz w:val="28"/>
          <w:szCs w:val="28"/>
        </w:rPr>
        <w:fldChar w:fldCharType="end"/>
      </w:r>
    </w:p>
    <w:p w14:paraId="7D84750F"/>
    <w:p w14:paraId="5D8BA90C">
      <w:bookmarkStart w:id="584" w:name="_GoBack"/>
      <w:bookmarkEnd w:id="584"/>
    </w:p>
    <w:p w14:paraId="51E12114"/>
    <w:p w14:paraId="44BECF70"/>
    <w:p w14:paraId="6728C6FD">
      <w:pPr>
        <w:tabs>
          <w:tab w:val="left" w:pos="4030"/>
        </w:tabs>
        <w:jc w:val="left"/>
        <w:sectPr>
          <w:pgSz w:w="11906" w:h="16838"/>
          <w:pgMar w:top="1417" w:right="1417" w:bottom="1417" w:left="1417" w:header="851" w:footer="727" w:gutter="0"/>
          <w:pgBorders>
            <w:top w:val="none" w:sz="0" w:space="0"/>
            <w:left w:val="none" w:sz="0" w:space="0"/>
            <w:bottom w:val="none" w:sz="0" w:space="0"/>
            <w:right w:val="none" w:sz="0" w:space="0"/>
          </w:pgBorders>
          <w:pgNumType w:fmt="upperRoman"/>
          <w:cols w:space="720" w:num="1"/>
          <w:docGrid w:linePitch="312" w:charSpace="0"/>
        </w:sectPr>
      </w:pPr>
      <w:r>
        <w:rPr>
          <w:rFonts w:hint="eastAsia"/>
        </w:rPr>
        <w:tab/>
      </w:r>
    </w:p>
    <w:p w14:paraId="2266C6CE">
      <w:pPr>
        <w:keepNext/>
        <w:pageBreakBefore/>
        <w:widowControl/>
        <w:spacing w:before="120" w:beforeLines="50" w:line="360" w:lineRule="auto"/>
        <w:jc w:val="center"/>
        <w:outlineLvl w:val="0"/>
        <w:rPr>
          <w:rFonts w:ascii="黑体" w:hAnsi="宋体" w:eastAsia="黑体"/>
          <w:b w:val="0"/>
          <w:sz w:val="32"/>
          <w:szCs w:val="32"/>
        </w:rPr>
      </w:pPr>
      <w:bookmarkStart w:id="22" w:name="_Toc239191484"/>
      <w:r>
        <w:rPr>
          <w:rFonts w:hint="eastAsia" w:ascii="黑体" w:hAnsi="宋体" w:eastAsia="黑体"/>
          <w:b w:val="0"/>
          <w:sz w:val="32"/>
          <w:szCs w:val="32"/>
        </w:rPr>
        <w:t>第一章 安全评价概述</w:t>
      </w:r>
      <w:bookmarkEnd w:id="22"/>
    </w:p>
    <w:p w14:paraId="5BE5A014">
      <w:pPr>
        <w:keepNext/>
        <w:keepLines/>
        <w:spacing w:before="120" w:beforeLines="50" w:line="360" w:lineRule="auto"/>
        <w:outlineLvl w:val="1"/>
        <w:rPr>
          <w:rFonts w:ascii="黑体" w:hAnsi="宋体" w:eastAsia="黑体"/>
          <w:b w:val="0"/>
          <w:bCs/>
          <w:snapToGrid w:val="0"/>
          <w:sz w:val="30"/>
          <w:szCs w:val="30"/>
        </w:rPr>
      </w:pPr>
      <w:bookmarkStart w:id="23" w:name="_Toc233449758"/>
      <w:bookmarkStart w:id="24" w:name="_Toc239191485"/>
      <w:r>
        <w:rPr>
          <w:rFonts w:hint="eastAsia" w:ascii="黑体" w:hAnsi="宋体" w:eastAsia="黑体"/>
          <w:b w:val="0"/>
          <w:bCs/>
          <w:snapToGrid w:val="0"/>
          <w:sz w:val="30"/>
          <w:szCs w:val="30"/>
        </w:rPr>
        <w:t>1.1安全评价目的</w:t>
      </w:r>
      <w:bookmarkEnd w:id="23"/>
      <w:bookmarkEnd w:id="24"/>
    </w:p>
    <w:p w14:paraId="133B17E7">
      <w:pPr>
        <w:spacing w:line="360" w:lineRule="auto"/>
        <w:ind w:firstLine="560" w:firstLineChars="200"/>
        <w:rPr>
          <w:rFonts w:ascii="宋体" w:hAnsi="宋体"/>
          <w:b w:val="0"/>
          <w:snapToGrid w:val="0"/>
          <w:sz w:val="28"/>
        </w:rPr>
      </w:pPr>
      <w:r>
        <w:rPr>
          <w:rFonts w:hint="eastAsia" w:ascii="宋体" w:hAnsi="宋体"/>
          <w:b w:val="0"/>
          <w:snapToGrid w:val="0"/>
          <w:sz w:val="28"/>
        </w:rPr>
        <w:t>1）报告编制始终贯彻“安全第一、预防为主、综合治理”的安全生产方针，力促建设项目中的安全设施与主体工程同时设计、同时施工、同时投产使用，力求建设项目建成后在安全方面符合国家现行法律法规、标准与规范的规定。</w:t>
      </w:r>
    </w:p>
    <w:p w14:paraId="5D10BD53">
      <w:pPr>
        <w:spacing w:line="360" w:lineRule="auto"/>
        <w:ind w:firstLine="560" w:firstLineChars="200"/>
        <w:rPr>
          <w:rFonts w:ascii="宋体" w:hAnsi="宋体"/>
          <w:b w:val="0"/>
          <w:snapToGrid w:val="0"/>
          <w:sz w:val="28"/>
        </w:rPr>
      </w:pPr>
      <w:r>
        <w:rPr>
          <w:rFonts w:hint="eastAsia" w:ascii="宋体" w:hAnsi="宋体"/>
          <w:b w:val="0"/>
          <w:snapToGrid w:val="0"/>
          <w:sz w:val="28"/>
        </w:rPr>
        <w:t>2）对系统的危险性和危害性进行定性定量分析，确定系统的危险、有害因素及其危险、危害程度；针对主要的危险、有害因素及其产生危险、有害后果的条件提出消除、预防和降低的对策措施，为工程下一步的安全设计提供依据，以最终实现工程的本质安全化。</w:t>
      </w:r>
    </w:p>
    <w:p w14:paraId="663C1322">
      <w:pPr>
        <w:spacing w:line="360" w:lineRule="auto"/>
        <w:ind w:firstLine="560" w:firstLineChars="200"/>
        <w:rPr>
          <w:rFonts w:ascii="宋体" w:hAnsi="宋体"/>
          <w:b w:val="0"/>
          <w:snapToGrid w:val="0"/>
          <w:sz w:val="28"/>
        </w:rPr>
      </w:pPr>
      <w:r>
        <w:rPr>
          <w:rFonts w:hint="eastAsia" w:ascii="宋体" w:hAnsi="宋体"/>
          <w:b w:val="0"/>
          <w:snapToGrid w:val="0"/>
          <w:sz w:val="28"/>
        </w:rPr>
        <w:t>3）为建设单位安全管理的系统化、标准化和科学化提供条件，为建设项目投产后的安全管理提供目标和基础，为应急管理部门实施监督和管理提供技术支撑。</w:t>
      </w:r>
    </w:p>
    <w:p w14:paraId="29B6F477">
      <w:pPr>
        <w:keepNext/>
        <w:keepLines/>
        <w:spacing w:before="120" w:beforeLines="50" w:line="360" w:lineRule="auto"/>
        <w:outlineLvl w:val="1"/>
        <w:rPr>
          <w:rFonts w:ascii="黑体" w:hAnsi="宋体" w:eastAsia="黑体"/>
          <w:b w:val="0"/>
          <w:bCs/>
          <w:snapToGrid w:val="0"/>
          <w:sz w:val="30"/>
          <w:szCs w:val="30"/>
        </w:rPr>
      </w:pPr>
      <w:bookmarkStart w:id="25" w:name="_Toc239191486"/>
      <w:bookmarkStart w:id="26" w:name="_Toc233449754"/>
      <w:r>
        <w:rPr>
          <w:rFonts w:hint="eastAsia" w:ascii="黑体" w:hAnsi="宋体" w:eastAsia="黑体"/>
          <w:b w:val="0"/>
          <w:bCs/>
          <w:snapToGrid w:val="0"/>
          <w:sz w:val="30"/>
          <w:szCs w:val="30"/>
        </w:rPr>
        <w:t>1.2编制依据</w:t>
      </w:r>
      <w:bookmarkEnd w:id="25"/>
      <w:bookmarkEnd w:id="26"/>
    </w:p>
    <w:p w14:paraId="6ACD4F65">
      <w:pPr>
        <w:pStyle w:val="7"/>
        <w:rPr>
          <w:rFonts w:ascii="黑体" w:hAnsi="宋体" w:eastAsia="黑体"/>
          <w:b w:val="0"/>
          <w:bCs w:val="0"/>
          <w:snapToGrid w:val="0"/>
          <w:sz w:val="30"/>
          <w:szCs w:val="30"/>
        </w:rPr>
      </w:pPr>
      <w:bookmarkStart w:id="27" w:name="_Toc165038758"/>
      <w:r>
        <w:rPr>
          <w:rFonts w:hint="eastAsia" w:ascii="黑体" w:hAnsi="宋体" w:eastAsia="黑体"/>
          <w:b w:val="0"/>
          <w:snapToGrid w:val="0"/>
          <w:sz w:val="30"/>
          <w:szCs w:val="30"/>
        </w:rPr>
        <w:t>1.2.1依据的法律、法规、文件规定</w:t>
      </w:r>
      <w:bookmarkEnd w:id="27"/>
    </w:p>
    <w:p w14:paraId="616BD18C">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rPr>
        <w:t>1）《中华人民共和国安全生产法》（中华人民共和国主席令第七十号，2021</w:t>
      </w:r>
      <w:r>
        <w:rPr>
          <w:rFonts w:hint="eastAsia" w:ascii="宋体" w:hAnsi="宋体" w:cs="宋体"/>
          <w:b w:val="0"/>
          <w:sz w:val="28"/>
          <w:szCs w:val="22"/>
        </w:rPr>
        <w:t>第88号修正）</w:t>
      </w:r>
    </w:p>
    <w:p w14:paraId="0052CB71">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2）《中华人民共和国劳动法》（中华人民共和国主席令【1994】第二十八号）（2018年修正）</w:t>
      </w:r>
    </w:p>
    <w:p w14:paraId="035370E4">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3）《</w:t>
      </w:r>
      <w:bookmarkStart w:id="28" w:name="OLE_LINK24"/>
      <w:bookmarkStart w:id="29" w:name="OLE_LINK23"/>
      <w:r>
        <w:rPr>
          <w:rFonts w:hint="eastAsia" w:ascii="宋体" w:hAnsi="宋体" w:cs="宋体"/>
          <w:b w:val="0"/>
          <w:sz w:val="28"/>
          <w:szCs w:val="22"/>
        </w:rPr>
        <w:t>中华人民共和国消防法</w:t>
      </w:r>
      <w:bookmarkEnd w:id="28"/>
      <w:bookmarkEnd w:id="29"/>
      <w:r>
        <w:rPr>
          <w:rFonts w:hint="eastAsia" w:ascii="宋体" w:hAnsi="宋体" w:cs="宋体"/>
          <w:b w:val="0"/>
          <w:sz w:val="28"/>
          <w:szCs w:val="22"/>
        </w:rPr>
        <w:t>》（中华人民共和国主席令【2008】第六号）（2021年修正）</w:t>
      </w:r>
    </w:p>
    <w:p w14:paraId="331E8F35">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4）《</w:t>
      </w:r>
      <w:bookmarkStart w:id="30" w:name="OLE_LINK25"/>
      <w:bookmarkStart w:id="31" w:name="OLE_LINK26"/>
      <w:r>
        <w:rPr>
          <w:rFonts w:hint="eastAsia" w:ascii="宋体" w:hAnsi="宋体" w:cs="宋体"/>
          <w:b w:val="0"/>
          <w:sz w:val="28"/>
          <w:szCs w:val="22"/>
        </w:rPr>
        <w:t>中华人民共和国建筑法</w:t>
      </w:r>
      <w:bookmarkEnd w:id="30"/>
      <w:bookmarkEnd w:id="31"/>
      <w:r>
        <w:rPr>
          <w:rFonts w:hint="eastAsia" w:ascii="宋体" w:hAnsi="宋体" w:cs="宋体"/>
          <w:b w:val="0"/>
          <w:sz w:val="28"/>
          <w:szCs w:val="22"/>
        </w:rPr>
        <w:t>》（中华人民共和国主席令【2011】第四十六号）（2019年修正）</w:t>
      </w:r>
    </w:p>
    <w:p w14:paraId="3668A4D5">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5）《</w:t>
      </w:r>
      <w:bookmarkStart w:id="32" w:name="OLE_LINK27"/>
      <w:bookmarkStart w:id="33" w:name="OLE_LINK28"/>
      <w:r>
        <w:rPr>
          <w:rFonts w:hint="eastAsia" w:ascii="宋体" w:hAnsi="宋体" w:cs="宋体"/>
          <w:b w:val="0"/>
          <w:sz w:val="28"/>
          <w:szCs w:val="22"/>
        </w:rPr>
        <w:t>中华人民共和国气象法</w:t>
      </w:r>
      <w:bookmarkEnd w:id="32"/>
      <w:bookmarkEnd w:id="33"/>
      <w:r>
        <w:rPr>
          <w:rFonts w:hint="eastAsia" w:ascii="宋体" w:hAnsi="宋体" w:cs="宋体"/>
          <w:b w:val="0"/>
          <w:sz w:val="28"/>
          <w:szCs w:val="22"/>
        </w:rPr>
        <w:t>》（中华人民共和国主席令【1999】第二十三号）（2016年修正）</w:t>
      </w:r>
    </w:p>
    <w:p w14:paraId="678848FE">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szCs w:val="22"/>
        </w:rPr>
        <w:t>6）《</w:t>
      </w:r>
      <w:bookmarkStart w:id="34" w:name="OLE_LINK30"/>
      <w:bookmarkStart w:id="35" w:name="OLE_LINK29"/>
      <w:r>
        <w:rPr>
          <w:rFonts w:hint="eastAsia" w:ascii="宋体" w:hAnsi="宋体" w:cs="宋体"/>
          <w:b w:val="0"/>
          <w:sz w:val="28"/>
          <w:szCs w:val="22"/>
        </w:rPr>
        <w:t>中华人民共和国突发事件应对法</w:t>
      </w:r>
      <w:bookmarkEnd w:id="34"/>
      <w:bookmarkEnd w:id="35"/>
      <w:r>
        <w:rPr>
          <w:rFonts w:hint="eastAsia" w:ascii="宋体" w:hAnsi="宋体" w:cs="宋体"/>
          <w:b w:val="0"/>
          <w:sz w:val="28"/>
          <w:szCs w:val="22"/>
        </w:rPr>
        <w:t>》（</w:t>
      </w:r>
      <w:r>
        <w:rPr>
          <w:rFonts w:hint="eastAsia" w:ascii="宋体" w:hAnsi="宋体" w:cs="宋体"/>
          <w:b w:val="0"/>
          <w:sz w:val="28"/>
        </w:rPr>
        <w:t>2024年6月28日第十四届全国人民代表大会常务委员会第十次会议修订）</w:t>
      </w:r>
    </w:p>
    <w:p w14:paraId="7265370D">
      <w:pPr>
        <w:pStyle w:val="2"/>
        <w:ind w:firstLine="560"/>
        <w:rPr>
          <w:rFonts w:ascii="宋体" w:hAnsi="宋体" w:eastAsia="宋体" w:cs="宋体"/>
          <w:b w:val="0"/>
          <w:kern w:val="2"/>
          <w:szCs w:val="24"/>
        </w:rPr>
      </w:pPr>
      <w:r>
        <w:rPr>
          <w:rFonts w:ascii="宋体" w:hAnsi="宋体" w:eastAsia="宋体" w:cs="宋体"/>
          <w:b w:val="0"/>
          <w:kern w:val="2"/>
          <w:szCs w:val="24"/>
        </w:rPr>
        <w:t>7</w:t>
      </w:r>
      <w:r>
        <w:rPr>
          <w:rFonts w:hint="eastAsia" w:ascii="宋体" w:hAnsi="宋体" w:eastAsia="宋体" w:cs="宋体"/>
          <w:b w:val="0"/>
          <w:kern w:val="2"/>
          <w:szCs w:val="24"/>
        </w:rPr>
        <w:t>）《</w:t>
      </w:r>
      <w:bookmarkStart w:id="36" w:name="OLE_LINK31"/>
      <w:bookmarkStart w:id="37" w:name="OLE_LINK32"/>
      <w:r>
        <w:rPr>
          <w:rFonts w:hint="eastAsia" w:ascii="宋体" w:hAnsi="宋体" w:eastAsia="宋体" w:cs="宋体"/>
          <w:b w:val="0"/>
          <w:kern w:val="2"/>
          <w:szCs w:val="24"/>
        </w:rPr>
        <w:t>中华人民共和国职业病防治法</w:t>
      </w:r>
      <w:bookmarkEnd w:id="36"/>
      <w:bookmarkEnd w:id="37"/>
      <w:r>
        <w:rPr>
          <w:rFonts w:hint="eastAsia" w:ascii="宋体" w:hAnsi="宋体" w:eastAsia="宋体" w:cs="宋体"/>
          <w:b w:val="0"/>
          <w:kern w:val="2"/>
          <w:szCs w:val="24"/>
        </w:rPr>
        <w:t>》（2</w:t>
      </w:r>
      <w:r>
        <w:rPr>
          <w:rFonts w:ascii="宋体" w:hAnsi="宋体" w:eastAsia="宋体" w:cs="宋体"/>
          <w:b w:val="0"/>
          <w:kern w:val="2"/>
          <w:szCs w:val="24"/>
        </w:rPr>
        <w:t>018</w:t>
      </w:r>
      <w:r>
        <w:rPr>
          <w:rFonts w:hint="eastAsia" w:ascii="宋体" w:hAnsi="宋体" w:eastAsia="宋体" w:cs="宋体"/>
          <w:b w:val="0"/>
          <w:kern w:val="2"/>
          <w:szCs w:val="24"/>
        </w:rPr>
        <w:t>年1</w:t>
      </w:r>
      <w:r>
        <w:rPr>
          <w:rFonts w:ascii="宋体" w:hAnsi="宋体" w:eastAsia="宋体" w:cs="宋体"/>
          <w:b w:val="0"/>
          <w:kern w:val="2"/>
          <w:szCs w:val="24"/>
        </w:rPr>
        <w:t>2</w:t>
      </w:r>
      <w:r>
        <w:rPr>
          <w:rFonts w:hint="eastAsia" w:ascii="宋体" w:hAnsi="宋体" w:eastAsia="宋体" w:cs="宋体"/>
          <w:b w:val="0"/>
          <w:kern w:val="2"/>
          <w:szCs w:val="24"/>
        </w:rPr>
        <w:t>月2</w:t>
      </w:r>
      <w:r>
        <w:rPr>
          <w:rFonts w:ascii="宋体" w:hAnsi="宋体" w:eastAsia="宋体" w:cs="宋体"/>
          <w:b w:val="0"/>
          <w:kern w:val="2"/>
          <w:szCs w:val="24"/>
        </w:rPr>
        <w:t>9</w:t>
      </w:r>
      <w:r>
        <w:rPr>
          <w:rFonts w:hint="eastAsia" w:ascii="宋体" w:hAnsi="宋体" w:eastAsia="宋体" w:cs="宋体"/>
          <w:b w:val="0"/>
          <w:kern w:val="2"/>
          <w:szCs w:val="24"/>
        </w:rPr>
        <w:t>日第十三届全国人民代表大会常务委员会第七次会议修正）</w:t>
      </w:r>
    </w:p>
    <w:p w14:paraId="2FFDD473">
      <w:pPr>
        <w:pStyle w:val="2"/>
        <w:ind w:firstLine="560"/>
        <w:rPr>
          <w:rFonts w:ascii="宋体" w:hAnsi="宋体" w:eastAsia="宋体" w:cs="宋体"/>
          <w:b w:val="0"/>
          <w:kern w:val="2"/>
          <w:szCs w:val="24"/>
        </w:rPr>
      </w:pPr>
      <w:r>
        <w:rPr>
          <w:rFonts w:hint="eastAsia" w:ascii="宋体" w:hAnsi="宋体" w:eastAsia="宋体" w:cs="宋体"/>
          <w:b w:val="0"/>
          <w:kern w:val="2"/>
          <w:szCs w:val="24"/>
        </w:rPr>
        <w:t>8）《</w:t>
      </w:r>
      <w:bookmarkStart w:id="38" w:name="OLE_LINK34"/>
      <w:bookmarkStart w:id="39" w:name="OLE_LINK33"/>
      <w:r>
        <w:rPr>
          <w:rFonts w:hint="eastAsia" w:ascii="宋体" w:hAnsi="宋体" w:eastAsia="宋体" w:cs="宋体"/>
          <w:b w:val="0"/>
          <w:kern w:val="2"/>
          <w:szCs w:val="24"/>
        </w:rPr>
        <w:t>中华人民共和国城乡规划法</w:t>
      </w:r>
      <w:bookmarkEnd w:id="38"/>
      <w:bookmarkEnd w:id="39"/>
      <w:r>
        <w:rPr>
          <w:rFonts w:hint="eastAsia" w:ascii="宋体" w:hAnsi="宋体" w:eastAsia="宋体" w:cs="宋体"/>
          <w:b w:val="0"/>
          <w:kern w:val="2"/>
          <w:szCs w:val="24"/>
        </w:rPr>
        <w:t>》（2</w:t>
      </w:r>
      <w:r>
        <w:rPr>
          <w:rFonts w:ascii="宋体" w:hAnsi="宋体" w:eastAsia="宋体" w:cs="宋体"/>
          <w:b w:val="0"/>
          <w:kern w:val="2"/>
          <w:szCs w:val="24"/>
        </w:rPr>
        <w:t>019</w:t>
      </w:r>
      <w:r>
        <w:rPr>
          <w:rFonts w:hint="eastAsia" w:ascii="宋体" w:hAnsi="宋体" w:eastAsia="宋体" w:cs="宋体"/>
          <w:b w:val="0"/>
          <w:kern w:val="2"/>
          <w:szCs w:val="24"/>
        </w:rPr>
        <w:t>年4月2</w:t>
      </w:r>
      <w:r>
        <w:rPr>
          <w:rFonts w:ascii="宋体" w:hAnsi="宋体" w:eastAsia="宋体" w:cs="宋体"/>
          <w:b w:val="0"/>
          <w:kern w:val="2"/>
          <w:szCs w:val="24"/>
        </w:rPr>
        <w:t>3</w:t>
      </w:r>
      <w:r>
        <w:rPr>
          <w:rFonts w:hint="eastAsia" w:ascii="宋体" w:hAnsi="宋体" w:eastAsia="宋体" w:cs="宋体"/>
          <w:b w:val="0"/>
          <w:kern w:val="2"/>
          <w:szCs w:val="24"/>
        </w:rPr>
        <w:t>日第十三届全国人民代表大会常务委员会第十次会议修正）</w:t>
      </w:r>
    </w:p>
    <w:p w14:paraId="37CC1AD1">
      <w:pPr>
        <w:adjustRightInd w:val="0"/>
        <w:snapToGrid w:val="0"/>
        <w:spacing w:line="360" w:lineRule="auto"/>
        <w:ind w:firstLine="560" w:firstLineChars="200"/>
        <w:rPr>
          <w:rFonts w:ascii="宋体" w:hAnsi="宋体" w:cs="宋体"/>
          <w:b w:val="0"/>
          <w:sz w:val="28"/>
        </w:rPr>
      </w:pPr>
      <w:r>
        <w:rPr>
          <w:rFonts w:ascii="宋体" w:hAnsi="宋体" w:cs="宋体"/>
          <w:b w:val="0"/>
          <w:sz w:val="28"/>
        </w:rPr>
        <w:t>9</w:t>
      </w:r>
      <w:r>
        <w:rPr>
          <w:rFonts w:hint="eastAsia" w:ascii="宋体" w:hAnsi="宋体" w:cs="宋体"/>
          <w:b w:val="0"/>
          <w:sz w:val="28"/>
        </w:rPr>
        <w:t>）《</w:t>
      </w:r>
      <w:bookmarkStart w:id="40" w:name="OLE_LINK35"/>
      <w:bookmarkStart w:id="41" w:name="OLE_LINK36"/>
      <w:r>
        <w:rPr>
          <w:rFonts w:hint="eastAsia" w:ascii="宋体" w:hAnsi="宋体" w:cs="宋体"/>
          <w:b w:val="0"/>
          <w:sz w:val="28"/>
        </w:rPr>
        <w:t>烟花爆竹安全管理条例</w:t>
      </w:r>
      <w:bookmarkEnd w:id="40"/>
      <w:bookmarkEnd w:id="41"/>
      <w:r>
        <w:rPr>
          <w:rFonts w:hint="eastAsia" w:ascii="宋体" w:hAnsi="宋体" w:cs="宋体"/>
          <w:b w:val="0"/>
          <w:sz w:val="28"/>
        </w:rPr>
        <w:t>》（国务院令第455号，2016年修正）</w:t>
      </w:r>
    </w:p>
    <w:p w14:paraId="2C2D9201">
      <w:pPr>
        <w:adjustRightInd w:val="0"/>
        <w:snapToGrid w:val="0"/>
        <w:spacing w:line="360" w:lineRule="auto"/>
        <w:ind w:firstLine="560" w:firstLineChars="200"/>
        <w:rPr>
          <w:rFonts w:ascii="宋体" w:hAnsi="宋体" w:cs="宋体"/>
          <w:b w:val="0"/>
          <w:sz w:val="28"/>
        </w:rPr>
      </w:pPr>
      <w:r>
        <w:rPr>
          <w:rFonts w:ascii="宋体" w:hAnsi="宋体" w:cs="宋体"/>
          <w:b w:val="0"/>
          <w:sz w:val="28"/>
        </w:rPr>
        <w:t>10</w:t>
      </w:r>
      <w:r>
        <w:rPr>
          <w:rFonts w:hint="eastAsia" w:ascii="宋体" w:hAnsi="宋体" w:cs="宋体"/>
          <w:b w:val="0"/>
          <w:sz w:val="28"/>
        </w:rPr>
        <w:t>）《</w:t>
      </w:r>
      <w:bookmarkStart w:id="42" w:name="OLE_LINK38"/>
      <w:bookmarkStart w:id="43" w:name="OLE_LINK37"/>
      <w:r>
        <w:rPr>
          <w:rFonts w:hint="eastAsia" w:ascii="宋体" w:hAnsi="宋体" w:cs="宋体"/>
          <w:b w:val="0"/>
          <w:sz w:val="28"/>
        </w:rPr>
        <w:t>工伤保险条例</w:t>
      </w:r>
      <w:bookmarkEnd w:id="42"/>
      <w:bookmarkEnd w:id="43"/>
      <w:r>
        <w:rPr>
          <w:rFonts w:hint="eastAsia" w:ascii="宋体" w:hAnsi="宋体" w:cs="宋体"/>
          <w:b w:val="0"/>
          <w:sz w:val="28"/>
        </w:rPr>
        <w:t>》（国务院令2010第586号）</w:t>
      </w:r>
    </w:p>
    <w:p w14:paraId="6B46EE2D">
      <w:pPr>
        <w:adjustRightInd w:val="0"/>
        <w:snapToGrid w:val="0"/>
        <w:spacing w:line="360" w:lineRule="auto"/>
        <w:ind w:firstLine="560" w:firstLineChars="200"/>
        <w:rPr>
          <w:rFonts w:ascii="宋体" w:hAnsi="宋体" w:cs="宋体"/>
          <w:b w:val="0"/>
          <w:sz w:val="28"/>
        </w:rPr>
      </w:pPr>
      <w:r>
        <w:rPr>
          <w:rFonts w:ascii="宋体" w:hAnsi="宋体" w:cs="宋体"/>
          <w:b w:val="0"/>
          <w:sz w:val="28"/>
        </w:rPr>
        <w:t>11</w:t>
      </w:r>
      <w:r>
        <w:rPr>
          <w:rFonts w:hint="eastAsia" w:ascii="宋体" w:hAnsi="宋体" w:cs="宋体"/>
          <w:b w:val="0"/>
          <w:sz w:val="28"/>
        </w:rPr>
        <w:t>）《</w:t>
      </w:r>
      <w:bookmarkStart w:id="44" w:name="OLE_LINK39"/>
      <w:bookmarkStart w:id="45" w:name="OLE_LINK40"/>
      <w:r>
        <w:rPr>
          <w:rFonts w:hint="eastAsia" w:ascii="宋体" w:hAnsi="宋体" w:cs="宋体"/>
          <w:b w:val="0"/>
          <w:sz w:val="28"/>
        </w:rPr>
        <w:t>生产安全事故报告和调查处理条例</w:t>
      </w:r>
      <w:bookmarkEnd w:id="44"/>
      <w:bookmarkEnd w:id="45"/>
      <w:r>
        <w:rPr>
          <w:rFonts w:hint="eastAsia" w:ascii="宋体" w:hAnsi="宋体" w:cs="宋体"/>
          <w:b w:val="0"/>
          <w:sz w:val="28"/>
        </w:rPr>
        <w:t>》（国务院令第493号）</w:t>
      </w:r>
    </w:p>
    <w:p w14:paraId="1B2C2EEF">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1</w:t>
      </w:r>
      <w:r>
        <w:rPr>
          <w:rFonts w:ascii="宋体" w:hAnsi="宋体" w:cs="宋体"/>
          <w:b w:val="0"/>
          <w:sz w:val="28"/>
        </w:rPr>
        <w:t>2</w:t>
      </w:r>
      <w:r>
        <w:rPr>
          <w:rFonts w:hint="eastAsia" w:ascii="宋体" w:hAnsi="宋体" w:cs="宋体"/>
          <w:b w:val="0"/>
          <w:sz w:val="28"/>
        </w:rPr>
        <w:t>）《</w:t>
      </w:r>
      <w:bookmarkStart w:id="46" w:name="OLE_LINK42"/>
      <w:bookmarkStart w:id="47" w:name="OLE_LINK41"/>
      <w:r>
        <w:rPr>
          <w:rFonts w:hint="eastAsia" w:ascii="宋体" w:hAnsi="宋体" w:cs="宋体"/>
          <w:b w:val="0"/>
          <w:sz w:val="28"/>
        </w:rPr>
        <w:t>国务院关于进一步加强企业安全生产工作的通知</w:t>
      </w:r>
      <w:bookmarkEnd w:id="46"/>
      <w:bookmarkEnd w:id="47"/>
      <w:r>
        <w:rPr>
          <w:rFonts w:hint="eastAsia" w:ascii="宋体" w:hAnsi="宋体" w:cs="宋体"/>
          <w:b w:val="0"/>
          <w:sz w:val="28"/>
        </w:rPr>
        <w:t>》（国务院国发[2010]23号文）</w:t>
      </w:r>
    </w:p>
    <w:p w14:paraId="09114099">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1</w:t>
      </w:r>
      <w:r>
        <w:rPr>
          <w:rFonts w:ascii="宋体" w:hAnsi="宋体" w:cs="宋体"/>
          <w:b w:val="0"/>
          <w:sz w:val="28"/>
        </w:rPr>
        <w:t>3</w:t>
      </w:r>
      <w:r>
        <w:rPr>
          <w:rFonts w:hint="eastAsia" w:ascii="宋体" w:hAnsi="宋体" w:cs="宋体"/>
          <w:b w:val="0"/>
          <w:sz w:val="28"/>
        </w:rPr>
        <w:t>）《</w:t>
      </w:r>
      <w:bookmarkStart w:id="48" w:name="OLE_LINK43"/>
      <w:bookmarkStart w:id="49" w:name="OLE_LINK4"/>
      <w:bookmarkStart w:id="50" w:name="OLE_LINK3"/>
      <w:r>
        <w:rPr>
          <w:rFonts w:hint="eastAsia" w:ascii="宋体" w:hAnsi="宋体" w:cs="宋体"/>
          <w:b w:val="0"/>
          <w:sz w:val="28"/>
        </w:rPr>
        <w:t>生产安全事故应急条例</w:t>
      </w:r>
      <w:bookmarkEnd w:id="48"/>
      <w:bookmarkEnd w:id="49"/>
      <w:bookmarkEnd w:id="50"/>
      <w:r>
        <w:rPr>
          <w:rFonts w:hint="eastAsia" w:ascii="宋体" w:hAnsi="宋体" w:cs="宋体"/>
          <w:b w:val="0"/>
          <w:sz w:val="28"/>
        </w:rPr>
        <w:t>》（国务院令第708号）</w:t>
      </w:r>
    </w:p>
    <w:p w14:paraId="75E7E2C7">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rPr>
        <w:t>1</w:t>
      </w:r>
      <w:r>
        <w:rPr>
          <w:rFonts w:ascii="宋体" w:hAnsi="宋体" w:cs="宋体"/>
          <w:b w:val="0"/>
          <w:sz w:val="28"/>
        </w:rPr>
        <w:t>4</w:t>
      </w:r>
      <w:r>
        <w:rPr>
          <w:rFonts w:hint="eastAsia" w:ascii="宋体" w:hAnsi="宋体" w:cs="宋体"/>
          <w:b w:val="0"/>
          <w:sz w:val="28"/>
        </w:rPr>
        <w:t>）《国家安全监管总局关于废止和修改劳动防护用品和安全培训等领域十部规章</w:t>
      </w:r>
      <w:r>
        <w:rPr>
          <w:rFonts w:hint="eastAsia" w:ascii="宋体" w:hAnsi="宋体" w:cs="宋体"/>
          <w:b w:val="0"/>
          <w:sz w:val="28"/>
          <w:szCs w:val="22"/>
        </w:rPr>
        <w:t xml:space="preserve">的决定》（国家安监总局令第80号） </w:t>
      </w:r>
    </w:p>
    <w:p w14:paraId="5BF3EB25">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1</w:t>
      </w:r>
      <w:r>
        <w:rPr>
          <w:rFonts w:ascii="宋体" w:hAnsi="宋体" w:cs="宋体"/>
          <w:b w:val="0"/>
          <w:sz w:val="28"/>
          <w:szCs w:val="22"/>
        </w:rPr>
        <w:t>5</w:t>
      </w:r>
      <w:r>
        <w:rPr>
          <w:rFonts w:hint="eastAsia" w:ascii="宋体" w:hAnsi="宋体" w:cs="宋体"/>
          <w:b w:val="0"/>
          <w:sz w:val="28"/>
          <w:szCs w:val="22"/>
        </w:rPr>
        <w:t>）《</w:t>
      </w:r>
      <w:bookmarkStart w:id="51" w:name="OLE_LINK44"/>
      <w:bookmarkStart w:id="52" w:name="OLE_LINK45"/>
      <w:r>
        <w:rPr>
          <w:rFonts w:hint="eastAsia" w:ascii="宋体" w:hAnsi="宋体" w:cs="宋体"/>
          <w:b w:val="0"/>
          <w:sz w:val="28"/>
          <w:szCs w:val="22"/>
        </w:rPr>
        <w:t>安全生产事故隐患排查治理暂行规定</w:t>
      </w:r>
      <w:bookmarkEnd w:id="51"/>
      <w:bookmarkEnd w:id="52"/>
      <w:r>
        <w:rPr>
          <w:rFonts w:hint="eastAsia" w:ascii="宋体" w:hAnsi="宋体" w:cs="宋体"/>
          <w:b w:val="0"/>
          <w:sz w:val="28"/>
          <w:szCs w:val="22"/>
        </w:rPr>
        <w:t>》（原国家安监总局令第16号）</w:t>
      </w:r>
    </w:p>
    <w:p w14:paraId="3790D836">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1</w:t>
      </w:r>
      <w:r>
        <w:rPr>
          <w:rFonts w:ascii="宋体" w:hAnsi="宋体" w:cs="宋体"/>
          <w:b w:val="0"/>
          <w:sz w:val="28"/>
          <w:szCs w:val="22"/>
        </w:rPr>
        <w:t>6</w:t>
      </w:r>
      <w:r>
        <w:rPr>
          <w:rFonts w:hint="eastAsia" w:ascii="宋体" w:hAnsi="宋体" w:cs="宋体"/>
          <w:b w:val="0"/>
          <w:sz w:val="28"/>
          <w:szCs w:val="22"/>
        </w:rPr>
        <w:t>）《关于修改〈生产安全事故应急预案管理办法〉的决定》（应急管理部令第2号）</w:t>
      </w:r>
    </w:p>
    <w:p w14:paraId="4AC36D6D">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1</w:t>
      </w:r>
      <w:r>
        <w:rPr>
          <w:rFonts w:ascii="宋体" w:hAnsi="宋体" w:cs="宋体"/>
          <w:b w:val="0"/>
          <w:sz w:val="28"/>
          <w:szCs w:val="22"/>
        </w:rPr>
        <w:t>7</w:t>
      </w:r>
      <w:r>
        <w:rPr>
          <w:rFonts w:hint="eastAsia" w:ascii="宋体" w:hAnsi="宋体" w:cs="宋体"/>
          <w:b w:val="0"/>
          <w:sz w:val="28"/>
          <w:szCs w:val="22"/>
        </w:rPr>
        <w:t>）《安全生产许可证条例》（2004 年国务院令第397 号公布，[2014]第 653 号修正）</w:t>
      </w:r>
    </w:p>
    <w:p w14:paraId="4649D852">
      <w:pPr>
        <w:adjustRightInd w:val="0"/>
        <w:snapToGrid w:val="0"/>
        <w:spacing w:line="360" w:lineRule="auto"/>
        <w:ind w:firstLine="560" w:firstLineChars="200"/>
        <w:rPr>
          <w:rFonts w:ascii="宋体" w:hAnsi="宋体" w:cs="宋体"/>
          <w:b w:val="0"/>
          <w:sz w:val="28"/>
          <w:szCs w:val="22"/>
        </w:rPr>
      </w:pPr>
      <w:r>
        <w:rPr>
          <w:rFonts w:hint="eastAsia" w:ascii="宋体" w:hAnsi="宋体" w:cs="宋体"/>
          <w:b w:val="0"/>
          <w:sz w:val="28"/>
          <w:szCs w:val="22"/>
        </w:rPr>
        <w:t>1</w:t>
      </w:r>
      <w:r>
        <w:rPr>
          <w:rFonts w:ascii="宋体" w:hAnsi="宋体" w:cs="宋体"/>
          <w:b w:val="0"/>
          <w:sz w:val="28"/>
          <w:szCs w:val="22"/>
        </w:rPr>
        <w:t>8</w:t>
      </w:r>
      <w:r>
        <w:rPr>
          <w:rFonts w:hint="eastAsia" w:ascii="宋体" w:hAnsi="宋体" w:cs="宋体"/>
          <w:b w:val="0"/>
          <w:sz w:val="28"/>
          <w:szCs w:val="22"/>
        </w:rPr>
        <w:t>）《</w:t>
      </w:r>
      <w:bookmarkStart w:id="53" w:name="OLE_LINK50"/>
      <w:bookmarkStart w:id="54" w:name="OLE_LINK49"/>
      <w:r>
        <w:rPr>
          <w:rFonts w:hint="eastAsia" w:ascii="宋体" w:hAnsi="宋体" w:cs="宋体"/>
          <w:b w:val="0"/>
          <w:sz w:val="28"/>
          <w:szCs w:val="22"/>
        </w:rPr>
        <w:t>安全生产事故信息报告和处置办法</w:t>
      </w:r>
      <w:bookmarkEnd w:id="53"/>
      <w:bookmarkEnd w:id="54"/>
      <w:r>
        <w:rPr>
          <w:rFonts w:hint="eastAsia" w:ascii="宋体" w:hAnsi="宋体" w:cs="宋体"/>
          <w:b w:val="0"/>
          <w:sz w:val="28"/>
          <w:szCs w:val="22"/>
        </w:rPr>
        <w:t>》（原国家安监总局令第21号）</w:t>
      </w:r>
    </w:p>
    <w:p w14:paraId="19FCA6F2">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szCs w:val="22"/>
        </w:rPr>
        <w:t>1</w:t>
      </w:r>
      <w:r>
        <w:rPr>
          <w:rFonts w:ascii="宋体" w:hAnsi="宋体" w:cs="宋体"/>
          <w:b w:val="0"/>
          <w:sz w:val="28"/>
          <w:szCs w:val="22"/>
        </w:rPr>
        <w:t>9</w:t>
      </w:r>
      <w:r>
        <w:rPr>
          <w:rFonts w:hint="eastAsia" w:ascii="宋体" w:hAnsi="宋体" w:cs="宋体"/>
          <w:b w:val="0"/>
          <w:sz w:val="28"/>
          <w:szCs w:val="22"/>
        </w:rPr>
        <w:t>）《</w:t>
      </w:r>
      <w:bookmarkStart w:id="55" w:name="OLE_LINK51"/>
      <w:bookmarkStart w:id="56" w:name="OLE_LINK52"/>
      <w:r>
        <w:rPr>
          <w:rFonts w:hint="eastAsia" w:ascii="宋体" w:hAnsi="宋体" w:cs="宋体"/>
          <w:b w:val="0"/>
          <w:sz w:val="28"/>
          <w:szCs w:val="22"/>
        </w:rPr>
        <w:t>建设项目安全设施“三同时”监督管理办</w:t>
      </w:r>
      <w:r>
        <w:rPr>
          <w:rFonts w:hint="eastAsia" w:ascii="宋体" w:hAnsi="宋体" w:cs="宋体"/>
          <w:b w:val="0"/>
          <w:sz w:val="28"/>
        </w:rPr>
        <w:t>法</w:t>
      </w:r>
      <w:bookmarkEnd w:id="55"/>
      <w:bookmarkEnd w:id="56"/>
      <w:r>
        <w:rPr>
          <w:rFonts w:hint="eastAsia" w:ascii="宋体" w:hAnsi="宋体" w:cs="宋体"/>
          <w:b w:val="0"/>
          <w:sz w:val="28"/>
        </w:rPr>
        <w:t>》（原国家安监总局令第36号，第77号令修改）</w:t>
      </w:r>
    </w:p>
    <w:p w14:paraId="0C9D4DA3">
      <w:pPr>
        <w:adjustRightInd w:val="0"/>
        <w:snapToGrid w:val="0"/>
        <w:spacing w:line="360" w:lineRule="auto"/>
        <w:ind w:firstLine="560" w:firstLineChars="200"/>
        <w:rPr>
          <w:rFonts w:ascii="宋体" w:hAnsi="宋体" w:cs="宋体"/>
          <w:b w:val="0"/>
          <w:sz w:val="28"/>
        </w:rPr>
      </w:pPr>
      <w:r>
        <w:rPr>
          <w:rFonts w:ascii="宋体" w:hAnsi="宋体" w:cs="宋体"/>
          <w:b w:val="0"/>
          <w:sz w:val="28"/>
        </w:rPr>
        <w:t>20</w:t>
      </w:r>
      <w:r>
        <w:rPr>
          <w:rFonts w:hint="eastAsia" w:ascii="宋体" w:hAnsi="宋体" w:cs="宋体"/>
          <w:b w:val="0"/>
          <w:sz w:val="28"/>
        </w:rPr>
        <w:t>）《烟花爆竹生产企业安全生产许可证实施办法》（原国家安全生产监督管理总局令第54号）</w:t>
      </w:r>
    </w:p>
    <w:p w14:paraId="09B810C7">
      <w:pPr>
        <w:adjustRightInd w:val="0"/>
        <w:snapToGrid w:val="0"/>
        <w:spacing w:line="360" w:lineRule="auto"/>
        <w:ind w:firstLine="560" w:firstLineChars="200"/>
        <w:rPr>
          <w:rFonts w:ascii="宋体" w:hAnsi="宋体" w:cs="宋体"/>
          <w:b w:val="0"/>
          <w:sz w:val="28"/>
        </w:rPr>
      </w:pPr>
      <w:r>
        <w:rPr>
          <w:rFonts w:ascii="宋体" w:hAnsi="宋体" w:cs="宋体"/>
          <w:b w:val="0"/>
          <w:sz w:val="28"/>
        </w:rPr>
        <w:t>21</w:t>
      </w:r>
      <w:r>
        <w:rPr>
          <w:rFonts w:hint="eastAsia" w:ascii="宋体" w:hAnsi="宋体" w:cs="宋体"/>
          <w:b w:val="0"/>
          <w:sz w:val="28"/>
        </w:rPr>
        <w:t>）《</w:t>
      </w:r>
      <w:bookmarkStart w:id="57" w:name="OLE_LINK55"/>
      <w:bookmarkStart w:id="58" w:name="OLE_LINK56"/>
      <w:r>
        <w:rPr>
          <w:rFonts w:hint="eastAsia" w:ascii="宋体" w:hAnsi="宋体" w:cs="宋体"/>
          <w:b w:val="0"/>
          <w:sz w:val="28"/>
        </w:rPr>
        <w:t>特种作业人员安全技术培训考核管理规定</w:t>
      </w:r>
      <w:bookmarkEnd w:id="57"/>
      <w:bookmarkEnd w:id="58"/>
      <w:r>
        <w:rPr>
          <w:rFonts w:hint="eastAsia" w:ascii="宋体" w:hAnsi="宋体" w:cs="宋体"/>
          <w:b w:val="0"/>
          <w:sz w:val="28"/>
        </w:rPr>
        <w:t>》（</w:t>
      </w:r>
      <w:bookmarkStart w:id="59" w:name="OLE_LINK5"/>
      <w:r>
        <w:rPr>
          <w:rFonts w:hint="eastAsia" w:ascii="宋体" w:hAnsi="宋体" w:cs="宋体"/>
          <w:b w:val="0"/>
          <w:sz w:val="28"/>
        </w:rPr>
        <w:t>国家应急管理部令第1</w:t>
      </w:r>
      <w:r>
        <w:rPr>
          <w:rFonts w:ascii="宋体" w:hAnsi="宋体" w:cs="宋体"/>
          <w:b w:val="0"/>
          <w:sz w:val="28"/>
        </w:rPr>
        <w:t>9</w:t>
      </w:r>
      <w:r>
        <w:rPr>
          <w:rFonts w:hint="eastAsia" w:ascii="宋体" w:hAnsi="宋体" w:cs="宋体"/>
          <w:b w:val="0"/>
          <w:sz w:val="28"/>
        </w:rPr>
        <w:t>号，2</w:t>
      </w:r>
      <w:r>
        <w:rPr>
          <w:rFonts w:ascii="宋体" w:hAnsi="宋体" w:cs="宋体"/>
          <w:b w:val="0"/>
          <w:sz w:val="28"/>
        </w:rPr>
        <w:t>026</w:t>
      </w:r>
      <w:r>
        <w:rPr>
          <w:rFonts w:hint="eastAsia" w:ascii="宋体" w:hAnsi="宋体" w:cs="宋体"/>
          <w:b w:val="0"/>
          <w:sz w:val="28"/>
        </w:rPr>
        <w:t>年6月</w:t>
      </w:r>
      <w:r>
        <w:rPr>
          <w:rFonts w:ascii="宋体" w:hAnsi="宋体" w:cs="宋体"/>
          <w:b w:val="0"/>
          <w:sz w:val="28"/>
        </w:rPr>
        <w:t>1</w:t>
      </w:r>
      <w:r>
        <w:rPr>
          <w:rFonts w:hint="eastAsia" w:ascii="宋体" w:hAnsi="宋体" w:cs="宋体"/>
          <w:b w:val="0"/>
          <w:sz w:val="28"/>
        </w:rPr>
        <w:t>日施行</w:t>
      </w:r>
      <w:bookmarkEnd w:id="59"/>
      <w:r>
        <w:rPr>
          <w:rFonts w:hint="eastAsia" w:ascii="宋体" w:hAnsi="宋体" w:cs="宋体"/>
          <w:b w:val="0"/>
          <w:sz w:val="28"/>
        </w:rPr>
        <w:t>）</w:t>
      </w:r>
    </w:p>
    <w:p w14:paraId="75685C5C">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2</w:t>
      </w:r>
      <w:r>
        <w:rPr>
          <w:rFonts w:ascii="宋体" w:hAnsi="宋体" w:cs="宋体"/>
          <w:b w:val="0"/>
          <w:sz w:val="28"/>
        </w:rPr>
        <w:t>2</w:t>
      </w:r>
      <w:r>
        <w:rPr>
          <w:rFonts w:hint="eastAsia" w:ascii="宋体" w:hAnsi="宋体" w:cs="宋体"/>
          <w:b w:val="0"/>
          <w:sz w:val="28"/>
        </w:rPr>
        <w:t>）《</w:t>
      </w:r>
      <w:bookmarkStart w:id="60" w:name="OLE_LINK57"/>
      <w:bookmarkStart w:id="61" w:name="OLE_LINK58"/>
      <w:r>
        <w:rPr>
          <w:rFonts w:hint="eastAsia" w:ascii="宋体" w:hAnsi="宋体" w:cs="宋体"/>
          <w:b w:val="0"/>
          <w:sz w:val="28"/>
        </w:rPr>
        <w:t>安全生产培训管理办法</w:t>
      </w:r>
      <w:bookmarkEnd w:id="60"/>
      <w:bookmarkEnd w:id="61"/>
      <w:r>
        <w:rPr>
          <w:rFonts w:hint="eastAsia" w:ascii="宋体" w:hAnsi="宋体" w:cs="宋体"/>
          <w:b w:val="0"/>
          <w:sz w:val="28"/>
        </w:rPr>
        <w:t>》（原国家安监总局令第</w:t>
      </w:r>
      <w:r>
        <w:rPr>
          <w:rFonts w:ascii="宋体" w:hAnsi="宋体" w:cs="宋体"/>
          <w:b w:val="0"/>
          <w:sz w:val="28"/>
        </w:rPr>
        <w:t>80</w:t>
      </w:r>
      <w:r>
        <w:rPr>
          <w:rFonts w:hint="eastAsia" w:ascii="宋体" w:hAnsi="宋体" w:cs="宋体"/>
          <w:b w:val="0"/>
          <w:sz w:val="28"/>
        </w:rPr>
        <w:t>号第二次修正）</w:t>
      </w:r>
    </w:p>
    <w:p w14:paraId="3FAC2CDC">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2</w:t>
      </w:r>
      <w:r>
        <w:rPr>
          <w:rFonts w:ascii="宋体" w:hAnsi="宋体" w:cs="宋体"/>
          <w:b w:val="0"/>
          <w:sz w:val="28"/>
        </w:rPr>
        <w:t>3</w:t>
      </w:r>
      <w:r>
        <w:rPr>
          <w:rFonts w:hint="eastAsia" w:ascii="宋体" w:hAnsi="宋体" w:cs="宋体"/>
          <w:b w:val="0"/>
          <w:sz w:val="28"/>
        </w:rPr>
        <w:t>）《国务院关于进一步加强企业安全生产工作的通知〉的实施意见》（安委办30号）</w:t>
      </w:r>
    </w:p>
    <w:p w14:paraId="4B41BC14">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2</w:t>
      </w:r>
      <w:r>
        <w:rPr>
          <w:rFonts w:ascii="宋体" w:hAnsi="宋体" w:cs="宋体"/>
          <w:b w:val="0"/>
          <w:sz w:val="28"/>
        </w:rPr>
        <w:t>4</w:t>
      </w:r>
      <w:r>
        <w:rPr>
          <w:rFonts w:hint="eastAsia" w:ascii="宋体" w:hAnsi="宋体" w:cs="宋体"/>
          <w:b w:val="0"/>
          <w:sz w:val="28"/>
        </w:rPr>
        <w:t>）《国家安全监管总局关于修改〈生产经营单位安全培训规定〉等11件规章的决定》（国家安监总局令第63号）</w:t>
      </w:r>
    </w:p>
    <w:p w14:paraId="33D92209">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2</w:t>
      </w:r>
      <w:r>
        <w:rPr>
          <w:rFonts w:ascii="宋体" w:hAnsi="宋体" w:cs="宋体"/>
          <w:b w:val="0"/>
          <w:sz w:val="28"/>
        </w:rPr>
        <w:t>5</w:t>
      </w:r>
      <w:r>
        <w:rPr>
          <w:rFonts w:hint="eastAsia" w:ascii="宋体" w:hAnsi="宋体" w:cs="宋体"/>
          <w:b w:val="0"/>
          <w:sz w:val="28"/>
        </w:rPr>
        <w:t>）《</w:t>
      </w:r>
      <w:bookmarkStart w:id="62" w:name="OLE_LINK59"/>
      <w:bookmarkStart w:id="63" w:name="OLE_LINK60"/>
      <w:r>
        <w:rPr>
          <w:rFonts w:hint="eastAsia" w:ascii="宋体" w:hAnsi="宋体" w:cs="宋体"/>
          <w:b w:val="0"/>
          <w:sz w:val="28"/>
        </w:rPr>
        <w:t>烟花爆竹生产经营安全规定</w:t>
      </w:r>
      <w:bookmarkEnd w:id="62"/>
      <w:bookmarkEnd w:id="63"/>
      <w:r>
        <w:rPr>
          <w:rFonts w:hint="eastAsia" w:ascii="宋体" w:hAnsi="宋体" w:cs="宋体"/>
          <w:b w:val="0"/>
          <w:sz w:val="28"/>
        </w:rPr>
        <w:t>》（原国家安监总局令 第93号）</w:t>
      </w:r>
    </w:p>
    <w:p w14:paraId="2BFB73C9">
      <w:pPr>
        <w:adjustRightInd w:val="0"/>
        <w:snapToGrid w:val="0"/>
        <w:spacing w:line="360" w:lineRule="auto"/>
        <w:ind w:firstLine="560" w:firstLineChars="200"/>
        <w:rPr>
          <w:rFonts w:ascii="宋体" w:hAnsi="宋体" w:cs="宋体"/>
          <w:b w:val="0"/>
          <w:sz w:val="28"/>
        </w:rPr>
      </w:pPr>
      <w:r>
        <w:rPr>
          <w:rFonts w:hint="eastAsia" w:ascii="宋体" w:hAnsi="宋体" w:cs="宋体"/>
          <w:b w:val="0"/>
          <w:sz w:val="28"/>
        </w:rPr>
        <w:t>2</w:t>
      </w:r>
      <w:r>
        <w:rPr>
          <w:rFonts w:ascii="宋体" w:hAnsi="宋体" w:cs="宋体"/>
          <w:b w:val="0"/>
          <w:sz w:val="28"/>
        </w:rPr>
        <w:t>6</w:t>
      </w:r>
      <w:r>
        <w:rPr>
          <w:rFonts w:hint="eastAsia" w:ascii="宋体" w:hAnsi="宋体" w:cs="宋体"/>
          <w:b w:val="0"/>
          <w:sz w:val="28"/>
        </w:rPr>
        <w:t>）《烟花爆竹生产企业对标改造提升指南（试行）》（应急管理部危化监管二司2</w:t>
      </w:r>
      <w:r>
        <w:rPr>
          <w:rFonts w:ascii="宋体" w:hAnsi="宋体" w:cs="宋体"/>
          <w:b w:val="0"/>
          <w:sz w:val="28"/>
        </w:rPr>
        <w:t>022.10</w:t>
      </w:r>
      <w:r>
        <w:rPr>
          <w:rFonts w:hint="eastAsia" w:ascii="宋体" w:hAnsi="宋体" w:cs="宋体"/>
          <w:b w:val="0"/>
          <w:sz w:val="28"/>
        </w:rPr>
        <w:t>）</w:t>
      </w:r>
    </w:p>
    <w:p w14:paraId="6895A88E">
      <w:pPr>
        <w:adjustRightInd w:val="0"/>
        <w:snapToGrid w:val="0"/>
        <w:spacing w:line="360" w:lineRule="auto"/>
        <w:ind w:firstLine="560" w:firstLineChars="200"/>
        <w:rPr>
          <w:rFonts w:ascii="宋体" w:hAnsi="宋体" w:cs="宋体"/>
          <w:b w:val="0"/>
          <w:sz w:val="28"/>
        </w:rPr>
      </w:pPr>
      <w:r>
        <w:rPr>
          <w:rFonts w:ascii="宋体" w:hAnsi="宋体" w:cs="宋体"/>
          <w:b w:val="0"/>
          <w:sz w:val="28"/>
        </w:rPr>
        <w:t>27</w:t>
      </w:r>
      <w:r>
        <w:rPr>
          <w:rFonts w:hint="eastAsia" w:ascii="宋体" w:hAnsi="宋体" w:cs="宋体"/>
          <w:b w:val="0"/>
          <w:sz w:val="28"/>
        </w:rPr>
        <w:t>） 《烟花爆竹生产经营单位重大生产安全事故隐患判定标准（试行）》（安监总管三[</w:t>
      </w:r>
      <w:r>
        <w:rPr>
          <w:rFonts w:ascii="宋体" w:hAnsi="宋体" w:cs="宋体"/>
          <w:b w:val="0"/>
          <w:sz w:val="28"/>
        </w:rPr>
        <w:t>2017]121</w:t>
      </w:r>
      <w:r>
        <w:rPr>
          <w:rFonts w:hint="eastAsia" w:ascii="宋体" w:hAnsi="宋体" w:cs="宋体"/>
          <w:b w:val="0"/>
          <w:sz w:val="28"/>
        </w:rPr>
        <w:t>号）</w:t>
      </w:r>
    </w:p>
    <w:p w14:paraId="507034D0">
      <w:pPr>
        <w:adjustRightInd w:val="0"/>
        <w:snapToGrid w:val="0"/>
        <w:spacing w:line="360" w:lineRule="auto"/>
        <w:ind w:firstLine="560" w:firstLineChars="200"/>
        <w:rPr>
          <w:rFonts w:ascii="宋体" w:hAnsi="宋体" w:cs="宋体"/>
          <w:b w:val="0"/>
          <w:sz w:val="28"/>
        </w:rPr>
      </w:pPr>
      <w:r>
        <w:rPr>
          <w:rFonts w:ascii="宋体" w:hAnsi="宋体" w:cs="宋体"/>
          <w:b w:val="0"/>
          <w:sz w:val="28"/>
        </w:rPr>
        <w:t>28</w:t>
      </w:r>
      <w:r>
        <w:rPr>
          <w:rFonts w:hint="eastAsia" w:ascii="宋体" w:hAnsi="宋体" w:cs="宋体"/>
          <w:b w:val="0"/>
          <w:sz w:val="28"/>
        </w:rPr>
        <w:t>）《危险化学品重大危险源监督管理暂行规定》（安全监管总局令第4</w:t>
      </w:r>
      <w:r>
        <w:rPr>
          <w:rFonts w:ascii="宋体" w:hAnsi="宋体" w:cs="宋体"/>
          <w:b w:val="0"/>
          <w:sz w:val="28"/>
        </w:rPr>
        <w:t>0</w:t>
      </w:r>
      <w:r>
        <w:rPr>
          <w:rFonts w:hint="eastAsia" w:ascii="宋体" w:hAnsi="宋体" w:cs="宋体"/>
          <w:b w:val="0"/>
          <w:sz w:val="28"/>
        </w:rPr>
        <w:t>号）</w:t>
      </w:r>
    </w:p>
    <w:p w14:paraId="7BA6F89C">
      <w:pPr>
        <w:pStyle w:val="2"/>
        <w:ind w:firstLine="560"/>
        <w:rPr>
          <w:rFonts w:ascii="宋体" w:hAnsi="宋体" w:eastAsia="宋体" w:cs="宋体"/>
          <w:b w:val="0"/>
          <w:kern w:val="2"/>
          <w:szCs w:val="24"/>
        </w:rPr>
      </w:pPr>
      <w:r>
        <w:rPr>
          <w:rFonts w:hint="eastAsia" w:ascii="宋体" w:hAnsi="宋体" w:eastAsia="宋体" w:cs="宋体"/>
          <w:b w:val="0"/>
          <w:kern w:val="2"/>
          <w:szCs w:val="24"/>
        </w:rPr>
        <w:t>2</w:t>
      </w:r>
      <w:r>
        <w:rPr>
          <w:rFonts w:ascii="宋体" w:hAnsi="宋体" w:eastAsia="宋体" w:cs="宋体"/>
          <w:b w:val="0"/>
          <w:kern w:val="2"/>
          <w:szCs w:val="24"/>
        </w:rPr>
        <w:t>9</w:t>
      </w:r>
      <w:r>
        <w:rPr>
          <w:rFonts w:hint="eastAsia" w:ascii="宋体" w:hAnsi="宋体" w:eastAsia="宋体" w:cs="宋体"/>
          <w:b w:val="0"/>
          <w:kern w:val="2"/>
          <w:szCs w:val="24"/>
        </w:rPr>
        <w:t>）《湖南省安全生产条例》（湖南省第十三届人民代表大会常务委员会公告[2022]第97号）</w:t>
      </w:r>
    </w:p>
    <w:p w14:paraId="4F9C6BD6">
      <w:pPr>
        <w:pStyle w:val="2"/>
        <w:ind w:firstLine="560"/>
        <w:rPr>
          <w:rFonts w:ascii="宋体" w:hAnsi="宋体" w:eastAsia="宋体" w:cs="宋体"/>
          <w:b w:val="0"/>
          <w:kern w:val="2"/>
          <w:szCs w:val="24"/>
        </w:rPr>
      </w:pPr>
      <w:r>
        <w:rPr>
          <w:rFonts w:ascii="宋体" w:hAnsi="宋体" w:eastAsia="宋体" w:cs="宋体"/>
          <w:b w:val="0"/>
          <w:kern w:val="2"/>
          <w:szCs w:val="24"/>
        </w:rPr>
        <w:t>30</w:t>
      </w:r>
      <w:r>
        <w:rPr>
          <w:rFonts w:hint="eastAsia" w:ascii="宋体" w:hAnsi="宋体" w:eastAsia="宋体" w:cs="宋体"/>
          <w:b w:val="0"/>
          <w:kern w:val="2"/>
          <w:szCs w:val="24"/>
        </w:rPr>
        <w:t>）《湖南省生产经营单位安全生产主体责任规定》（2022年10月8日湖南省人民政府令第310号修改）</w:t>
      </w:r>
    </w:p>
    <w:p w14:paraId="3EE1D1A0">
      <w:pPr>
        <w:pStyle w:val="2"/>
        <w:ind w:firstLine="560"/>
        <w:rPr>
          <w:rFonts w:ascii="宋体" w:hAnsi="宋体" w:eastAsia="宋体" w:cs="宋体"/>
          <w:b w:val="0"/>
          <w:kern w:val="2"/>
          <w:szCs w:val="24"/>
        </w:rPr>
      </w:pPr>
      <w:r>
        <w:rPr>
          <w:rFonts w:ascii="宋体" w:hAnsi="宋体" w:eastAsia="宋体" w:cs="宋体"/>
          <w:b w:val="0"/>
          <w:kern w:val="2"/>
          <w:szCs w:val="24"/>
        </w:rPr>
        <w:t>31</w:t>
      </w:r>
      <w:r>
        <w:rPr>
          <w:rFonts w:hint="eastAsia" w:ascii="宋体" w:hAnsi="宋体" w:eastAsia="宋体" w:cs="宋体"/>
          <w:b w:val="0"/>
          <w:kern w:val="2"/>
          <w:szCs w:val="24"/>
        </w:rPr>
        <w:t>）《湖南省雷电灾害防御条例》（湖南省第十一届人民代表大会常务委员会公告[2008]第9号）</w:t>
      </w:r>
    </w:p>
    <w:p w14:paraId="7833BBA4">
      <w:pPr>
        <w:pStyle w:val="2"/>
        <w:ind w:firstLine="560"/>
        <w:rPr>
          <w:rFonts w:ascii="宋体" w:hAnsi="宋体" w:eastAsia="宋体" w:cs="宋体"/>
          <w:b w:val="0"/>
          <w:kern w:val="2"/>
          <w:szCs w:val="24"/>
        </w:rPr>
      </w:pPr>
      <w:r>
        <w:rPr>
          <w:rFonts w:ascii="宋体" w:hAnsi="宋体" w:eastAsia="宋体" w:cs="宋体"/>
          <w:b w:val="0"/>
          <w:kern w:val="2"/>
          <w:szCs w:val="24"/>
        </w:rPr>
        <w:t>32</w:t>
      </w:r>
      <w:r>
        <w:rPr>
          <w:rFonts w:hint="eastAsia" w:ascii="宋体" w:hAnsi="宋体" w:eastAsia="宋体" w:cs="宋体"/>
          <w:b w:val="0"/>
          <w:kern w:val="2"/>
          <w:szCs w:val="24"/>
        </w:rPr>
        <w:t>）《长沙市烟花爆竹安全生产企业与产业引导条例》（长沙市人民代表大会常务委员会公告第5号，2</w:t>
      </w:r>
      <w:r>
        <w:rPr>
          <w:rFonts w:ascii="宋体" w:hAnsi="宋体" w:eastAsia="宋体" w:cs="宋体"/>
          <w:b w:val="0"/>
          <w:kern w:val="2"/>
          <w:szCs w:val="24"/>
        </w:rPr>
        <w:t>021</w:t>
      </w:r>
      <w:r>
        <w:rPr>
          <w:rFonts w:hint="eastAsia" w:ascii="宋体" w:hAnsi="宋体" w:eastAsia="宋体" w:cs="宋体"/>
          <w:b w:val="0"/>
          <w:kern w:val="2"/>
          <w:szCs w:val="24"/>
        </w:rPr>
        <w:t>年1</w:t>
      </w:r>
      <w:r>
        <w:rPr>
          <w:rFonts w:ascii="宋体" w:hAnsi="宋体" w:eastAsia="宋体" w:cs="宋体"/>
          <w:b w:val="0"/>
          <w:kern w:val="2"/>
          <w:szCs w:val="24"/>
        </w:rPr>
        <w:t>1</w:t>
      </w:r>
      <w:r>
        <w:rPr>
          <w:rFonts w:hint="eastAsia" w:ascii="宋体" w:hAnsi="宋体" w:eastAsia="宋体" w:cs="宋体"/>
          <w:b w:val="0"/>
          <w:kern w:val="2"/>
          <w:szCs w:val="24"/>
        </w:rPr>
        <w:t>月1日实施）</w:t>
      </w:r>
    </w:p>
    <w:p w14:paraId="73B27E95">
      <w:pPr>
        <w:pStyle w:val="2"/>
        <w:ind w:firstLine="560"/>
        <w:rPr>
          <w:rFonts w:ascii="宋体" w:hAnsi="宋体" w:eastAsia="宋体" w:cs="宋体"/>
          <w:b w:val="0"/>
          <w:kern w:val="2"/>
          <w:szCs w:val="24"/>
        </w:rPr>
      </w:pPr>
      <w:r>
        <w:rPr>
          <w:rFonts w:ascii="宋体" w:hAnsi="宋体" w:eastAsia="宋体" w:cs="宋体"/>
          <w:b w:val="0"/>
          <w:kern w:val="2"/>
          <w:szCs w:val="24"/>
        </w:rPr>
        <w:t>33</w:t>
      </w:r>
      <w:r>
        <w:rPr>
          <w:rFonts w:hint="eastAsia" w:ascii="宋体" w:hAnsi="宋体" w:eastAsia="宋体" w:cs="宋体"/>
          <w:b w:val="0"/>
          <w:kern w:val="2"/>
          <w:szCs w:val="24"/>
        </w:rPr>
        <w:t>）《湖南省烟花爆竹安全生产管理若干规定》（湖南省第十四届人民代表大会常务委员会公告第8</w:t>
      </w:r>
      <w:r>
        <w:rPr>
          <w:rFonts w:ascii="宋体" w:hAnsi="宋体" w:eastAsia="宋体" w:cs="宋体"/>
          <w:b w:val="0"/>
          <w:kern w:val="2"/>
          <w:szCs w:val="24"/>
        </w:rPr>
        <w:t>3</w:t>
      </w:r>
      <w:r>
        <w:rPr>
          <w:rFonts w:hint="eastAsia" w:ascii="宋体" w:hAnsi="宋体" w:eastAsia="宋体" w:cs="宋体"/>
          <w:b w:val="0"/>
          <w:kern w:val="2"/>
          <w:szCs w:val="24"/>
        </w:rPr>
        <w:t>号，2</w:t>
      </w:r>
      <w:r>
        <w:rPr>
          <w:rFonts w:ascii="宋体" w:hAnsi="宋体" w:eastAsia="宋体" w:cs="宋体"/>
          <w:b w:val="0"/>
          <w:kern w:val="2"/>
          <w:szCs w:val="24"/>
        </w:rPr>
        <w:t>026</w:t>
      </w:r>
      <w:r>
        <w:rPr>
          <w:rFonts w:hint="eastAsia" w:ascii="宋体" w:hAnsi="宋体" w:eastAsia="宋体" w:cs="宋体"/>
          <w:b w:val="0"/>
          <w:kern w:val="2"/>
          <w:szCs w:val="24"/>
        </w:rPr>
        <w:t>年6月2</w:t>
      </w:r>
      <w:r>
        <w:rPr>
          <w:rFonts w:ascii="宋体" w:hAnsi="宋体" w:eastAsia="宋体" w:cs="宋体"/>
          <w:b w:val="0"/>
          <w:kern w:val="2"/>
          <w:szCs w:val="24"/>
        </w:rPr>
        <w:t>9</w:t>
      </w:r>
      <w:r>
        <w:rPr>
          <w:rFonts w:hint="eastAsia" w:ascii="宋体" w:hAnsi="宋体" w:eastAsia="宋体" w:cs="宋体"/>
          <w:b w:val="0"/>
          <w:kern w:val="2"/>
          <w:szCs w:val="24"/>
        </w:rPr>
        <w:t>日实施）</w:t>
      </w:r>
    </w:p>
    <w:p w14:paraId="21AF0BA6">
      <w:pPr>
        <w:pStyle w:val="7"/>
        <w:jc w:val="both"/>
        <w:rPr>
          <w:rFonts w:ascii="黑体" w:hAnsi="宋体" w:eastAsia="黑体"/>
          <w:b w:val="0"/>
          <w:bCs w:val="0"/>
          <w:snapToGrid w:val="0"/>
          <w:sz w:val="30"/>
          <w:szCs w:val="30"/>
        </w:rPr>
      </w:pPr>
      <w:bookmarkStart w:id="64" w:name="_Toc165038759"/>
      <w:r>
        <w:rPr>
          <w:rFonts w:hint="eastAsia" w:ascii="黑体" w:hAnsi="宋体" w:eastAsia="黑体"/>
          <w:b w:val="0"/>
          <w:snapToGrid w:val="0"/>
          <w:sz w:val="30"/>
          <w:szCs w:val="30"/>
        </w:rPr>
        <w:t>1.2.2依据的技术标准、规范、行业标准规定</w:t>
      </w:r>
      <w:bookmarkEnd w:id="64"/>
    </w:p>
    <w:p w14:paraId="535E99F9">
      <w:pPr>
        <w:spacing w:line="360" w:lineRule="auto"/>
        <w:ind w:firstLine="560" w:firstLineChars="200"/>
        <w:rPr>
          <w:rFonts w:ascii="宋体" w:hAnsi="宋体" w:cs="宋体"/>
          <w:b w:val="0"/>
          <w:sz w:val="28"/>
          <w:szCs w:val="28"/>
        </w:rPr>
      </w:pPr>
      <w:r>
        <w:rPr>
          <w:rFonts w:hint="eastAsia" w:ascii="宋体" w:hAnsi="宋体" w:cs="宋体"/>
          <w:b w:val="0"/>
          <w:sz w:val="28"/>
          <w:szCs w:val="28"/>
        </w:rPr>
        <w:t>1）《烟花爆竹工程设计安全标准》（GB 50161-2022）</w:t>
      </w:r>
    </w:p>
    <w:p w14:paraId="6F45C7E9">
      <w:pPr>
        <w:spacing w:line="360" w:lineRule="auto"/>
        <w:ind w:firstLine="560" w:firstLineChars="200"/>
        <w:rPr>
          <w:rFonts w:ascii="宋体" w:hAnsi="宋体" w:cs="宋体"/>
          <w:b w:val="0"/>
          <w:sz w:val="28"/>
          <w:szCs w:val="28"/>
        </w:rPr>
      </w:pPr>
      <w:r>
        <w:rPr>
          <w:rFonts w:hint="eastAsia" w:ascii="宋体" w:hAnsi="宋体" w:cs="宋体"/>
          <w:b w:val="0"/>
          <w:sz w:val="28"/>
          <w:szCs w:val="28"/>
        </w:rPr>
        <w:t>2）《烟花爆竹批发仓库建设标准》（建标125-2009）</w:t>
      </w:r>
    </w:p>
    <w:p w14:paraId="63132968">
      <w:pPr>
        <w:spacing w:line="360" w:lineRule="auto"/>
        <w:ind w:firstLine="560" w:firstLineChars="200"/>
        <w:rPr>
          <w:rFonts w:ascii="宋体" w:hAnsi="宋体" w:cs="宋体"/>
          <w:b w:val="0"/>
          <w:sz w:val="28"/>
          <w:szCs w:val="28"/>
        </w:rPr>
      </w:pPr>
      <w:r>
        <w:rPr>
          <w:rFonts w:hint="eastAsia" w:ascii="宋体" w:hAnsi="宋体" w:cs="宋体"/>
          <w:b w:val="0"/>
          <w:sz w:val="28"/>
          <w:szCs w:val="28"/>
        </w:rPr>
        <w:t>3）《烟花爆竹作业安全技术规程》（GB 11652-2012）</w:t>
      </w:r>
    </w:p>
    <w:p w14:paraId="71286D0B">
      <w:pPr>
        <w:spacing w:line="360" w:lineRule="auto"/>
        <w:ind w:firstLine="560" w:firstLineChars="200"/>
        <w:rPr>
          <w:rFonts w:ascii="宋体" w:hAnsi="宋体" w:cs="宋体"/>
          <w:b w:val="0"/>
          <w:sz w:val="28"/>
          <w:szCs w:val="28"/>
        </w:rPr>
      </w:pPr>
      <w:r>
        <w:rPr>
          <w:rFonts w:hint="eastAsia" w:ascii="宋体" w:hAnsi="宋体" w:cs="宋体"/>
          <w:b w:val="0"/>
          <w:sz w:val="28"/>
          <w:szCs w:val="28"/>
        </w:rPr>
        <w:t>4）《烟花爆竹安全与质量》（GB 10631-20</w:t>
      </w:r>
      <w:r>
        <w:rPr>
          <w:rFonts w:ascii="宋体" w:hAnsi="宋体" w:cs="宋体"/>
          <w:b w:val="0"/>
          <w:sz w:val="28"/>
          <w:szCs w:val="28"/>
        </w:rPr>
        <w:t>25</w:t>
      </w:r>
      <w:r>
        <w:rPr>
          <w:rFonts w:hint="eastAsia" w:ascii="宋体" w:hAnsi="宋体" w:cs="宋体"/>
          <w:b w:val="0"/>
          <w:sz w:val="28"/>
          <w:szCs w:val="28"/>
        </w:rPr>
        <w:t>）</w:t>
      </w:r>
    </w:p>
    <w:p w14:paraId="36EC3F46">
      <w:pPr>
        <w:spacing w:line="360" w:lineRule="auto"/>
        <w:ind w:firstLine="560" w:firstLineChars="200"/>
        <w:rPr>
          <w:rFonts w:ascii="宋体" w:hAnsi="宋体" w:cs="宋体"/>
          <w:b w:val="0"/>
          <w:sz w:val="28"/>
          <w:szCs w:val="28"/>
        </w:rPr>
      </w:pPr>
      <w:r>
        <w:rPr>
          <w:rFonts w:hint="eastAsia" w:ascii="宋体" w:hAnsi="宋体" w:cs="宋体"/>
          <w:b w:val="0"/>
          <w:sz w:val="28"/>
          <w:szCs w:val="28"/>
        </w:rPr>
        <w:t>5）《建筑设计防火规范（2018版）》（GB 50016-2014）</w:t>
      </w:r>
    </w:p>
    <w:p w14:paraId="20443912">
      <w:pPr>
        <w:spacing w:line="360" w:lineRule="auto"/>
        <w:ind w:firstLine="560" w:firstLineChars="200"/>
        <w:rPr>
          <w:rFonts w:ascii="宋体" w:hAnsi="宋体" w:cs="宋体"/>
          <w:b w:val="0"/>
          <w:sz w:val="28"/>
          <w:szCs w:val="28"/>
        </w:rPr>
      </w:pPr>
      <w:r>
        <w:rPr>
          <w:rFonts w:hint="eastAsia" w:ascii="宋体" w:hAnsi="宋体" w:cs="宋体"/>
          <w:b w:val="0"/>
          <w:sz w:val="28"/>
          <w:szCs w:val="28"/>
        </w:rPr>
        <w:t>6）《</w:t>
      </w:r>
      <w:bookmarkStart w:id="65" w:name="OLE_LINK63"/>
      <w:bookmarkStart w:id="66" w:name="OLE_LINK64"/>
      <w:r>
        <w:rPr>
          <w:rFonts w:hint="eastAsia" w:ascii="宋体" w:hAnsi="宋体" w:cs="宋体"/>
          <w:b w:val="0"/>
          <w:sz w:val="28"/>
          <w:szCs w:val="28"/>
        </w:rPr>
        <w:t>建筑防火通用规范</w:t>
      </w:r>
      <w:bookmarkEnd w:id="65"/>
      <w:bookmarkEnd w:id="66"/>
      <w:r>
        <w:rPr>
          <w:rFonts w:hint="eastAsia" w:ascii="宋体" w:hAnsi="宋体" w:cs="宋体"/>
          <w:b w:val="0"/>
          <w:sz w:val="28"/>
          <w:szCs w:val="28"/>
        </w:rPr>
        <w:t>》（GB 5</w:t>
      </w:r>
      <w:r>
        <w:rPr>
          <w:rFonts w:ascii="宋体" w:hAnsi="宋体" w:cs="宋体"/>
          <w:b w:val="0"/>
          <w:sz w:val="28"/>
          <w:szCs w:val="28"/>
        </w:rPr>
        <w:t>5</w:t>
      </w:r>
      <w:r>
        <w:rPr>
          <w:rFonts w:hint="eastAsia" w:ascii="宋体" w:hAnsi="宋体" w:cs="宋体"/>
          <w:b w:val="0"/>
          <w:sz w:val="28"/>
          <w:szCs w:val="28"/>
        </w:rPr>
        <w:t>037-2022）</w:t>
      </w:r>
    </w:p>
    <w:p w14:paraId="744E3CCE">
      <w:pPr>
        <w:spacing w:line="360" w:lineRule="auto"/>
        <w:ind w:firstLine="560" w:firstLineChars="200"/>
        <w:rPr>
          <w:rFonts w:ascii="宋体" w:hAnsi="宋体" w:cs="宋体"/>
          <w:b w:val="0"/>
          <w:sz w:val="28"/>
          <w:szCs w:val="28"/>
        </w:rPr>
      </w:pPr>
      <w:r>
        <w:rPr>
          <w:rFonts w:hint="eastAsia" w:ascii="宋体" w:hAnsi="宋体" w:cs="宋体"/>
          <w:b w:val="0"/>
          <w:sz w:val="28"/>
          <w:szCs w:val="28"/>
        </w:rPr>
        <w:t>7）《消防设施通用规范》（GB 5</w:t>
      </w:r>
      <w:r>
        <w:rPr>
          <w:rFonts w:ascii="宋体" w:hAnsi="宋体" w:cs="宋体"/>
          <w:b w:val="0"/>
          <w:sz w:val="28"/>
          <w:szCs w:val="28"/>
        </w:rPr>
        <w:t>5</w:t>
      </w:r>
      <w:r>
        <w:rPr>
          <w:rFonts w:hint="eastAsia" w:ascii="宋体" w:hAnsi="宋体" w:cs="宋体"/>
          <w:b w:val="0"/>
          <w:sz w:val="28"/>
          <w:szCs w:val="28"/>
        </w:rPr>
        <w:t>036-2022）</w:t>
      </w:r>
    </w:p>
    <w:p w14:paraId="787F9FCC">
      <w:pPr>
        <w:spacing w:line="360" w:lineRule="auto"/>
        <w:ind w:firstLine="560" w:firstLineChars="200"/>
        <w:rPr>
          <w:rFonts w:ascii="宋体" w:hAnsi="宋体" w:cs="宋体"/>
          <w:b w:val="0"/>
          <w:sz w:val="28"/>
          <w:szCs w:val="28"/>
        </w:rPr>
      </w:pPr>
      <w:r>
        <w:rPr>
          <w:rFonts w:hint="eastAsia" w:ascii="宋体" w:hAnsi="宋体" w:cs="宋体"/>
          <w:b w:val="0"/>
          <w:sz w:val="28"/>
          <w:szCs w:val="28"/>
        </w:rPr>
        <w:t>8）《</w:t>
      </w:r>
      <w:r>
        <w:fldChar w:fldCharType="begin"/>
      </w:r>
      <w:r>
        <w:instrText xml:space="preserve"> HYPERLINK "https://gf.1190119.com/list-98.htm" \t "https://gf.1190119.com/_blank" </w:instrText>
      </w:r>
      <w:r>
        <w:fldChar w:fldCharType="separate"/>
      </w:r>
      <w:r>
        <w:rPr>
          <w:rFonts w:hint="eastAsia" w:ascii="宋体" w:hAnsi="宋体" w:cs="宋体"/>
          <w:b w:val="0"/>
          <w:sz w:val="28"/>
          <w:szCs w:val="28"/>
        </w:rPr>
        <w:t>消防给水及消火栓系统技术规范》（GB50974-2014</w:t>
      </w:r>
      <w:r>
        <w:rPr>
          <w:rFonts w:ascii="宋体" w:hAnsi="宋体" w:cs="宋体"/>
          <w:b w:val="0"/>
          <w:sz w:val="28"/>
          <w:szCs w:val="28"/>
        </w:rPr>
        <w:fldChar w:fldCharType="end"/>
      </w:r>
      <w:r>
        <w:rPr>
          <w:rFonts w:hint="eastAsia" w:ascii="宋体" w:hAnsi="宋体" w:cs="宋体"/>
          <w:b w:val="0"/>
          <w:sz w:val="28"/>
          <w:szCs w:val="28"/>
        </w:rPr>
        <w:t>）</w:t>
      </w:r>
    </w:p>
    <w:p w14:paraId="532243C7">
      <w:pPr>
        <w:spacing w:line="360" w:lineRule="auto"/>
        <w:ind w:firstLine="560" w:firstLineChars="200"/>
        <w:rPr>
          <w:rFonts w:ascii="宋体" w:hAnsi="宋体" w:cs="宋体"/>
          <w:b w:val="0"/>
          <w:sz w:val="28"/>
          <w:szCs w:val="28"/>
        </w:rPr>
      </w:pPr>
      <w:r>
        <w:rPr>
          <w:rFonts w:hint="eastAsia" w:ascii="宋体" w:hAnsi="宋体" w:cs="宋体"/>
          <w:b w:val="0"/>
          <w:sz w:val="28"/>
          <w:szCs w:val="28"/>
        </w:rPr>
        <w:t>9）《建筑抗震设计标准》（GB/T50011-2010）</w:t>
      </w:r>
    </w:p>
    <w:p w14:paraId="648F0E12">
      <w:pPr>
        <w:spacing w:line="360" w:lineRule="auto"/>
        <w:ind w:firstLine="560" w:firstLineChars="200"/>
        <w:rPr>
          <w:rFonts w:ascii="宋体" w:hAnsi="宋体" w:cs="宋体"/>
          <w:b w:val="0"/>
          <w:sz w:val="28"/>
          <w:szCs w:val="28"/>
        </w:rPr>
      </w:pPr>
      <w:r>
        <w:rPr>
          <w:rFonts w:hint="eastAsia" w:ascii="宋体" w:hAnsi="宋体" w:cs="宋体"/>
          <w:b w:val="0"/>
          <w:sz w:val="28"/>
          <w:szCs w:val="28"/>
        </w:rPr>
        <w:t>10）《建筑物防雷设计规范》（GB 50057-2010）</w:t>
      </w:r>
    </w:p>
    <w:p w14:paraId="5F1BAE24">
      <w:pPr>
        <w:spacing w:line="360" w:lineRule="auto"/>
        <w:ind w:firstLine="560" w:firstLineChars="200"/>
        <w:rPr>
          <w:rFonts w:ascii="宋体" w:hAnsi="宋体" w:cs="宋体"/>
          <w:b w:val="0"/>
          <w:sz w:val="28"/>
          <w:szCs w:val="28"/>
        </w:rPr>
      </w:pPr>
      <w:r>
        <w:rPr>
          <w:rFonts w:hint="eastAsia" w:ascii="宋体" w:hAnsi="宋体" w:cs="宋体"/>
          <w:b w:val="0"/>
          <w:sz w:val="28"/>
          <w:szCs w:val="28"/>
        </w:rPr>
        <w:t>11）《低压配电设计规范》（GB 50054-2011）</w:t>
      </w:r>
    </w:p>
    <w:p w14:paraId="43F4809B">
      <w:pPr>
        <w:spacing w:line="360" w:lineRule="auto"/>
        <w:ind w:firstLine="560" w:firstLineChars="200"/>
        <w:rPr>
          <w:rFonts w:ascii="宋体" w:hAnsi="宋体" w:cs="宋体"/>
          <w:b w:val="0"/>
          <w:sz w:val="28"/>
          <w:szCs w:val="28"/>
        </w:rPr>
      </w:pPr>
      <w:r>
        <w:rPr>
          <w:rFonts w:hint="eastAsia" w:ascii="宋体" w:hAnsi="宋体" w:cs="宋体"/>
          <w:b w:val="0"/>
          <w:sz w:val="28"/>
          <w:szCs w:val="28"/>
        </w:rPr>
        <w:t>12）《</w:t>
      </w:r>
      <w:bookmarkStart w:id="67" w:name="OLE_LINK65"/>
      <w:bookmarkStart w:id="68" w:name="OLE_LINK66"/>
      <w:r>
        <w:rPr>
          <w:rFonts w:hint="eastAsia" w:ascii="宋体" w:hAnsi="宋体" w:cs="宋体"/>
          <w:b w:val="0"/>
          <w:sz w:val="28"/>
          <w:szCs w:val="28"/>
        </w:rPr>
        <w:t>安全色和安全标志</w:t>
      </w:r>
      <w:bookmarkEnd w:id="67"/>
      <w:bookmarkEnd w:id="68"/>
      <w:r>
        <w:rPr>
          <w:rFonts w:hint="eastAsia" w:ascii="宋体" w:hAnsi="宋体" w:cs="宋体"/>
          <w:b w:val="0"/>
          <w:sz w:val="28"/>
          <w:szCs w:val="28"/>
        </w:rPr>
        <w:t>》（GB 2894-</w:t>
      </w:r>
      <w:r>
        <w:rPr>
          <w:rFonts w:ascii="宋体" w:hAnsi="宋体" w:cs="宋体"/>
          <w:b w:val="0"/>
          <w:sz w:val="28"/>
          <w:szCs w:val="28"/>
        </w:rPr>
        <w:t>2025</w:t>
      </w:r>
      <w:r>
        <w:rPr>
          <w:rFonts w:hint="eastAsia" w:ascii="宋体" w:hAnsi="宋体" w:cs="宋体"/>
          <w:b w:val="0"/>
          <w:sz w:val="28"/>
          <w:szCs w:val="28"/>
        </w:rPr>
        <w:t>）</w:t>
      </w:r>
    </w:p>
    <w:p w14:paraId="15F698DF">
      <w:pPr>
        <w:spacing w:line="360" w:lineRule="auto"/>
        <w:ind w:firstLine="560" w:firstLineChars="200"/>
        <w:rPr>
          <w:rFonts w:ascii="宋体" w:hAnsi="宋体" w:cs="宋体"/>
          <w:b w:val="0"/>
          <w:sz w:val="28"/>
          <w:szCs w:val="28"/>
        </w:rPr>
      </w:pPr>
      <w:r>
        <w:rPr>
          <w:rFonts w:hint="eastAsia" w:ascii="宋体" w:hAnsi="宋体" w:cs="宋体"/>
          <w:b w:val="0"/>
          <w:sz w:val="28"/>
          <w:szCs w:val="28"/>
        </w:rPr>
        <w:t>13）</w:t>
      </w:r>
      <w:bookmarkStart w:id="69" w:name="_Hlk237445702"/>
      <w:r>
        <w:rPr>
          <w:rFonts w:hint="eastAsia" w:ascii="宋体" w:hAnsi="宋体" w:cs="宋体"/>
          <w:b w:val="0"/>
          <w:sz w:val="28"/>
          <w:szCs w:val="28"/>
        </w:rPr>
        <w:t>《生产安全事故分类与编码》（GB 6441-</w:t>
      </w:r>
      <w:r>
        <w:rPr>
          <w:rFonts w:ascii="宋体" w:hAnsi="宋体" w:cs="宋体"/>
          <w:b w:val="0"/>
          <w:sz w:val="28"/>
          <w:szCs w:val="28"/>
        </w:rPr>
        <w:t>2025</w:t>
      </w:r>
      <w:bookmarkEnd w:id="69"/>
      <w:r>
        <w:rPr>
          <w:rFonts w:hint="eastAsia" w:ascii="宋体" w:hAnsi="宋体" w:cs="宋体"/>
          <w:b w:val="0"/>
          <w:sz w:val="28"/>
          <w:szCs w:val="28"/>
        </w:rPr>
        <w:t>）</w:t>
      </w:r>
    </w:p>
    <w:p w14:paraId="30535F55">
      <w:pPr>
        <w:spacing w:line="360" w:lineRule="auto"/>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4</w:t>
      </w:r>
      <w:r>
        <w:rPr>
          <w:rFonts w:hint="eastAsia" w:ascii="宋体" w:hAnsi="宋体" w:cs="宋体"/>
          <w:b w:val="0"/>
          <w:sz w:val="28"/>
          <w:szCs w:val="28"/>
        </w:rPr>
        <w:t>）《供配电系统设计规范》（GB 50052-2009）</w:t>
      </w:r>
    </w:p>
    <w:p w14:paraId="097CFBD3">
      <w:pPr>
        <w:spacing w:line="360" w:lineRule="auto"/>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5</w:t>
      </w:r>
      <w:r>
        <w:rPr>
          <w:rFonts w:hint="eastAsia" w:ascii="宋体" w:hAnsi="宋体" w:cs="宋体"/>
          <w:b w:val="0"/>
          <w:sz w:val="28"/>
          <w:szCs w:val="28"/>
        </w:rPr>
        <w:t>）《爆炸危险环境电力装置设计规范》（GB 50058-2014）</w:t>
      </w:r>
    </w:p>
    <w:p w14:paraId="1AD58D1F">
      <w:pPr>
        <w:spacing w:line="360" w:lineRule="auto"/>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6</w:t>
      </w:r>
      <w:r>
        <w:rPr>
          <w:rFonts w:hint="eastAsia" w:ascii="宋体" w:hAnsi="宋体" w:cs="宋体"/>
          <w:b w:val="0"/>
          <w:sz w:val="28"/>
          <w:szCs w:val="28"/>
        </w:rPr>
        <w:t>）《生产经营单位生产安全事故应急预案编制导则》（GB/T 29639-2020）</w:t>
      </w:r>
    </w:p>
    <w:p w14:paraId="0D938BF9">
      <w:pPr>
        <w:spacing w:line="360" w:lineRule="auto"/>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7</w:t>
      </w:r>
      <w:r>
        <w:rPr>
          <w:rFonts w:hint="eastAsia" w:ascii="宋体" w:hAnsi="宋体" w:cs="宋体"/>
          <w:b w:val="0"/>
          <w:sz w:val="28"/>
          <w:szCs w:val="28"/>
        </w:rPr>
        <w:t>）《</w:t>
      </w:r>
      <w:bookmarkStart w:id="70" w:name="OLE_LINK70"/>
      <w:bookmarkStart w:id="71" w:name="OLE_LINK69"/>
      <w:r>
        <w:rPr>
          <w:rFonts w:hint="eastAsia" w:ascii="宋体" w:hAnsi="宋体" w:cs="宋体"/>
          <w:b w:val="0"/>
          <w:sz w:val="28"/>
          <w:szCs w:val="28"/>
        </w:rPr>
        <w:t>生产过程危险和有害因素分类与代码</w:t>
      </w:r>
      <w:bookmarkEnd w:id="70"/>
      <w:bookmarkEnd w:id="71"/>
      <w:r>
        <w:rPr>
          <w:rFonts w:hint="eastAsia" w:ascii="宋体" w:hAnsi="宋体" w:cs="宋体"/>
          <w:b w:val="0"/>
          <w:sz w:val="28"/>
          <w:szCs w:val="28"/>
        </w:rPr>
        <w:t>》（GB/T 13861-2022）</w:t>
      </w:r>
    </w:p>
    <w:p w14:paraId="706D7B4A">
      <w:pPr>
        <w:spacing w:line="360" w:lineRule="auto"/>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8</w:t>
      </w:r>
      <w:r>
        <w:rPr>
          <w:rFonts w:hint="eastAsia" w:ascii="宋体" w:hAnsi="宋体" w:cs="宋体"/>
          <w:b w:val="0"/>
          <w:sz w:val="28"/>
          <w:szCs w:val="28"/>
        </w:rPr>
        <w:t>）《</w:t>
      </w:r>
      <w:bookmarkStart w:id="72" w:name="OLE_LINK71"/>
      <w:bookmarkStart w:id="73" w:name="OLE_LINK72"/>
      <w:r>
        <w:rPr>
          <w:rFonts w:hint="eastAsia" w:ascii="宋体" w:hAnsi="宋体" w:cs="宋体"/>
          <w:b w:val="0"/>
          <w:sz w:val="28"/>
          <w:szCs w:val="28"/>
        </w:rPr>
        <w:t>烟花爆竹企业安全监控系统通用技术条件</w:t>
      </w:r>
      <w:bookmarkEnd w:id="72"/>
      <w:bookmarkEnd w:id="73"/>
      <w:r>
        <w:rPr>
          <w:rFonts w:hint="eastAsia" w:ascii="宋体" w:hAnsi="宋体" w:cs="宋体"/>
          <w:b w:val="0"/>
          <w:sz w:val="28"/>
          <w:szCs w:val="28"/>
        </w:rPr>
        <w:t>》（AQ 4101-2008）</w:t>
      </w:r>
    </w:p>
    <w:p w14:paraId="331FA9B0">
      <w:pPr>
        <w:spacing w:line="360" w:lineRule="auto"/>
        <w:ind w:firstLine="560" w:firstLineChars="200"/>
        <w:rPr>
          <w:rFonts w:ascii="宋体" w:hAnsi="宋体" w:cs="宋体"/>
          <w:b w:val="0"/>
          <w:sz w:val="28"/>
          <w:szCs w:val="28"/>
        </w:rPr>
      </w:pPr>
      <w:r>
        <w:rPr>
          <w:rFonts w:ascii="宋体" w:hAnsi="宋体" w:cs="宋体"/>
          <w:b w:val="0"/>
          <w:sz w:val="28"/>
          <w:szCs w:val="28"/>
        </w:rPr>
        <w:t>19</w:t>
      </w:r>
      <w:r>
        <w:rPr>
          <w:rFonts w:hint="eastAsia" w:ascii="宋体" w:hAnsi="宋体" w:cs="宋体"/>
          <w:b w:val="0"/>
          <w:sz w:val="28"/>
          <w:szCs w:val="28"/>
        </w:rPr>
        <w:t>）《烟花爆竹重大危险源辨识》（AQ 4131-2023）</w:t>
      </w:r>
    </w:p>
    <w:p w14:paraId="60BD9CAD">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0</w:t>
      </w:r>
      <w:r>
        <w:rPr>
          <w:rFonts w:hint="eastAsia" w:ascii="宋体" w:hAnsi="宋体" w:cs="宋体"/>
          <w:b w:val="0"/>
          <w:sz w:val="28"/>
          <w:szCs w:val="28"/>
        </w:rPr>
        <w:t>）《烟花爆竹防止静电危害技术规范》（AQ 4115-20</w:t>
      </w:r>
      <w:r>
        <w:rPr>
          <w:rFonts w:ascii="宋体" w:hAnsi="宋体" w:cs="宋体"/>
          <w:b w:val="0"/>
          <w:sz w:val="28"/>
          <w:szCs w:val="28"/>
        </w:rPr>
        <w:t>25</w:t>
      </w:r>
      <w:r>
        <w:rPr>
          <w:rFonts w:hint="eastAsia" w:ascii="宋体" w:hAnsi="宋体" w:cs="宋体"/>
          <w:b w:val="0"/>
          <w:sz w:val="28"/>
          <w:szCs w:val="28"/>
        </w:rPr>
        <w:t>）</w:t>
      </w:r>
    </w:p>
    <w:p w14:paraId="65308D96">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1</w:t>
      </w:r>
      <w:r>
        <w:rPr>
          <w:rFonts w:hint="eastAsia" w:ascii="宋体" w:hAnsi="宋体" w:cs="宋体"/>
          <w:b w:val="0"/>
          <w:sz w:val="28"/>
          <w:szCs w:val="28"/>
        </w:rPr>
        <w:t>）《防止静电事故通用要求》（G</w:t>
      </w:r>
      <w:r>
        <w:rPr>
          <w:rFonts w:ascii="宋体" w:hAnsi="宋体" w:cs="宋体"/>
          <w:b w:val="0"/>
          <w:sz w:val="28"/>
          <w:szCs w:val="28"/>
        </w:rPr>
        <w:t>B 12158-2024</w:t>
      </w:r>
      <w:r>
        <w:rPr>
          <w:rFonts w:hint="eastAsia" w:ascii="宋体" w:hAnsi="宋体" w:cs="宋体"/>
          <w:b w:val="0"/>
          <w:sz w:val="28"/>
          <w:szCs w:val="28"/>
        </w:rPr>
        <w:t>）</w:t>
      </w:r>
    </w:p>
    <w:p w14:paraId="12B48D2F">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2</w:t>
      </w:r>
      <w:r>
        <w:rPr>
          <w:rFonts w:hint="eastAsia" w:ascii="宋体" w:hAnsi="宋体" w:cs="宋体"/>
          <w:b w:val="0"/>
          <w:sz w:val="28"/>
          <w:szCs w:val="28"/>
        </w:rPr>
        <w:t>）《安全评价通则》（AQ 8001-2007）</w:t>
      </w:r>
    </w:p>
    <w:p w14:paraId="339907CF">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3</w:t>
      </w:r>
      <w:r>
        <w:rPr>
          <w:rFonts w:hint="eastAsia" w:ascii="宋体" w:hAnsi="宋体" w:cs="宋体"/>
          <w:b w:val="0"/>
          <w:sz w:val="28"/>
          <w:szCs w:val="28"/>
        </w:rPr>
        <w:t>）《安全预评价导则》（AQ 8002-2007）</w:t>
      </w:r>
    </w:p>
    <w:p w14:paraId="10CD71D6">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4</w:t>
      </w:r>
      <w:r>
        <w:rPr>
          <w:rFonts w:hint="eastAsia" w:ascii="宋体" w:hAnsi="宋体" w:cs="宋体"/>
          <w:b w:val="0"/>
          <w:sz w:val="28"/>
          <w:szCs w:val="28"/>
        </w:rPr>
        <w:t>）《</w:t>
      </w:r>
      <w:bookmarkStart w:id="74" w:name="OLE_LINK74"/>
      <w:bookmarkStart w:id="75" w:name="OLE_LINK73"/>
      <w:r>
        <w:rPr>
          <w:rFonts w:hint="eastAsia" w:ascii="宋体" w:hAnsi="宋体" w:cs="宋体"/>
          <w:b w:val="0"/>
          <w:sz w:val="28"/>
          <w:szCs w:val="28"/>
        </w:rPr>
        <w:t>烟花爆竹安全生产标志</w:t>
      </w:r>
      <w:bookmarkEnd w:id="74"/>
      <w:bookmarkEnd w:id="75"/>
      <w:r>
        <w:rPr>
          <w:rFonts w:hint="eastAsia" w:ascii="宋体" w:hAnsi="宋体" w:cs="宋体"/>
          <w:b w:val="0"/>
          <w:sz w:val="28"/>
          <w:szCs w:val="28"/>
        </w:rPr>
        <w:t>》（AQ 4114-2011）</w:t>
      </w:r>
    </w:p>
    <w:p w14:paraId="3494C5DB">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5</w:t>
      </w:r>
      <w:r>
        <w:rPr>
          <w:rFonts w:hint="eastAsia" w:ascii="宋体" w:hAnsi="宋体" w:cs="宋体"/>
          <w:b w:val="0"/>
          <w:sz w:val="28"/>
          <w:szCs w:val="28"/>
        </w:rPr>
        <w:t>）《</w:t>
      </w:r>
      <w:bookmarkStart w:id="76" w:name="OLE_LINK75"/>
      <w:bookmarkStart w:id="77" w:name="OLE_LINK76"/>
      <w:r>
        <w:rPr>
          <w:rFonts w:hint="eastAsia" w:ascii="宋体" w:hAnsi="宋体" w:cs="宋体"/>
          <w:b w:val="0"/>
          <w:sz w:val="28"/>
          <w:szCs w:val="28"/>
        </w:rPr>
        <w:t>烟花爆竹流向登记通用规范</w:t>
      </w:r>
      <w:bookmarkEnd w:id="76"/>
      <w:bookmarkEnd w:id="77"/>
      <w:r>
        <w:rPr>
          <w:rFonts w:hint="eastAsia" w:ascii="宋体" w:hAnsi="宋体" w:cs="宋体"/>
          <w:b w:val="0"/>
          <w:sz w:val="28"/>
          <w:szCs w:val="28"/>
        </w:rPr>
        <w:t>》（AQ 4102-20</w:t>
      </w:r>
      <w:r>
        <w:rPr>
          <w:rFonts w:ascii="宋体" w:hAnsi="宋体" w:cs="宋体"/>
          <w:b w:val="0"/>
          <w:sz w:val="28"/>
          <w:szCs w:val="28"/>
        </w:rPr>
        <w:t>26</w:t>
      </w:r>
      <w:r>
        <w:rPr>
          <w:rFonts w:hint="eastAsia" w:ascii="宋体" w:hAnsi="宋体" w:cs="宋体"/>
          <w:b w:val="0"/>
          <w:sz w:val="28"/>
          <w:szCs w:val="28"/>
        </w:rPr>
        <w:t>）</w:t>
      </w:r>
    </w:p>
    <w:p w14:paraId="4A77355B">
      <w:pPr>
        <w:spacing w:line="360" w:lineRule="auto"/>
        <w:ind w:firstLine="560" w:firstLineChars="200"/>
        <w:rPr>
          <w:rFonts w:ascii="宋体" w:hAnsi="宋体" w:cs="宋体"/>
          <w:b w:val="0"/>
          <w:sz w:val="28"/>
          <w:szCs w:val="28"/>
        </w:rPr>
      </w:pPr>
      <w:r>
        <w:rPr>
          <w:rFonts w:hint="eastAsia" w:ascii="宋体" w:hAnsi="宋体" w:cs="宋体"/>
          <w:b w:val="0"/>
          <w:sz w:val="28"/>
          <w:szCs w:val="28"/>
        </w:rPr>
        <w:t>2</w:t>
      </w:r>
      <w:r>
        <w:rPr>
          <w:rFonts w:ascii="宋体" w:hAnsi="宋体" w:cs="宋体"/>
          <w:b w:val="0"/>
          <w:sz w:val="28"/>
          <w:szCs w:val="28"/>
        </w:rPr>
        <w:t>6</w:t>
      </w:r>
      <w:r>
        <w:rPr>
          <w:rFonts w:hint="eastAsia" w:ascii="宋体" w:hAnsi="宋体" w:cs="宋体"/>
          <w:b w:val="0"/>
          <w:sz w:val="28"/>
          <w:szCs w:val="28"/>
        </w:rPr>
        <w:t>） 《</w:t>
      </w:r>
      <w:bookmarkStart w:id="78" w:name="OLE_LINK77"/>
      <w:bookmarkStart w:id="79" w:name="OLE_LINK78"/>
      <w:r>
        <w:rPr>
          <w:rFonts w:hint="eastAsia" w:ascii="宋体" w:hAnsi="宋体" w:cs="宋体"/>
          <w:b w:val="0"/>
          <w:sz w:val="28"/>
          <w:szCs w:val="28"/>
        </w:rPr>
        <w:t>个体防护装备配备规范 第1部分：总则</w:t>
      </w:r>
      <w:bookmarkEnd w:id="78"/>
      <w:bookmarkEnd w:id="79"/>
      <w:r>
        <w:rPr>
          <w:rFonts w:hint="eastAsia" w:ascii="宋体" w:hAnsi="宋体" w:cs="宋体"/>
          <w:b w:val="0"/>
          <w:sz w:val="28"/>
          <w:szCs w:val="28"/>
        </w:rPr>
        <w:t>》（G</w:t>
      </w:r>
      <w:r>
        <w:rPr>
          <w:rFonts w:ascii="宋体" w:hAnsi="宋体" w:cs="宋体"/>
          <w:b w:val="0"/>
          <w:sz w:val="28"/>
          <w:szCs w:val="28"/>
        </w:rPr>
        <w:t>B 39800.1-2020</w:t>
      </w:r>
      <w:r>
        <w:rPr>
          <w:rFonts w:hint="eastAsia" w:ascii="宋体" w:hAnsi="宋体" w:cs="宋体"/>
          <w:b w:val="0"/>
          <w:sz w:val="28"/>
          <w:szCs w:val="28"/>
        </w:rPr>
        <w:t>）</w:t>
      </w:r>
    </w:p>
    <w:p w14:paraId="5A46B2E2">
      <w:pPr>
        <w:pStyle w:val="2"/>
        <w:ind w:firstLine="560"/>
        <w:rPr>
          <w:rFonts w:ascii="宋体" w:hAnsi="宋体" w:eastAsia="宋体" w:cs="宋体"/>
          <w:b w:val="0"/>
          <w:kern w:val="2"/>
          <w:szCs w:val="28"/>
        </w:rPr>
      </w:pPr>
      <w:r>
        <w:rPr>
          <w:rFonts w:hint="eastAsia" w:ascii="宋体" w:hAnsi="宋体" w:eastAsia="宋体" w:cs="宋体"/>
          <w:b w:val="0"/>
          <w:kern w:val="2"/>
          <w:szCs w:val="28"/>
        </w:rPr>
        <w:t>2</w:t>
      </w:r>
      <w:r>
        <w:rPr>
          <w:rFonts w:ascii="宋体" w:hAnsi="宋体" w:eastAsia="宋体" w:cs="宋体"/>
          <w:b w:val="0"/>
          <w:kern w:val="2"/>
          <w:szCs w:val="28"/>
        </w:rPr>
        <w:t>7</w:t>
      </w:r>
      <w:r>
        <w:rPr>
          <w:rFonts w:hint="eastAsia" w:ascii="宋体" w:hAnsi="宋体" w:eastAsia="宋体" w:cs="宋体"/>
          <w:b w:val="0"/>
          <w:kern w:val="2"/>
          <w:szCs w:val="28"/>
        </w:rPr>
        <w:t>）《</w:t>
      </w:r>
      <w:bookmarkStart w:id="80" w:name="OLE_LINK79"/>
      <w:bookmarkStart w:id="81" w:name="OLE_LINK80"/>
      <w:r>
        <w:rPr>
          <w:rFonts w:hint="eastAsia" w:ascii="宋体" w:hAnsi="宋体" w:eastAsia="宋体" w:cs="宋体"/>
          <w:b w:val="0"/>
          <w:kern w:val="2"/>
          <w:szCs w:val="28"/>
        </w:rPr>
        <w:t>烟花爆竹企业安全评价规范</w:t>
      </w:r>
      <w:bookmarkEnd w:id="80"/>
      <w:bookmarkEnd w:id="81"/>
      <w:r>
        <w:rPr>
          <w:rFonts w:hint="eastAsia" w:ascii="宋体" w:hAnsi="宋体" w:eastAsia="宋体" w:cs="宋体"/>
          <w:b w:val="0"/>
          <w:kern w:val="2"/>
          <w:szCs w:val="28"/>
        </w:rPr>
        <w:t>》（A</w:t>
      </w:r>
      <w:r>
        <w:rPr>
          <w:rFonts w:ascii="宋体" w:hAnsi="宋体" w:eastAsia="宋体" w:cs="宋体"/>
          <w:b w:val="0"/>
          <w:kern w:val="2"/>
          <w:szCs w:val="28"/>
        </w:rPr>
        <w:t>Q 4113-2008</w:t>
      </w:r>
      <w:r>
        <w:rPr>
          <w:rFonts w:hint="eastAsia" w:ascii="宋体" w:hAnsi="宋体" w:eastAsia="宋体" w:cs="宋体"/>
          <w:b w:val="0"/>
          <w:kern w:val="2"/>
          <w:szCs w:val="28"/>
        </w:rPr>
        <w:t>）</w:t>
      </w:r>
    </w:p>
    <w:p w14:paraId="6549653C">
      <w:pPr>
        <w:pStyle w:val="2"/>
        <w:ind w:firstLine="560"/>
        <w:rPr>
          <w:rFonts w:ascii="宋体" w:hAnsi="宋体" w:eastAsia="宋体" w:cs="宋体"/>
          <w:b w:val="0"/>
          <w:kern w:val="2"/>
          <w:szCs w:val="28"/>
        </w:rPr>
      </w:pPr>
      <w:r>
        <w:rPr>
          <w:rFonts w:hint="eastAsia" w:ascii="宋体" w:hAnsi="宋体" w:eastAsia="宋体" w:cs="宋体"/>
          <w:b w:val="0"/>
          <w:kern w:val="2"/>
          <w:szCs w:val="28"/>
        </w:rPr>
        <w:t>2</w:t>
      </w:r>
      <w:r>
        <w:rPr>
          <w:rFonts w:ascii="宋体" w:hAnsi="宋体" w:eastAsia="宋体" w:cs="宋体"/>
          <w:b w:val="0"/>
          <w:kern w:val="2"/>
          <w:szCs w:val="28"/>
        </w:rPr>
        <w:t>8</w:t>
      </w:r>
      <w:r>
        <w:rPr>
          <w:rFonts w:hint="eastAsia" w:ascii="宋体" w:hAnsi="宋体" w:eastAsia="宋体" w:cs="宋体"/>
          <w:b w:val="0"/>
          <w:kern w:val="2"/>
          <w:szCs w:val="28"/>
        </w:rPr>
        <w:t>）《中国地震动参数区划图》（</w:t>
      </w:r>
      <w:r>
        <w:rPr>
          <w:rFonts w:ascii="宋体" w:hAnsi="宋体" w:eastAsia="宋体" w:cs="宋体"/>
          <w:b w:val="0"/>
          <w:kern w:val="2"/>
          <w:szCs w:val="28"/>
        </w:rPr>
        <w:t>GB18306-2015</w:t>
      </w:r>
      <w:r>
        <w:rPr>
          <w:rFonts w:hint="eastAsia" w:ascii="宋体" w:hAnsi="宋体" w:eastAsia="宋体" w:cs="宋体"/>
          <w:b w:val="0"/>
          <w:kern w:val="2"/>
          <w:szCs w:val="28"/>
        </w:rPr>
        <w:t>）</w:t>
      </w:r>
    </w:p>
    <w:p w14:paraId="4BBDA688">
      <w:pPr>
        <w:pStyle w:val="186"/>
        <w:spacing w:line="360" w:lineRule="auto"/>
        <w:ind w:firstLine="560"/>
        <w:jc w:val="both"/>
        <w:rPr>
          <w:rFonts w:asciiTheme="minorEastAsia" w:hAnsiTheme="minorEastAsia" w:eastAsiaTheme="minorEastAsia"/>
        </w:rPr>
      </w:pPr>
      <w:r>
        <w:rPr>
          <w:rFonts w:ascii="宋体" w:hAnsi="宋体" w:cs="宋体"/>
          <w:bCs/>
          <w:szCs w:val="28"/>
        </w:rPr>
        <w:t>29</w:t>
      </w:r>
      <w:r>
        <w:rPr>
          <w:rFonts w:hint="eastAsia" w:ascii="宋体" w:hAnsi="宋体" w:cs="宋体"/>
          <w:bCs/>
          <w:szCs w:val="28"/>
        </w:rPr>
        <w:t>）</w:t>
      </w:r>
      <w:r>
        <w:rPr>
          <w:rFonts w:hint="eastAsia" w:asciiTheme="minorEastAsia" w:hAnsiTheme="minorEastAsia" w:eastAsiaTheme="minorEastAsia"/>
          <w:bCs/>
        </w:rPr>
        <w:t>《危</w:t>
      </w:r>
      <w:r>
        <w:rPr>
          <w:rFonts w:hint="eastAsia" w:asciiTheme="minorEastAsia" w:hAnsiTheme="minorEastAsia" w:eastAsiaTheme="minorEastAsia"/>
        </w:rPr>
        <w:t>险化学品重大危险源辨识》（GB18218-2018）</w:t>
      </w:r>
    </w:p>
    <w:p w14:paraId="45AA9349">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0</w:t>
      </w:r>
      <w:r>
        <w:rPr>
          <w:rFonts w:hint="eastAsia" w:ascii="宋体" w:hAnsi="宋体" w:eastAsia="宋体" w:cs="宋体"/>
          <w:b w:val="0"/>
          <w:kern w:val="2"/>
          <w:szCs w:val="28"/>
        </w:rPr>
        <w:t>）《化学品分类和标签规范 第1部分：通则》（</w:t>
      </w:r>
      <w:r>
        <w:rPr>
          <w:rFonts w:ascii="宋体" w:hAnsi="宋体" w:eastAsia="宋体" w:cs="宋体"/>
          <w:b w:val="0"/>
          <w:kern w:val="2"/>
          <w:szCs w:val="28"/>
        </w:rPr>
        <w:t>GB30000.1-2024</w:t>
      </w:r>
      <w:r>
        <w:rPr>
          <w:rFonts w:hint="eastAsia" w:ascii="宋体" w:hAnsi="宋体" w:eastAsia="宋体" w:cs="宋体"/>
          <w:b w:val="0"/>
          <w:kern w:val="2"/>
          <w:szCs w:val="28"/>
        </w:rPr>
        <w:t>）</w:t>
      </w:r>
    </w:p>
    <w:p w14:paraId="3BE1363B">
      <w:pPr>
        <w:pStyle w:val="186"/>
        <w:spacing w:line="360" w:lineRule="auto"/>
        <w:ind w:firstLine="560"/>
        <w:jc w:val="both"/>
        <w:rPr>
          <w:rFonts w:ascii="宋体" w:hAnsi="宋体" w:cs="宋体"/>
          <w:szCs w:val="28"/>
          <w:u w:color="FF0000"/>
        </w:rPr>
      </w:pPr>
      <w:r>
        <w:rPr>
          <w:rFonts w:hint="eastAsia" w:ascii="宋体" w:hAnsi="宋体" w:cs="宋体"/>
          <w:szCs w:val="28"/>
          <w:u w:color="FF0000"/>
        </w:rPr>
        <w:t>3</w:t>
      </w:r>
      <w:r>
        <w:rPr>
          <w:rFonts w:ascii="宋体" w:hAnsi="宋体" w:cs="宋体"/>
          <w:szCs w:val="28"/>
          <w:u w:color="FF0000"/>
        </w:rPr>
        <w:t>1</w:t>
      </w:r>
      <w:r>
        <w:rPr>
          <w:rFonts w:hint="eastAsia" w:ascii="宋体" w:hAnsi="宋体" w:cs="宋体"/>
          <w:szCs w:val="28"/>
          <w:u w:color="FF0000"/>
        </w:rPr>
        <w:t>）《化学品分类和标签规范 第2部分：爆炸物》（GB30000.2-2013）</w:t>
      </w:r>
    </w:p>
    <w:p w14:paraId="49EA3FB0">
      <w:pPr>
        <w:pStyle w:val="186"/>
        <w:spacing w:line="360" w:lineRule="auto"/>
        <w:ind w:firstLine="560"/>
        <w:jc w:val="both"/>
        <w:rPr>
          <w:rFonts w:ascii="宋体" w:hAnsi="宋体" w:cs="宋体"/>
          <w:szCs w:val="28"/>
          <w:u w:color="FF0000"/>
        </w:rPr>
      </w:pPr>
      <w:r>
        <w:rPr>
          <w:rFonts w:hint="eastAsia" w:ascii="宋体" w:hAnsi="宋体" w:cs="宋体"/>
          <w:szCs w:val="28"/>
          <w:u w:color="FF0000"/>
        </w:rPr>
        <w:t>3</w:t>
      </w:r>
      <w:r>
        <w:rPr>
          <w:rFonts w:ascii="宋体" w:hAnsi="宋体" w:cs="宋体"/>
          <w:szCs w:val="28"/>
          <w:u w:color="FF0000"/>
        </w:rPr>
        <w:t>2</w:t>
      </w:r>
      <w:r>
        <w:rPr>
          <w:rFonts w:hint="eastAsia" w:ascii="宋体" w:hAnsi="宋体" w:cs="宋体"/>
          <w:szCs w:val="28"/>
          <w:u w:color="FF0000"/>
        </w:rPr>
        <w:t>）《化学品分类和标签规范 第7部分：易燃液体》（GB30000.7-2013）</w:t>
      </w:r>
    </w:p>
    <w:p w14:paraId="3A9A1D01">
      <w:pPr>
        <w:pStyle w:val="186"/>
        <w:spacing w:line="360" w:lineRule="auto"/>
        <w:ind w:firstLine="560"/>
        <w:jc w:val="both"/>
        <w:rPr>
          <w:rFonts w:ascii="宋体" w:hAnsi="宋体" w:cs="宋体"/>
          <w:szCs w:val="28"/>
          <w:u w:color="FF0000"/>
        </w:rPr>
      </w:pPr>
      <w:r>
        <w:rPr>
          <w:rFonts w:hint="eastAsia" w:ascii="宋体" w:hAnsi="宋体" w:cs="宋体"/>
          <w:szCs w:val="28"/>
          <w:u w:color="FF0000"/>
        </w:rPr>
        <w:t>3</w:t>
      </w:r>
      <w:r>
        <w:rPr>
          <w:rFonts w:ascii="宋体" w:hAnsi="宋体" w:cs="宋体"/>
          <w:szCs w:val="28"/>
          <w:u w:color="FF0000"/>
        </w:rPr>
        <w:t>3</w:t>
      </w:r>
      <w:r>
        <w:rPr>
          <w:rFonts w:hint="eastAsia" w:ascii="宋体" w:hAnsi="宋体" w:cs="宋体"/>
          <w:szCs w:val="28"/>
          <w:u w:color="FF0000"/>
        </w:rPr>
        <w:t>）《危险化学品仓库储存通则》（</w:t>
      </w:r>
      <w:r>
        <w:rPr>
          <w:rFonts w:ascii="宋体" w:hAnsi="宋体" w:cs="宋体"/>
          <w:szCs w:val="28"/>
          <w:u w:color="FF0000"/>
        </w:rPr>
        <w:t>GB 15603-2022</w:t>
      </w:r>
      <w:r>
        <w:rPr>
          <w:rFonts w:hint="eastAsia" w:ascii="宋体" w:hAnsi="宋体" w:cs="宋体"/>
          <w:szCs w:val="28"/>
          <w:u w:color="FF0000"/>
        </w:rPr>
        <w:t>）</w:t>
      </w:r>
    </w:p>
    <w:p w14:paraId="45576F94">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4</w:t>
      </w:r>
      <w:r>
        <w:rPr>
          <w:rFonts w:hint="eastAsia" w:ascii="宋体" w:hAnsi="宋体" w:eastAsia="宋体" w:cs="宋体"/>
          <w:b w:val="0"/>
          <w:kern w:val="2"/>
          <w:szCs w:val="28"/>
        </w:rPr>
        <w:t>）《烟花爆竹作业场所机械电器安全规范》（AQ4111-2008）</w:t>
      </w:r>
    </w:p>
    <w:p w14:paraId="46604DCB">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5）《烟花爆竹安全生产风险监测预警技术规范》（</w:t>
      </w:r>
      <w:r>
        <w:rPr>
          <w:rFonts w:hint="eastAsia" w:ascii="宋体" w:hAnsi="宋体" w:eastAsia="宋体" w:cs="宋体"/>
          <w:b w:val="0"/>
          <w:kern w:val="2"/>
          <w:szCs w:val="28"/>
        </w:rPr>
        <w:t>A</w:t>
      </w:r>
      <w:r>
        <w:rPr>
          <w:rFonts w:ascii="宋体" w:hAnsi="宋体" w:eastAsia="宋体" w:cs="宋体"/>
          <w:b w:val="0"/>
          <w:kern w:val="2"/>
          <w:szCs w:val="28"/>
        </w:rPr>
        <w:t>Q4101-2026）</w:t>
      </w:r>
    </w:p>
    <w:p w14:paraId="77953418">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6</w:t>
      </w:r>
      <w:r>
        <w:rPr>
          <w:rFonts w:hint="eastAsia" w:ascii="宋体" w:hAnsi="宋体" w:eastAsia="宋体" w:cs="宋体"/>
          <w:b w:val="0"/>
          <w:kern w:val="2"/>
          <w:szCs w:val="28"/>
        </w:rPr>
        <w:t>）《烟花爆竹用烟火药危险性分类定级》（A</w:t>
      </w:r>
      <w:r>
        <w:rPr>
          <w:rFonts w:ascii="宋体" w:hAnsi="宋体" w:eastAsia="宋体" w:cs="宋体"/>
          <w:b w:val="0"/>
          <w:kern w:val="2"/>
          <w:szCs w:val="28"/>
        </w:rPr>
        <w:t>Q4124-2026</w:t>
      </w:r>
      <w:r>
        <w:rPr>
          <w:rFonts w:hint="eastAsia" w:ascii="宋体" w:hAnsi="宋体" w:eastAsia="宋体" w:cs="宋体"/>
          <w:b w:val="0"/>
          <w:kern w:val="2"/>
          <w:szCs w:val="28"/>
        </w:rPr>
        <w:t>）</w:t>
      </w:r>
    </w:p>
    <w:p w14:paraId="31FC6445">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7</w:t>
      </w:r>
      <w:r>
        <w:rPr>
          <w:rFonts w:hint="eastAsia" w:ascii="宋体" w:hAnsi="宋体" w:eastAsia="宋体" w:cs="宋体"/>
          <w:b w:val="0"/>
          <w:kern w:val="2"/>
          <w:szCs w:val="28"/>
        </w:rPr>
        <w:t>）《烟花爆竹 烟火药T</w:t>
      </w:r>
      <w:r>
        <w:rPr>
          <w:rFonts w:ascii="宋体" w:hAnsi="宋体" w:eastAsia="宋体" w:cs="宋体"/>
          <w:b w:val="0"/>
          <w:kern w:val="2"/>
          <w:szCs w:val="28"/>
        </w:rPr>
        <w:t>NT</w:t>
      </w:r>
      <w:r>
        <w:rPr>
          <w:rFonts w:hint="eastAsia" w:ascii="宋体" w:hAnsi="宋体" w:eastAsia="宋体" w:cs="宋体"/>
          <w:b w:val="0"/>
          <w:kern w:val="2"/>
          <w:szCs w:val="28"/>
        </w:rPr>
        <w:t>当量测定方法》（A</w:t>
      </w:r>
      <w:r>
        <w:rPr>
          <w:rFonts w:ascii="宋体" w:hAnsi="宋体" w:eastAsia="宋体" w:cs="宋体"/>
          <w:b w:val="0"/>
          <w:kern w:val="2"/>
          <w:szCs w:val="28"/>
        </w:rPr>
        <w:t>Q/T4105-2023</w:t>
      </w:r>
      <w:r>
        <w:rPr>
          <w:rFonts w:hint="eastAsia" w:ascii="宋体" w:hAnsi="宋体" w:eastAsia="宋体" w:cs="宋体"/>
          <w:b w:val="0"/>
          <w:kern w:val="2"/>
          <w:szCs w:val="28"/>
        </w:rPr>
        <w:t>）</w:t>
      </w:r>
    </w:p>
    <w:p w14:paraId="3A9F861B">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8</w:t>
      </w:r>
      <w:r>
        <w:rPr>
          <w:rFonts w:hint="eastAsia" w:ascii="宋体" w:hAnsi="宋体" w:eastAsia="宋体" w:cs="宋体"/>
          <w:b w:val="0"/>
          <w:kern w:val="2"/>
          <w:szCs w:val="28"/>
        </w:rPr>
        <w:t>）《烟花爆竹用烟火药安全指标》（A</w:t>
      </w:r>
      <w:r>
        <w:rPr>
          <w:rFonts w:ascii="宋体" w:hAnsi="宋体" w:eastAsia="宋体" w:cs="宋体"/>
          <w:b w:val="0"/>
          <w:kern w:val="2"/>
          <w:szCs w:val="28"/>
        </w:rPr>
        <w:t>Q4104-2025</w:t>
      </w:r>
      <w:r>
        <w:rPr>
          <w:rFonts w:hint="eastAsia" w:ascii="宋体" w:hAnsi="宋体" w:eastAsia="宋体" w:cs="宋体"/>
          <w:b w:val="0"/>
          <w:kern w:val="2"/>
          <w:szCs w:val="28"/>
        </w:rPr>
        <w:t>）</w:t>
      </w:r>
    </w:p>
    <w:p w14:paraId="14E887E3">
      <w:pPr>
        <w:pStyle w:val="2"/>
        <w:ind w:firstLine="560"/>
        <w:rPr>
          <w:rFonts w:ascii="宋体" w:hAnsi="宋体" w:eastAsia="宋体" w:cs="宋体"/>
          <w:b w:val="0"/>
          <w:kern w:val="2"/>
          <w:szCs w:val="28"/>
        </w:rPr>
      </w:pPr>
      <w:r>
        <w:rPr>
          <w:rFonts w:hint="eastAsia" w:ascii="宋体" w:hAnsi="宋体" w:eastAsia="宋体" w:cs="宋体"/>
          <w:b w:val="0"/>
          <w:kern w:val="2"/>
          <w:szCs w:val="28"/>
        </w:rPr>
        <w:t>3</w:t>
      </w:r>
      <w:r>
        <w:rPr>
          <w:rFonts w:ascii="宋体" w:hAnsi="宋体" w:eastAsia="宋体" w:cs="宋体"/>
          <w:b w:val="0"/>
          <w:kern w:val="2"/>
          <w:szCs w:val="28"/>
        </w:rPr>
        <w:t>9</w:t>
      </w:r>
      <w:r>
        <w:rPr>
          <w:rFonts w:hint="eastAsia" w:ascii="宋体" w:hAnsi="宋体" w:eastAsia="宋体" w:cs="宋体"/>
          <w:b w:val="0"/>
          <w:kern w:val="2"/>
          <w:szCs w:val="28"/>
        </w:rPr>
        <w:t>）《烟花爆竹 化工原材料使用安全规范》（A</w:t>
      </w:r>
      <w:r>
        <w:rPr>
          <w:rFonts w:ascii="宋体" w:hAnsi="宋体" w:eastAsia="宋体" w:cs="宋体"/>
          <w:b w:val="0"/>
          <w:kern w:val="2"/>
          <w:szCs w:val="28"/>
        </w:rPr>
        <w:t>Q4129-2019</w:t>
      </w:r>
      <w:r>
        <w:rPr>
          <w:rFonts w:hint="eastAsia" w:ascii="宋体" w:hAnsi="宋体" w:eastAsia="宋体" w:cs="宋体"/>
          <w:b w:val="0"/>
          <w:kern w:val="2"/>
          <w:szCs w:val="28"/>
        </w:rPr>
        <w:t>）</w:t>
      </w:r>
    </w:p>
    <w:p w14:paraId="37B1CD48">
      <w:pPr>
        <w:pStyle w:val="2"/>
        <w:ind w:firstLine="560"/>
        <w:rPr>
          <w:rFonts w:ascii="宋体" w:hAnsi="宋体" w:eastAsia="宋体" w:cs="宋体"/>
          <w:b w:val="0"/>
          <w:kern w:val="2"/>
          <w:szCs w:val="28"/>
        </w:rPr>
      </w:pPr>
      <w:r>
        <w:rPr>
          <w:rFonts w:ascii="宋体" w:hAnsi="宋体" w:eastAsia="宋体" w:cs="宋体"/>
          <w:b w:val="0"/>
          <w:kern w:val="2"/>
          <w:szCs w:val="28"/>
        </w:rPr>
        <w:t>40</w:t>
      </w:r>
      <w:r>
        <w:rPr>
          <w:rFonts w:hint="eastAsia" w:ascii="宋体" w:hAnsi="宋体" w:eastAsia="宋体" w:cs="宋体"/>
          <w:b w:val="0"/>
          <w:kern w:val="2"/>
          <w:szCs w:val="28"/>
        </w:rPr>
        <w:t>）《烟花爆竹 储存运输安全性能检验规范》（</w:t>
      </w:r>
      <w:r>
        <w:rPr>
          <w:rFonts w:ascii="宋体" w:hAnsi="宋体" w:eastAsia="宋体" w:cs="宋体"/>
          <w:b w:val="0"/>
          <w:kern w:val="2"/>
          <w:szCs w:val="28"/>
        </w:rPr>
        <w:t>GB/T20613-2026</w:t>
      </w:r>
      <w:r>
        <w:rPr>
          <w:rFonts w:hint="eastAsia" w:ascii="宋体" w:hAnsi="宋体" w:eastAsia="宋体" w:cs="宋体"/>
          <w:b w:val="0"/>
          <w:kern w:val="2"/>
          <w:szCs w:val="28"/>
        </w:rPr>
        <w:t>）</w:t>
      </w:r>
    </w:p>
    <w:p w14:paraId="3B1D1760">
      <w:pPr>
        <w:pStyle w:val="2"/>
        <w:ind w:firstLine="560"/>
        <w:rPr>
          <w:rFonts w:ascii="宋体" w:hAnsi="宋体" w:eastAsia="宋体" w:cs="宋体"/>
          <w:b w:val="0"/>
          <w:kern w:val="2"/>
          <w:szCs w:val="28"/>
        </w:rPr>
      </w:pPr>
      <w:r>
        <w:rPr>
          <w:rFonts w:ascii="宋体" w:hAnsi="宋体" w:eastAsia="宋体" w:cs="宋体"/>
          <w:b w:val="0"/>
          <w:kern w:val="2"/>
          <w:szCs w:val="28"/>
        </w:rPr>
        <w:t>41</w:t>
      </w:r>
      <w:r>
        <w:rPr>
          <w:rFonts w:hint="eastAsia" w:ascii="宋体" w:hAnsi="宋体" w:eastAsia="宋体" w:cs="宋体"/>
          <w:b w:val="0"/>
          <w:kern w:val="2"/>
          <w:szCs w:val="28"/>
        </w:rPr>
        <w:t>）《烟花爆竹生产企业防雷技术规范》（G</w:t>
      </w:r>
      <w:r>
        <w:rPr>
          <w:rFonts w:ascii="宋体" w:hAnsi="宋体" w:eastAsia="宋体" w:cs="宋体"/>
          <w:b w:val="0"/>
          <w:kern w:val="2"/>
          <w:szCs w:val="28"/>
        </w:rPr>
        <w:t>B/T46250-2025</w:t>
      </w:r>
      <w:r>
        <w:rPr>
          <w:rFonts w:hint="eastAsia" w:ascii="宋体" w:hAnsi="宋体" w:eastAsia="宋体" w:cs="宋体"/>
          <w:b w:val="0"/>
          <w:kern w:val="2"/>
          <w:szCs w:val="28"/>
        </w:rPr>
        <w:t>）</w:t>
      </w:r>
    </w:p>
    <w:p w14:paraId="66169E02">
      <w:pPr>
        <w:pStyle w:val="7"/>
        <w:jc w:val="both"/>
        <w:rPr>
          <w:rFonts w:ascii="黑体" w:hAnsi="宋体" w:eastAsia="黑体"/>
          <w:b w:val="0"/>
          <w:bCs w:val="0"/>
          <w:snapToGrid w:val="0"/>
          <w:sz w:val="30"/>
          <w:szCs w:val="30"/>
        </w:rPr>
      </w:pPr>
      <w:bookmarkStart w:id="82" w:name="_Toc165038760"/>
      <w:r>
        <w:rPr>
          <w:rFonts w:hint="eastAsia" w:ascii="黑体" w:hAnsi="宋体" w:eastAsia="黑体"/>
          <w:b w:val="0"/>
          <w:snapToGrid w:val="0"/>
          <w:sz w:val="30"/>
          <w:szCs w:val="30"/>
        </w:rPr>
        <w:t>1.2.3其他参考的资料</w:t>
      </w:r>
      <w:bookmarkEnd w:id="82"/>
    </w:p>
    <w:p w14:paraId="0CB88E4B">
      <w:pPr>
        <w:spacing w:line="360" w:lineRule="auto"/>
        <w:ind w:firstLine="560" w:firstLineChars="200"/>
        <w:rPr>
          <w:rFonts w:ascii="宋体" w:hAnsi="宋体" w:cs="宋体"/>
          <w:b w:val="0"/>
          <w:sz w:val="28"/>
          <w:szCs w:val="28"/>
        </w:rPr>
      </w:pPr>
      <w:r>
        <w:rPr>
          <w:rFonts w:hint="eastAsia" w:ascii="宋体" w:hAnsi="宋体" w:cs="宋体"/>
          <w:b w:val="0"/>
          <w:sz w:val="28"/>
          <w:szCs w:val="28"/>
        </w:rPr>
        <w:t>1）安全评价委托书；</w:t>
      </w:r>
    </w:p>
    <w:p w14:paraId="1F378560">
      <w:pPr>
        <w:spacing w:line="360" w:lineRule="auto"/>
        <w:ind w:firstLine="560" w:firstLineChars="200"/>
        <w:rPr>
          <w:rFonts w:ascii="宋体" w:hAnsi="宋体" w:cs="宋体"/>
          <w:b w:val="0"/>
          <w:sz w:val="28"/>
          <w:szCs w:val="28"/>
        </w:rPr>
      </w:pPr>
      <w:r>
        <w:rPr>
          <w:rFonts w:hint="eastAsia" w:ascii="宋体" w:hAnsi="宋体" w:cs="宋体"/>
          <w:b w:val="0"/>
          <w:sz w:val="28"/>
          <w:szCs w:val="28"/>
        </w:rPr>
        <w:t>2）企业《营业执照》、《安全生产许可证》；</w:t>
      </w:r>
    </w:p>
    <w:p w14:paraId="30047B35">
      <w:pPr>
        <w:pStyle w:val="2"/>
        <w:ind w:firstLine="560"/>
        <w:rPr>
          <w:rFonts w:ascii="宋体" w:hAnsi="宋体" w:eastAsia="宋体" w:cs="宋体"/>
          <w:b w:val="0"/>
          <w:kern w:val="2"/>
          <w:szCs w:val="28"/>
        </w:rPr>
      </w:pPr>
      <w:r>
        <w:rPr>
          <w:rFonts w:ascii="宋体" w:hAnsi="宋体" w:eastAsia="宋体" w:cs="宋体"/>
          <w:b w:val="0"/>
          <w:kern w:val="2"/>
          <w:szCs w:val="28"/>
        </w:rPr>
        <w:t>3</w:t>
      </w:r>
      <w:r>
        <w:rPr>
          <w:rFonts w:hint="eastAsia" w:ascii="宋体" w:hAnsi="宋体" w:eastAsia="宋体" w:cs="宋体"/>
          <w:b w:val="0"/>
          <w:kern w:val="2"/>
          <w:szCs w:val="28"/>
        </w:rPr>
        <w:t>）</w:t>
      </w:r>
      <w:r>
        <w:rPr>
          <w:rFonts w:ascii="宋体" w:hAnsi="宋体" w:eastAsia="宋体" w:cs="宋体"/>
          <w:b w:val="0"/>
          <w:kern w:val="2"/>
          <w:szCs w:val="28"/>
        </w:rPr>
        <w:t>《湖南省应急管理厅关于醴陵市增加黑火药供给产能的批复》（湘应急函〔2024〕33 号）</w:t>
      </w:r>
      <w:r>
        <w:rPr>
          <w:rFonts w:hint="eastAsia" w:ascii="宋体" w:hAnsi="宋体" w:eastAsia="宋体" w:cs="宋体"/>
          <w:b w:val="0"/>
          <w:kern w:val="2"/>
          <w:szCs w:val="28"/>
        </w:rPr>
        <w:t>；</w:t>
      </w:r>
    </w:p>
    <w:p w14:paraId="36F77719">
      <w:pPr>
        <w:pStyle w:val="2"/>
        <w:ind w:firstLine="560"/>
        <w:rPr>
          <w:rFonts w:ascii="宋体" w:hAnsi="宋体" w:eastAsia="宋体" w:cs="宋体"/>
          <w:b w:val="0"/>
          <w:kern w:val="2"/>
          <w:szCs w:val="28"/>
        </w:rPr>
      </w:pPr>
      <w:r>
        <w:rPr>
          <w:rFonts w:ascii="宋体" w:hAnsi="宋体" w:eastAsia="宋体" w:cs="宋体"/>
          <w:b w:val="0"/>
          <w:kern w:val="2"/>
          <w:szCs w:val="28"/>
        </w:rPr>
        <w:t>4</w:t>
      </w:r>
      <w:r>
        <w:rPr>
          <w:rFonts w:hint="eastAsia" w:ascii="宋体" w:hAnsi="宋体" w:eastAsia="宋体" w:cs="宋体"/>
          <w:b w:val="0"/>
          <w:kern w:val="2"/>
          <w:szCs w:val="28"/>
        </w:rPr>
        <w:t>）《关于</w:t>
      </w:r>
      <w:r>
        <w:rPr>
          <w:rFonts w:ascii="宋体" w:hAnsi="宋体" w:eastAsia="宋体" w:cs="宋体"/>
          <w:b w:val="0"/>
          <w:kern w:val="2"/>
          <w:szCs w:val="28"/>
        </w:rPr>
        <w:t>湖南金帝烟花爆竹制造有限公司</w:t>
      </w:r>
      <w:r>
        <w:rPr>
          <w:rFonts w:hint="eastAsia" w:ascii="宋体" w:hAnsi="宋体" w:eastAsia="宋体" w:cs="宋体"/>
          <w:b w:val="0"/>
          <w:kern w:val="2"/>
          <w:szCs w:val="28"/>
        </w:rPr>
        <w:t>泉水工区黑火药新建项目安全设施设计的批复》（湘应急许烟设审字〔2024〕第</w:t>
      </w:r>
      <w:r>
        <w:rPr>
          <w:rFonts w:ascii="宋体" w:hAnsi="宋体" w:eastAsia="宋体" w:cs="宋体"/>
          <w:b w:val="0"/>
          <w:kern w:val="2"/>
          <w:szCs w:val="28"/>
        </w:rPr>
        <w:t>0</w:t>
      </w:r>
      <w:r>
        <w:rPr>
          <w:rFonts w:hint="eastAsia" w:ascii="宋体" w:hAnsi="宋体" w:eastAsia="宋体" w:cs="宋体"/>
          <w:b w:val="0"/>
          <w:kern w:val="2"/>
          <w:szCs w:val="28"/>
        </w:rPr>
        <w:t>64号）；</w:t>
      </w:r>
    </w:p>
    <w:p w14:paraId="4EA0C190">
      <w:pPr>
        <w:pStyle w:val="2"/>
        <w:ind w:firstLine="560"/>
        <w:rPr>
          <w:rFonts w:ascii="宋体" w:hAnsi="宋体" w:eastAsia="宋体" w:cs="宋体"/>
          <w:b w:val="0"/>
          <w:kern w:val="2"/>
          <w:szCs w:val="28"/>
        </w:rPr>
      </w:pPr>
      <w:r>
        <w:rPr>
          <w:rFonts w:hint="eastAsia" w:ascii="宋体" w:hAnsi="宋体" w:eastAsia="宋体" w:cs="宋体"/>
          <w:b w:val="0"/>
          <w:kern w:val="2"/>
          <w:szCs w:val="28"/>
        </w:rPr>
        <w:t>5）《湖南省应急管理厅关于同意湖南省科富花炮实业有限公司等两家企业改扩建的批复》（湘应急函〔2024〕3</w:t>
      </w:r>
      <w:r>
        <w:rPr>
          <w:rFonts w:ascii="宋体" w:hAnsi="宋体" w:eastAsia="宋体" w:cs="宋体"/>
          <w:b w:val="0"/>
          <w:kern w:val="2"/>
          <w:szCs w:val="28"/>
        </w:rPr>
        <w:t>04</w:t>
      </w:r>
      <w:r>
        <w:rPr>
          <w:rFonts w:hint="eastAsia" w:ascii="宋体" w:hAnsi="宋体" w:eastAsia="宋体" w:cs="宋体"/>
          <w:b w:val="0"/>
          <w:kern w:val="2"/>
          <w:szCs w:val="28"/>
        </w:rPr>
        <w:t>号）</w:t>
      </w:r>
    </w:p>
    <w:p w14:paraId="082E9618">
      <w:pPr>
        <w:pStyle w:val="2"/>
        <w:ind w:firstLine="560"/>
        <w:rPr>
          <w:rFonts w:ascii="宋体" w:hAnsi="宋体" w:eastAsia="宋体" w:cs="宋体"/>
          <w:b w:val="0"/>
          <w:kern w:val="2"/>
          <w:szCs w:val="28"/>
        </w:rPr>
      </w:pPr>
      <w:r>
        <w:rPr>
          <w:rFonts w:ascii="宋体" w:hAnsi="宋体" w:eastAsia="宋体" w:cs="宋体"/>
          <w:b w:val="0"/>
          <w:kern w:val="2"/>
          <w:szCs w:val="28"/>
        </w:rPr>
        <w:t>6</w:t>
      </w:r>
      <w:r>
        <w:rPr>
          <w:rFonts w:hint="eastAsia" w:ascii="宋体" w:hAnsi="宋体" w:eastAsia="宋体" w:cs="宋体"/>
          <w:b w:val="0"/>
          <w:kern w:val="2"/>
          <w:szCs w:val="28"/>
        </w:rPr>
        <w:t>）</w:t>
      </w:r>
      <w:r>
        <w:rPr>
          <w:rFonts w:ascii="宋体" w:hAnsi="宋体" w:eastAsia="宋体" w:cs="宋体"/>
          <w:b w:val="0"/>
          <w:kern w:val="2"/>
          <w:szCs w:val="28"/>
        </w:rPr>
        <w:t>《企业投资项目备案证明》（醴发改备〔202</w:t>
      </w:r>
      <w:r>
        <w:rPr>
          <w:rFonts w:hint="eastAsia" w:ascii="宋体" w:hAnsi="宋体" w:eastAsia="宋体" w:cs="宋体"/>
          <w:b w:val="0"/>
          <w:kern w:val="2"/>
          <w:szCs w:val="28"/>
        </w:rPr>
        <w:t>6</w:t>
      </w:r>
      <w:r>
        <w:rPr>
          <w:rFonts w:ascii="宋体" w:hAnsi="宋体" w:eastAsia="宋体" w:cs="宋体"/>
          <w:b w:val="0"/>
          <w:kern w:val="2"/>
          <w:szCs w:val="28"/>
        </w:rPr>
        <w:t>〕</w:t>
      </w:r>
      <w:r>
        <w:rPr>
          <w:rFonts w:hint="eastAsia" w:ascii="宋体" w:hAnsi="宋体" w:eastAsia="宋体" w:cs="宋体"/>
          <w:b w:val="0"/>
          <w:kern w:val="2"/>
          <w:szCs w:val="28"/>
        </w:rPr>
        <w:t>95</w:t>
      </w:r>
      <w:r>
        <w:rPr>
          <w:rFonts w:ascii="宋体" w:hAnsi="宋体" w:eastAsia="宋体" w:cs="宋体"/>
          <w:b w:val="0"/>
          <w:kern w:val="2"/>
          <w:szCs w:val="28"/>
        </w:rPr>
        <w:t xml:space="preserve"> 号）</w:t>
      </w:r>
      <w:r>
        <w:rPr>
          <w:rFonts w:hint="eastAsia" w:ascii="宋体" w:hAnsi="宋体" w:eastAsia="宋体" w:cs="宋体"/>
          <w:b w:val="0"/>
          <w:kern w:val="2"/>
          <w:szCs w:val="28"/>
        </w:rPr>
        <w:t>；</w:t>
      </w:r>
    </w:p>
    <w:p w14:paraId="7E40D5F4">
      <w:pPr>
        <w:pStyle w:val="2"/>
        <w:ind w:firstLine="560"/>
        <w:rPr>
          <w:rFonts w:ascii="宋体" w:hAnsi="宋体" w:eastAsia="宋体" w:cs="宋体"/>
          <w:b w:val="0"/>
          <w:kern w:val="2"/>
          <w:szCs w:val="28"/>
        </w:rPr>
      </w:pPr>
      <w:r>
        <w:rPr>
          <w:rFonts w:ascii="宋体" w:hAnsi="宋体" w:eastAsia="宋体" w:cs="宋体"/>
          <w:b w:val="0"/>
          <w:kern w:val="2"/>
          <w:szCs w:val="28"/>
        </w:rPr>
        <w:t>7</w:t>
      </w:r>
      <w:r>
        <w:rPr>
          <w:rFonts w:hint="eastAsia" w:ascii="宋体" w:hAnsi="宋体" w:eastAsia="宋体" w:cs="宋体"/>
          <w:b w:val="0"/>
          <w:kern w:val="2"/>
          <w:szCs w:val="28"/>
        </w:rPr>
        <w:t>）《湖南金帝烟花爆竹制造有限公司泉水工区扩建项目安全设施设计平面布置图》（初步设计方案图）；</w:t>
      </w:r>
    </w:p>
    <w:p w14:paraId="185CFD89">
      <w:pPr>
        <w:pStyle w:val="2"/>
        <w:ind w:firstLine="560"/>
        <w:rPr>
          <w:rFonts w:ascii="宋体" w:hAnsi="宋体" w:eastAsia="宋体" w:cs="宋体"/>
          <w:b w:val="0"/>
          <w:kern w:val="2"/>
          <w:szCs w:val="28"/>
        </w:rPr>
      </w:pPr>
      <w:r>
        <w:rPr>
          <w:rFonts w:ascii="宋体" w:hAnsi="宋体" w:eastAsia="宋体" w:cs="宋体"/>
          <w:b w:val="0"/>
          <w:kern w:val="2"/>
          <w:szCs w:val="28"/>
        </w:rPr>
        <w:t>8</w:t>
      </w:r>
      <w:r>
        <w:rPr>
          <w:rFonts w:hint="eastAsia" w:ascii="宋体" w:hAnsi="宋体" w:eastAsia="宋体" w:cs="宋体"/>
          <w:b w:val="0"/>
          <w:kern w:val="2"/>
          <w:szCs w:val="28"/>
        </w:rPr>
        <w:t>）其他文件。</w:t>
      </w:r>
    </w:p>
    <w:p w14:paraId="4277290A">
      <w:pPr>
        <w:keepNext/>
        <w:keepLines/>
        <w:spacing w:before="120" w:beforeLines="50" w:after="120" w:afterLines="50" w:line="360" w:lineRule="auto"/>
        <w:outlineLvl w:val="1"/>
        <w:rPr>
          <w:rFonts w:ascii="黑体" w:hAnsi="宋体" w:eastAsia="黑体"/>
          <w:b w:val="0"/>
          <w:bCs/>
          <w:snapToGrid w:val="0"/>
          <w:sz w:val="30"/>
          <w:szCs w:val="30"/>
        </w:rPr>
      </w:pPr>
      <w:bookmarkStart w:id="83" w:name="_Toc235865665"/>
      <w:bookmarkStart w:id="84" w:name="_Toc235862370"/>
      <w:bookmarkStart w:id="85" w:name="_Toc221454603"/>
      <w:bookmarkStart w:id="86" w:name="_Toc235352182"/>
      <w:bookmarkStart w:id="87" w:name="_Toc211769673"/>
      <w:bookmarkStart w:id="88" w:name="_Toc235352313"/>
      <w:bookmarkStart w:id="89" w:name="_Toc235865480"/>
      <w:bookmarkStart w:id="90" w:name="_Toc372793482"/>
      <w:bookmarkStart w:id="91" w:name="_Toc239191487"/>
      <w:r>
        <w:rPr>
          <w:rFonts w:hint="eastAsia" w:ascii="黑体" w:hAnsi="宋体" w:eastAsia="黑体"/>
          <w:b w:val="0"/>
          <w:bCs/>
          <w:snapToGrid w:val="0"/>
          <w:sz w:val="30"/>
          <w:szCs w:val="30"/>
        </w:rPr>
        <w:t>1.3预评价范围和</w:t>
      </w:r>
      <w:bookmarkEnd w:id="83"/>
      <w:bookmarkEnd w:id="84"/>
      <w:bookmarkEnd w:id="85"/>
      <w:bookmarkEnd w:id="86"/>
      <w:bookmarkEnd w:id="87"/>
      <w:bookmarkEnd w:id="88"/>
      <w:bookmarkEnd w:id="89"/>
      <w:bookmarkEnd w:id="90"/>
      <w:r>
        <w:rPr>
          <w:rFonts w:hint="eastAsia" w:ascii="黑体" w:hAnsi="宋体" w:eastAsia="黑体"/>
          <w:b w:val="0"/>
          <w:bCs/>
          <w:snapToGrid w:val="0"/>
          <w:sz w:val="30"/>
          <w:szCs w:val="30"/>
        </w:rPr>
        <w:t>内容</w:t>
      </w:r>
      <w:bookmarkEnd w:id="91"/>
    </w:p>
    <w:p w14:paraId="706E4E47">
      <w:pPr>
        <w:keepNext/>
        <w:keepLines/>
        <w:adjustRightInd w:val="0"/>
        <w:snapToGrid w:val="0"/>
        <w:spacing w:line="360" w:lineRule="auto"/>
        <w:outlineLvl w:val="2"/>
        <w:rPr>
          <w:rFonts w:ascii="Arial" w:hAnsi="Arial" w:eastAsia="仿宋_GB2312"/>
          <w:sz w:val="28"/>
          <w:szCs w:val="20"/>
        </w:rPr>
      </w:pPr>
      <w:bookmarkStart w:id="92" w:name="_Toc171001531"/>
      <w:r>
        <w:rPr>
          <w:rFonts w:hint="eastAsia" w:ascii="黑体" w:hAnsi="宋体" w:eastAsia="黑体"/>
          <w:b w:val="0"/>
          <w:bCs/>
          <w:snapToGrid w:val="0"/>
          <w:sz w:val="30"/>
          <w:szCs w:val="30"/>
        </w:rPr>
        <w:t>1.3.1预评价范围</w:t>
      </w:r>
      <w:bookmarkEnd w:id="92"/>
    </w:p>
    <w:p w14:paraId="54CC7506">
      <w:pPr>
        <w:spacing w:line="360" w:lineRule="auto"/>
        <w:ind w:firstLine="560" w:firstLineChars="200"/>
        <w:rPr>
          <w:rFonts w:ascii="宋体" w:hAnsi="宋体" w:cs="宋体"/>
          <w:b w:val="0"/>
          <w:sz w:val="28"/>
          <w:szCs w:val="28"/>
        </w:rPr>
      </w:pPr>
      <w:bookmarkStart w:id="93" w:name="_Toc171001532"/>
      <w:r>
        <w:rPr>
          <w:rFonts w:hint="eastAsia" w:ascii="宋体" w:hAnsi="宋体" w:cs="宋体"/>
          <w:b w:val="0"/>
          <w:sz w:val="28"/>
          <w:szCs w:val="28"/>
        </w:rPr>
        <w:t>依据该企业提供的《</w:t>
      </w:r>
      <w:r>
        <w:rPr>
          <w:rFonts w:hint="eastAsia" w:ascii="宋体" w:hAnsi="宋体" w:cs="宋体"/>
          <w:b w:val="0"/>
          <w:bCs/>
          <w:sz w:val="28"/>
          <w:szCs w:val="28"/>
        </w:rPr>
        <w:t>湖南金帝烟花爆竹制造有限公司泉水工区扩建项目安全设施设计平面布置图</w:t>
      </w:r>
      <w:r>
        <w:rPr>
          <w:rFonts w:hint="eastAsia" w:ascii="宋体" w:hAnsi="宋体" w:cs="宋体"/>
          <w:b w:val="0"/>
          <w:sz w:val="28"/>
          <w:szCs w:val="28"/>
        </w:rPr>
        <w:t>》（初步设计方案图）及相关资料，本次安全预评价的评价范围为：湖南金帝烟花爆竹制造有限公司泉水工区扩建项目工程</w:t>
      </w:r>
      <w:r>
        <w:rPr>
          <w:rFonts w:ascii="宋体" w:hAnsi="宋体" w:cs="宋体"/>
          <w:b w:val="0"/>
          <w:sz w:val="28"/>
          <w:szCs w:val="28"/>
        </w:rPr>
        <w:t>的选址、</w:t>
      </w:r>
      <w:r>
        <w:rPr>
          <w:rFonts w:hint="eastAsia" w:ascii="宋体" w:hAnsi="宋体" w:cs="宋体"/>
          <w:b w:val="0"/>
          <w:sz w:val="28"/>
          <w:szCs w:val="28"/>
        </w:rPr>
        <w:t>总体布局</w:t>
      </w:r>
      <w:r>
        <w:rPr>
          <w:rFonts w:ascii="宋体" w:hAnsi="宋体" w:cs="宋体"/>
          <w:b w:val="0"/>
          <w:sz w:val="28"/>
          <w:szCs w:val="28"/>
        </w:rPr>
        <w:t>、建筑结构、电气、防雷、消防与给水、安全监控设施及安全管理等进行安全预评价</w:t>
      </w:r>
      <w:r>
        <w:rPr>
          <w:rFonts w:hint="eastAsia" w:ascii="宋体" w:hAnsi="宋体" w:cs="宋体"/>
          <w:b w:val="0"/>
          <w:sz w:val="28"/>
          <w:szCs w:val="28"/>
        </w:rPr>
        <w:t>。</w:t>
      </w:r>
    </w:p>
    <w:p w14:paraId="42B2521A">
      <w:pPr>
        <w:spacing w:line="360" w:lineRule="auto"/>
        <w:ind w:firstLine="560" w:firstLineChars="200"/>
        <w:rPr>
          <w:rFonts w:ascii="宋体" w:hAnsi="宋体" w:cs="宋体"/>
          <w:b w:val="0"/>
          <w:sz w:val="28"/>
          <w:szCs w:val="28"/>
        </w:rPr>
      </w:pPr>
      <w:r>
        <w:rPr>
          <w:rFonts w:ascii="宋体" w:hAnsi="宋体" w:cs="宋体"/>
          <w:b w:val="0"/>
          <w:sz w:val="28"/>
          <w:szCs w:val="28"/>
        </w:rPr>
        <w:t>本次评价不包括</w:t>
      </w:r>
      <w:r>
        <w:rPr>
          <w:rFonts w:hint="eastAsia" w:ascii="宋体" w:hAnsi="宋体" w:cs="宋体"/>
          <w:b w:val="0"/>
          <w:sz w:val="28"/>
          <w:szCs w:val="28"/>
        </w:rPr>
        <w:t>厂外</w:t>
      </w:r>
      <w:r>
        <w:rPr>
          <w:rFonts w:ascii="宋体" w:hAnsi="宋体" w:cs="宋体"/>
          <w:b w:val="0"/>
          <w:sz w:val="28"/>
          <w:szCs w:val="28"/>
        </w:rPr>
        <w:t>运输相关内容、</w:t>
      </w:r>
      <w:r>
        <w:rPr>
          <w:rFonts w:hint="eastAsia" w:ascii="宋体" w:hAnsi="宋体" w:cs="宋体"/>
          <w:b w:val="0"/>
          <w:sz w:val="28"/>
          <w:szCs w:val="28"/>
        </w:rPr>
        <w:t>项目环境状况评价、职业卫生评价，</w:t>
      </w:r>
      <w:r>
        <w:rPr>
          <w:rFonts w:ascii="宋体" w:hAnsi="宋体" w:cs="宋体"/>
          <w:b w:val="0"/>
          <w:sz w:val="28"/>
          <w:szCs w:val="28"/>
        </w:rPr>
        <w:t>该项目投入使用后，企业从事烟花爆竹</w:t>
      </w:r>
      <w:r>
        <w:rPr>
          <w:rFonts w:hint="eastAsia" w:ascii="宋体" w:hAnsi="宋体" w:cs="宋体"/>
          <w:b w:val="0"/>
          <w:sz w:val="28"/>
          <w:szCs w:val="28"/>
        </w:rPr>
        <w:t>生产</w:t>
      </w:r>
      <w:r>
        <w:rPr>
          <w:rFonts w:ascii="宋体" w:hAnsi="宋体" w:cs="宋体"/>
          <w:b w:val="0"/>
          <w:sz w:val="28"/>
          <w:szCs w:val="28"/>
        </w:rPr>
        <w:t>时应遵守国家相关法律法规</w:t>
      </w:r>
      <w:r>
        <w:rPr>
          <w:rFonts w:hint="eastAsia" w:ascii="宋体" w:hAnsi="宋体" w:cs="宋体"/>
          <w:b w:val="0"/>
          <w:sz w:val="28"/>
          <w:szCs w:val="28"/>
        </w:rPr>
        <w:t>定。</w:t>
      </w:r>
    </w:p>
    <w:p w14:paraId="5DD335E2">
      <w:pPr>
        <w:keepNext/>
        <w:keepLines/>
        <w:adjustRightInd w:val="0"/>
        <w:snapToGrid w:val="0"/>
        <w:spacing w:line="360" w:lineRule="auto"/>
        <w:outlineLvl w:val="2"/>
        <w:rPr>
          <w:rFonts w:ascii="黑体" w:hAnsi="宋体" w:eastAsia="黑体"/>
          <w:b w:val="0"/>
          <w:bCs/>
          <w:snapToGrid w:val="0"/>
          <w:sz w:val="30"/>
          <w:szCs w:val="30"/>
        </w:rPr>
      </w:pPr>
      <w:r>
        <w:rPr>
          <w:rFonts w:hint="eastAsia" w:ascii="黑体" w:hAnsi="宋体" w:eastAsia="黑体"/>
          <w:b w:val="0"/>
          <w:bCs/>
          <w:snapToGrid w:val="0"/>
          <w:sz w:val="30"/>
          <w:szCs w:val="30"/>
        </w:rPr>
        <w:t>1.3.2预评价</w:t>
      </w:r>
      <w:bookmarkEnd w:id="93"/>
      <w:r>
        <w:rPr>
          <w:rFonts w:hint="eastAsia" w:ascii="黑体" w:hAnsi="宋体" w:eastAsia="黑体"/>
          <w:b w:val="0"/>
          <w:bCs/>
          <w:snapToGrid w:val="0"/>
          <w:sz w:val="30"/>
          <w:szCs w:val="30"/>
        </w:rPr>
        <w:t>内容</w:t>
      </w:r>
    </w:p>
    <w:p w14:paraId="0AC6F69F">
      <w:pPr>
        <w:spacing w:line="360" w:lineRule="auto"/>
        <w:ind w:firstLine="560" w:firstLineChars="200"/>
        <w:rPr>
          <w:rFonts w:ascii="宋体" w:hAnsi="宋体"/>
          <w:b w:val="0"/>
          <w:bCs/>
          <w:sz w:val="28"/>
          <w:szCs w:val="28"/>
        </w:rPr>
      </w:pPr>
      <w:r>
        <w:rPr>
          <w:rFonts w:hint="eastAsia" w:ascii="宋体" w:hAnsi="宋体"/>
          <w:b w:val="0"/>
          <w:bCs/>
          <w:sz w:val="28"/>
          <w:szCs w:val="28"/>
        </w:rPr>
        <w:t>本次安全预评价的基本内容为湖南金帝烟花爆竹制造有限公司泉水工区扩建项目：</w:t>
      </w:r>
    </w:p>
    <w:p w14:paraId="0DEFEB3C">
      <w:pPr>
        <w:spacing w:line="360" w:lineRule="auto"/>
        <w:ind w:firstLine="560" w:firstLineChars="200"/>
        <w:rPr>
          <w:rFonts w:ascii="宋体" w:hAnsi="宋体"/>
          <w:b w:val="0"/>
          <w:bCs/>
          <w:sz w:val="28"/>
          <w:szCs w:val="28"/>
        </w:rPr>
      </w:pPr>
      <w:r>
        <w:rPr>
          <w:rFonts w:hint="eastAsia" w:ascii="宋体" w:hAnsi="宋体"/>
          <w:b w:val="0"/>
          <w:bCs/>
          <w:sz w:val="28"/>
          <w:szCs w:val="28"/>
        </w:rPr>
        <w:t>1）与</w:t>
      </w:r>
      <w:r>
        <w:rPr>
          <w:rFonts w:ascii="宋体" w:hAnsi="宋体"/>
          <w:b w:val="0"/>
          <w:bCs/>
          <w:sz w:val="28"/>
          <w:szCs w:val="28"/>
        </w:rPr>
        <w:t>《中华人民共和国安全生产法》、</w:t>
      </w:r>
      <w:r>
        <w:rPr>
          <w:rFonts w:hint="eastAsia" w:ascii="宋体" w:hAnsi="宋体"/>
          <w:b w:val="0"/>
          <w:bCs/>
          <w:sz w:val="28"/>
          <w:szCs w:val="28"/>
        </w:rPr>
        <w:t>《烟花爆竹安全管理条例》</w:t>
      </w:r>
      <w:r>
        <w:rPr>
          <w:rFonts w:ascii="宋体" w:hAnsi="宋体"/>
          <w:b w:val="0"/>
          <w:bCs/>
          <w:sz w:val="28"/>
          <w:szCs w:val="28"/>
        </w:rPr>
        <w:t>、《安全生产许可证条例》等有关法律、法规规定的烟花爆竹生产企业安全生产基本条件</w:t>
      </w:r>
      <w:r>
        <w:rPr>
          <w:rFonts w:hint="eastAsia" w:ascii="宋体" w:hAnsi="宋体"/>
          <w:b w:val="0"/>
          <w:bCs/>
          <w:sz w:val="28"/>
          <w:szCs w:val="28"/>
        </w:rPr>
        <w:t>的符合性</w:t>
      </w:r>
      <w:r>
        <w:rPr>
          <w:rFonts w:ascii="宋体" w:hAnsi="宋体"/>
          <w:b w:val="0"/>
          <w:bCs/>
          <w:sz w:val="28"/>
          <w:szCs w:val="28"/>
        </w:rPr>
        <w:t>。</w:t>
      </w:r>
    </w:p>
    <w:p w14:paraId="48201C7C">
      <w:pPr>
        <w:spacing w:line="360" w:lineRule="auto"/>
        <w:ind w:firstLine="560" w:firstLineChars="200"/>
        <w:rPr>
          <w:rFonts w:ascii="宋体" w:hAnsi="宋体"/>
          <w:b w:val="0"/>
          <w:bCs/>
          <w:sz w:val="28"/>
          <w:szCs w:val="28"/>
        </w:rPr>
      </w:pPr>
      <w:r>
        <w:rPr>
          <w:rFonts w:hint="eastAsia" w:ascii="宋体" w:hAnsi="宋体"/>
          <w:b w:val="0"/>
          <w:bCs/>
          <w:sz w:val="28"/>
          <w:szCs w:val="28"/>
        </w:rPr>
        <w:t>2）与</w:t>
      </w:r>
      <w:r>
        <w:rPr>
          <w:rFonts w:ascii="宋体" w:hAnsi="宋体"/>
          <w:b w:val="0"/>
          <w:bCs/>
          <w:sz w:val="28"/>
          <w:szCs w:val="28"/>
        </w:rPr>
        <w:t>《烟花爆竹工程设计安全标准》</w:t>
      </w:r>
      <w:r>
        <w:rPr>
          <w:rFonts w:hint="eastAsia" w:ascii="宋体" w:hAnsi="宋体"/>
          <w:b w:val="0"/>
          <w:bCs/>
          <w:sz w:val="28"/>
          <w:szCs w:val="28"/>
        </w:rPr>
        <w:t>（GB50161-2022）</w:t>
      </w:r>
      <w:r>
        <w:rPr>
          <w:rFonts w:ascii="宋体" w:hAnsi="宋体"/>
          <w:b w:val="0"/>
          <w:bCs/>
          <w:sz w:val="28"/>
          <w:szCs w:val="28"/>
        </w:rPr>
        <w:t>、《</w:t>
      </w:r>
      <w:r>
        <w:rPr>
          <w:rFonts w:hint="eastAsia" w:ascii="宋体" w:hAnsi="宋体"/>
          <w:b w:val="0"/>
          <w:bCs/>
          <w:sz w:val="28"/>
          <w:szCs w:val="28"/>
        </w:rPr>
        <w:t>烟花爆竹作业安全技术规程</w:t>
      </w:r>
      <w:r>
        <w:rPr>
          <w:rFonts w:ascii="宋体" w:hAnsi="宋体"/>
          <w:b w:val="0"/>
          <w:bCs/>
          <w:sz w:val="28"/>
          <w:szCs w:val="28"/>
        </w:rPr>
        <w:t>》</w:t>
      </w:r>
      <w:r>
        <w:rPr>
          <w:rFonts w:hint="eastAsia" w:ascii="宋体" w:hAnsi="宋体"/>
          <w:b w:val="0"/>
          <w:bCs/>
          <w:sz w:val="28"/>
          <w:szCs w:val="28"/>
        </w:rPr>
        <w:t>（GB11652-2012）</w:t>
      </w:r>
      <w:r>
        <w:rPr>
          <w:rFonts w:ascii="宋体" w:hAnsi="宋体"/>
          <w:b w:val="0"/>
          <w:bCs/>
          <w:sz w:val="28"/>
          <w:szCs w:val="28"/>
        </w:rPr>
        <w:t>、《建筑设计防火规范》</w:t>
      </w:r>
      <w:r>
        <w:rPr>
          <w:rFonts w:hint="eastAsia" w:ascii="宋体" w:hAnsi="宋体"/>
          <w:b w:val="0"/>
          <w:bCs/>
          <w:sz w:val="28"/>
          <w:szCs w:val="28"/>
        </w:rPr>
        <w:t>（GB50016-2014、2018年修订版）</w:t>
      </w:r>
      <w:r>
        <w:rPr>
          <w:rFonts w:ascii="宋体" w:hAnsi="宋体"/>
          <w:b w:val="0"/>
          <w:bCs/>
          <w:sz w:val="28"/>
          <w:szCs w:val="28"/>
        </w:rPr>
        <w:t>等</w:t>
      </w:r>
      <w:r>
        <w:rPr>
          <w:rFonts w:hint="eastAsia" w:ascii="宋体" w:hAnsi="宋体"/>
          <w:b w:val="0"/>
          <w:bCs/>
          <w:sz w:val="28"/>
          <w:szCs w:val="28"/>
        </w:rPr>
        <w:t>相关标准、规范</w:t>
      </w:r>
      <w:r>
        <w:rPr>
          <w:rFonts w:ascii="宋体" w:hAnsi="宋体"/>
          <w:b w:val="0"/>
          <w:bCs/>
          <w:sz w:val="28"/>
          <w:szCs w:val="28"/>
        </w:rPr>
        <w:t>规定的安全生产条件</w:t>
      </w:r>
      <w:r>
        <w:rPr>
          <w:rFonts w:hint="eastAsia" w:ascii="宋体" w:hAnsi="宋体"/>
          <w:b w:val="0"/>
          <w:bCs/>
          <w:sz w:val="28"/>
          <w:szCs w:val="28"/>
        </w:rPr>
        <w:t>符合性</w:t>
      </w:r>
      <w:r>
        <w:rPr>
          <w:rFonts w:ascii="宋体" w:hAnsi="宋体"/>
          <w:b w:val="0"/>
          <w:bCs/>
          <w:sz w:val="28"/>
          <w:szCs w:val="28"/>
        </w:rPr>
        <w:t xml:space="preserve">。 </w:t>
      </w:r>
    </w:p>
    <w:p w14:paraId="12F1AA06">
      <w:pPr>
        <w:pStyle w:val="2"/>
        <w:ind w:firstLine="560"/>
        <w:rPr>
          <w:rFonts w:ascii="宋体" w:hAnsi="宋体" w:eastAsia="宋体"/>
          <w:b w:val="0"/>
          <w:bCs/>
          <w:szCs w:val="28"/>
        </w:rPr>
      </w:pPr>
      <w:r>
        <w:rPr>
          <w:rFonts w:hint="eastAsia" w:ascii="宋体" w:hAnsi="宋体" w:eastAsia="宋体"/>
          <w:b w:val="0"/>
          <w:bCs/>
          <w:szCs w:val="28"/>
        </w:rPr>
        <w:t>3）与</w:t>
      </w:r>
      <w:r>
        <w:rPr>
          <w:rFonts w:ascii="宋体" w:hAnsi="宋体" w:eastAsia="宋体"/>
          <w:b w:val="0"/>
          <w:bCs/>
          <w:szCs w:val="28"/>
        </w:rPr>
        <w:t>《烟花爆竹生产企业安全生产许可证实施办法》规定的安全生产条件</w:t>
      </w:r>
      <w:r>
        <w:rPr>
          <w:rFonts w:hint="eastAsia" w:ascii="宋体" w:hAnsi="宋体" w:eastAsia="宋体"/>
          <w:b w:val="0"/>
          <w:bCs/>
          <w:szCs w:val="28"/>
        </w:rPr>
        <w:t>的符合性。</w:t>
      </w:r>
    </w:p>
    <w:p w14:paraId="5C146E03">
      <w:pPr>
        <w:keepNext/>
        <w:keepLines/>
        <w:spacing w:before="120" w:beforeLines="50" w:after="120" w:afterLines="50" w:line="360" w:lineRule="auto"/>
        <w:outlineLvl w:val="1"/>
        <w:rPr>
          <w:rFonts w:ascii="黑体" w:hAnsi="宋体" w:eastAsia="黑体"/>
          <w:b w:val="0"/>
          <w:bCs/>
          <w:snapToGrid w:val="0"/>
          <w:sz w:val="30"/>
          <w:szCs w:val="30"/>
        </w:rPr>
      </w:pPr>
      <w:bookmarkStart w:id="94" w:name="_Toc239191488"/>
      <w:r>
        <w:rPr>
          <w:rFonts w:hint="eastAsia" w:ascii="黑体" w:hAnsi="宋体" w:eastAsia="黑体"/>
          <w:b w:val="0"/>
          <w:bCs/>
          <w:snapToGrid w:val="0"/>
          <w:sz w:val="30"/>
          <w:szCs w:val="30"/>
        </w:rPr>
        <w:t>1.</w:t>
      </w:r>
      <w:r>
        <w:rPr>
          <w:rFonts w:ascii="黑体" w:hAnsi="宋体" w:eastAsia="黑体"/>
          <w:b w:val="0"/>
          <w:bCs/>
          <w:snapToGrid w:val="0"/>
          <w:sz w:val="30"/>
          <w:szCs w:val="30"/>
        </w:rPr>
        <w:t>4安全</w:t>
      </w:r>
      <w:r>
        <w:rPr>
          <w:rFonts w:hint="eastAsia" w:ascii="黑体" w:hAnsi="宋体" w:eastAsia="黑体"/>
          <w:b w:val="0"/>
          <w:bCs/>
          <w:snapToGrid w:val="0"/>
          <w:sz w:val="30"/>
          <w:szCs w:val="30"/>
        </w:rPr>
        <w:t>预评价程序</w:t>
      </w:r>
      <w:bookmarkEnd w:id="94"/>
    </w:p>
    <w:p w14:paraId="16CD4E05">
      <w:pPr>
        <w:pStyle w:val="2"/>
        <w:ind w:firstLine="560"/>
        <w:rPr>
          <w:rFonts w:ascii="宋体" w:hAnsi="宋体" w:eastAsia="宋体"/>
          <w:b w:val="0"/>
          <w:bCs/>
          <w:szCs w:val="28"/>
        </w:rPr>
      </w:pPr>
      <w:r>
        <w:rPr>
          <w:rFonts w:hint="eastAsia" w:ascii="宋体" w:hAnsi="宋体" w:eastAsia="宋体"/>
          <w:b w:val="0"/>
          <w:bCs/>
          <w:szCs w:val="28"/>
        </w:rPr>
        <w:t>本次安全预评价基本流程如图1.4</w:t>
      </w:r>
      <w:r>
        <w:rPr>
          <w:rFonts w:ascii="宋体" w:hAnsi="宋体" w:eastAsia="宋体"/>
          <w:b w:val="0"/>
          <w:bCs/>
          <w:szCs w:val="28"/>
        </w:rPr>
        <w:t xml:space="preserve">-1 </w:t>
      </w:r>
      <w:r>
        <w:rPr>
          <w:rFonts w:hint="eastAsia" w:ascii="宋体" w:hAnsi="宋体" w:eastAsia="宋体"/>
          <w:b w:val="0"/>
          <w:bCs/>
          <w:szCs w:val="28"/>
        </w:rPr>
        <w:t>所示。</w:t>
      </w:r>
    </w:p>
    <w:p w14:paraId="5D36E2FE">
      <w:pPr>
        <w:pStyle w:val="2"/>
        <w:ind w:firstLine="560"/>
        <w:rPr>
          <w:rFonts w:ascii="宋体" w:hAnsi="宋体" w:eastAsia="宋体"/>
          <w:b w:val="0"/>
          <w:bCs/>
          <w:szCs w:val="28"/>
        </w:rPr>
      </w:pPr>
      <w:r>
        <w:rPr>
          <w:rFonts w:ascii="宋体" w:hAnsi="宋体" w:eastAsia="宋体"/>
          <w:b w:val="0"/>
          <w:bCs/>
          <w:szCs w:val="28"/>
        </w:rPr>
        <w:t>1</w:t>
      </w:r>
      <w:r>
        <w:rPr>
          <w:rFonts w:hint="eastAsia" w:ascii="宋体" w:hAnsi="宋体" w:eastAsia="宋体"/>
          <w:b w:val="0"/>
          <w:bCs/>
          <w:szCs w:val="28"/>
        </w:rPr>
        <w:t>）前期准备：明确评价对象和评价范围；组建评价组；收集国内外相关法律法规、行政规章、标准、规范；收集并分析评价对象的基础资料、相关事故案例；对类比工程进行实地调查。</w:t>
      </w:r>
    </w:p>
    <w:p w14:paraId="1DAF0790">
      <w:pPr>
        <w:pStyle w:val="2"/>
        <w:ind w:firstLine="560"/>
        <w:rPr>
          <w:rFonts w:ascii="宋体" w:hAnsi="宋体" w:eastAsia="宋体"/>
          <w:b w:val="0"/>
          <w:bCs/>
          <w:szCs w:val="28"/>
        </w:rPr>
      </w:pPr>
      <w:r>
        <w:rPr>
          <w:rFonts w:ascii="宋体" w:hAnsi="宋体" w:eastAsia="宋体"/>
          <w:b w:val="0"/>
          <w:bCs/>
          <w:szCs w:val="28"/>
        </w:rPr>
        <w:t>2</w:t>
      </w:r>
      <w:r>
        <w:rPr>
          <w:rFonts w:hint="eastAsia" w:ascii="宋体" w:hAnsi="宋体" w:eastAsia="宋体"/>
          <w:b w:val="0"/>
          <w:bCs/>
          <w:szCs w:val="28"/>
        </w:rPr>
        <w:t>）辨识与分析危险、有害因素：辨识和分析评价对象可能存在的各种危险、有害因素，分析危险有害因素发生作用的途径及其变化规律。</w:t>
      </w:r>
    </w:p>
    <w:p w14:paraId="5EC1D842">
      <w:pPr>
        <w:pStyle w:val="2"/>
        <w:ind w:firstLine="560"/>
        <w:rPr>
          <w:rFonts w:ascii="宋体" w:hAnsi="宋体" w:eastAsia="宋体"/>
          <w:b w:val="0"/>
          <w:bCs/>
          <w:szCs w:val="28"/>
        </w:rPr>
      </w:pPr>
      <w:r>
        <w:rPr>
          <w:rFonts w:ascii="宋体" w:hAnsi="宋体" w:eastAsia="宋体"/>
          <w:b w:val="0"/>
          <w:bCs/>
          <w:szCs w:val="28"/>
        </w:rPr>
        <w:t>3</w:t>
      </w:r>
      <w:r>
        <w:rPr>
          <w:rFonts w:hint="eastAsia" w:ascii="宋体" w:hAnsi="宋体" w:eastAsia="宋体"/>
          <w:b w:val="0"/>
          <w:bCs/>
          <w:szCs w:val="28"/>
        </w:rPr>
        <w:t>）划分评价单元：以自然条件、基本工艺条件、危险、有害因素的分布及状况、便于实施评价为原则进行评价单元的划分。</w:t>
      </w:r>
    </w:p>
    <w:p w14:paraId="4D92379D">
      <w:pPr>
        <w:pStyle w:val="2"/>
        <w:ind w:firstLine="560"/>
        <w:rPr>
          <w:rFonts w:ascii="宋体" w:hAnsi="宋体" w:eastAsia="宋体"/>
          <w:b w:val="0"/>
          <w:bCs/>
          <w:szCs w:val="28"/>
        </w:rPr>
      </w:pPr>
      <w:r>
        <w:rPr>
          <w:rFonts w:ascii="宋体" w:hAnsi="宋体" w:eastAsia="宋体"/>
          <w:b w:val="0"/>
          <w:bCs/>
          <w:szCs w:val="28"/>
        </w:rPr>
        <w:t>4</w:t>
      </w:r>
      <w:r>
        <w:rPr>
          <w:rFonts w:hint="eastAsia" w:ascii="宋体" w:hAnsi="宋体" w:eastAsia="宋体"/>
          <w:b w:val="0"/>
          <w:bCs/>
          <w:szCs w:val="28"/>
        </w:rPr>
        <w:t>）选择评价方法：根据评价的目的、要求和评价对象的特点、工艺、功能或活动分布，选择科学、合理、适用的定性、定量评价方法。</w:t>
      </w:r>
    </w:p>
    <w:p w14:paraId="7D6C617E">
      <w:pPr>
        <w:pStyle w:val="2"/>
        <w:ind w:firstLine="560"/>
        <w:rPr>
          <w:rFonts w:ascii="宋体" w:hAnsi="宋体" w:eastAsia="宋体"/>
          <w:b w:val="0"/>
          <w:bCs/>
          <w:szCs w:val="28"/>
        </w:rPr>
      </w:pPr>
      <w:r>
        <w:rPr>
          <w:rFonts w:ascii="宋体" w:hAnsi="宋体" w:eastAsia="宋体"/>
          <w:b w:val="0"/>
          <w:bCs/>
          <w:szCs w:val="28"/>
        </w:rPr>
        <w:t>5</w:t>
      </w:r>
      <w:r>
        <w:rPr>
          <w:rFonts w:hint="eastAsia" w:ascii="宋体" w:hAnsi="宋体" w:eastAsia="宋体"/>
          <w:b w:val="0"/>
          <w:bCs/>
          <w:szCs w:val="28"/>
        </w:rPr>
        <w:t>）定性评价：对危险、有害因素导致事故发生的可能性和严重程度进行评价。</w:t>
      </w:r>
    </w:p>
    <w:p w14:paraId="41E50859">
      <w:pPr>
        <w:pStyle w:val="2"/>
        <w:ind w:firstLine="560"/>
        <w:rPr>
          <w:rFonts w:ascii="宋体" w:hAnsi="宋体" w:eastAsia="宋体"/>
          <w:b w:val="0"/>
          <w:bCs/>
          <w:szCs w:val="28"/>
        </w:rPr>
      </w:pPr>
      <w:r>
        <w:rPr>
          <w:rFonts w:ascii="宋体" w:hAnsi="宋体" w:eastAsia="宋体"/>
          <w:b w:val="0"/>
          <w:bCs/>
          <w:szCs w:val="28"/>
        </w:rPr>
        <w:t>6</w:t>
      </w:r>
      <w:r>
        <w:rPr>
          <w:rFonts w:hint="eastAsia" w:ascii="宋体" w:hAnsi="宋体" w:eastAsia="宋体"/>
          <w:b w:val="0"/>
          <w:bCs/>
          <w:szCs w:val="28"/>
        </w:rPr>
        <w:t>）安全对策及建议：为保障评价对象建成或实施后能安全运行，从评价对象的工程设计与建设、总平面布置、危险等级及定员定量、内外部距离、建筑结构、电气及防雷、消防与给水、安全监控设施及安全管理等方面提出安全技术对策措施；从评价对象的安全生产组织机构设置、人员管理、人员培训、物料管理、应急救援管理等方面提出安全管理对策措施；从保证评价对象安全运行的需要提出其他安全对策措施。</w:t>
      </w:r>
    </w:p>
    <w:p w14:paraId="0A7E15A1">
      <w:pPr>
        <w:pStyle w:val="2"/>
        <w:ind w:firstLine="560"/>
        <w:rPr>
          <w:rFonts w:ascii="宋体" w:hAnsi="宋体" w:eastAsia="宋体"/>
          <w:b w:val="0"/>
          <w:bCs/>
          <w:szCs w:val="28"/>
        </w:rPr>
      </w:pPr>
      <w:r>
        <w:rPr>
          <w:rFonts w:ascii="宋体" w:hAnsi="宋体" w:eastAsia="宋体"/>
          <w:b w:val="0"/>
          <w:bCs/>
          <w:szCs w:val="28"/>
        </w:rPr>
        <w:t>7</w:t>
      </w:r>
      <w:r>
        <w:rPr>
          <w:rFonts w:hint="eastAsia" w:ascii="宋体" w:hAnsi="宋体" w:eastAsia="宋体"/>
          <w:b w:val="0"/>
          <w:bCs/>
          <w:szCs w:val="28"/>
        </w:rPr>
        <w:t>）评价结论：概括评价结果，给出评价对象在评价时的条件下与国家有关法律法规、标准、行政规章、规范的符合性结论，给出危险、有害因素引发各类事故的可能性和严重程度的预测性结论，明确评价对象建成或实施后能否安全运行的结论。</w:t>
      </w:r>
    </w:p>
    <w:p w14:paraId="2210660E">
      <w:pPr>
        <w:pStyle w:val="2"/>
        <w:ind w:firstLine="560"/>
        <w:rPr>
          <w:rFonts w:ascii="宋体" w:hAnsi="宋体" w:eastAsia="宋体"/>
          <w:b w:val="0"/>
          <w:bCs/>
          <w:szCs w:val="28"/>
        </w:rPr>
      </w:pPr>
      <w:r>
        <w:rPr>
          <w:rFonts w:ascii="宋体" w:hAnsi="宋体" w:eastAsia="宋体"/>
          <w:b w:val="0"/>
          <w:bCs/>
          <w:szCs w:val="28"/>
        </w:rPr>
        <w:t>8</w:t>
      </w:r>
      <w:r>
        <w:rPr>
          <w:rFonts w:hint="eastAsia" w:ascii="宋体" w:hAnsi="宋体" w:eastAsia="宋体"/>
          <w:b w:val="0"/>
          <w:bCs/>
          <w:szCs w:val="28"/>
        </w:rPr>
        <w:t>）编制安全预评价报告：依据安全评价的结果编制安全预评价报告。</w:t>
      </w:r>
    </w:p>
    <w:p w14:paraId="6A27F323">
      <w:pPr>
        <w:tabs>
          <w:tab w:val="center" w:pos="4153"/>
          <w:tab w:val="right" w:pos="8306"/>
        </w:tabs>
        <w:snapToGrid w:val="0"/>
        <w:jc w:val="center"/>
        <w:rPr>
          <w:rFonts w:ascii="Times New Roman" w:hAnsi="Times New Roman"/>
          <w:b w:val="0"/>
          <w:szCs w:val="18"/>
        </w:rPr>
      </w:pPr>
      <w:r>
        <w:rPr>
          <w:rFonts w:ascii="Times New Roman" w:hAnsi="Times New Roman"/>
        </w:rPr>
        <mc:AlternateContent>
          <mc:Choice Requires="wpc">
            <w:drawing>
              <wp:inline distT="0" distB="0" distL="0" distR="0">
                <wp:extent cx="4791075" cy="4524375"/>
                <wp:effectExtent l="0" t="0" r="0" b="0"/>
                <wp:docPr id="1007" name="画布 1007"/>
                <wp:cNvGraphicFramePr/>
                <a:graphic xmlns:a="http://schemas.openxmlformats.org/drawingml/2006/main">
                  <a:graphicData uri="http://schemas.microsoft.com/office/word/2010/wordprocessingCanvas">
                    <wpc:wpc>
                      <wpc:bg>
                        <a:noFill/>
                      </wpc:bg>
                      <wpc:whole>
                        <a:ln>
                          <a:noFill/>
                        </a:ln>
                      </wpc:whole>
                      <wpg:wgp>
                        <wpg:cNvPr id="55" name="Group 5"/>
                        <wpg:cNvGrpSpPr/>
                        <wpg:grpSpPr>
                          <a:xfrm>
                            <a:off x="2401492" y="363813"/>
                            <a:ext cx="76900" cy="301611"/>
                            <a:chOff x="5755" y="-8557"/>
                            <a:chExt cx="120" cy="475"/>
                          </a:xfrm>
                        </wpg:grpSpPr>
                        <wps:wsp>
                          <wps:cNvPr id="56" name="Freeform 6"/>
                          <wps:cNvSpPr/>
                          <wps:spPr bwMode="auto">
                            <a:xfrm>
                              <a:off x="5755" y="-8557"/>
                              <a:ext cx="120" cy="475"/>
                            </a:xfrm>
                            <a:custGeom>
                              <a:avLst/>
                              <a:gdLst>
                                <a:gd name="T0" fmla="*/ 53 w 120"/>
                                <a:gd name="T1" fmla="*/ -8202 h 475"/>
                                <a:gd name="T2" fmla="*/ 0 w 120"/>
                                <a:gd name="T3" fmla="*/ -8202 h 475"/>
                                <a:gd name="T4" fmla="*/ 60 w 120"/>
                                <a:gd name="T5" fmla="*/ -8082 h 475"/>
                                <a:gd name="T6" fmla="*/ 107 w 120"/>
                                <a:gd name="T7" fmla="*/ -8175 h 475"/>
                                <a:gd name="T8" fmla="*/ 60 w 120"/>
                                <a:gd name="T9" fmla="*/ -8175 h 475"/>
                                <a:gd name="T10" fmla="*/ 55 w 120"/>
                                <a:gd name="T11" fmla="*/ -8178 h 475"/>
                                <a:gd name="T12" fmla="*/ 53 w 120"/>
                                <a:gd name="T13" fmla="*/ -8182 h 475"/>
                                <a:gd name="T14" fmla="*/ 53 w 120"/>
                                <a:gd name="T15" fmla="*/ -820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5"/>
                                  </a:lnTo>
                                  <a:lnTo>
                                    <a:pt x="53" y="355"/>
                                  </a:lnTo>
                                  <a:close/>
                                </a:path>
                              </a:pathLst>
                            </a:custGeom>
                            <a:solidFill>
                              <a:srgbClr val="000000"/>
                            </a:solidFill>
                            <a:ln>
                              <a:noFill/>
                            </a:ln>
                          </wps:spPr>
                          <wps:bodyPr rot="0" vert="horz" wrap="square" lIns="91440" tIns="45720" rIns="91440" bIns="45720" anchor="t" anchorCtr="0" upright="1">
                            <a:noAutofit/>
                          </wps:bodyPr>
                        </wps:wsp>
                        <wps:wsp>
                          <wps:cNvPr id="57" name="Freeform 7"/>
                          <wps:cNvSpPr/>
                          <wps:spPr bwMode="auto">
                            <a:xfrm>
                              <a:off x="5755" y="-8557"/>
                              <a:ext cx="120" cy="475"/>
                            </a:xfrm>
                            <a:custGeom>
                              <a:avLst/>
                              <a:gdLst>
                                <a:gd name="T0" fmla="*/ 60 w 120"/>
                                <a:gd name="T1" fmla="*/ -8557 h 475"/>
                                <a:gd name="T2" fmla="*/ 55 w 120"/>
                                <a:gd name="T3" fmla="*/ -8554 h 475"/>
                                <a:gd name="T4" fmla="*/ 53 w 120"/>
                                <a:gd name="T5" fmla="*/ -8550 h 475"/>
                                <a:gd name="T6" fmla="*/ 53 w 120"/>
                                <a:gd name="T7" fmla="*/ -8182 h 475"/>
                                <a:gd name="T8" fmla="*/ 55 w 120"/>
                                <a:gd name="T9" fmla="*/ -8178 h 475"/>
                                <a:gd name="T10" fmla="*/ 60 w 120"/>
                                <a:gd name="T11" fmla="*/ -8175 h 475"/>
                                <a:gd name="T12" fmla="*/ 65 w 120"/>
                                <a:gd name="T13" fmla="*/ -8178 h 475"/>
                                <a:gd name="T14" fmla="*/ 67 w 120"/>
                                <a:gd name="T15" fmla="*/ -8182 h 475"/>
                                <a:gd name="T16" fmla="*/ 67 w 120"/>
                                <a:gd name="T17" fmla="*/ -8550 h 475"/>
                                <a:gd name="T18" fmla="*/ 65 w 120"/>
                                <a:gd name="T19" fmla="*/ -8554 h 475"/>
                                <a:gd name="T20" fmla="*/ 60 w 120"/>
                                <a:gd name="T21" fmla="*/ -855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961" name="Freeform 8"/>
                          <wps:cNvSpPr/>
                          <wps:spPr bwMode="auto">
                            <a:xfrm>
                              <a:off x="5755" y="-8557"/>
                              <a:ext cx="120" cy="475"/>
                            </a:xfrm>
                            <a:custGeom>
                              <a:avLst/>
                              <a:gdLst>
                                <a:gd name="T0" fmla="*/ 120 w 120"/>
                                <a:gd name="T1" fmla="*/ -8202 h 475"/>
                                <a:gd name="T2" fmla="*/ 67 w 120"/>
                                <a:gd name="T3" fmla="*/ -8202 h 475"/>
                                <a:gd name="T4" fmla="*/ 67 w 120"/>
                                <a:gd name="T5" fmla="*/ -8182 h 475"/>
                                <a:gd name="T6" fmla="*/ 65 w 120"/>
                                <a:gd name="T7" fmla="*/ -8178 h 475"/>
                                <a:gd name="T8" fmla="*/ 60 w 120"/>
                                <a:gd name="T9" fmla="*/ -8175 h 475"/>
                                <a:gd name="T10" fmla="*/ 107 w 120"/>
                                <a:gd name="T11" fmla="*/ -8175 h 475"/>
                                <a:gd name="T12" fmla="*/ 120 w 120"/>
                                <a:gd name="T13" fmla="*/ -820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5"/>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g:wgp>
                        <wpg:cNvPr id="962" name="Group 9"/>
                        <wpg:cNvGrpSpPr/>
                        <wpg:grpSpPr>
                          <a:xfrm>
                            <a:off x="2401492" y="948634"/>
                            <a:ext cx="76900" cy="302211"/>
                            <a:chOff x="5755" y="-7621"/>
                            <a:chExt cx="120" cy="473"/>
                          </a:xfrm>
                        </wpg:grpSpPr>
                        <wps:wsp>
                          <wps:cNvPr id="963" name="Freeform 10"/>
                          <wps:cNvSpPr/>
                          <wps:spPr bwMode="auto">
                            <a:xfrm>
                              <a:off x="5755" y="-7621"/>
                              <a:ext cx="120" cy="473"/>
                            </a:xfrm>
                            <a:custGeom>
                              <a:avLst/>
                              <a:gdLst>
                                <a:gd name="T0" fmla="*/ 53 w 120"/>
                                <a:gd name="T1" fmla="*/ -7268 h 473"/>
                                <a:gd name="T2" fmla="*/ 0 w 120"/>
                                <a:gd name="T3" fmla="*/ -7268 h 473"/>
                                <a:gd name="T4" fmla="*/ 60 w 120"/>
                                <a:gd name="T5" fmla="*/ -7148 h 473"/>
                                <a:gd name="T6" fmla="*/ 105 w 120"/>
                                <a:gd name="T7" fmla="*/ -7239 h 473"/>
                                <a:gd name="T8" fmla="*/ 60 w 120"/>
                                <a:gd name="T9" fmla="*/ -7239 h 473"/>
                                <a:gd name="T10" fmla="*/ 55 w 120"/>
                                <a:gd name="T11" fmla="*/ -7242 h 473"/>
                                <a:gd name="T12" fmla="*/ 53 w 120"/>
                                <a:gd name="T13" fmla="*/ -7246 h 473"/>
                                <a:gd name="T14" fmla="*/ 53 w 120"/>
                                <a:gd name="T15" fmla="*/ -7268 h 47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3">
                                  <a:moveTo>
                                    <a:pt x="53" y="353"/>
                                  </a:moveTo>
                                  <a:lnTo>
                                    <a:pt x="0" y="353"/>
                                  </a:lnTo>
                                  <a:lnTo>
                                    <a:pt x="60" y="473"/>
                                  </a:lnTo>
                                  <a:lnTo>
                                    <a:pt x="105" y="382"/>
                                  </a:lnTo>
                                  <a:lnTo>
                                    <a:pt x="60" y="382"/>
                                  </a:lnTo>
                                  <a:lnTo>
                                    <a:pt x="55" y="379"/>
                                  </a:lnTo>
                                  <a:lnTo>
                                    <a:pt x="53" y="375"/>
                                  </a:lnTo>
                                  <a:lnTo>
                                    <a:pt x="53" y="353"/>
                                  </a:lnTo>
                                  <a:close/>
                                </a:path>
                              </a:pathLst>
                            </a:custGeom>
                            <a:solidFill>
                              <a:srgbClr val="000000"/>
                            </a:solidFill>
                            <a:ln>
                              <a:noFill/>
                            </a:ln>
                          </wps:spPr>
                          <wps:bodyPr rot="0" vert="horz" wrap="square" lIns="91440" tIns="45720" rIns="91440" bIns="45720" anchor="t" anchorCtr="0" upright="1">
                            <a:noAutofit/>
                          </wps:bodyPr>
                        </wps:wsp>
                        <wps:wsp>
                          <wps:cNvPr id="964" name="Freeform 11"/>
                          <wps:cNvSpPr/>
                          <wps:spPr bwMode="auto">
                            <a:xfrm>
                              <a:off x="5755" y="-7621"/>
                              <a:ext cx="120" cy="473"/>
                            </a:xfrm>
                            <a:custGeom>
                              <a:avLst/>
                              <a:gdLst>
                                <a:gd name="T0" fmla="*/ 60 w 120"/>
                                <a:gd name="T1" fmla="*/ -7621 h 473"/>
                                <a:gd name="T2" fmla="*/ 55 w 120"/>
                                <a:gd name="T3" fmla="*/ -7618 h 473"/>
                                <a:gd name="T4" fmla="*/ 53 w 120"/>
                                <a:gd name="T5" fmla="*/ -7614 h 473"/>
                                <a:gd name="T6" fmla="*/ 53 w 120"/>
                                <a:gd name="T7" fmla="*/ -7246 h 473"/>
                                <a:gd name="T8" fmla="*/ 55 w 120"/>
                                <a:gd name="T9" fmla="*/ -7242 h 473"/>
                                <a:gd name="T10" fmla="*/ 60 w 120"/>
                                <a:gd name="T11" fmla="*/ -7239 h 473"/>
                                <a:gd name="T12" fmla="*/ 65 w 120"/>
                                <a:gd name="T13" fmla="*/ -7242 h 473"/>
                                <a:gd name="T14" fmla="*/ 67 w 120"/>
                                <a:gd name="T15" fmla="*/ -7246 h 473"/>
                                <a:gd name="T16" fmla="*/ 67 w 120"/>
                                <a:gd name="T17" fmla="*/ -7614 h 473"/>
                                <a:gd name="T18" fmla="*/ 65 w 120"/>
                                <a:gd name="T19" fmla="*/ -7618 h 473"/>
                                <a:gd name="T20" fmla="*/ 60 w 120"/>
                                <a:gd name="T21" fmla="*/ -7621 h 47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3">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965" name="Freeform 12"/>
                          <wps:cNvSpPr/>
                          <wps:spPr bwMode="auto">
                            <a:xfrm>
                              <a:off x="5755" y="-7621"/>
                              <a:ext cx="120" cy="473"/>
                            </a:xfrm>
                            <a:custGeom>
                              <a:avLst/>
                              <a:gdLst>
                                <a:gd name="T0" fmla="*/ 120 w 120"/>
                                <a:gd name="T1" fmla="*/ -7268 h 473"/>
                                <a:gd name="T2" fmla="*/ 67 w 120"/>
                                <a:gd name="T3" fmla="*/ -7268 h 473"/>
                                <a:gd name="T4" fmla="*/ 67 w 120"/>
                                <a:gd name="T5" fmla="*/ -7246 h 473"/>
                                <a:gd name="T6" fmla="*/ 65 w 120"/>
                                <a:gd name="T7" fmla="*/ -7242 h 473"/>
                                <a:gd name="T8" fmla="*/ 60 w 120"/>
                                <a:gd name="T9" fmla="*/ -7239 h 473"/>
                                <a:gd name="T10" fmla="*/ 105 w 120"/>
                                <a:gd name="T11" fmla="*/ -7239 h 473"/>
                                <a:gd name="T12" fmla="*/ 120 w 120"/>
                                <a:gd name="T13" fmla="*/ -7268 h 47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3">
                                  <a:moveTo>
                                    <a:pt x="120" y="353"/>
                                  </a:moveTo>
                                  <a:lnTo>
                                    <a:pt x="67" y="353"/>
                                  </a:lnTo>
                                  <a:lnTo>
                                    <a:pt x="67" y="375"/>
                                  </a:lnTo>
                                  <a:lnTo>
                                    <a:pt x="65" y="379"/>
                                  </a:lnTo>
                                  <a:lnTo>
                                    <a:pt x="60" y="382"/>
                                  </a:lnTo>
                                  <a:lnTo>
                                    <a:pt x="105" y="382"/>
                                  </a:lnTo>
                                  <a:lnTo>
                                    <a:pt x="120" y="353"/>
                                  </a:lnTo>
                                  <a:close/>
                                </a:path>
                              </a:pathLst>
                            </a:custGeom>
                            <a:solidFill>
                              <a:srgbClr val="000000"/>
                            </a:solidFill>
                            <a:ln>
                              <a:noFill/>
                            </a:ln>
                          </wps:spPr>
                          <wps:bodyPr rot="0" vert="horz" wrap="square" lIns="91440" tIns="45720" rIns="91440" bIns="45720" anchor="t" anchorCtr="0" upright="1">
                            <a:noAutofit/>
                          </wps:bodyPr>
                        </wps:wsp>
                      </wpg:wgp>
                      <wpg:wgp>
                        <wpg:cNvPr id="970" name="Group 13"/>
                        <wpg:cNvGrpSpPr/>
                        <wpg:grpSpPr>
                          <a:xfrm>
                            <a:off x="2401492" y="1523955"/>
                            <a:ext cx="76900" cy="302211"/>
                            <a:chOff x="5755" y="-6685"/>
                            <a:chExt cx="120" cy="475"/>
                          </a:xfrm>
                        </wpg:grpSpPr>
                        <wps:wsp>
                          <wps:cNvPr id="974" name="Freeform 14"/>
                          <wps:cNvSpPr/>
                          <wps:spPr bwMode="auto">
                            <a:xfrm>
                              <a:off x="5755" y="-6685"/>
                              <a:ext cx="120" cy="475"/>
                            </a:xfrm>
                            <a:custGeom>
                              <a:avLst/>
                              <a:gdLst>
                                <a:gd name="T0" fmla="*/ 53 w 120"/>
                                <a:gd name="T1" fmla="*/ -6330 h 475"/>
                                <a:gd name="T2" fmla="*/ 0 w 120"/>
                                <a:gd name="T3" fmla="*/ -6330 h 475"/>
                                <a:gd name="T4" fmla="*/ 60 w 120"/>
                                <a:gd name="T5" fmla="*/ -6210 h 475"/>
                                <a:gd name="T6" fmla="*/ 107 w 120"/>
                                <a:gd name="T7" fmla="*/ -6303 h 475"/>
                                <a:gd name="T8" fmla="*/ 60 w 120"/>
                                <a:gd name="T9" fmla="*/ -6303 h 475"/>
                                <a:gd name="T10" fmla="*/ 55 w 120"/>
                                <a:gd name="T11" fmla="*/ -6306 h 475"/>
                                <a:gd name="T12" fmla="*/ 53 w 120"/>
                                <a:gd name="T13" fmla="*/ -6311 h 475"/>
                                <a:gd name="T14" fmla="*/ 53 w 120"/>
                                <a:gd name="T15" fmla="*/ -6330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980" name="Freeform 15"/>
                          <wps:cNvSpPr/>
                          <wps:spPr bwMode="auto">
                            <a:xfrm>
                              <a:off x="5755" y="-6685"/>
                              <a:ext cx="120" cy="475"/>
                            </a:xfrm>
                            <a:custGeom>
                              <a:avLst/>
                              <a:gdLst>
                                <a:gd name="T0" fmla="*/ 60 w 120"/>
                                <a:gd name="T1" fmla="*/ -6685 h 475"/>
                                <a:gd name="T2" fmla="*/ 55 w 120"/>
                                <a:gd name="T3" fmla="*/ -6683 h 475"/>
                                <a:gd name="T4" fmla="*/ 53 w 120"/>
                                <a:gd name="T5" fmla="*/ -6678 h 475"/>
                                <a:gd name="T6" fmla="*/ 53 w 120"/>
                                <a:gd name="T7" fmla="*/ -6311 h 475"/>
                                <a:gd name="T8" fmla="*/ 55 w 120"/>
                                <a:gd name="T9" fmla="*/ -6306 h 475"/>
                                <a:gd name="T10" fmla="*/ 60 w 120"/>
                                <a:gd name="T11" fmla="*/ -6303 h 475"/>
                                <a:gd name="T12" fmla="*/ 65 w 120"/>
                                <a:gd name="T13" fmla="*/ -6306 h 475"/>
                                <a:gd name="T14" fmla="*/ 67 w 120"/>
                                <a:gd name="T15" fmla="*/ -6311 h 475"/>
                                <a:gd name="T16" fmla="*/ 67 w 120"/>
                                <a:gd name="T17" fmla="*/ -6678 h 475"/>
                                <a:gd name="T18" fmla="*/ 65 w 120"/>
                                <a:gd name="T19" fmla="*/ -6683 h 475"/>
                                <a:gd name="T20" fmla="*/ 60 w 120"/>
                                <a:gd name="T21" fmla="*/ -6685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981" name="Freeform 16"/>
                          <wps:cNvSpPr/>
                          <wps:spPr bwMode="auto">
                            <a:xfrm>
                              <a:off x="5755" y="-6685"/>
                              <a:ext cx="120" cy="475"/>
                            </a:xfrm>
                            <a:custGeom>
                              <a:avLst/>
                              <a:gdLst>
                                <a:gd name="T0" fmla="*/ 120 w 120"/>
                                <a:gd name="T1" fmla="*/ -6330 h 475"/>
                                <a:gd name="T2" fmla="*/ 67 w 120"/>
                                <a:gd name="T3" fmla="*/ -6330 h 475"/>
                                <a:gd name="T4" fmla="*/ 67 w 120"/>
                                <a:gd name="T5" fmla="*/ -6311 h 475"/>
                                <a:gd name="T6" fmla="*/ 65 w 120"/>
                                <a:gd name="T7" fmla="*/ -6306 h 475"/>
                                <a:gd name="T8" fmla="*/ 60 w 120"/>
                                <a:gd name="T9" fmla="*/ -6303 h 475"/>
                                <a:gd name="T10" fmla="*/ 107 w 120"/>
                                <a:gd name="T11" fmla="*/ -6303 h 475"/>
                                <a:gd name="T12" fmla="*/ 120 w 120"/>
                                <a:gd name="T13" fmla="*/ -6330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g:wgp>
                        <wpg:cNvPr id="982" name="Group 17"/>
                        <wpg:cNvGrpSpPr/>
                        <wpg:grpSpPr>
                          <a:xfrm>
                            <a:off x="2401492" y="2093576"/>
                            <a:ext cx="76900" cy="302211"/>
                            <a:chOff x="5755" y="-5749"/>
                            <a:chExt cx="120" cy="475"/>
                          </a:xfrm>
                        </wpg:grpSpPr>
                        <wps:wsp>
                          <wps:cNvPr id="983" name="Freeform 18"/>
                          <wps:cNvSpPr/>
                          <wps:spPr bwMode="auto">
                            <a:xfrm>
                              <a:off x="5755" y="-5749"/>
                              <a:ext cx="120" cy="475"/>
                            </a:xfrm>
                            <a:custGeom>
                              <a:avLst/>
                              <a:gdLst>
                                <a:gd name="T0" fmla="*/ 53 w 120"/>
                                <a:gd name="T1" fmla="*/ -5394 h 475"/>
                                <a:gd name="T2" fmla="*/ 0 w 120"/>
                                <a:gd name="T3" fmla="*/ -5394 h 475"/>
                                <a:gd name="T4" fmla="*/ 60 w 120"/>
                                <a:gd name="T5" fmla="*/ -5274 h 475"/>
                                <a:gd name="T6" fmla="*/ 107 w 120"/>
                                <a:gd name="T7" fmla="*/ -5367 h 475"/>
                                <a:gd name="T8" fmla="*/ 60 w 120"/>
                                <a:gd name="T9" fmla="*/ -5367 h 475"/>
                                <a:gd name="T10" fmla="*/ 55 w 120"/>
                                <a:gd name="T11" fmla="*/ -5370 h 475"/>
                                <a:gd name="T12" fmla="*/ 53 w 120"/>
                                <a:gd name="T13" fmla="*/ -5375 h 475"/>
                                <a:gd name="T14" fmla="*/ 53 w 120"/>
                                <a:gd name="T15" fmla="*/ -5394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984" name="Freeform 19"/>
                          <wps:cNvSpPr/>
                          <wps:spPr bwMode="auto">
                            <a:xfrm>
                              <a:off x="5755" y="-5749"/>
                              <a:ext cx="120" cy="475"/>
                            </a:xfrm>
                            <a:custGeom>
                              <a:avLst/>
                              <a:gdLst>
                                <a:gd name="T0" fmla="*/ 60 w 120"/>
                                <a:gd name="T1" fmla="*/ -5749 h 475"/>
                                <a:gd name="T2" fmla="*/ 55 w 120"/>
                                <a:gd name="T3" fmla="*/ -5747 h 475"/>
                                <a:gd name="T4" fmla="*/ 53 w 120"/>
                                <a:gd name="T5" fmla="*/ -5742 h 475"/>
                                <a:gd name="T6" fmla="*/ 53 w 120"/>
                                <a:gd name="T7" fmla="*/ -5375 h 475"/>
                                <a:gd name="T8" fmla="*/ 55 w 120"/>
                                <a:gd name="T9" fmla="*/ -5370 h 475"/>
                                <a:gd name="T10" fmla="*/ 60 w 120"/>
                                <a:gd name="T11" fmla="*/ -5367 h 475"/>
                                <a:gd name="T12" fmla="*/ 65 w 120"/>
                                <a:gd name="T13" fmla="*/ -5370 h 475"/>
                                <a:gd name="T14" fmla="*/ 67 w 120"/>
                                <a:gd name="T15" fmla="*/ -5375 h 475"/>
                                <a:gd name="T16" fmla="*/ 67 w 120"/>
                                <a:gd name="T17" fmla="*/ -5742 h 475"/>
                                <a:gd name="T18" fmla="*/ 65 w 120"/>
                                <a:gd name="T19" fmla="*/ -5747 h 475"/>
                                <a:gd name="T20" fmla="*/ 60 w 120"/>
                                <a:gd name="T21" fmla="*/ -5749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986" name="Freeform 20"/>
                          <wps:cNvSpPr/>
                          <wps:spPr bwMode="auto">
                            <a:xfrm>
                              <a:off x="5755" y="-5749"/>
                              <a:ext cx="120" cy="475"/>
                            </a:xfrm>
                            <a:custGeom>
                              <a:avLst/>
                              <a:gdLst>
                                <a:gd name="T0" fmla="*/ 120 w 120"/>
                                <a:gd name="T1" fmla="*/ -5394 h 475"/>
                                <a:gd name="T2" fmla="*/ 67 w 120"/>
                                <a:gd name="T3" fmla="*/ -5394 h 475"/>
                                <a:gd name="T4" fmla="*/ 67 w 120"/>
                                <a:gd name="T5" fmla="*/ -5375 h 475"/>
                                <a:gd name="T6" fmla="*/ 65 w 120"/>
                                <a:gd name="T7" fmla="*/ -5370 h 475"/>
                                <a:gd name="T8" fmla="*/ 60 w 120"/>
                                <a:gd name="T9" fmla="*/ -5367 h 475"/>
                                <a:gd name="T10" fmla="*/ 107 w 120"/>
                                <a:gd name="T11" fmla="*/ -5367 h 475"/>
                                <a:gd name="T12" fmla="*/ 120 w 120"/>
                                <a:gd name="T13" fmla="*/ -5394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g:wgp>
                        <wpg:cNvPr id="987" name="Group 21"/>
                        <wpg:cNvGrpSpPr/>
                        <wpg:grpSpPr>
                          <a:xfrm>
                            <a:off x="2401492" y="2659396"/>
                            <a:ext cx="76900" cy="302211"/>
                            <a:chOff x="5755" y="-4813"/>
                            <a:chExt cx="120" cy="475"/>
                          </a:xfrm>
                        </wpg:grpSpPr>
                        <wps:wsp>
                          <wps:cNvPr id="988" name="Freeform 22"/>
                          <wps:cNvSpPr/>
                          <wps:spPr bwMode="auto">
                            <a:xfrm>
                              <a:off x="5755" y="-4813"/>
                              <a:ext cx="120" cy="475"/>
                            </a:xfrm>
                            <a:custGeom>
                              <a:avLst/>
                              <a:gdLst>
                                <a:gd name="T0" fmla="*/ 53 w 120"/>
                                <a:gd name="T1" fmla="*/ -4458 h 475"/>
                                <a:gd name="T2" fmla="*/ 0 w 120"/>
                                <a:gd name="T3" fmla="*/ -4458 h 475"/>
                                <a:gd name="T4" fmla="*/ 60 w 120"/>
                                <a:gd name="T5" fmla="*/ -4338 h 475"/>
                                <a:gd name="T6" fmla="*/ 107 w 120"/>
                                <a:gd name="T7" fmla="*/ -4431 h 475"/>
                                <a:gd name="T8" fmla="*/ 60 w 120"/>
                                <a:gd name="T9" fmla="*/ -4431 h 475"/>
                                <a:gd name="T10" fmla="*/ 55 w 120"/>
                                <a:gd name="T11" fmla="*/ -4434 h 475"/>
                                <a:gd name="T12" fmla="*/ 53 w 120"/>
                                <a:gd name="T13" fmla="*/ -4439 h 475"/>
                                <a:gd name="T14" fmla="*/ 53 w 120"/>
                                <a:gd name="T15" fmla="*/ -4458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989" name="Freeform 23"/>
                          <wps:cNvSpPr/>
                          <wps:spPr bwMode="auto">
                            <a:xfrm>
                              <a:off x="5755" y="-4813"/>
                              <a:ext cx="120" cy="475"/>
                            </a:xfrm>
                            <a:custGeom>
                              <a:avLst/>
                              <a:gdLst>
                                <a:gd name="T0" fmla="*/ 60 w 120"/>
                                <a:gd name="T1" fmla="*/ -4813 h 475"/>
                                <a:gd name="T2" fmla="*/ 55 w 120"/>
                                <a:gd name="T3" fmla="*/ -4811 h 475"/>
                                <a:gd name="T4" fmla="*/ 53 w 120"/>
                                <a:gd name="T5" fmla="*/ -4806 h 475"/>
                                <a:gd name="T6" fmla="*/ 53 w 120"/>
                                <a:gd name="T7" fmla="*/ -4439 h 475"/>
                                <a:gd name="T8" fmla="*/ 55 w 120"/>
                                <a:gd name="T9" fmla="*/ -4434 h 475"/>
                                <a:gd name="T10" fmla="*/ 60 w 120"/>
                                <a:gd name="T11" fmla="*/ -4431 h 475"/>
                                <a:gd name="T12" fmla="*/ 65 w 120"/>
                                <a:gd name="T13" fmla="*/ -4434 h 475"/>
                                <a:gd name="T14" fmla="*/ 67 w 120"/>
                                <a:gd name="T15" fmla="*/ -4439 h 475"/>
                                <a:gd name="T16" fmla="*/ 67 w 120"/>
                                <a:gd name="T17" fmla="*/ -4806 h 475"/>
                                <a:gd name="T18" fmla="*/ 65 w 120"/>
                                <a:gd name="T19" fmla="*/ -4811 h 475"/>
                                <a:gd name="T20" fmla="*/ 60 w 120"/>
                                <a:gd name="T21" fmla="*/ -4813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990" name="Freeform 24"/>
                          <wps:cNvSpPr/>
                          <wps:spPr bwMode="auto">
                            <a:xfrm>
                              <a:off x="5755" y="-4813"/>
                              <a:ext cx="120" cy="475"/>
                            </a:xfrm>
                            <a:custGeom>
                              <a:avLst/>
                              <a:gdLst>
                                <a:gd name="T0" fmla="*/ 120 w 120"/>
                                <a:gd name="T1" fmla="*/ -4458 h 475"/>
                                <a:gd name="T2" fmla="*/ 67 w 120"/>
                                <a:gd name="T3" fmla="*/ -4458 h 475"/>
                                <a:gd name="T4" fmla="*/ 67 w 120"/>
                                <a:gd name="T5" fmla="*/ -4439 h 475"/>
                                <a:gd name="T6" fmla="*/ 65 w 120"/>
                                <a:gd name="T7" fmla="*/ -4434 h 475"/>
                                <a:gd name="T8" fmla="*/ 60 w 120"/>
                                <a:gd name="T9" fmla="*/ -4431 h 475"/>
                                <a:gd name="T10" fmla="*/ 107 w 120"/>
                                <a:gd name="T11" fmla="*/ -4431 h 475"/>
                                <a:gd name="T12" fmla="*/ 120 w 120"/>
                                <a:gd name="T13" fmla="*/ -4458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g:wgp>
                        <wpg:cNvPr id="991" name="Group 25"/>
                        <wpg:cNvGrpSpPr/>
                        <wpg:grpSpPr>
                          <a:xfrm>
                            <a:off x="2401492" y="3224517"/>
                            <a:ext cx="76900" cy="302311"/>
                            <a:chOff x="5755" y="-3877"/>
                            <a:chExt cx="120" cy="475"/>
                          </a:xfrm>
                        </wpg:grpSpPr>
                        <wps:wsp>
                          <wps:cNvPr id="992" name="Freeform 26"/>
                          <wps:cNvSpPr/>
                          <wps:spPr bwMode="auto">
                            <a:xfrm>
                              <a:off x="5755" y="-3877"/>
                              <a:ext cx="120" cy="475"/>
                            </a:xfrm>
                            <a:custGeom>
                              <a:avLst/>
                              <a:gdLst>
                                <a:gd name="T0" fmla="*/ 53 w 120"/>
                                <a:gd name="T1" fmla="*/ -3522 h 475"/>
                                <a:gd name="T2" fmla="*/ 0 w 120"/>
                                <a:gd name="T3" fmla="*/ -3522 h 475"/>
                                <a:gd name="T4" fmla="*/ 60 w 120"/>
                                <a:gd name="T5" fmla="*/ -3402 h 475"/>
                                <a:gd name="T6" fmla="*/ 107 w 120"/>
                                <a:gd name="T7" fmla="*/ -3495 h 475"/>
                                <a:gd name="T8" fmla="*/ 60 w 120"/>
                                <a:gd name="T9" fmla="*/ -3495 h 475"/>
                                <a:gd name="T10" fmla="*/ 55 w 120"/>
                                <a:gd name="T11" fmla="*/ -3498 h 475"/>
                                <a:gd name="T12" fmla="*/ 53 w 120"/>
                                <a:gd name="T13" fmla="*/ -3503 h 475"/>
                                <a:gd name="T14" fmla="*/ 53 w 120"/>
                                <a:gd name="T15" fmla="*/ -352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993" name="Freeform 27"/>
                          <wps:cNvSpPr/>
                          <wps:spPr bwMode="auto">
                            <a:xfrm>
                              <a:off x="5755" y="-3877"/>
                              <a:ext cx="120" cy="475"/>
                            </a:xfrm>
                            <a:custGeom>
                              <a:avLst/>
                              <a:gdLst>
                                <a:gd name="T0" fmla="*/ 60 w 120"/>
                                <a:gd name="T1" fmla="*/ -3877 h 475"/>
                                <a:gd name="T2" fmla="*/ 55 w 120"/>
                                <a:gd name="T3" fmla="*/ -3875 h 475"/>
                                <a:gd name="T4" fmla="*/ 53 w 120"/>
                                <a:gd name="T5" fmla="*/ -3870 h 475"/>
                                <a:gd name="T6" fmla="*/ 53 w 120"/>
                                <a:gd name="T7" fmla="*/ -3503 h 475"/>
                                <a:gd name="T8" fmla="*/ 55 w 120"/>
                                <a:gd name="T9" fmla="*/ -3498 h 475"/>
                                <a:gd name="T10" fmla="*/ 60 w 120"/>
                                <a:gd name="T11" fmla="*/ -3495 h 475"/>
                                <a:gd name="T12" fmla="*/ 65 w 120"/>
                                <a:gd name="T13" fmla="*/ -3498 h 475"/>
                                <a:gd name="T14" fmla="*/ 67 w 120"/>
                                <a:gd name="T15" fmla="*/ -3503 h 475"/>
                                <a:gd name="T16" fmla="*/ 67 w 120"/>
                                <a:gd name="T17" fmla="*/ -3870 h 475"/>
                                <a:gd name="T18" fmla="*/ 65 w 120"/>
                                <a:gd name="T19" fmla="*/ -3875 h 475"/>
                                <a:gd name="T20" fmla="*/ 60 w 120"/>
                                <a:gd name="T21" fmla="*/ -387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994" name="Freeform 28"/>
                          <wps:cNvSpPr/>
                          <wps:spPr bwMode="auto">
                            <a:xfrm>
                              <a:off x="5755" y="-3877"/>
                              <a:ext cx="120" cy="475"/>
                            </a:xfrm>
                            <a:custGeom>
                              <a:avLst/>
                              <a:gdLst>
                                <a:gd name="T0" fmla="*/ 120 w 120"/>
                                <a:gd name="T1" fmla="*/ -3522 h 475"/>
                                <a:gd name="T2" fmla="*/ 67 w 120"/>
                                <a:gd name="T3" fmla="*/ -3522 h 475"/>
                                <a:gd name="T4" fmla="*/ 67 w 120"/>
                                <a:gd name="T5" fmla="*/ -3503 h 475"/>
                                <a:gd name="T6" fmla="*/ 65 w 120"/>
                                <a:gd name="T7" fmla="*/ -3498 h 475"/>
                                <a:gd name="T8" fmla="*/ 60 w 120"/>
                                <a:gd name="T9" fmla="*/ -3495 h 475"/>
                                <a:gd name="T10" fmla="*/ 107 w 120"/>
                                <a:gd name="T11" fmla="*/ -3495 h 475"/>
                                <a:gd name="T12" fmla="*/ 120 w 120"/>
                                <a:gd name="T13" fmla="*/ -352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s:wsp>
                        <wps:cNvPr id="995" name="Rectangle 29"/>
                        <wps:cNvSpPr>
                          <a:spLocks noChangeArrowheads="1"/>
                        </wps:cNvSpPr>
                        <wps:spPr bwMode="auto">
                          <a:xfrm>
                            <a:off x="1447195" y="101604"/>
                            <a:ext cx="1979894" cy="288210"/>
                          </a:xfrm>
                          <a:prstGeom prst="rect">
                            <a:avLst/>
                          </a:prstGeom>
                          <a:solidFill>
                            <a:srgbClr val="FFFFFF"/>
                          </a:solidFill>
                          <a:ln w="9525">
                            <a:solidFill>
                              <a:srgbClr val="000000"/>
                            </a:solidFill>
                            <a:miter lim="800000"/>
                          </a:ln>
                        </wps:spPr>
                        <wps:txbx>
                          <w:txbxContent>
                            <w:p w14:paraId="669231F4">
                              <w:pPr>
                                <w:jc w:val="center"/>
                                <w:rPr>
                                  <w:rFonts w:ascii="宋体" w:hAnsi="宋体"/>
                                  <w:b w:val="0"/>
                                  <w:szCs w:val="21"/>
                                </w:rPr>
                              </w:pPr>
                              <w:r>
                                <w:rPr>
                                  <w:rFonts w:hint="eastAsia" w:ascii="宋体" w:hAnsi="宋体"/>
                                  <w:b w:val="0"/>
                                  <w:szCs w:val="21"/>
                                </w:rPr>
                                <w:t>前期准备</w:t>
                              </w:r>
                            </w:p>
                          </w:txbxContent>
                        </wps:txbx>
                        <wps:bodyPr rot="0" vert="horz" wrap="square" lIns="91440" tIns="45720" rIns="91440" bIns="45720" anchor="t" anchorCtr="0" upright="1">
                          <a:noAutofit/>
                        </wps:bodyPr>
                      </wps:wsp>
                      <wps:wsp>
                        <wps:cNvPr id="996" name="Rectangle 30"/>
                        <wps:cNvSpPr>
                          <a:spLocks noChangeArrowheads="1"/>
                        </wps:cNvSpPr>
                        <wps:spPr bwMode="auto">
                          <a:xfrm>
                            <a:off x="1447195" y="677525"/>
                            <a:ext cx="1979894" cy="288310"/>
                          </a:xfrm>
                          <a:prstGeom prst="rect">
                            <a:avLst/>
                          </a:prstGeom>
                          <a:solidFill>
                            <a:srgbClr val="FFFFFF"/>
                          </a:solidFill>
                          <a:ln w="9525">
                            <a:solidFill>
                              <a:srgbClr val="000000"/>
                            </a:solidFill>
                            <a:miter lim="800000"/>
                          </a:ln>
                        </wps:spPr>
                        <wps:txbx>
                          <w:txbxContent>
                            <w:p w14:paraId="59EC2286">
                              <w:pPr>
                                <w:jc w:val="center"/>
                                <w:rPr>
                                  <w:rFonts w:ascii="宋体" w:hAnsi="宋体"/>
                                  <w:b w:val="0"/>
                                  <w:szCs w:val="21"/>
                                </w:rPr>
                              </w:pPr>
                              <w:r>
                                <w:rPr>
                                  <w:rFonts w:hint="eastAsia" w:ascii="宋体" w:hAnsi="宋体"/>
                                  <w:b w:val="0"/>
                                  <w:szCs w:val="21"/>
                                </w:rPr>
                                <w:t>辩识与分析危险、有害因素</w:t>
                              </w:r>
                            </w:p>
                          </w:txbxContent>
                        </wps:txbx>
                        <wps:bodyPr rot="0" vert="horz" wrap="square" lIns="91440" tIns="45720" rIns="91440" bIns="45720" anchor="t" anchorCtr="0" upright="1">
                          <a:noAutofit/>
                        </wps:bodyPr>
                      </wps:wsp>
                      <wps:wsp>
                        <wps:cNvPr id="997" name="Rectangle 31"/>
                        <wps:cNvSpPr>
                          <a:spLocks noChangeArrowheads="1"/>
                        </wps:cNvSpPr>
                        <wps:spPr bwMode="auto">
                          <a:xfrm>
                            <a:off x="1447195" y="1252245"/>
                            <a:ext cx="1979894" cy="288210"/>
                          </a:xfrm>
                          <a:prstGeom prst="rect">
                            <a:avLst/>
                          </a:prstGeom>
                          <a:solidFill>
                            <a:srgbClr val="FFFFFF"/>
                          </a:solidFill>
                          <a:ln w="9525">
                            <a:solidFill>
                              <a:srgbClr val="000000"/>
                            </a:solidFill>
                            <a:miter lim="800000"/>
                          </a:ln>
                        </wps:spPr>
                        <wps:txbx>
                          <w:txbxContent>
                            <w:p w14:paraId="29028FEF">
                              <w:pPr>
                                <w:jc w:val="center"/>
                                <w:rPr>
                                  <w:rFonts w:ascii="宋体" w:hAnsi="宋体"/>
                                  <w:b w:val="0"/>
                                  <w:szCs w:val="21"/>
                                </w:rPr>
                              </w:pPr>
                              <w:r>
                                <w:rPr>
                                  <w:rFonts w:hint="eastAsia" w:ascii="宋体" w:hAnsi="宋体"/>
                                  <w:b w:val="0"/>
                                  <w:szCs w:val="21"/>
                                </w:rPr>
                                <w:t>划分评价单元</w:t>
                              </w:r>
                            </w:p>
                          </w:txbxContent>
                        </wps:txbx>
                        <wps:bodyPr rot="0" vert="horz" wrap="square" lIns="91440" tIns="45720" rIns="91440" bIns="45720" anchor="t" anchorCtr="0" upright="1">
                          <a:noAutofit/>
                        </wps:bodyPr>
                      </wps:wsp>
                      <wps:wsp>
                        <wps:cNvPr id="998" name="Rectangle 32"/>
                        <wps:cNvSpPr>
                          <a:spLocks noChangeArrowheads="1"/>
                        </wps:cNvSpPr>
                        <wps:spPr bwMode="auto">
                          <a:xfrm>
                            <a:off x="1447195" y="1827566"/>
                            <a:ext cx="1979894" cy="288210"/>
                          </a:xfrm>
                          <a:prstGeom prst="rect">
                            <a:avLst/>
                          </a:prstGeom>
                          <a:solidFill>
                            <a:srgbClr val="FFFFFF"/>
                          </a:solidFill>
                          <a:ln w="9525">
                            <a:solidFill>
                              <a:srgbClr val="000000"/>
                            </a:solidFill>
                            <a:miter lim="800000"/>
                          </a:ln>
                        </wps:spPr>
                        <wps:txbx>
                          <w:txbxContent>
                            <w:p w14:paraId="7CB0D3E9">
                              <w:pPr>
                                <w:jc w:val="center"/>
                                <w:rPr>
                                  <w:rFonts w:ascii="宋体" w:hAnsi="宋体"/>
                                  <w:b w:val="0"/>
                                  <w:szCs w:val="21"/>
                                </w:rPr>
                              </w:pPr>
                              <w:r>
                                <w:rPr>
                                  <w:rFonts w:hint="eastAsia" w:ascii="宋体" w:hAnsi="宋体"/>
                                  <w:b w:val="0"/>
                                  <w:szCs w:val="21"/>
                                </w:rPr>
                                <w:t>选择安全评价方法</w:t>
                              </w:r>
                            </w:p>
                          </w:txbxContent>
                        </wps:txbx>
                        <wps:bodyPr rot="0" vert="horz" wrap="square" lIns="91440" tIns="45720" rIns="91440" bIns="45720" anchor="t" anchorCtr="0" upright="1">
                          <a:noAutofit/>
                        </wps:bodyPr>
                      </wps:wsp>
                      <wps:wsp>
                        <wps:cNvPr id="999" name="Rectangle 33"/>
                        <wps:cNvSpPr>
                          <a:spLocks noChangeArrowheads="1"/>
                        </wps:cNvSpPr>
                        <wps:spPr bwMode="auto">
                          <a:xfrm>
                            <a:off x="1447195" y="2402187"/>
                            <a:ext cx="1979894" cy="288310"/>
                          </a:xfrm>
                          <a:prstGeom prst="rect">
                            <a:avLst/>
                          </a:prstGeom>
                          <a:solidFill>
                            <a:srgbClr val="FFFFFF"/>
                          </a:solidFill>
                          <a:ln w="9525">
                            <a:solidFill>
                              <a:srgbClr val="000000"/>
                            </a:solidFill>
                            <a:miter lim="800000"/>
                          </a:ln>
                        </wps:spPr>
                        <wps:txbx>
                          <w:txbxContent>
                            <w:p w14:paraId="756460CE">
                              <w:pPr>
                                <w:jc w:val="center"/>
                                <w:rPr>
                                  <w:rFonts w:ascii="宋体" w:hAnsi="宋体"/>
                                  <w:b w:val="0"/>
                                  <w:szCs w:val="21"/>
                                </w:rPr>
                              </w:pPr>
                              <w:r>
                                <w:rPr>
                                  <w:rFonts w:hint="eastAsia" w:ascii="宋体" w:hAnsi="宋体"/>
                                  <w:b w:val="0"/>
                                  <w:szCs w:val="21"/>
                                </w:rPr>
                                <w:t>定性、定量分析</w:t>
                              </w:r>
                            </w:p>
                            <w:p w14:paraId="26E2A9D6">
                              <w:pPr>
                                <w:jc w:val="center"/>
                                <w:rPr>
                                  <w:rFonts w:ascii="宋体" w:hAnsi="宋体"/>
                                  <w:szCs w:val="21"/>
                                </w:rPr>
                              </w:pPr>
                            </w:p>
                          </w:txbxContent>
                        </wps:txbx>
                        <wps:bodyPr rot="0" vert="horz" wrap="square" lIns="91440" tIns="45720" rIns="91440" bIns="45720" anchor="t" anchorCtr="0" upright="1">
                          <a:noAutofit/>
                        </wps:bodyPr>
                      </wps:wsp>
                      <wps:wsp>
                        <wps:cNvPr id="1000" name="Rectangle 34"/>
                        <wps:cNvSpPr>
                          <a:spLocks noChangeArrowheads="1"/>
                        </wps:cNvSpPr>
                        <wps:spPr bwMode="auto">
                          <a:xfrm>
                            <a:off x="1447195" y="2969308"/>
                            <a:ext cx="1979894" cy="288310"/>
                          </a:xfrm>
                          <a:prstGeom prst="rect">
                            <a:avLst/>
                          </a:prstGeom>
                          <a:solidFill>
                            <a:srgbClr val="FFFFFF"/>
                          </a:solidFill>
                          <a:ln w="9525">
                            <a:solidFill>
                              <a:srgbClr val="000000"/>
                            </a:solidFill>
                            <a:miter lim="800000"/>
                          </a:ln>
                        </wps:spPr>
                        <wps:txbx>
                          <w:txbxContent>
                            <w:p w14:paraId="1785DEAC">
                              <w:pPr>
                                <w:jc w:val="center"/>
                                <w:rPr>
                                  <w:rFonts w:ascii="宋体" w:hAnsi="宋体"/>
                                  <w:b w:val="0"/>
                                  <w:szCs w:val="21"/>
                                </w:rPr>
                              </w:pPr>
                              <w:r>
                                <w:rPr>
                                  <w:rFonts w:hint="eastAsia" w:ascii="宋体" w:hAnsi="宋体"/>
                                  <w:b w:val="0"/>
                                  <w:szCs w:val="21"/>
                                </w:rPr>
                                <w:t>提出安全对策措施建议</w:t>
                              </w:r>
                            </w:p>
                            <w:p w14:paraId="05BC1D6B">
                              <w:pPr>
                                <w:jc w:val="center"/>
                                <w:rPr>
                                  <w:rFonts w:ascii="宋体" w:hAnsi="宋体"/>
                                  <w:szCs w:val="21"/>
                                </w:rPr>
                              </w:pPr>
                            </w:p>
                          </w:txbxContent>
                        </wps:txbx>
                        <wps:bodyPr rot="0" vert="horz" wrap="square" lIns="91440" tIns="45720" rIns="91440" bIns="45720" anchor="t" anchorCtr="0" upright="1">
                          <a:noAutofit/>
                        </wps:bodyPr>
                      </wps:wsp>
                      <wps:wsp>
                        <wps:cNvPr id="1001" name="Rectangle 35"/>
                        <wps:cNvSpPr>
                          <a:spLocks noChangeArrowheads="1"/>
                        </wps:cNvSpPr>
                        <wps:spPr bwMode="auto">
                          <a:xfrm>
                            <a:off x="1447195" y="3533128"/>
                            <a:ext cx="1979894" cy="288310"/>
                          </a:xfrm>
                          <a:prstGeom prst="rect">
                            <a:avLst/>
                          </a:prstGeom>
                          <a:solidFill>
                            <a:srgbClr val="FFFFFF"/>
                          </a:solidFill>
                          <a:ln w="9525">
                            <a:solidFill>
                              <a:srgbClr val="000000"/>
                            </a:solidFill>
                            <a:miter lim="800000"/>
                          </a:ln>
                        </wps:spPr>
                        <wps:txbx>
                          <w:txbxContent>
                            <w:p w14:paraId="3B5232BE">
                              <w:pPr>
                                <w:jc w:val="center"/>
                                <w:rPr>
                                  <w:rFonts w:ascii="宋体" w:hAnsi="宋体"/>
                                  <w:b w:val="0"/>
                                  <w:szCs w:val="21"/>
                                </w:rPr>
                              </w:pPr>
                              <w:r>
                                <w:rPr>
                                  <w:rFonts w:hint="eastAsia" w:ascii="宋体" w:hAnsi="宋体"/>
                                  <w:b w:val="0"/>
                                  <w:szCs w:val="21"/>
                                </w:rPr>
                                <w:t>做出评价结论</w:t>
                              </w:r>
                            </w:p>
                          </w:txbxContent>
                        </wps:txbx>
                        <wps:bodyPr rot="0" vert="horz" wrap="square" lIns="91440" tIns="45720" rIns="91440" bIns="45720" anchor="t" anchorCtr="0" upright="1">
                          <a:noAutofit/>
                        </wps:bodyPr>
                      </wps:wsp>
                      <wpg:wgp>
                        <wpg:cNvPr id="1002" name="Group 25"/>
                        <wpg:cNvGrpSpPr/>
                        <wpg:grpSpPr>
                          <a:xfrm>
                            <a:off x="2401492" y="3817665"/>
                            <a:ext cx="76900" cy="302311"/>
                            <a:chOff x="5755" y="-3877"/>
                            <a:chExt cx="120" cy="475"/>
                          </a:xfrm>
                        </wpg:grpSpPr>
                        <wps:wsp>
                          <wps:cNvPr id="1003" name="Freeform 26"/>
                          <wps:cNvSpPr/>
                          <wps:spPr bwMode="auto">
                            <a:xfrm>
                              <a:off x="5755" y="-3877"/>
                              <a:ext cx="120" cy="475"/>
                            </a:xfrm>
                            <a:custGeom>
                              <a:avLst/>
                              <a:gdLst>
                                <a:gd name="T0" fmla="*/ 53 w 120"/>
                                <a:gd name="T1" fmla="*/ -3522 h 475"/>
                                <a:gd name="T2" fmla="*/ 0 w 120"/>
                                <a:gd name="T3" fmla="*/ -3522 h 475"/>
                                <a:gd name="T4" fmla="*/ 60 w 120"/>
                                <a:gd name="T5" fmla="*/ -3402 h 475"/>
                                <a:gd name="T6" fmla="*/ 107 w 120"/>
                                <a:gd name="T7" fmla="*/ -3495 h 475"/>
                                <a:gd name="T8" fmla="*/ 60 w 120"/>
                                <a:gd name="T9" fmla="*/ -3495 h 475"/>
                                <a:gd name="T10" fmla="*/ 55 w 120"/>
                                <a:gd name="T11" fmla="*/ -3498 h 475"/>
                                <a:gd name="T12" fmla="*/ 53 w 120"/>
                                <a:gd name="T13" fmla="*/ -3503 h 475"/>
                                <a:gd name="T14" fmla="*/ 53 w 120"/>
                                <a:gd name="T15" fmla="*/ -352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1004" name="Freeform 27"/>
                          <wps:cNvSpPr/>
                          <wps:spPr bwMode="auto">
                            <a:xfrm>
                              <a:off x="5755" y="-3877"/>
                              <a:ext cx="120" cy="475"/>
                            </a:xfrm>
                            <a:custGeom>
                              <a:avLst/>
                              <a:gdLst>
                                <a:gd name="T0" fmla="*/ 60 w 120"/>
                                <a:gd name="T1" fmla="*/ -3877 h 475"/>
                                <a:gd name="T2" fmla="*/ 55 w 120"/>
                                <a:gd name="T3" fmla="*/ -3875 h 475"/>
                                <a:gd name="T4" fmla="*/ 53 w 120"/>
                                <a:gd name="T5" fmla="*/ -3870 h 475"/>
                                <a:gd name="T6" fmla="*/ 53 w 120"/>
                                <a:gd name="T7" fmla="*/ -3503 h 475"/>
                                <a:gd name="T8" fmla="*/ 55 w 120"/>
                                <a:gd name="T9" fmla="*/ -3498 h 475"/>
                                <a:gd name="T10" fmla="*/ 60 w 120"/>
                                <a:gd name="T11" fmla="*/ -3495 h 475"/>
                                <a:gd name="T12" fmla="*/ 65 w 120"/>
                                <a:gd name="T13" fmla="*/ -3498 h 475"/>
                                <a:gd name="T14" fmla="*/ 67 w 120"/>
                                <a:gd name="T15" fmla="*/ -3503 h 475"/>
                                <a:gd name="T16" fmla="*/ 67 w 120"/>
                                <a:gd name="T17" fmla="*/ -3870 h 475"/>
                                <a:gd name="T18" fmla="*/ 65 w 120"/>
                                <a:gd name="T19" fmla="*/ -3875 h 475"/>
                                <a:gd name="T20" fmla="*/ 60 w 120"/>
                                <a:gd name="T21" fmla="*/ -387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1005" name="Freeform 28"/>
                          <wps:cNvSpPr/>
                          <wps:spPr bwMode="auto">
                            <a:xfrm>
                              <a:off x="5755" y="-3877"/>
                              <a:ext cx="120" cy="475"/>
                            </a:xfrm>
                            <a:custGeom>
                              <a:avLst/>
                              <a:gdLst>
                                <a:gd name="T0" fmla="*/ 120 w 120"/>
                                <a:gd name="T1" fmla="*/ -3522 h 475"/>
                                <a:gd name="T2" fmla="*/ 67 w 120"/>
                                <a:gd name="T3" fmla="*/ -3522 h 475"/>
                                <a:gd name="T4" fmla="*/ 67 w 120"/>
                                <a:gd name="T5" fmla="*/ -3503 h 475"/>
                                <a:gd name="T6" fmla="*/ 65 w 120"/>
                                <a:gd name="T7" fmla="*/ -3498 h 475"/>
                                <a:gd name="T8" fmla="*/ 60 w 120"/>
                                <a:gd name="T9" fmla="*/ -3495 h 475"/>
                                <a:gd name="T10" fmla="*/ 107 w 120"/>
                                <a:gd name="T11" fmla="*/ -3495 h 475"/>
                                <a:gd name="T12" fmla="*/ 120 w 120"/>
                                <a:gd name="T13" fmla="*/ -352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wgp>
                      <wps:wsp>
                        <wps:cNvPr id="1006" name="Rectangle 35"/>
                        <wps:cNvSpPr>
                          <a:spLocks noChangeArrowheads="1"/>
                        </wps:cNvSpPr>
                        <wps:spPr bwMode="auto">
                          <a:xfrm>
                            <a:off x="1447195" y="4126276"/>
                            <a:ext cx="1979894" cy="288310"/>
                          </a:xfrm>
                          <a:prstGeom prst="rect">
                            <a:avLst/>
                          </a:prstGeom>
                          <a:solidFill>
                            <a:srgbClr val="FFFFFF"/>
                          </a:solidFill>
                          <a:ln w="9525">
                            <a:solidFill>
                              <a:srgbClr val="000000"/>
                            </a:solidFill>
                            <a:miter lim="800000"/>
                          </a:ln>
                        </wps:spPr>
                        <wps:txbx>
                          <w:txbxContent>
                            <w:p w14:paraId="2829C5FD">
                              <w:pPr>
                                <w:jc w:val="center"/>
                                <w:rPr>
                                  <w:rFonts w:ascii="宋体" w:hAnsi="宋体"/>
                                  <w:b w:val="0"/>
                                  <w:szCs w:val="21"/>
                                </w:rPr>
                              </w:pPr>
                              <w:r>
                                <w:rPr>
                                  <w:rFonts w:hint="eastAsia" w:ascii="宋体" w:hAnsi="宋体"/>
                                  <w:b w:val="0"/>
                                  <w:szCs w:val="21"/>
                                </w:rPr>
                                <w:t>编制安全评价报告</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356.25pt;width:377.25pt;" coordsize="4791075,4524375" editas="canvas" o:gfxdata="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">
                <o:lock v:ext="edit" aspectratio="f"/>
                <v:shape id="_x0000_s1026" o:spid="_x0000_s1026" style="position:absolute;left:0;top:0;height:4524375;width:4791075;" filled="f" stroked="f" coordsize="21600,21600" o:gfxdata="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">
                  <v:fill on="f" focussize="0,0"/>
                  <v:stroke on="f"/>
                  <v:imagedata o:title=""/>
                  <o:lock v:ext="edit" aspectratio="f"/>
                </v:shape>
                <v:group id="Group 5" o:spid="_x0000_s1026" o:spt="203" style="position:absolute;left:2401492;top:363813;height:301611;width:76900;" coordorigin="5755,-8557"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EUZjdnWAAAABQEAAA8AAAAAAAAAAQAgAAAAIgAAAGRycy9kb3ducmV2LnhtbFBLAQIUABQAAAAI&#10;AIdO4kDBlFGMYwYAANMfAAAOAAAAAAAAAAEAIAAAACUBAABkcnMvZTJvRG9jLnhtbFBLBQYAAAAA&#10;BgAGAFkBAAD6CQAAAAA=&#10;">
                  <o:lock v:ext="edit" aspectratio="f"/>
                  <v:shape id="Freeform 6" o:spid="_x0000_s1026" o:spt="100" style="position:absolute;left:5755;top:-8557;height:475;width:120;" fillcolor="#000000" filled="t" stroked="f" coordsize="120,475" o:gfxdata="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ZKKq/&#10;AAAA2wAAAA8AAAAAAAAAAQAgAAAAIgAAAGRycy9kb3ducmV2LnhtbFBLAQIUABQAAAAIAIdO4kAz&#10;LwWeOwAAADkAAAAQAAAAAAAAAAEAIAAAAA4BAABkcnMvc2hhcGV4bWwueG1sUEsFBgAAAAAGAAYA&#10;WwEAALgDAAAAAA==&#10;" path="m53,355l0,355,60,475,107,382,60,382,55,379,53,375,53,355xe">
                    <v:path o:connectlocs="53,-8202;0,-8202;60,-8082;107,-8175;60,-8175;55,-8178;53,-8182;53,-8202" o:connectangles="0,0,0,0,0,0,0,0"/>
                    <v:fill on="t" focussize="0,0"/>
                    <v:stroke on="f"/>
                    <v:imagedata o:title=""/>
                    <o:lock v:ext="edit" aspectratio="f"/>
                  </v:shape>
                  <v:shape id="Freeform 7" o:spid="_x0000_s1026" o:spt="100" style="position:absolute;left:5755;top:-8557;height:475;width:120;" fillcolor="#000000" filled="t" stroked="f" coordsize="120,475" o:gfxdata="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VjTG/&#10;AAAA2wAAAA8AAAAAAAAAAQAgAAAAIgAAAGRycy9kb3ducmV2LnhtbFBLAQIUABQAAAAIAIdO4kAz&#10;LwWeOwAAADkAAAAQAAAAAAAAAAEAIAAAAA4BAABkcnMvc2hhcGV4bWwueG1sUEsFBgAAAAAGAAYA&#10;WwEAALgDAAAAAA==&#10;" path="m60,0l55,3,53,7,53,375,55,379,60,382,65,379,67,375,67,7,65,3,60,0xe">
                    <v:path o:connectlocs="60,-8557;55,-8554;53,-8550;53,-8182;55,-8178;60,-8175;65,-8178;67,-8182;67,-8550;65,-8554;60,-8557" o:connectangles="0,0,0,0,0,0,0,0,0,0,0"/>
                    <v:fill on="t" focussize="0,0"/>
                    <v:stroke on="f"/>
                    <v:imagedata o:title=""/>
                    <o:lock v:ext="edit" aspectratio="f"/>
                  </v:shape>
                  <v:shape id="Freeform 8" o:spid="_x0000_s1026" o:spt="100" style="position:absolute;left:5755;top:-8557;height:475;width:120;" fillcolor="#000000" filled="t" stroked="f" coordsize="120,475" o:gfxdata="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I93ML4A&#10;AADcAAAADwAAAAAAAAABACAAAAAiAAAAZHJzL2Rvd25yZXYueG1sUEsBAhQAFAAAAAgAh07iQDMv&#10;BZ47AAAAOQAAABAAAAAAAAAAAQAgAAAADQEAAGRycy9zaGFwZXhtbC54bWxQSwUGAAAAAAYABgBb&#10;AQAAtwMAAAAA&#10;" path="m120,355l67,355,67,375,65,379,60,382,107,382,120,355xe">
                    <v:path o:connectlocs="120,-8202;67,-8202;67,-8182;65,-8178;60,-8175;107,-8175;120,-8202" o:connectangles="0,0,0,0,0,0,0"/>
                    <v:fill on="t" focussize="0,0"/>
                    <v:stroke on="f"/>
                    <v:imagedata o:title=""/>
                    <o:lock v:ext="edit" aspectratio="f"/>
                  </v:shape>
                </v:group>
                <v:group id="Group 9" o:spid="_x0000_s1026" o:spt="203" style="position:absolute;left:2401492;top:948634;height:302211;width:76900;" coordorigin="5755,-7621" coordsize="120,473"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">
                  <o:lock v:ext="edit" aspectratio="f"/>
                  <v:shape id="Freeform 10" o:spid="_x0000_s1026" o:spt="100" style="position:absolute;left:5755;top:-7621;height:473;width:120;" fillcolor="#000000" filled="t" stroked="f" coordsize="120,473" o:gfxdata="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00qy/&#10;AAAA3AAAAA8AAAAAAAAAAQAgAAAAIgAAAGRycy9kb3ducmV2LnhtbFBLAQIUABQAAAAIAIdO4kAz&#10;LwWeOwAAADkAAAAQAAAAAAAAAAEAIAAAAA4BAABkcnMvc2hhcGV4bWwueG1sUEsFBgAAAAAGAAYA&#10;WwEAALgDAAAAAA==&#10;" path="m53,353l0,353,60,473,105,382,60,382,55,379,53,375,53,353xe">
                    <v:path o:connectlocs="53,-7268;0,-7268;60,-7148;105,-7239;60,-7239;55,-7242;53,-7246;53,-7268" o:connectangles="0,0,0,0,0,0,0,0"/>
                    <v:fill on="t" focussize="0,0"/>
                    <v:stroke on="f"/>
                    <v:imagedata o:title=""/>
                    <o:lock v:ext="edit" aspectratio="f"/>
                  </v:shape>
                  <v:shape id="Freeform 11" o:spid="_x0000_s1026" o:spt="100" style="position:absolute;left:5755;top:-7621;height:473;width:120;" fillcolor="#000000" filled="t" stroked="f" coordsize="120,473" o:gfxdata="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GdSti/&#10;AAAA3AAAAA8AAAAAAAAAAQAgAAAAIgAAAGRycy9kb3ducmV2LnhtbFBLAQIUABQAAAAIAIdO4kAz&#10;LwWeOwAAADkAAAAQAAAAAAAAAAEAIAAAAA4BAABkcnMvc2hhcGV4bWwueG1sUEsFBgAAAAAGAAYA&#10;WwEAALgDAAAAAA==&#10;" path="m60,0l55,3,53,7,53,375,55,379,60,382,65,379,67,375,67,7,65,3,60,0xe">
                    <v:path o:connectlocs="60,-7621;55,-7618;53,-7614;53,-7246;55,-7242;60,-7239;65,-7242;67,-7246;67,-7614;65,-7618;60,-7621" o:connectangles="0,0,0,0,0,0,0,0,0,0,0"/>
                    <v:fill on="t" focussize="0,0"/>
                    <v:stroke on="f"/>
                    <v:imagedata o:title=""/>
                    <o:lock v:ext="edit" aspectratio="f"/>
                  </v:shape>
                  <v:shape id="Freeform 12" o:spid="_x0000_s1026" o:spt="100" style="position:absolute;left:5755;top:-7621;height:473;width:120;" fillcolor="#000000" filled="t" stroked="f" coordsize="120,473" o:gfxdata="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R70O/&#10;AAAA3AAAAA8AAAAAAAAAAQAgAAAAIgAAAGRycy9kb3ducmV2LnhtbFBLAQIUABQAAAAIAIdO4kAz&#10;LwWeOwAAADkAAAAQAAAAAAAAAAEAIAAAAA4BAABkcnMvc2hhcGV4bWwueG1sUEsFBgAAAAAGAAYA&#10;WwEAALgDAAAAAA==&#10;" path="m120,353l67,353,67,375,65,379,60,382,105,382,120,353xe">
                    <v:path o:connectlocs="120,-7268;67,-7268;67,-7246;65,-7242;60,-7239;105,-7239;120,-7268" o:connectangles="0,0,0,0,0,0,0"/>
                    <v:fill on="t" focussize="0,0"/>
                    <v:stroke on="f"/>
                    <v:imagedata o:title=""/>
                    <o:lock v:ext="edit" aspectratio="f"/>
                  </v:shape>
                </v:group>
                <v:group id="Group 13" o:spid="_x0000_s1026" o:spt="203" style="position:absolute;left:2401492;top:1523955;height:302211;width:76900;" coordorigin="5755,-6685"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">
                  <o:lock v:ext="edit" aspectratio="f"/>
                  <v:shape id="Freeform 14" o:spid="_x0000_s1026" o:spt="100" style="position:absolute;left:5755;top:-6685;height:475;width:120;" fillcolor="#000000" filled="t" stroked="f" coordsize="120,475" o:gfxdata="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hQnW/&#10;AAAA3AAAAA8AAAAAAAAAAQAgAAAAIgAAAGRycy9kb3ducmV2LnhtbFBLAQIUABQAAAAIAIdO4kAz&#10;LwWeOwAAADkAAAAQAAAAAAAAAAEAIAAAAA4BAABkcnMvc2hhcGV4bWwueG1sUEsFBgAAAAAGAAYA&#10;WwEAALgDAAAAAA==&#10;" path="m53,355l0,355,60,475,107,382,60,382,55,379,53,374,53,355xe">
                    <v:path o:connectlocs="53,-6330;0,-6330;60,-6210;107,-6303;60,-6303;55,-6306;53,-6311;53,-6330" o:connectangles="0,0,0,0,0,0,0,0"/>
                    <v:fill on="t" focussize="0,0"/>
                    <v:stroke on="f"/>
                    <v:imagedata o:title=""/>
                    <o:lock v:ext="edit" aspectratio="f"/>
                  </v:shape>
                  <v:shape id="Freeform 15" o:spid="_x0000_s1026" o:spt="100" style="position:absolute;left:5755;top:-6685;height:475;width:120;" fillcolor="#000000" filled="t" stroked="f" coordsize="120,475" o:gfxdata="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880UbsAAADc&#10;AAAADwAAAAAAAAABACAAAAAiAAAAZHJzL2Rvd25yZXYueG1sUEsBAhQAFAAAAAgAh07iQDMvBZ47&#10;AAAAOQAAABAAAAAAAAAAAQAgAAAACgEAAGRycy9zaGFwZXhtbC54bWxQSwUGAAAAAAYABgBbAQAA&#10;tAMAAAAA&#10;" path="m60,0l55,2,53,7,53,374,55,379,60,382,65,379,67,374,67,7,65,2,60,0xe">
                    <v:path o:connectlocs="60,-6685;55,-6683;53,-6678;53,-6311;55,-6306;60,-6303;65,-6306;67,-6311;67,-6678;65,-6683;60,-6685" o:connectangles="0,0,0,0,0,0,0,0,0,0,0"/>
                    <v:fill on="t" focussize="0,0"/>
                    <v:stroke on="f"/>
                    <v:imagedata o:title=""/>
                    <o:lock v:ext="edit" aspectratio="f"/>
                  </v:shape>
                  <v:shape id="Freeform 16" o:spid="_x0000_s1026" o:spt="100" style="position:absolute;left:5755;top:-6685;height:475;width:120;" fillcolor="#000000" filled="t" stroked="f" coordsize="120,475" o:gfxdata="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Dkcq/&#10;AAAA3AAAAA8AAAAAAAAAAQAgAAAAIgAAAGRycy9kb3ducmV2LnhtbFBLAQIUABQAAAAIAIdO4kAz&#10;LwWeOwAAADkAAAAQAAAAAAAAAAEAIAAAAA4BAABkcnMvc2hhcGV4bWwueG1sUEsFBgAAAAAGAAYA&#10;WwEAALgDAAAAAA==&#10;" path="m120,355l67,355,67,374,65,379,60,382,107,382,120,355xe">
                    <v:path o:connectlocs="120,-6330;67,-6330;67,-6311;65,-6306;60,-6303;107,-6303;120,-6330" o:connectangles="0,0,0,0,0,0,0"/>
                    <v:fill on="t" focussize="0,0"/>
                    <v:stroke on="f"/>
                    <v:imagedata o:title=""/>
                    <o:lock v:ext="edit" aspectratio="f"/>
                  </v:shape>
                </v:group>
                <v:group id="Group 17" o:spid="_x0000_s1026" o:spt="203" style="position:absolute;left:2401492;top:2093576;height:302211;width:76900;" coordorigin="5755,-5749"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EUZjdnWAAAABQEAAA8AAAAAAAAAAQAgAAAAIgAAAGRycy9kb3ducmV2LnhtbFBLAQIUABQAAAAI&#10;AIdO4kAdDxp2YwYAANsfAAAOAAAAAAAAAAEAIAAAACUBAABkcnMvZTJvRG9jLnhtbFBLBQYAAAAA&#10;BgAGAFkBAAD6CQAAAAA=&#10;">
                  <o:lock v:ext="edit" aspectratio="f"/>
                  <v:shape id="Freeform 18" o:spid="_x0000_s1026" o:spt="100" style="position:absolute;left:5755;top:-5749;height:475;width:120;" fillcolor="#000000" filled="t" stroked="f" coordsize="120,475" o:gfxdata="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dqia/&#10;AAAA3AAAAA8AAAAAAAAAAQAgAAAAIgAAAGRycy9kb3ducmV2LnhtbFBLAQIUABQAAAAIAIdO4kAz&#10;LwWeOwAAADkAAAAQAAAAAAAAAAEAIAAAAA4BAABkcnMvc2hhcGV4bWwueG1sUEsFBgAAAAAGAAYA&#10;WwEAALgDAAAAAA==&#10;" path="m53,355l0,355,60,475,107,382,60,382,55,379,53,374,53,355xe">
                    <v:path o:connectlocs="53,-5394;0,-5394;60,-5274;107,-5367;60,-5367;55,-5370;53,-5375;53,-5394" o:connectangles="0,0,0,0,0,0,0,0"/>
                    <v:fill on="t" focussize="0,0"/>
                    <v:stroke on="f"/>
                    <v:imagedata o:title=""/>
                    <o:lock v:ext="edit" aspectratio="f"/>
                  </v:shape>
                  <v:shape id="Freeform 19" o:spid="_x0000_s1026" o:spt="100" style="position:absolute;left:5755;top:-5749;height:475;width:120;" fillcolor="#000000" filled="t" stroked="f" coordsize="120,475" o:gfxdata="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0MlK/&#10;AAAA3AAAAA8AAAAAAAAAAQAgAAAAIgAAAGRycy9kb3ducmV2LnhtbFBLAQIUABQAAAAIAIdO4kAz&#10;LwWeOwAAADkAAAAQAAAAAAAAAAEAIAAAAA4BAABkcnMvc2hhcGV4bWwueG1sUEsFBgAAAAAGAAYA&#10;WwEAALgDAAAAAA==&#10;" path="m60,0l55,2,53,7,53,374,55,379,60,382,65,379,67,374,67,7,65,2,60,0xe">
                    <v:path o:connectlocs="60,-5749;55,-5747;53,-5742;53,-5375;55,-5370;60,-5367;65,-5370;67,-5375;67,-5742;65,-5747;60,-5749" o:connectangles="0,0,0,0,0,0,0,0,0,0,0"/>
                    <v:fill on="t" focussize="0,0"/>
                    <v:stroke on="f"/>
                    <v:imagedata o:title=""/>
                    <o:lock v:ext="edit" aspectratio="f"/>
                  </v:shape>
                  <v:shape id="Freeform 20" o:spid="_x0000_s1026" o:spt="100" style="position:absolute;left:5755;top:-5749;height:475;width:120;" fillcolor="#000000" filled="t" stroked="f" coordsize="120,475" o:gfxdata="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2oJvr4A&#10;AADcAAAADwAAAAAAAAABACAAAAAiAAAAZHJzL2Rvd25yZXYueG1sUEsBAhQAFAAAAAgAh07iQDMv&#10;BZ47AAAAOQAAABAAAAAAAAAAAQAgAAAADQEAAGRycy9zaGFwZXhtbC54bWxQSwUGAAAAAAYABgBb&#10;AQAAtwMAAAAA&#10;" path="m120,355l67,355,67,374,65,379,60,382,107,382,120,355xe">
                    <v:path o:connectlocs="120,-5394;67,-5394;67,-5375;65,-5370;60,-5367;107,-5367;120,-5394" o:connectangles="0,0,0,0,0,0,0"/>
                    <v:fill on="t" focussize="0,0"/>
                    <v:stroke on="f"/>
                    <v:imagedata o:title=""/>
                    <o:lock v:ext="edit" aspectratio="f"/>
                  </v:shape>
                </v:group>
                <v:group id="Group 21" o:spid="_x0000_s1026" o:spt="203" style="position:absolute;left:2401492;top:2659396;height:302211;width:76900;" coordorigin="5755,-4813"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">
                  <o:lock v:ext="edit" aspectratio="f"/>
                  <v:shape id="Freeform 22" o:spid="_x0000_s1026" o:spt="100" style="position:absolute;left:5755;top:-4813;height:475;width:120;" fillcolor="#000000" filled="t" stroked="f" coordsize="120,475" o:gfxdata="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k4V7sAAADc&#10;AAAADwAAAAAAAAABACAAAAAiAAAAZHJzL2Rvd25yZXYueG1sUEsBAhQAFAAAAAgAh07iQDMvBZ47&#10;AAAAOQAAABAAAAAAAAAAAQAgAAAACgEAAGRycy9zaGFwZXhtbC54bWxQSwUGAAAAAAYABgBbAQAA&#10;tAMAAAAA&#10;" path="m53,355l0,355,60,475,107,382,60,382,55,379,53,374,53,355xe">
                    <v:path o:connectlocs="53,-4458;0,-4458;60,-4338;107,-4431;60,-4431;55,-4434;53,-4439;53,-4458" o:connectangles="0,0,0,0,0,0,0,0"/>
                    <v:fill on="t" focussize="0,0"/>
                    <v:stroke on="f"/>
                    <v:imagedata o:title=""/>
                    <o:lock v:ext="edit" aspectratio="f"/>
                  </v:shape>
                  <v:shape id="Freeform 23" o:spid="_x0000_s1026" o:spt="100" style="position:absolute;left:5755;top:-4813;height:475;width:120;" fillcolor="#000000" filled="t" stroked="f" coordsize="120,475" o:gfxdata="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vWdzL4A&#10;AADcAAAADwAAAAAAAAABACAAAAAiAAAAZHJzL2Rvd25yZXYueG1sUEsBAhQAFAAAAAgAh07iQDMv&#10;BZ47AAAAOQAAABAAAAAAAAAAAQAgAAAADQEAAGRycy9zaGFwZXhtbC54bWxQSwUGAAAAAAYABgBb&#10;AQAAtwMAAAAA&#10;" path="m60,0l55,2,53,7,53,374,55,379,60,382,65,379,67,374,67,7,65,2,60,0xe">
                    <v:path o:connectlocs="60,-4813;55,-4811;53,-4806;53,-4439;55,-4434;60,-4431;65,-4434;67,-4439;67,-4806;65,-4811;60,-4813" o:connectangles="0,0,0,0,0,0,0,0,0,0,0"/>
                    <v:fill on="t" focussize="0,0"/>
                    <v:stroke on="f"/>
                    <v:imagedata o:title=""/>
                    <o:lock v:ext="edit" aspectratio="f"/>
                  </v:shape>
                  <v:shape id="Freeform 24" o:spid="_x0000_s1026" o:spt="100" style="position:absolute;left:5755;top:-4813;height:475;width:120;" fillcolor="#000000" filled="t" stroked="f" coordsize="120,475" o:gfxdata="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Wooy8AAAA&#10;3AAAAA8AAAAAAAAAAQAgAAAAIgAAAGRycy9kb3ducmV2LnhtbFBLAQIUABQAAAAIAIdO4kAzLwWe&#10;OwAAADkAAAAQAAAAAAAAAAEAIAAAAAsBAABkcnMvc2hhcGV4bWwueG1sUEsFBgAAAAAGAAYAWwEA&#10;ALUDAAAAAA==&#10;" path="m120,355l67,355,67,374,65,379,60,382,107,382,120,355xe">
                    <v:path o:connectlocs="120,-4458;67,-4458;67,-4439;65,-4434;60,-4431;107,-4431;120,-4458" o:connectangles="0,0,0,0,0,0,0"/>
                    <v:fill on="t" focussize="0,0"/>
                    <v:stroke on="f"/>
                    <v:imagedata o:title=""/>
                    <o:lock v:ext="edit" aspectratio="f"/>
                  </v:shape>
                </v:group>
                <v:group id="Group 25" o:spid="_x0000_s1026" o:spt="203" style="position:absolute;left:2401492;top:3224517;height:302311;width:76900;" coordorigin="5755,-3877"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">
                  <o:lock v:ext="edit" aspectratio="f"/>
                  <v:shape id="Freeform 26" o:spid="_x0000_s1026" o:spt="100" style="position:absolute;left:5755;top:-3877;height:475;width:120;" fillcolor="#000000" filled="t" stroked="f" coordsize="120,475" o:gfxdata="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iZYL4A&#10;AADcAAAADwAAAAAAAAABACAAAAAiAAAAZHJzL2Rvd25yZXYueG1sUEsBAhQAFAAAAAgAh07iQDMv&#10;BZ47AAAAOQAAABAAAAAAAAAAAQAgAAAADQEAAGRycy9zaGFwZXhtbC54bWxQSwUGAAAAAAYABgBb&#10;AQAAtwMAAAAA&#10;" path="m53,355l0,355,60,475,107,382,60,382,55,379,53,374,53,355xe">
                    <v:path o:connectlocs="53,-3522;0,-3522;60,-3402;107,-3495;60,-3495;55,-3498;53,-3503;53,-3522" o:connectangles="0,0,0,0,0,0,0,0"/>
                    <v:fill on="t" focussize="0,0"/>
                    <v:stroke on="f"/>
                    <v:imagedata o:title=""/>
                    <o:lock v:ext="edit" aspectratio="f"/>
                  </v:shape>
                  <v:shape id="Freeform 27" o:spid="_x0000_s1026" o:spt="100" style="position:absolute;left:5755;top:-3877;height:475;width:120;" fillcolor="#000000" filled="t" stroked="f" coordsize="120,475" o:gfxdata="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7EPPu/&#10;AAAA3AAAAA8AAAAAAAAAAQAgAAAAIgAAAGRycy9kb3ducmV2LnhtbFBLAQIUABQAAAAIAIdO4kAz&#10;LwWeOwAAADkAAAAQAAAAAAAAAAEAIAAAAA4BAABkcnMvc2hhcGV4bWwueG1sUEsFBgAAAAAGAAYA&#10;WwEAALgDAAAAAA==&#10;" path="m60,0l55,2,53,7,53,374,55,379,60,382,65,379,67,374,67,7,65,2,60,0xe">
                    <v:path o:connectlocs="60,-3877;55,-3875;53,-3870;53,-3503;55,-3498;60,-3495;65,-3498;67,-3503;67,-3870;65,-3875;60,-3877" o:connectangles="0,0,0,0,0,0,0,0,0,0,0"/>
                    <v:fill on="t" focussize="0,0"/>
                    <v:stroke on="f"/>
                    <v:imagedata o:title=""/>
                    <o:lock v:ext="edit" aspectratio="f"/>
                  </v:shape>
                  <v:shape id="Freeform 28" o:spid="_x0000_s1026" o:spt="100" style="position:absolute;left:5755;top:-3877;height:475;width:120;" fillcolor="#000000" filled="t" stroked="f" coordsize="120,475" o:gfxdata="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tpI+/&#10;AAAA3AAAAA8AAAAAAAAAAQAgAAAAIgAAAGRycy9kb3ducmV2LnhtbFBLAQIUABQAAAAIAIdO4kAz&#10;LwWeOwAAADkAAAAQAAAAAAAAAAEAIAAAAA4BAABkcnMvc2hhcGV4bWwueG1sUEsFBgAAAAAGAAYA&#10;WwEAALgDAAAAAA==&#10;" path="m120,355l67,355,67,374,65,379,60,382,107,382,120,355xe">
                    <v:path o:connectlocs="120,-3522;67,-3522;67,-3503;65,-3498;60,-3495;107,-3495;120,-3522" o:connectangles="0,0,0,0,0,0,0"/>
                    <v:fill on="t" focussize="0,0"/>
                    <v:stroke on="f"/>
                    <v:imagedata o:title=""/>
                    <o:lock v:ext="edit" aspectratio="f"/>
                  </v:shape>
                </v:group>
                <v:rect id="Rectangle 29" o:spid="_x0000_s1026" o:spt="1" style="position:absolute;left:1447195;top:101604;height:2882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XYtZ31QAAAAUBAAAPAAAAAAAAAAEAIAAAACIAAABkcnMvZG93bnJl&#10;di54bWxQSwECFAAUAAAACACHTuJAG3rTaTkCAACLBAAADgAAAAAAAAABACAAAAAkAQAAZHJzL2Uy&#10;b0RvYy54bWxQSwUGAAAAAAYABgBZAQAAzwUAAAAA&#10;">
                  <v:fill on="t" focussize="0,0"/>
                  <v:stroke color="#000000" miterlimit="8" joinstyle="miter"/>
                  <v:imagedata o:title=""/>
                  <o:lock v:ext="edit" aspectratio="f"/>
                  <v:textbox>
                    <w:txbxContent>
                      <w:p w14:paraId="669231F4">
                        <w:pPr>
                          <w:jc w:val="center"/>
                          <w:rPr>
                            <w:rFonts w:ascii="宋体" w:hAnsi="宋体"/>
                            <w:b w:val="0"/>
                            <w:szCs w:val="21"/>
                          </w:rPr>
                        </w:pPr>
                        <w:r>
                          <w:rPr>
                            <w:rFonts w:hint="eastAsia" w:ascii="宋体" w:hAnsi="宋体"/>
                            <w:b w:val="0"/>
                            <w:szCs w:val="21"/>
                          </w:rPr>
                          <w:t>前期准备</w:t>
                        </w:r>
                      </w:p>
                    </w:txbxContent>
                  </v:textbox>
                </v:rect>
                <v:rect id="Rectangle 30" o:spid="_x0000_s1026" o:spt="1" style="position:absolute;left:1447195;top:677525;height:2883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di1nfVAAAABQEAAA8AAAAAAAAAAQAgAAAAIgAAAGRycy9kb3ducmV2&#10;LnhtbFBLAQIUABQAAAAIAIdO4kCIfFCKOAIAAIsEAAAOAAAAAAAAAAEAIAAAACQBAABkcnMvZTJv&#10;RG9jLnhtbFBLBQYAAAAABgAGAFkBAADOBQAAAAA=&#10;">
                  <v:fill on="t" focussize="0,0"/>
                  <v:stroke color="#000000" miterlimit="8" joinstyle="miter"/>
                  <v:imagedata o:title=""/>
                  <o:lock v:ext="edit" aspectratio="f"/>
                  <v:textbox>
                    <w:txbxContent>
                      <w:p w14:paraId="59EC2286">
                        <w:pPr>
                          <w:jc w:val="center"/>
                          <w:rPr>
                            <w:rFonts w:ascii="宋体" w:hAnsi="宋体"/>
                            <w:b w:val="0"/>
                            <w:szCs w:val="21"/>
                          </w:rPr>
                        </w:pPr>
                        <w:r>
                          <w:rPr>
                            <w:rFonts w:hint="eastAsia" w:ascii="宋体" w:hAnsi="宋体"/>
                            <w:b w:val="0"/>
                            <w:szCs w:val="21"/>
                          </w:rPr>
                          <w:t>辩识与分析危险、有害因素</w:t>
                        </w:r>
                      </w:p>
                    </w:txbxContent>
                  </v:textbox>
                </v:rect>
                <v:rect id="Rectangle 31" o:spid="_x0000_s1026" o:spt="1" style="position:absolute;left:1447195;top:1252245;height:2882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di1nfVAAAABQEAAA8AAAAAAAAAAQAgAAAAIgAAAGRycy9kb3du&#10;cmV2LnhtbFBLAQIUABQAAAAIAIdO4kBNv8MnOwIAAIwEAAAOAAAAAAAAAAEAIAAAACQBAABkcnMv&#10;ZTJvRG9jLnhtbFBLBQYAAAAABgAGAFkBAADRBQAAAAA=&#10;">
                  <v:fill on="t" focussize="0,0"/>
                  <v:stroke color="#000000" miterlimit="8" joinstyle="miter"/>
                  <v:imagedata o:title=""/>
                  <o:lock v:ext="edit" aspectratio="f"/>
                  <v:textbox>
                    <w:txbxContent>
                      <w:p w14:paraId="29028FEF">
                        <w:pPr>
                          <w:jc w:val="center"/>
                          <w:rPr>
                            <w:rFonts w:ascii="宋体" w:hAnsi="宋体"/>
                            <w:b w:val="0"/>
                            <w:szCs w:val="21"/>
                          </w:rPr>
                        </w:pPr>
                        <w:r>
                          <w:rPr>
                            <w:rFonts w:hint="eastAsia" w:ascii="宋体" w:hAnsi="宋体"/>
                            <w:b w:val="0"/>
                            <w:szCs w:val="21"/>
                          </w:rPr>
                          <w:t>划分评价单元</w:t>
                        </w:r>
                      </w:p>
                    </w:txbxContent>
                  </v:textbox>
                </v:rect>
                <v:rect id="Rectangle 32" o:spid="_x0000_s1026" o:spt="1" style="position:absolute;left:1447195;top:1827566;height:2882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XYtZ31QAAAAUBAAAPAAAAAAAAAAEAIAAAACIAAABkcnMvZG93&#10;bnJldi54bWxQSwECFAAUAAAACACHTuJAUpMfWTwCAACMBAAADgAAAAAAAAABACAAAAAkAQAAZHJz&#10;L2Uyb0RvYy54bWxQSwUGAAAAAAYABgBZAQAA0gUAAAAA&#10;">
                  <v:fill on="t" focussize="0,0"/>
                  <v:stroke color="#000000" miterlimit="8" joinstyle="miter"/>
                  <v:imagedata o:title=""/>
                  <o:lock v:ext="edit" aspectratio="f"/>
                  <v:textbox>
                    <w:txbxContent>
                      <w:p w14:paraId="7CB0D3E9">
                        <w:pPr>
                          <w:jc w:val="center"/>
                          <w:rPr>
                            <w:rFonts w:ascii="宋体" w:hAnsi="宋体"/>
                            <w:b w:val="0"/>
                            <w:szCs w:val="21"/>
                          </w:rPr>
                        </w:pPr>
                        <w:r>
                          <w:rPr>
                            <w:rFonts w:hint="eastAsia" w:ascii="宋体" w:hAnsi="宋体"/>
                            <w:b w:val="0"/>
                            <w:szCs w:val="21"/>
                          </w:rPr>
                          <w:t>选择安全评价方法</w:t>
                        </w:r>
                      </w:p>
                    </w:txbxContent>
                  </v:textbox>
                </v:rect>
                <v:rect id="Rectangle 33" o:spid="_x0000_s1026" o:spt="1" style="position:absolute;left:1447195;top:2402187;height:2883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F2LWd9UAAAAFAQAADwAAAAAAAAABACAAAAAiAAAAZHJzL2Rv&#10;d25yZXYueG1sUEsBAhQAFAAAAAgAh07iQDNoBzM9AgAAjAQAAA4AAAAAAAAAAQAgAAAAJAEAAGRy&#10;cy9lMm9Eb2MueG1sUEsFBgAAAAAGAAYAWQEAANMFAAAAAA==&#10;">
                  <v:fill on="t" focussize="0,0"/>
                  <v:stroke color="#000000" miterlimit="8" joinstyle="miter"/>
                  <v:imagedata o:title=""/>
                  <o:lock v:ext="edit" aspectratio="f"/>
                  <v:textbox>
                    <w:txbxContent>
                      <w:p w14:paraId="756460CE">
                        <w:pPr>
                          <w:jc w:val="center"/>
                          <w:rPr>
                            <w:rFonts w:ascii="宋体" w:hAnsi="宋体"/>
                            <w:b w:val="0"/>
                            <w:szCs w:val="21"/>
                          </w:rPr>
                        </w:pPr>
                        <w:r>
                          <w:rPr>
                            <w:rFonts w:hint="eastAsia" w:ascii="宋体" w:hAnsi="宋体"/>
                            <w:b w:val="0"/>
                            <w:szCs w:val="21"/>
                          </w:rPr>
                          <w:t>定性、定量分析</w:t>
                        </w:r>
                      </w:p>
                      <w:p w14:paraId="26E2A9D6">
                        <w:pPr>
                          <w:jc w:val="center"/>
                          <w:rPr>
                            <w:rFonts w:ascii="宋体" w:hAnsi="宋体"/>
                            <w:szCs w:val="21"/>
                          </w:rPr>
                        </w:pPr>
                      </w:p>
                    </w:txbxContent>
                  </v:textbox>
                </v:rect>
                <v:rect id="Rectangle 34" o:spid="_x0000_s1026" o:spt="1" style="position:absolute;left:1447195;top:2969308;height:2883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2LWd9UAAAAFAQAADwAAAAAAAAABACAAAAAiAAAAZHJz&#10;L2Rvd25yZXYueG1sUEsBAhQAFAAAAAgAh07iQIPNJoFAAgAAjQQAAA4AAAAAAAAAAQAgAAAAJAEA&#10;AGRycy9lMm9Eb2MueG1sUEsFBgAAAAAGAAYAWQEAANYFAAAAAA==&#10;">
                  <v:fill on="t" focussize="0,0"/>
                  <v:stroke color="#000000" miterlimit="8" joinstyle="miter"/>
                  <v:imagedata o:title=""/>
                  <o:lock v:ext="edit" aspectratio="f"/>
                  <v:textbox>
                    <w:txbxContent>
                      <w:p w14:paraId="1785DEAC">
                        <w:pPr>
                          <w:jc w:val="center"/>
                          <w:rPr>
                            <w:rFonts w:ascii="宋体" w:hAnsi="宋体"/>
                            <w:b w:val="0"/>
                            <w:szCs w:val="21"/>
                          </w:rPr>
                        </w:pPr>
                        <w:r>
                          <w:rPr>
                            <w:rFonts w:hint="eastAsia" w:ascii="宋体" w:hAnsi="宋体"/>
                            <w:b w:val="0"/>
                            <w:szCs w:val="21"/>
                          </w:rPr>
                          <w:t>提出安全对策措施建议</w:t>
                        </w:r>
                      </w:p>
                      <w:p w14:paraId="05BC1D6B">
                        <w:pPr>
                          <w:jc w:val="center"/>
                          <w:rPr>
                            <w:rFonts w:ascii="宋体" w:hAnsi="宋体"/>
                            <w:szCs w:val="21"/>
                          </w:rPr>
                        </w:pPr>
                      </w:p>
                    </w:txbxContent>
                  </v:textbox>
                </v:rect>
                <v:rect id="Rectangle 35" o:spid="_x0000_s1026" o:spt="1" style="position:absolute;left:1447195;top:3533128;height:2883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XYtZ31QAAAAUBAAAPAAAAAAAAAAEAIAAAACIAAABkcnMv&#10;ZG93bnJldi54bWxQSwECFAAUAAAACACHTuJAXpzjiT8CAACNBAAADgAAAAAAAAABACAAAAAkAQAA&#10;ZHJzL2Uyb0RvYy54bWxQSwUGAAAAAAYABgBZAQAA1QUAAAAA&#10;">
                  <v:fill on="t" focussize="0,0"/>
                  <v:stroke color="#000000" miterlimit="8" joinstyle="miter"/>
                  <v:imagedata o:title=""/>
                  <o:lock v:ext="edit" aspectratio="f"/>
                  <v:textbox>
                    <w:txbxContent>
                      <w:p w14:paraId="3B5232BE">
                        <w:pPr>
                          <w:jc w:val="center"/>
                          <w:rPr>
                            <w:rFonts w:ascii="宋体" w:hAnsi="宋体"/>
                            <w:b w:val="0"/>
                            <w:szCs w:val="21"/>
                          </w:rPr>
                        </w:pPr>
                        <w:r>
                          <w:rPr>
                            <w:rFonts w:hint="eastAsia" w:ascii="宋体" w:hAnsi="宋体"/>
                            <w:b w:val="0"/>
                            <w:szCs w:val="21"/>
                          </w:rPr>
                          <w:t>做出评价结论</w:t>
                        </w:r>
                      </w:p>
                    </w:txbxContent>
                  </v:textbox>
                </v:rect>
                <v:group id="Group 25" o:spid="_x0000_s1026" o:spt="203" style="position:absolute;left:2401492;top:3817665;height:302311;width:76900;" coordorigin="5755,-3877" coordsize="120,475" o:gfxdata="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">
                  <o:lock v:ext="edit" aspectratio="f"/>
                  <v:shape id="Freeform 26" o:spid="_x0000_s1026" o:spt="100" style="position:absolute;left:5755;top:-3877;height:475;width:120;" fillcolor="#000000" filled="t" stroked="f" coordsize="120,475" o:gfxdata="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xpdVvQAA&#10;AN0AAAAPAAAAAAAAAAEAIAAAACIAAABkcnMvZG93bnJldi54bWxQSwECFAAUAAAACACHTuJAMy8F&#10;njsAAAA5AAAAEAAAAAAAAAABACAAAAAMAQAAZHJzL3NoYXBleG1sLnhtbFBLBQYAAAAABgAGAFsB&#10;AAC2AwAAAAA=&#10;" path="m53,355l0,355,60,475,107,382,60,382,55,379,53,374,53,355xe">
                    <v:path o:connectlocs="53,-3522;0,-3522;60,-3402;107,-3495;60,-3495;55,-3498;53,-3503;53,-3522" o:connectangles="0,0,0,0,0,0,0,0"/>
                    <v:fill on="t" focussize="0,0"/>
                    <v:stroke on="f"/>
                    <v:imagedata o:title=""/>
                    <o:lock v:ext="edit" aspectratio="f"/>
                  </v:shape>
                  <v:shape id="Freeform 27" o:spid="_x0000_s1026" o:spt="100" style="position:absolute;left:5755;top:-3877;height:475;width:120;" fillcolor="#000000" filled="t" stroked="f" coordsize="120,475" o:gfxdata="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Lw8hvQAA&#10;AN0AAAAPAAAAAAAAAAEAIAAAACIAAABkcnMvZG93bnJldi54bWxQSwECFAAUAAAACACHTuJAMy8F&#10;njsAAAA5AAAAEAAAAAAAAAABACAAAAAMAQAAZHJzL3NoYXBleG1sLnhtbFBLBQYAAAAABgAGAFsB&#10;AAC2AwAAAAA=&#10;" path="m60,0l55,2,53,7,53,374,55,379,60,382,65,379,67,374,67,7,65,2,60,0xe">
                    <v:path o:connectlocs="60,-3877;55,-3875;53,-3870;53,-3503;55,-3498;60,-3495;65,-3498;67,-3503;67,-3870;65,-3875;60,-3877" o:connectangles="0,0,0,0,0,0,0,0,0,0,0"/>
                    <v:fill on="t" focussize="0,0"/>
                    <v:stroke on="f"/>
                    <v:imagedata o:title=""/>
                    <o:lock v:ext="edit" aspectratio="f"/>
                  </v:shape>
                  <v:shape id="Freeform 28" o:spid="_x0000_s1026" o:spt="100" style="position:absolute;left:5755;top:-3877;height:475;width:120;" fillcolor="#000000" filled="t" stroked="f" coordsize="120,475" o:gfxdata="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Y6q6vQAA&#10;AN0AAAAPAAAAAAAAAAEAIAAAACIAAABkcnMvZG93bnJldi54bWxQSwECFAAUAAAACACHTuJAMy8F&#10;njsAAAA5AAAAEAAAAAAAAAABACAAAAAMAQAAZHJzL3NoYXBleG1sLnhtbFBLBQYAAAAABgAGAFsB&#10;AAC2AwAAAAA=&#10;" path="m120,355l67,355,67,374,65,379,60,382,107,382,120,355xe">
                    <v:path o:connectlocs="120,-3522;67,-3522;67,-3503;65,-3498;60,-3495;107,-3495;120,-3522" o:connectangles="0,0,0,0,0,0,0"/>
                    <v:fill on="t" focussize="0,0"/>
                    <v:stroke on="f"/>
                    <v:imagedata o:title=""/>
                    <o:lock v:ext="edit" aspectratio="f"/>
                  </v:shape>
                </v:group>
                <v:rect id="Rectangle 35" o:spid="_x0000_s1026" o:spt="1" style="position:absolute;left:1447195;top:4126276;height:288310;width:1979894;" fillcolor="#FFFFFF" filled="t" stroked="t" coordsize="21600,21600" o:gfxdata="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di1nfVAAAABQEAAA8AAAAAAAAAAQAgAAAAIgAAAGRycy9k&#10;b3ducmV2LnhtbFBLAQIUABQAAAAIAIdO4kANCtqLPgIAAI0EAAAOAAAAAAAAAAEAIAAAACQBAABk&#10;cnMvZTJvRG9jLnhtbFBLBQYAAAAABgAGAFkBAADUBQAAAAA=&#10;">
                  <v:fill on="t" focussize="0,0"/>
                  <v:stroke color="#000000" miterlimit="8" joinstyle="miter"/>
                  <v:imagedata o:title=""/>
                  <o:lock v:ext="edit" aspectratio="f"/>
                  <v:textbox>
                    <w:txbxContent>
                      <w:p w14:paraId="2829C5FD">
                        <w:pPr>
                          <w:jc w:val="center"/>
                          <w:rPr>
                            <w:rFonts w:ascii="宋体" w:hAnsi="宋体"/>
                            <w:b w:val="0"/>
                            <w:szCs w:val="21"/>
                          </w:rPr>
                        </w:pPr>
                        <w:r>
                          <w:rPr>
                            <w:rFonts w:hint="eastAsia" w:ascii="宋体" w:hAnsi="宋体"/>
                            <w:b w:val="0"/>
                            <w:szCs w:val="21"/>
                          </w:rPr>
                          <w:t>编制安全评价报告</w:t>
                        </w:r>
                      </w:p>
                    </w:txbxContent>
                  </v:textbox>
                </v:rect>
                <w10:wrap type="none"/>
                <w10:anchorlock/>
              </v:group>
            </w:pict>
          </mc:Fallback>
        </mc:AlternateContent>
      </w:r>
    </w:p>
    <w:p w14:paraId="19A76D91">
      <w:pPr>
        <w:spacing w:line="360" w:lineRule="auto"/>
        <w:jc w:val="center"/>
        <w:rPr>
          <w:rFonts w:ascii="Arial" w:hAnsi="Arial" w:eastAsia="黑体" w:cs="Arial"/>
          <w:b w:val="0"/>
          <w:sz w:val="24"/>
        </w:rPr>
      </w:pPr>
      <w:r>
        <w:rPr>
          <w:rFonts w:ascii="Arial" w:hAnsi="Arial" w:eastAsia="黑体" w:cs="Arial"/>
          <w:b w:val="0"/>
          <w:sz w:val="24"/>
        </w:rPr>
        <w:t>图1.</w:t>
      </w:r>
      <w:r>
        <w:rPr>
          <w:rFonts w:hint="eastAsia" w:ascii="Arial" w:hAnsi="Arial" w:eastAsia="黑体" w:cs="Arial"/>
          <w:b w:val="0"/>
          <w:sz w:val="24"/>
        </w:rPr>
        <w:t>4-1</w:t>
      </w:r>
      <w:r>
        <w:rPr>
          <w:rFonts w:ascii="Arial" w:hAnsi="Arial" w:eastAsia="黑体" w:cs="Arial"/>
          <w:b w:val="0"/>
          <w:sz w:val="24"/>
        </w:rPr>
        <w:t>　安全预评价程序框图</w:t>
      </w:r>
    </w:p>
    <w:p w14:paraId="47232413">
      <w:pPr>
        <w:keepNext/>
        <w:pageBreakBefore/>
        <w:widowControl/>
        <w:spacing w:before="120" w:beforeLines="50" w:line="360" w:lineRule="auto"/>
        <w:jc w:val="center"/>
        <w:outlineLvl w:val="0"/>
        <w:rPr>
          <w:rFonts w:ascii="黑体" w:hAnsi="宋体" w:eastAsia="黑体"/>
          <w:b w:val="0"/>
          <w:sz w:val="32"/>
          <w:szCs w:val="32"/>
        </w:rPr>
      </w:pPr>
      <w:bookmarkStart w:id="95" w:name="_Toc239191489"/>
      <w:r>
        <w:rPr>
          <w:rFonts w:hint="eastAsia" w:ascii="黑体" w:hAnsi="宋体" w:eastAsia="黑体"/>
          <w:b w:val="0"/>
          <w:sz w:val="32"/>
          <w:szCs w:val="32"/>
        </w:rPr>
        <w:t>第二章  建设项目概况</w:t>
      </w:r>
      <w:bookmarkEnd w:id="95"/>
    </w:p>
    <w:p w14:paraId="2A2BC2EC">
      <w:pPr>
        <w:keepNext/>
        <w:keepLines/>
        <w:spacing w:before="120" w:beforeLines="50" w:line="360" w:lineRule="auto"/>
        <w:outlineLvl w:val="1"/>
        <w:rPr>
          <w:rFonts w:ascii="黑体" w:hAnsi="宋体" w:eastAsia="黑体"/>
          <w:b w:val="0"/>
          <w:bCs/>
          <w:snapToGrid w:val="0"/>
          <w:sz w:val="30"/>
          <w:szCs w:val="30"/>
        </w:rPr>
      </w:pPr>
      <w:bookmarkStart w:id="96" w:name="_Toc233449762"/>
      <w:bookmarkStart w:id="97" w:name="_Toc239191490"/>
      <w:r>
        <w:rPr>
          <w:rFonts w:hint="eastAsia" w:ascii="黑体" w:hAnsi="宋体" w:eastAsia="黑体"/>
          <w:b w:val="0"/>
          <w:bCs/>
          <w:snapToGrid w:val="0"/>
          <w:sz w:val="30"/>
          <w:szCs w:val="30"/>
        </w:rPr>
        <w:t>2.1</w:t>
      </w:r>
      <w:bookmarkEnd w:id="96"/>
      <w:r>
        <w:rPr>
          <w:rFonts w:hint="eastAsia" w:ascii="黑体" w:hAnsi="宋体" w:eastAsia="黑体"/>
          <w:b w:val="0"/>
          <w:bCs/>
          <w:snapToGrid w:val="0"/>
          <w:sz w:val="30"/>
          <w:szCs w:val="30"/>
        </w:rPr>
        <w:t>建设单位概况</w:t>
      </w:r>
      <w:bookmarkEnd w:id="97"/>
    </w:p>
    <w:p w14:paraId="6BE19F4A">
      <w:pPr>
        <w:adjustRightInd w:val="0"/>
        <w:snapToGrid w:val="0"/>
        <w:spacing w:line="360" w:lineRule="auto"/>
        <w:ind w:firstLine="560" w:firstLineChars="200"/>
        <w:rPr>
          <w:rFonts w:ascii="宋体" w:hAnsi="宋体" w:cs="Arial"/>
          <w:b w:val="0"/>
          <w:sz w:val="28"/>
        </w:rPr>
      </w:pPr>
      <w:bookmarkStart w:id="98" w:name="_Toc372793485"/>
      <w:r>
        <w:rPr>
          <w:rFonts w:hint="eastAsia" w:ascii="宋体" w:hAnsi="宋体" w:cs="Arial"/>
          <w:b w:val="0"/>
          <w:sz w:val="28"/>
        </w:rPr>
        <w:tab/>
      </w:r>
      <w:r>
        <w:rPr>
          <w:rFonts w:hint="eastAsia" w:ascii="宋体" w:hAnsi="宋体" w:cs="Arial"/>
          <w:b w:val="0"/>
          <w:sz w:val="28"/>
        </w:rPr>
        <w:t>湖南金帝烟花爆竹制造有限公司成立于</w:t>
      </w:r>
      <w:r>
        <w:rPr>
          <w:rFonts w:ascii="宋体" w:hAnsi="宋体" w:cs="Arial"/>
          <w:b w:val="0"/>
          <w:sz w:val="28"/>
        </w:rPr>
        <w:t>2017年10月30日</w:t>
      </w:r>
      <w:r>
        <w:rPr>
          <w:rFonts w:hint="eastAsia" w:ascii="宋体" w:hAnsi="宋体" w:cs="Arial"/>
          <w:b w:val="0"/>
          <w:sz w:val="28"/>
        </w:rPr>
        <w:t>， 2</w:t>
      </w:r>
      <w:r>
        <w:rPr>
          <w:rFonts w:ascii="宋体" w:hAnsi="宋体" w:cs="Arial"/>
          <w:b w:val="0"/>
          <w:sz w:val="28"/>
        </w:rPr>
        <w:t>024</w:t>
      </w:r>
      <w:r>
        <w:rPr>
          <w:rFonts w:hint="eastAsia" w:ascii="宋体" w:hAnsi="宋体" w:cs="Arial"/>
          <w:b w:val="0"/>
          <w:sz w:val="28"/>
        </w:rPr>
        <w:t>年</w:t>
      </w:r>
      <w:r>
        <w:rPr>
          <w:rFonts w:ascii="宋体" w:hAnsi="宋体" w:cs="Arial"/>
          <w:b w:val="0"/>
          <w:sz w:val="28"/>
        </w:rPr>
        <w:t>1</w:t>
      </w:r>
      <w:r>
        <w:rPr>
          <w:rFonts w:hint="eastAsia" w:ascii="宋体" w:hAnsi="宋体" w:cs="Arial"/>
          <w:b w:val="0"/>
          <w:sz w:val="28"/>
        </w:rPr>
        <w:t>月</w:t>
      </w:r>
      <w:r>
        <w:rPr>
          <w:rFonts w:ascii="宋体" w:hAnsi="宋体" w:cs="Arial"/>
          <w:b w:val="0"/>
          <w:sz w:val="28"/>
        </w:rPr>
        <w:t>26</w:t>
      </w:r>
      <w:r>
        <w:rPr>
          <w:rFonts w:hint="eastAsia" w:ascii="宋体" w:hAnsi="宋体" w:cs="Arial"/>
          <w:b w:val="0"/>
          <w:sz w:val="28"/>
        </w:rPr>
        <w:t>日取得由醴陵市市场监督管理局换发的营业执照。住所：醴陵市王仙镇灌冲村，公司类型：有限责任公司（自然人独资），统一社会信用代码:91430281MA4M7TAW7Y，法定代表人：唐鑫根。该企业现持有2</w:t>
      </w:r>
      <w:r>
        <w:rPr>
          <w:rFonts w:ascii="宋体" w:hAnsi="宋体" w:cs="Arial"/>
          <w:b w:val="0"/>
          <w:sz w:val="28"/>
        </w:rPr>
        <w:t>0</w:t>
      </w:r>
      <w:r>
        <w:rPr>
          <w:rFonts w:hint="eastAsia" w:ascii="宋体" w:hAnsi="宋体" w:cs="Arial"/>
          <w:b w:val="0"/>
          <w:sz w:val="28"/>
        </w:rPr>
        <w:t>24年1月24日由湖南省应急管理厅核发的烟花爆竹安全生产许可证，编号：（湘• B）YH 安许证字〔2023〕030346 号，有效期：2023 年 10 月 30 日至 2026 年 10 月 29 日，许可范围：</w:t>
      </w:r>
      <w:r>
        <w:rPr>
          <w:rFonts w:ascii="宋体" w:hAnsi="宋体" w:cs="Arial"/>
          <w:b w:val="0"/>
          <w:sz w:val="28"/>
        </w:rPr>
        <w:t>烟花类：组合烟花（C）级、升空类（旋转升空，C）级、玩具类（造型玩具，C、D）级、旋转类（无固定轴，C、D）级、吐珠类（C）级；本次仅许可主厂区（王仙镇灌冲村）：组合烟花（C）级、升空类（旋转升空，C）级、玩具类（造型玩具，C、D）级、旋转类（无固定轴，C、D）级、吐珠类（C）级。二工区安全引工区（浦口镇泮川村）不在本次许可范围内</w:t>
      </w:r>
      <w:r>
        <w:rPr>
          <w:rFonts w:hint="eastAsia" w:ascii="宋体" w:hAnsi="宋体" w:cs="Arial"/>
          <w:b w:val="0"/>
          <w:sz w:val="28"/>
        </w:rPr>
        <w:t>。</w:t>
      </w:r>
    </w:p>
    <w:p w14:paraId="49A8C5A1">
      <w:pPr>
        <w:pStyle w:val="2"/>
        <w:ind w:firstLine="560"/>
        <w:rPr>
          <w:rFonts w:ascii="宋体" w:hAnsi="宋体" w:eastAsia="宋体" w:cs="Arial"/>
          <w:b w:val="0"/>
          <w:kern w:val="2"/>
          <w:szCs w:val="24"/>
        </w:rPr>
      </w:pPr>
      <w:r>
        <w:rPr>
          <w:rFonts w:ascii="宋体" w:hAnsi="宋体" w:eastAsia="宋体" w:cs="Arial"/>
          <w:b w:val="0"/>
          <w:kern w:val="2"/>
          <w:szCs w:val="24"/>
        </w:rPr>
        <w:t>该企业现有</w:t>
      </w:r>
      <w:r>
        <w:rPr>
          <w:rFonts w:hint="eastAsia" w:ascii="宋体" w:hAnsi="宋体" w:eastAsia="宋体" w:cs="Arial"/>
          <w:b w:val="0"/>
          <w:kern w:val="2"/>
          <w:szCs w:val="24"/>
        </w:rPr>
        <w:t>三</w:t>
      </w:r>
      <w:r>
        <w:rPr>
          <w:rFonts w:ascii="宋体" w:hAnsi="宋体" w:eastAsia="宋体" w:cs="Arial"/>
          <w:b w:val="0"/>
          <w:kern w:val="2"/>
          <w:szCs w:val="24"/>
        </w:rPr>
        <w:t>个生产工区，分别为主厂区、二工区安全引工区</w:t>
      </w:r>
      <w:r>
        <w:rPr>
          <w:rFonts w:hint="eastAsia" w:ascii="宋体" w:hAnsi="宋体" w:eastAsia="宋体" w:cs="Arial"/>
          <w:b w:val="0"/>
          <w:kern w:val="2"/>
          <w:szCs w:val="24"/>
        </w:rPr>
        <w:t>、泉水工区</w:t>
      </w:r>
      <w:r>
        <w:rPr>
          <w:rFonts w:ascii="宋体" w:hAnsi="宋体" w:eastAsia="宋体" w:cs="Arial"/>
          <w:b w:val="0"/>
          <w:kern w:val="2"/>
          <w:szCs w:val="24"/>
        </w:rPr>
        <w:t>，主厂区位于醴陵市王仙镇灌冲村，二工区安全引工区位于醴陵市浦口镇泮川村</w:t>
      </w:r>
      <w:r>
        <w:rPr>
          <w:rFonts w:hint="eastAsia" w:ascii="宋体" w:hAnsi="宋体" w:eastAsia="宋体" w:cs="Arial"/>
          <w:b w:val="0"/>
          <w:kern w:val="2"/>
          <w:szCs w:val="24"/>
        </w:rPr>
        <w:t>，泉水工区位于</w:t>
      </w:r>
      <w:r>
        <w:rPr>
          <w:rFonts w:hint="eastAsia" w:cs="宋体" w:asciiTheme="minorEastAsia" w:hAnsiTheme="minorEastAsia" w:eastAsiaTheme="minorEastAsia"/>
          <w:b w:val="0"/>
          <w:szCs w:val="28"/>
        </w:rPr>
        <w:t>醴陵市沩山镇泉水村。</w:t>
      </w:r>
      <w:r>
        <w:rPr>
          <w:rFonts w:ascii="宋体" w:hAnsi="宋体" w:eastAsia="宋体" w:cs="Arial"/>
          <w:b w:val="0"/>
          <w:kern w:val="2"/>
          <w:szCs w:val="24"/>
        </w:rPr>
        <w:t>公司主要办公场所设置在主厂区</w:t>
      </w:r>
      <w:r>
        <w:rPr>
          <w:rFonts w:hint="eastAsia" w:ascii="宋体" w:hAnsi="宋体" w:eastAsia="宋体" w:cs="Arial"/>
          <w:b w:val="0"/>
          <w:kern w:val="2"/>
          <w:szCs w:val="24"/>
        </w:rPr>
        <w:t>。</w:t>
      </w:r>
    </w:p>
    <w:p w14:paraId="6AB2931E">
      <w:pPr>
        <w:jc w:val="center"/>
        <w:rPr>
          <w:rFonts w:ascii="黑体" w:hAnsi="黑体" w:eastAsia="黑体"/>
          <w:b w:val="0"/>
          <w:bCs/>
          <w:kern w:val="0"/>
          <w:sz w:val="24"/>
          <w:szCs w:val="28"/>
        </w:rPr>
      </w:pPr>
      <w:r>
        <w:rPr>
          <w:rFonts w:hint="eastAsia" w:ascii="黑体" w:hAnsi="黑体" w:eastAsia="黑体"/>
          <w:b w:val="0"/>
          <w:bCs/>
          <w:kern w:val="0"/>
          <w:sz w:val="24"/>
          <w:szCs w:val="28"/>
        </w:rPr>
        <w:t>表</w:t>
      </w:r>
      <w:r>
        <w:rPr>
          <w:rFonts w:ascii="黑体" w:hAnsi="黑体" w:eastAsia="黑体"/>
          <w:b w:val="0"/>
          <w:bCs/>
          <w:kern w:val="0"/>
          <w:sz w:val="24"/>
          <w:szCs w:val="28"/>
        </w:rPr>
        <w:t>2.1</w:t>
      </w:r>
      <w:r>
        <w:rPr>
          <w:rFonts w:hint="eastAsia" w:ascii="黑体" w:hAnsi="黑体" w:eastAsia="黑体"/>
          <w:b w:val="0"/>
          <w:bCs/>
          <w:kern w:val="0"/>
          <w:sz w:val="24"/>
          <w:szCs w:val="28"/>
        </w:rPr>
        <w:t>-</w:t>
      </w:r>
      <w:r>
        <w:rPr>
          <w:rFonts w:ascii="黑体" w:hAnsi="黑体" w:eastAsia="黑体"/>
          <w:b w:val="0"/>
          <w:bCs/>
          <w:kern w:val="0"/>
          <w:sz w:val="24"/>
          <w:szCs w:val="28"/>
        </w:rPr>
        <w:t xml:space="preserve">1  </w:t>
      </w:r>
      <w:r>
        <w:rPr>
          <w:rFonts w:hint="eastAsia" w:ascii="黑体" w:hAnsi="黑体" w:eastAsia="黑体"/>
          <w:b w:val="0"/>
          <w:bCs/>
          <w:kern w:val="0"/>
          <w:sz w:val="24"/>
          <w:szCs w:val="28"/>
        </w:rPr>
        <w:t>湖南金帝烟花爆竹制造有限公司基本情况表</w:t>
      </w:r>
    </w:p>
    <w:tbl>
      <w:tblPr>
        <w:tblStyle w:val="88"/>
        <w:tblW w:w="88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27"/>
        <w:gridCol w:w="2835"/>
        <w:gridCol w:w="2166"/>
        <w:gridCol w:w="1542"/>
      </w:tblGrid>
      <w:tr w14:paraId="05C02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5FC2D9BC">
            <w:pPr>
              <w:spacing w:line="300" w:lineRule="exact"/>
              <w:rPr>
                <w:rFonts w:ascii="宋体" w:hAnsi="宋体"/>
                <w:b w:val="0"/>
                <w:bCs/>
                <w:szCs w:val="21"/>
              </w:rPr>
            </w:pPr>
            <w:bookmarkStart w:id="99" w:name="_Hlk71794174"/>
            <w:r>
              <w:rPr>
                <w:rFonts w:hint="eastAsia" w:ascii="宋体" w:hAnsi="宋体"/>
                <w:b w:val="0"/>
                <w:bCs/>
                <w:szCs w:val="21"/>
              </w:rPr>
              <w:t>企业名称</w:t>
            </w:r>
          </w:p>
        </w:tc>
        <w:tc>
          <w:tcPr>
            <w:tcW w:w="6543" w:type="dxa"/>
            <w:gridSpan w:val="3"/>
            <w:vAlign w:val="center"/>
          </w:tcPr>
          <w:p w14:paraId="5127FA75">
            <w:pPr>
              <w:spacing w:line="300" w:lineRule="exact"/>
              <w:jc w:val="left"/>
              <w:rPr>
                <w:rFonts w:ascii="宋体" w:hAnsi="宋体"/>
                <w:b w:val="0"/>
                <w:bCs/>
                <w:szCs w:val="21"/>
              </w:rPr>
            </w:pPr>
            <w:r>
              <w:rPr>
                <w:rFonts w:hint="eastAsia" w:ascii="宋体" w:hAnsi="宋体"/>
                <w:b w:val="0"/>
                <w:bCs/>
                <w:szCs w:val="21"/>
              </w:rPr>
              <w:t>湖南金帝烟花爆竹制造有限公司</w:t>
            </w:r>
          </w:p>
        </w:tc>
      </w:tr>
      <w:bookmarkEnd w:id="99"/>
      <w:tr w14:paraId="7B88F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37FE58A7">
            <w:pPr>
              <w:spacing w:line="300" w:lineRule="exact"/>
              <w:rPr>
                <w:rFonts w:ascii="宋体" w:hAnsi="宋体"/>
                <w:b w:val="0"/>
                <w:bCs/>
                <w:szCs w:val="21"/>
              </w:rPr>
            </w:pPr>
            <w:r>
              <w:rPr>
                <w:rFonts w:hint="eastAsia" w:ascii="宋体" w:hAnsi="宋体"/>
                <w:b w:val="0"/>
                <w:bCs/>
                <w:szCs w:val="21"/>
              </w:rPr>
              <w:t>办公地址</w:t>
            </w:r>
          </w:p>
        </w:tc>
        <w:tc>
          <w:tcPr>
            <w:tcW w:w="6543" w:type="dxa"/>
            <w:gridSpan w:val="3"/>
            <w:vAlign w:val="center"/>
          </w:tcPr>
          <w:p w14:paraId="339BD00B">
            <w:pPr>
              <w:spacing w:line="300" w:lineRule="exact"/>
              <w:jc w:val="left"/>
              <w:rPr>
                <w:rFonts w:ascii="宋体" w:hAnsi="宋体"/>
                <w:b w:val="0"/>
                <w:bCs/>
                <w:szCs w:val="21"/>
              </w:rPr>
            </w:pPr>
            <w:r>
              <w:rPr>
                <w:rFonts w:hint="eastAsia" w:ascii="宋体" w:hAnsi="宋体"/>
                <w:b w:val="0"/>
                <w:bCs/>
                <w:szCs w:val="21"/>
              </w:rPr>
              <w:t>醴陵市王仙镇灌冲村</w:t>
            </w:r>
          </w:p>
        </w:tc>
      </w:tr>
      <w:tr w14:paraId="0AED4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4FF2C74C">
            <w:pPr>
              <w:spacing w:line="300" w:lineRule="exact"/>
              <w:jc w:val="left"/>
              <w:rPr>
                <w:rFonts w:ascii="宋体" w:hAnsi="宋体"/>
                <w:b w:val="0"/>
                <w:bCs/>
                <w:szCs w:val="21"/>
              </w:rPr>
            </w:pPr>
            <w:r>
              <w:rPr>
                <w:rFonts w:hint="eastAsia" w:ascii="宋体" w:hAnsi="宋体"/>
                <w:b w:val="0"/>
                <w:bCs/>
                <w:szCs w:val="21"/>
              </w:rPr>
              <w:t>统一社会信用</w:t>
            </w:r>
            <w:r>
              <w:rPr>
                <w:rFonts w:ascii="宋体" w:hAnsi="宋体"/>
                <w:b w:val="0"/>
                <w:bCs/>
                <w:szCs w:val="21"/>
              </w:rPr>
              <w:t>代码</w:t>
            </w:r>
          </w:p>
        </w:tc>
        <w:tc>
          <w:tcPr>
            <w:tcW w:w="6543" w:type="dxa"/>
            <w:gridSpan w:val="3"/>
            <w:vAlign w:val="center"/>
          </w:tcPr>
          <w:p w14:paraId="2FD49F3A">
            <w:pPr>
              <w:spacing w:line="300" w:lineRule="exact"/>
              <w:jc w:val="left"/>
              <w:rPr>
                <w:rFonts w:ascii="宋体" w:hAnsi="宋体"/>
                <w:b w:val="0"/>
                <w:bCs/>
                <w:szCs w:val="21"/>
              </w:rPr>
            </w:pPr>
            <w:r>
              <w:rPr>
                <w:rFonts w:hint="eastAsia" w:ascii="宋体" w:hAnsi="宋体"/>
                <w:b w:val="0"/>
                <w:bCs/>
                <w:szCs w:val="21"/>
              </w:rPr>
              <w:t>91430281MA4M7TAW7Y</w:t>
            </w:r>
          </w:p>
        </w:tc>
      </w:tr>
      <w:tr w14:paraId="36D4F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4CDB54EE">
            <w:pPr>
              <w:spacing w:line="300" w:lineRule="exact"/>
              <w:jc w:val="left"/>
              <w:rPr>
                <w:rFonts w:ascii="宋体" w:hAnsi="宋体"/>
                <w:b w:val="0"/>
                <w:bCs/>
                <w:szCs w:val="21"/>
              </w:rPr>
            </w:pPr>
            <w:r>
              <w:rPr>
                <w:rFonts w:hint="eastAsia" w:ascii="宋体" w:hAnsi="宋体"/>
                <w:b w:val="0"/>
                <w:bCs/>
                <w:szCs w:val="21"/>
              </w:rPr>
              <w:t>登记机关</w:t>
            </w:r>
          </w:p>
        </w:tc>
        <w:tc>
          <w:tcPr>
            <w:tcW w:w="2835" w:type="dxa"/>
            <w:vAlign w:val="center"/>
          </w:tcPr>
          <w:p w14:paraId="1555FB7D">
            <w:pPr>
              <w:spacing w:line="300" w:lineRule="exact"/>
              <w:jc w:val="left"/>
              <w:rPr>
                <w:rFonts w:ascii="宋体" w:hAnsi="宋体"/>
                <w:b w:val="0"/>
                <w:bCs/>
                <w:szCs w:val="21"/>
              </w:rPr>
            </w:pPr>
            <w:r>
              <w:rPr>
                <w:rFonts w:hint="eastAsia" w:ascii="宋体" w:hAnsi="宋体"/>
                <w:b w:val="0"/>
                <w:bCs/>
                <w:szCs w:val="21"/>
              </w:rPr>
              <w:t>醴陵市市场监督管理局</w:t>
            </w:r>
          </w:p>
        </w:tc>
        <w:tc>
          <w:tcPr>
            <w:tcW w:w="2166" w:type="dxa"/>
            <w:vAlign w:val="center"/>
          </w:tcPr>
          <w:p w14:paraId="1E9DB9C3">
            <w:pPr>
              <w:spacing w:line="300" w:lineRule="exact"/>
              <w:jc w:val="left"/>
              <w:rPr>
                <w:rFonts w:ascii="宋体" w:hAnsi="宋体"/>
                <w:b w:val="0"/>
                <w:bCs/>
                <w:szCs w:val="21"/>
              </w:rPr>
            </w:pPr>
            <w:r>
              <w:rPr>
                <w:rFonts w:hint="eastAsia" w:ascii="宋体" w:hAnsi="宋体"/>
                <w:b w:val="0"/>
                <w:bCs/>
                <w:szCs w:val="21"/>
              </w:rPr>
              <w:t>成立日期</w:t>
            </w:r>
          </w:p>
        </w:tc>
        <w:tc>
          <w:tcPr>
            <w:tcW w:w="1542" w:type="dxa"/>
            <w:vAlign w:val="center"/>
          </w:tcPr>
          <w:p w14:paraId="23EC2F08">
            <w:pPr>
              <w:spacing w:line="300" w:lineRule="exact"/>
              <w:jc w:val="left"/>
              <w:rPr>
                <w:rFonts w:ascii="宋体" w:hAnsi="宋体"/>
                <w:b w:val="0"/>
                <w:bCs/>
                <w:szCs w:val="21"/>
              </w:rPr>
            </w:pPr>
            <w:r>
              <w:rPr>
                <w:rFonts w:hint="eastAsia" w:ascii="宋体" w:hAnsi="宋体"/>
                <w:b w:val="0"/>
                <w:bCs/>
                <w:szCs w:val="21"/>
              </w:rPr>
              <w:t>20</w:t>
            </w:r>
            <w:r>
              <w:rPr>
                <w:rFonts w:ascii="宋体" w:hAnsi="宋体"/>
                <w:b w:val="0"/>
                <w:bCs/>
                <w:szCs w:val="21"/>
              </w:rPr>
              <w:t>17</w:t>
            </w:r>
            <w:r>
              <w:rPr>
                <w:rFonts w:hint="eastAsia" w:ascii="宋体" w:hAnsi="宋体"/>
                <w:b w:val="0"/>
                <w:bCs/>
                <w:szCs w:val="21"/>
              </w:rPr>
              <w:t>年</w:t>
            </w:r>
            <w:r>
              <w:rPr>
                <w:rFonts w:ascii="宋体" w:hAnsi="宋体"/>
                <w:b w:val="0"/>
                <w:bCs/>
                <w:szCs w:val="21"/>
              </w:rPr>
              <w:t>10</w:t>
            </w:r>
            <w:r>
              <w:rPr>
                <w:rFonts w:hint="eastAsia" w:ascii="宋体" w:hAnsi="宋体"/>
                <w:b w:val="0"/>
                <w:bCs/>
                <w:szCs w:val="21"/>
              </w:rPr>
              <w:t>月</w:t>
            </w:r>
          </w:p>
        </w:tc>
      </w:tr>
      <w:tr w14:paraId="5FDE7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23983477">
            <w:pPr>
              <w:spacing w:line="300" w:lineRule="exact"/>
              <w:jc w:val="left"/>
              <w:rPr>
                <w:rFonts w:ascii="宋体" w:hAnsi="宋体"/>
                <w:b w:val="0"/>
                <w:bCs/>
                <w:szCs w:val="21"/>
              </w:rPr>
            </w:pPr>
            <w:r>
              <w:rPr>
                <w:rFonts w:hint="eastAsia" w:ascii="宋体" w:hAnsi="宋体"/>
                <w:b w:val="0"/>
                <w:bCs/>
                <w:spacing w:val="0"/>
                <w:kern w:val="0"/>
                <w:szCs w:val="21"/>
                <w:fitText w:val="1155" w:id="-393541376"/>
              </w:rPr>
              <w:t>经 济 类 型</w:t>
            </w:r>
          </w:p>
        </w:tc>
        <w:tc>
          <w:tcPr>
            <w:tcW w:w="2835" w:type="dxa"/>
            <w:vAlign w:val="center"/>
          </w:tcPr>
          <w:p w14:paraId="21217F4A">
            <w:pPr>
              <w:spacing w:line="300" w:lineRule="exact"/>
              <w:jc w:val="left"/>
              <w:rPr>
                <w:rFonts w:ascii="宋体" w:hAnsi="宋体"/>
                <w:b w:val="0"/>
                <w:bCs/>
                <w:szCs w:val="21"/>
              </w:rPr>
            </w:pPr>
            <w:r>
              <w:rPr>
                <w:rFonts w:hint="eastAsia" w:ascii="宋体" w:hAnsi="宋体"/>
                <w:b w:val="0"/>
                <w:bCs/>
                <w:szCs w:val="21"/>
              </w:rPr>
              <w:t>有限责任公司（自然人独资）</w:t>
            </w:r>
          </w:p>
        </w:tc>
        <w:tc>
          <w:tcPr>
            <w:tcW w:w="2166" w:type="dxa"/>
            <w:vAlign w:val="center"/>
          </w:tcPr>
          <w:p w14:paraId="1D1D0D5B">
            <w:pPr>
              <w:spacing w:line="300" w:lineRule="exact"/>
              <w:jc w:val="left"/>
              <w:rPr>
                <w:rFonts w:ascii="宋体" w:hAnsi="宋体"/>
                <w:b w:val="0"/>
                <w:bCs/>
                <w:szCs w:val="21"/>
              </w:rPr>
            </w:pPr>
            <w:r>
              <w:rPr>
                <w:rFonts w:hint="eastAsia" w:ascii="宋体" w:hAnsi="宋体"/>
                <w:b w:val="0"/>
                <w:bCs/>
                <w:szCs w:val="21"/>
              </w:rPr>
              <w:t>注册资本</w:t>
            </w:r>
          </w:p>
        </w:tc>
        <w:tc>
          <w:tcPr>
            <w:tcW w:w="1542" w:type="dxa"/>
            <w:vAlign w:val="center"/>
          </w:tcPr>
          <w:p w14:paraId="7E961CDE">
            <w:pPr>
              <w:spacing w:line="300" w:lineRule="exact"/>
              <w:jc w:val="left"/>
              <w:rPr>
                <w:rFonts w:ascii="宋体" w:hAnsi="宋体"/>
                <w:b w:val="0"/>
                <w:bCs/>
                <w:szCs w:val="21"/>
              </w:rPr>
            </w:pPr>
            <w:r>
              <w:rPr>
                <w:rFonts w:ascii="宋体" w:hAnsi="宋体"/>
                <w:b w:val="0"/>
                <w:bCs/>
                <w:szCs w:val="21"/>
              </w:rPr>
              <w:t>1000</w:t>
            </w:r>
            <w:r>
              <w:rPr>
                <w:rFonts w:hint="eastAsia" w:ascii="宋体" w:hAnsi="宋体"/>
                <w:b w:val="0"/>
                <w:bCs/>
                <w:szCs w:val="21"/>
              </w:rPr>
              <w:t>万元</w:t>
            </w:r>
          </w:p>
        </w:tc>
      </w:tr>
      <w:tr w14:paraId="24414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744B84FA">
            <w:pPr>
              <w:spacing w:line="300" w:lineRule="exact"/>
              <w:jc w:val="left"/>
              <w:rPr>
                <w:rFonts w:ascii="宋体" w:hAnsi="宋体"/>
                <w:b w:val="0"/>
                <w:bCs/>
                <w:szCs w:val="21"/>
              </w:rPr>
            </w:pPr>
            <w:r>
              <w:rPr>
                <w:rFonts w:hint="eastAsia" w:ascii="宋体" w:hAnsi="宋体"/>
                <w:b w:val="0"/>
                <w:bCs/>
                <w:szCs w:val="21"/>
              </w:rPr>
              <w:t>主要负责人</w:t>
            </w:r>
          </w:p>
        </w:tc>
        <w:tc>
          <w:tcPr>
            <w:tcW w:w="2835" w:type="dxa"/>
            <w:vAlign w:val="center"/>
          </w:tcPr>
          <w:p w14:paraId="1039555F">
            <w:pPr>
              <w:spacing w:line="300" w:lineRule="exact"/>
              <w:jc w:val="left"/>
              <w:rPr>
                <w:rFonts w:ascii="宋体" w:hAnsi="宋体"/>
                <w:b w:val="0"/>
                <w:bCs/>
                <w:szCs w:val="21"/>
              </w:rPr>
            </w:pPr>
            <w:r>
              <w:rPr>
                <w:rFonts w:hint="eastAsia" w:ascii="宋体" w:hAnsi="宋体"/>
                <w:b w:val="0"/>
                <w:bCs/>
                <w:kern w:val="0"/>
                <w:szCs w:val="21"/>
              </w:rPr>
              <w:t>唐鑫根</w:t>
            </w:r>
          </w:p>
        </w:tc>
        <w:tc>
          <w:tcPr>
            <w:tcW w:w="2166" w:type="dxa"/>
            <w:vAlign w:val="center"/>
          </w:tcPr>
          <w:p w14:paraId="028CDC61">
            <w:pPr>
              <w:spacing w:line="300" w:lineRule="exact"/>
              <w:jc w:val="left"/>
              <w:rPr>
                <w:rFonts w:ascii="宋体" w:hAnsi="宋体"/>
                <w:b w:val="0"/>
                <w:bCs/>
                <w:szCs w:val="21"/>
              </w:rPr>
            </w:pPr>
            <w:r>
              <w:rPr>
                <w:rFonts w:hint="eastAsia" w:ascii="宋体" w:hAnsi="宋体"/>
                <w:b w:val="0"/>
                <w:bCs/>
                <w:szCs w:val="21"/>
              </w:rPr>
              <w:t>联系电话</w:t>
            </w:r>
          </w:p>
        </w:tc>
        <w:tc>
          <w:tcPr>
            <w:tcW w:w="1542" w:type="dxa"/>
            <w:vAlign w:val="center"/>
          </w:tcPr>
          <w:p w14:paraId="70EF37EC">
            <w:pPr>
              <w:spacing w:line="300" w:lineRule="exact"/>
              <w:jc w:val="left"/>
              <w:rPr>
                <w:rFonts w:ascii="宋体" w:hAnsi="宋体"/>
                <w:b w:val="0"/>
                <w:bCs/>
                <w:szCs w:val="21"/>
              </w:rPr>
            </w:pPr>
            <w:r>
              <w:rPr>
                <w:rFonts w:ascii="宋体" w:hAnsi="宋体"/>
                <w:b w:val="0"/>
                <w:bCs/>
                <w:szCs w:val="21"/>
              </w:rPr>
              <w:t>13627422355</w:t>
            </w:r>
          </w:p>
        </w:tc>
      </w:tr>
      <w:tr w14:paraId="68392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7809AE5D">
            <w:pPr>
              <w:spacing w:line="300" w:lineRule="exact"/>
              <w:jc w:val="left"/>
              <w:rPr>
                <w:rFonts w:ascii="宋体" w:hAnsi="宋体"/>
                <w:b w:val="0"/>
                <w:bCs/>
                <w:szCs w:val="21"/>
              </w:rPr>
            </w:pPr>
            <w:r>
              <w:rPr>
                <w:rFonts w:hint="eastAsia" w:ascii="宋体" w:hAnsi="宋体"/>
                <w:b w:val="0"/>
                <w:bCs/>
                <w:szCs w:val="21"/>
              </w:rPr>
              <w:t>泉水工区占地面积</w:t>
            </w:r>
          </w:p>
        </w:tc>
        <w:tc>
          <w:tcPr>
            <w:tcW w:w="2835" w:type="dxa"/>
            <w:vAlign w:val="center"/>
          </w:tcPr>
          <w:p w14:paraId="267310A3">
            <w:pPr>
              <w:spacing w:line="300" w:lineRule="exact"/>
              <w:jc w:val="left"/>
              <w:rPr>
                <w:rFonts w:ascii="宋体" w:hAnsi="宋体"/>
                <w:b w:val="0"/>
                <w:bCs/>
                <w:kern w:val="0"/>
                <w:szCs w:val="21"/>
              </w:rPr>
            </w:pPr>
            <w:r>
              <w:rPr>
                <w:rFonts w:hint="eastAsia" w:ascii="宋体" w:hAnsi="宋体"/>
                <w:b w:val="0"/>
                <w:bCs/>
                <w:kern w:val="0"/>
                <w:szCs w:val="21"/>
              </w:rPr>
              <w:t>约</w:t>
            </w:r>
            <w:r>
              <w:rPr>
                <w:rFonts w:ascii="宋体" w:hAnsi="宋体"/>
                <w:b w:val="0"/>
                <w:bCs/>
                <w:kern w:val="0"/>
                <w:szCs w:val="21"/>
              </w:rPr>
              <w:t>550</w:t>
            </w:r>
            <w:r>
              <w:rPr>
                <w:rFonts w:hint="eastAsia" w:ascii="宋体" w:hAnsi="宋体"/>
                <w:b w:val="0"/>
                <w:bCs/>
                <w:kern w:val="0"/>
                <w:szCs w:val="21"/>
              </w:rPr>
              <w:t>亩</w:t>
            </w:r>
          </w:p>
        </w:tc>
        <w:tc>
          <w:tcPr>
            <w:tcW w:w="2166" w:type="dxa"/>
            <w:vAlign w:val="center"/>
          </w:tcPr>
          <w:p w14:paraId="2751F197">
            <w:pPr>
              <w:spacing w:line="300" w:lineRule="exact"/>
              <w:jc w:val="left"/>
              <w:rPr>
                <w:rFonts w:ascii="宋体" w:hAnsi="宋体"/>
                <w:b w:val="0"/>
                <w:bCs/>
                <w:szCs w:val="21"/>
              </w:rPr>
            </w:pPr>
            <w:r>
              <w:rPr>
                <w:rFonts w:hint="eastAsia" w:ascii="宋体" w:hAnsi="宋体"/>
                <w:b w:val="0"/>
                <w:bCs/>
                <w:szCs w:val="21"/>
              </w:rPr>
              <w:t>泉水工区总建筑面积</w:t>
            </w:r>
          </w:p>
        </w:tc>
        <w:tc>
          <w:tcPr>
            <w:tcW w:w="1542" w:type="dxa"/>
            <w:vAlign w:val="center"/>
          </w:tcPr>
          <w:p w14:paraId="0DAE066D">
            <w:pPr>
              <w:spacing w:line="300" w:lineRule="exact"/>
              <w:jc w:val="left"/>
              <w:rPr>
                <w:rFonts w:ascii="宋体" w:hAnsi="宋体"/>
                <w:b w:val="0"/>
                <w:bCs/>
                <w:szCs w:val="21"/>
              </w:rPr>
            </w:pPr>
            <w:r>
              <w:rPr>
                <w:rFonts w:ascii="宋体" w:hAnsi="宋体"/>
                <w:b w:val="0"/>
                <w:bCs/>
                <w:szCs w:val="21"/>
              </w:rPr>
              <w:t>4786m</w:t>
            </w:r>
            <w:r>
              <w:rPr>
                <w:rFonts w:ascii="宋体" w:hAnsi="宋体"/>
                <w:b w:val="0"/>
                <w:bCs/>
                <w:szCs w:val="21"/>
                <w:vertAlign w:val="superscript"/>
              </w:rPr>
              <w:t>2</w:t>
            </w:r>
          </w:p>
        </w:tc>
      </w:tr>
      <w:tr w14:paraId="5F12E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27" w:type="dxa"/>
            <w:vAlign w:val="center"/>
          </w:tcPr>
          <w:p w14:paraId="7447F97D">
            <w:pPr>
              <w:spacing w:line="300" w:lineRule="exact"/>
              <w:jc w:val="left"/>
              <w:rPr>
                <w:rFonts w:ascii="宋体" w:hAnsi="宋体"/>
                <w:b w:val="0"/>
                <w:bCs/>
                <w:szCs w:val="21"/>
              </w:rPr>
            </w:pPr>
            <w:r>
              <w:rPr>
                <w:rFonts w:hint="eastAsia" w:ascii="宋体" w:hAnsi="宋体"/>
                <w:b w:val="0"/>
                <w:bCs/>
                <w:szCs w:val="21"/>
              </w:rPr>
              <w:t>泉水工区设计生产范围</w:t>
            </w:r>
          </w:p>
        </w:tc>
        <w:tc>
          <w:tcPr>
            <w:tcW w:w="6543" w:type="dxa"/>
            <w:gridSpan w:val="3"/>
            <w:vAlign w:val="center"/>
          </w:tcPr>
          <w:p w14:paraId="083B1EA2">
            <w:pPr>
              <w:spacing w:line="300" w:lineRule="exact"/>
              <w:jc w:val="left"/>
              <w:rPr>
                <w:rFonts w:ascii="宋体" w:hAnsi="宋体" w:cs="宋体"/>
                <w:b w:val="0"/>
                <w:bCs/>
                <w:color w:val="FF0000"/>
                <w:szCs w:val="21"/>
              </w:rPr>
            </w:pPr>
            <w:r>
              <w:rPr>
                <w:rFonts w:hint="eastAsia" w:ascii="宋体" w:hAnsi="宋体" w:cs="宋体"/>
                <w:b w:val="0"/>
                <w:bCs/>
                <w:szCs w:val="21"/>
              </w:rPr>
              <w:t>黑火药（粒状）、黑火药（粉状）</w:t>
            </w:r>
          </w:p>
        </w:tc>
      </w:tr>
    </w:tbl>
    <w:p w14:paraId="73543B41">
      <w:pPr>
        <w:keepNext/>
        <w:keepLines/>
        <w:spacing w:before="120" w:beforeLines="50" w:line="360" w:lineRule="auto"/>
        <w:outlineLvl w:val="1"/>
        <w:rPr>
          <w:rFonts w:ascii="黑体" w:hAnsi="宋体" w:eastAsia="黑体"/>
          <w:b w:val="0"/>
          <w:bCs/>
          <w:snapToGrid w:val="0"/>
          <w:sz w:val="30"/>
          <w:szCs w:val="30"/>
        </w:rPr>
      </w:pPr>
      <w:bookmarkStart w:id="100" w:name="_Toc239191491"/>
      <w:r>
        <w:rPr>
          <w:rFonts w:hint="eastAsia" w:ascii="黑体" w:hAnsi="宋体" w:eastAsia="黑体"/>
          <w:b w:val="0"/>
          <w:bCs/>
          <w:snapToGrid w:val="0"/>
          <w:sz w:val="30"/>
          <w:szCs w:val="30"/>
        </w:rPr>
        <w:t>2.2建设项目概况</w:t>
      </w:r>
      <w:bookmarkEnd w:id="98"/>
      <w:bookmarkEnd w:id="100"/>
    </w:p>
    <w:p w14:paraId="01720FE6">
      <w:pPr>
        <w:pStyle w:val="7"/>
        <w:rPr>
          <w:rFonts w:ascii="黑体" w:hAnsi="宋体" w:eastAsia="黑体"/>
          <w:b w:val="0"/>
          <w:bCs w:val="0"/>
          <w:snapToGrid w:val="0"/>
          <w:sz w:val="30"/>
          <w:szCs w:val="30"/>
        </w:rPr>
      </w:pPr>
      <w:bookmarkStart w:id="101" w:name="_Toc165038765"/>
      <w:r>
        <w:rPr>
          <w:rFonts w:hint="eastAsia" w:ascii="黑体" w:hAnsi="宋体" w:eastAsia="黑体"/>
          <w:b w:val="0"/>
          <w:bCs w:val="0"/>
          <w:snapToGrid w:val="0"/>
          <w:sz w:val="30"/>
          <w:szCs w:val="30"/>
        </w:rPr>
        <w:t>2.2.1建设项目简介</w:t>
      </w:r>
      <w:bookmarkEnd w:id="101"/>
    </w:p>
    <w:p w14:paraId="0FD89198">
      <w:pPr>
        <w:spacing w:line="360" w:lineRule="auto"/>
        <w:ind w:firstLine="560" w:firstLineChars="200"/>
        <w:rPr>
          <w:rFonts w:cs="宋体" w:asciiTheme="minorEastAsia" w:hAnsiTheme="minorEastAsia" w:eastAsiaTheme="minorEastAsia"/>
          <w:b w:val="0"/>
          <w:sz w:val="28"/>
          <w:szCs w:val="28"/>
        </w:rPr>
      </w:pPr>
      <w:bookmarkStart w:id="102" w:name="_Toc300329554"/>
      <w:bookmarkStart w:id="103" w:name="_Toc300256179"/>
      <w:bookmarkStart w:id="104" w:name="_Toc278054168"/>
      <w:bookmarkStart w:id="105" w:name="_Toc165038766"/>
      <w:bookmarkStart w:id="106" w:name="_Toc300344376"/>
      <w:r>
        <w:rPr>
          <w:rFonts w:hint="eastAsia" w:cs="宋体" w:asciiTheme="minorEastAsia" w:hAnsiTheme="minorEastAsia" w:eastAsiaTheme="minorEastAsia"/>
          <w:b w:val="0"/>
          <w:sz w:val="28"/>
          <w:szCs w:val="28"/>
        </w:rPr>
        <w:t>该项目为：湖南金帝烟花爆竹制造有限公司泉水工区扩建项目（以下简称：“该项目”或“扩建项目”）。</w:t>
      </w:r>
    </w:p>
    <w:p w14:paraId="0256400D">
      <w:pPr>
        <w:spacing w:line="360" w:lineRule="auto"/>
        <w:ind w:firstLine="560" w:firstLineChars="200"/>
        <w:rPr>
          <w:rFonts w:ascii="宋体" w:hAnsi="宋体" w:cs="Arial"/>
          <w:b w:val="0"/>
          <w:sz w:val="28"/>
        </w:rPr>
      </w:pPr>
      <w:r>
        <w:rPr>
          <w:rFonts w:ascii="宋体" w:hAnsi="宋体" w:cs="Arial"/>
          <w:b w:val="0"/>
          <w:sz w:val="28"/>
        </w:rPr>
        <w:t>根据《湖南省应急管理厅关于醴陵市增加黑火药供给产能的批复》（湘应急函〔2024〕33 号），湖南金帝烟花爆竹制造有限公司于 2024 年 7 月提出申请在醴陵市沩山镇泉水村新建黑火药（粒状）生产线项目，建设项目</w:t>
      </w:r>
      <w:r>
        <w:rPr>
          <w:rFonts w:hint="eastAsia" w:ascii="宋体" w:hAnsi="宋体" w:cs="Arial"/>
          <w:b w:val="0"/>
          <w:sz w:val="28"/>
        </w:rPr>
        <w:t>2024年</w:t>
      </w:r>
      <w:r>
        <w:rPr>
          <w:rFonts w:ascii="宋体" w:hAnsi="宋体" w:cs="Arial"/>
          <w:b w:val="0"/>
          <w:sz w:val="28"/>
        </w:rPr>
        <w:t>委托湖南省泰衡民用爆破工程安全设计咨询有限公司进行了安全设施设计，</w:t>
      </w:r>
      <w:r>
        <w:rPr>
          <w:rFonts w:hint="eastAsia" w:ascii="宋体" w:hAnsi="宋体" w:cs="Arial"/>
          <w:b w:val="0"/>
          <w:bCs/>
          <w:sz w:val="28"/>
        </w:rPr>
        <w:t>建设项目安全设施设计经湖南省应急管理厅组织的专家组审查通过，</w:t>
      </w:r>
      <w:r>
        <w:rPr>
          <w:rFonts w:hint="eastAsia" w:ascii="宋体" w:hAnsi="宋体" w:cs="Arial"/>
          <w:b w:val="0"/>
          <w:sz w:val="28"/>
        </w:rPr>
        <w:t>2024年11月18日</w:t>
      </w:r>
      <w:r>
        <w:rPr>
          <w:rFonts w:hint="eastAsia" w:ascii="宋体" w:hAnsi="宋体" w:cs="Arial"/>
          <w:b w:val="0"/>
          <w:bCs/>
          <w:sz w:val="28"/>
        </w:rPr>
        <w:t>由湖南省应急管理厅下发安全设施设计审查批复：湘应急许烟设审字〔2024〕第</w:t>
      </w:r>
      <w:r>
        <w:rPr>
          <w:rFonts w:ascii="宋体" w:hAnsi="宋体" w:cs="Arial"/>
          <w:b w:val="0"/>
          <w:bCs/>
          <w:sz w:val="28"/>
        </w:rPr>
        <w:t>0</w:t>
      </w:r>
      <w:r>
        <w:rPr>
          <w:rFonts w:hint="eastAsia" w:ascii="宋体" w:hAnsi="宋体" w:cs="Arial"/>
          <w:b w:val="0"/>
          <w:bCs/>
          <w:sz w:val="28"/>
        </w:rPr>
        <w:t>64号，建设工程现正建设中；</w:t>
      </w:r>
      <w:r>
        <w:rPr>
          <w:rFonts w:ascii="宋体" w:hAnsi="宋体" w:cs="Arial"/>
          <w:b w:val="0"/>
          <w:sz w:val="28"/>
        </w:rPr>
        <w:t>根据</w:t>
      </w:r>
      <w:r>
        <w:rPr>
          <w:rFonts w:hint="eastAsia" w:ascii="宋体" w:hAnsi="宋体" w:cs="Arial"/>
          <w:b w:val="0"/>
          <w:sz w:val="28"/>
        </w:rPr>
        <w:t>2024年12月27日由</w:t>
      </w:r>
      <w:r>
        <w:rPr>
          <w:rFonts w:ascii="宋体" w:hAnsi="宋体" w:cs="Arial"/>
          <w:b w:val="0"/>
          <w:sz w:val="28"/>
        </w:rPr>
        <w:t>湖南省应急管理厅下发的《湖南省应急管理厅关于同意湖南省科富花炮实业有限公司等两家企业改扩建的批复》（湘应急函〔2024〕</w:t>
      </w:r>
      <w:r>
        <w:rPr>
          <w:rFonts w:hint="eastAsia" w:ascii="宋体" w:hAnsi="宋体" w:cs="Arial"/>
          <w:b w:val="0"/>
          <w:sz w:val="28"/>
        </w:rPr>
        <w:t>30</w:t>
      </w:r>
      <w:r>
        <w:rPr>
          <w:rFonts w:ascii="宋体" w:hAnsi="宋体" w:cs="Arial"/>
          <w:b w:val="0"/>
          <w:sz w:val="28"/>
        </w:rPr>
        <w:t xml:space="preserve"> 号），同意批准湖南金帝烟花爆竹制造有限公司在原批复（湘应急函〔2024〕33 号，</w:t>
      </w:r>
      <w:r>
        <w:rPr>
          <w:rFonts w:hint="eastAsia" w:ascii="宋体" w:hAnsi="宋体" w:cs="Arial"/>
          <w:b w:val="0"/>
          <w:bCs/>
          <w:sz w:val="28"/>
        </w:rPr>
        <w:t>湘应急许烟设审字〔2024〕第</w:t>
      </w:r>
      <w:r>
        <w:rPr>
          <w:rFonts w:ascii="宋体" w:hAnsi="宋体" w:cs="Arial"/>
          <w:b w:val="0"/>
          <w:bCs/>
          <w:sz w:val="28"/>
        </w:rPr>
        <w:t>0</w:t>
      </w:r>
      <w:r>
        <w:rPr>
          <w:rFonts w:hint="eastAsia" w:ascii="宋体" w:hAnsi="宋体" w:cs="Arial"/>
          <w:b w:val="0"/>
          <w:bCs/>
          <w:sz w:val="28"/>
        </w:rPr>
        <w:t>64号</w:t>
      </w:r>
      <w:r>
        <w:rPr>
          <w:rFonts w:ascii="宋体" w:hAnsi="宋体" w:cs="Arial"/>
          <w:b w:val="0"/>
          <w:sz w:val="28"/>
        </w:rPr>
        <w:t>）基础上拟扩建</w:t>
      </w:r>
      <w:r>
        <w:rPr>
          <w:rFonts w:hint="eastAsia" w:ascii="宋体" w:hAnsi="宋体" w:cs="Arial"/>
          <w:b w:val="0"/>
          <w:sz w:val="28"/>
        </w:rPr>
        <w:t>1条黑火药（粉状）生产线。拟扩建后厂区共设工库房等建(构)筑物134栋，包括本次拟新建黑火药（粉状）生产线1条，泉水工区申请生产范围为：黑火药（粒状）、黑火药（粉状）。</w:t>
      </w:r>
    </w:p>
    <w:p w14:paraId="41E3EACF">
      <w:pPr>
        <w:spacing w:line="360" w:lineRule="auto"/>
        <w:ind w:firstLine="560" w:firstLineChars="200"/>
        <w:rPr>
          <w:rFonts w:cs="宋体" w:asciiTheme="minorEastAsia" w:hAnsiTheme="minorEastAsia" w:eastAsiaTheme="minorEastAsia"/>
          <w:b w:val="0"/>
          <w:sz w:val="28"/>
          <w:szCs w:val="28"/>
        </w:rPr>
      </w:pPr>
      <w:r>
        <w:rPr>
          <w:rFonts w:hint="eastAsia" w:cs="宋体" w:asciiTheme="minorEastAsia" w:hAnsiTheme="minorEastAsia" w:eastAsiaTheme="minorEastAsia"/>
          <w:b w:val="0"/>
          <w:sz w:val="28"/>
          <w:szCs w:val="28"/>
        </w:rPr>
        <w:t>该项目《</w:t>
      </w:r>
      <w:r>
        <w:rPr>
          <w:rFonts w:hint="eastAsia" w:cs="宋体" w:asciiTheme="minorEastAsia" w:hAnsiTheme="minorEastAsia" w:eastAsiaTheme="minorEastAsia"/>
          <w:b w:val="0"/>
          <w:bCs/>
          <w:sz w:val="28"/>
          <w:szCs w:val="28"/>
        </w:rPr>
        <w:t>湖南金帝烟花爆竹制造有限公司泉水工区扩建项目安全设施设计平面布置图</w:t>
      </w:r>
      <w:r>
        <w:rPr>
          <w:rFonts w:hint="eastAsia" w:cs="宋体" w:asciiTheme="minorEastAsia" w:hAnsiTheme="minorEastAsia" w:eastAsiaTheme="minorEastAsia"/>
          <w:b w:val="0"/>
          <w:sz w:val="28"/>
          <w:szCs w:val="28"/>
        </w:rPr>
        <w:t>》（初步设计方案图）由具有相应设计资质的大连市化工设计院有限公司提供。</w:t>
      </w:r>
    </w:p>
    <w:p w14:paraId="5FB3CC3F">
      <w:pPr>
        <w:pStyle w:val="30"/>
        <w:spacing w:line="360" w:lineRule="auto"/>
        <w:ind w:firstLine="560" w:firstLineChars="200"/>
        <w:jc w:val="both"/>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此次扩建项目基本情况：</w:t>
      </w:r>
    </w:p>
    <w:p w14:paraId="0FAF7929">
      <w:pPr>
        <w:spacing w:line="360" w:lineRule="auto"/>
        <w:ind w:firstLine="562"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建设单位：</w:t>
      </w:r>
      <w:r>
        <w:rPr>
          <w:rFonts w:hint="eastAsia" w:asciiTheme="minorEastAsia" w:hAnsiTheme="minorEastAsia" w:eastAsiaTheme="minorEastAsia"/>
          <w:b w:val="0"/>
          <w:sz w:val="28"/>
          <w:szCs w:val="28"/>
        </w:rPr>
        <w:t>湖南金帝烟花爆竹制造有限公司</w:t>
      </w:r>
    </w:p>
    <w:p w14:paraId="59C7DF6D">
      <w:pPr>
        <w:spacing w:line="360" w:lineRule="auto"/>
        <w:ind w:firstLine="562" w:firstLineChars="200"/>
        <w:rPr>
          <w:rFonts w:asciiTheme="minorEastAsia" w:hAnsiTheme="minorEastAsia" w:eastAsiaTheme="minorEastAsia"/>
          <w:b w:val="0"/>
          <w:sz w:val="28"/>
          <w:szCs w:val="28"/>
        </w:rPr>
      </w:pPr>
      <w:r>
        <w:rPr>
          <w:rFonts w:hint="eastAsia" w:asciiTheme="minorEastAsia" w:hAnsiTheme="minorEastAsia" w:eastAsiaTheme="minorEastAsia"/>
          <w:bCs/>
          <w:sz w:val="28"/>
          <w:szCs w:val="28"/>
        </w:rPr>
        <w:t>项目名称</w:t>
      </w:r>
      <w:r>
        <w:rPr>
          <w:rFonts w:hint="eastAsia" w:asciiTheme="minorEastAsia" w:hAnsiTheme="minorEastAsia" w:eastAsiaTheme="minorEastAsia"/>
          <w:b w:val="0"/>
          <w:sz w:val="28"/>
          <w:szCs w:val="28"/>
        </w:rPr>
        <w:t>：湖南金帝烟花爆竹制造有限公司泉水工区扩建项目</w:t>
      </w:r>
    </w:p>
    <w:p w14:paraId="63D34804">
      <w:pPr>
        <w:spacing w:line="360" w:lineRule="auto"/>
        <w:ind w:firstLine="562" w:firstLineChars="200"/>
        <w:rPr>
          <w:rFonts w:cs="宋体" w:asciiTheme="minorEastAsia" w:hAnsiTheme="minorEastAsia" w:eastAsiaTheme="minorEastAsia"/>
          <w:b w:val="0"/>
          <w:sz w:val="28"/>
          <w:szCs w:val="28"/>
        </w:rPr>
      </w:pPr>
      <w:r>
        <w:rPr>
          <w:rFonts w:hint="eastAsia" w:cs="宋体" w:asciiTheme="minorEastAsia" w:hAnsiTheme="minorEastAsia" w:eastAsiaTheme="minorEastAsia"/>
          <w:bCs/>
          <w:sz w:val="28"/>
          <w:szCs w:val="28"/>
        </w:rPr>
        <w:t>建设地点：</w:t>
      </w:r>
      <w:r>
        <w:rPr>
          <w:rFonts w:hint="eastAsia" w:cs="宋体" w:asciiTheme="minorEastAsia" w:hAnsiTheme="minorEastAsia" w:eastAsiaTheme="minorEastAsia"/>
          <w:b w:val="0"/>
          <w:sz w:val="28"/>
          <w:szCs w:val="28"/>
        </w:rPr>
        <w:t>湖南省醴陵市沩山镇泉水村</w:t>
      </w:r>
    </w:p>
    <w:p w14:paraId="3B7E9F1D">
      <w:pPr>
        <w:spacing w:line="360" w:lineRule="auto"/>
        <w:ind w:firstLine="562" w:firstLineChars="200"/>
        <w:rPr>
          <w:rFonts w:cs="宋体" w:asciiTheme="minorEastAsia" w:hAnsiTheme="minorEastAsia" w:eastAsiaTheme="minorEastAsia"/>
          <w:b w:val="0"/>
          <w:sz w:val="28"/>
          <w:szCs w:val="28"/>
        </w:rPr>
      </w:pPr>
      <w:r>
        <w:rPr>
          <w:rFonts w:hint="eastAsia" w:cs="宋体" w:asciiTheme="minorEastAsia" w:hAnsiTheme="minorEastAsia" w:eastAsiaTheme="minorEastAsia"/>
          <w:bCs/>
          <w:sz w:val="28"/>
          <w:szCs w:val="28"/>
        </w:rPr>
        <w:t>项目总投资</w:t>
      </w:r>
      <w:r>
        <w:rPr>
          <w:rFonts w:hint="eastAsia" w:cs="宋体" w:asciiTheme="minorEastAsia" w:hAnsiTheme="minorEastAsia" w:eastAsiaTheme="minorEastAsia"/>
          <w:b w:val="0"/>
          <w:sz w:val="28"/>
          <w:szCs w:val="28"/>
        </w:rPr>
        <w:t>：</w:t>
      </w:r>
      <w:r>
        <w:rPr>
          <w:rFonts w:cs="宋体" w:asciiTheme="minorEastAsia" w:hAnsiTheme="minorEastAsia" w:eastAsiaTheme="minorEastAsia"/>
          <w:b w:val="0"/>
          <w:sz w:val="28"/>
          <w:szCs w:val="28"/>
        </w:rPr>
        <w:t>80</w:t>
      </w:r>
      <w:r>
        <w:rPr>
          <w:rFonts w:hint="eastAsia" w:cs="宋体" w:asciiTheme="minorEastAsia" w:hAnsiTheme="minorEastAsia" w:eastAsiaTheme="minorEastAsia"/>
          <w:b w:val="0"/>
          <w:sz w:val="28"/>
          <w:szCs w:val="28"/>
        </w:rPr>
        <w:t>0万元</w:t>
      </w:r>
    </w:p>
    <w:p w14:paraId="03AAF754">
      <w:pPr>
        <w:spacing w:line="360" w:lineRule="auto"/>
        <w:ind w:firstLine="562" w:firstLineChars="200"/>
        <w:rPr>
          <w:rFonts w:cs="宋体" w:asciiTheme="minorEastAsia" w:hAnsiTheme="minorEastAsia" w:eastAsiaTheme="minorEastAsia"/>
          <w:b w:val="0"/>
          <w:sz w:val="28"/>
          <w:szCs w:val="28"/>
        </w:rPr>
      </w:pPr>
      <w:r>
        <w:rPr>
          <w:rFonts w:hint="eastAsia" w:cs="宋体" w:asciiTheme="minorEastAsia" w:hAnsiTheme="minorEastAsia" w:eastAsiaTheme="minorEastAsia"/>
          <w:bCs/>
          <w:sz w:val="28"/>
          <w:szCs w:val="28"/>
        </w:rPr>
        <w:t>主要建设内容及规模</w:t>
      </w:r>
      <w:r>
        <w:rPr>
          <w:rFonts w:cs="宋体" w:asciiTheme="minorEastAsia" w:hAnsiTheme="minorEastAsia" w:eastAsiaTheme="minorEastAsia"/>
          <w:b w:val="0"/>
          <w:sz w:val="28"/>
          <w:szCs w:val="28"/>
        </w:rPr>
        <w:t>：</w:t>
      </w:r>
      <w:r>
        <w:rPr>
          <w:rFonts w:hint="eastAsia" w:cs="宋体" w:asciiTheme="minorEastAsia" w:hAnsiTheme="minorEastAsia" w:eastAsiaTheme="minorEastAsia"/>
          <w:b w:val="0"/>
          <w:sz w:val="28"/>
          <w:szCs w:val="28"/>
        </w:rPr>
        <w:t>拟在湖南省醴陵市沩山镇泉水村新建黑火药（粉状）生产线1条（1</w:t>
      </w:r>
      <w:r>
        <w:rPr>
          <w:rFonts w:cs="宋体" w:asciiTheme="minorEastAsia" w:hAnsiTheme="minorEastAsia" w:eastAsiaTheme="minorEastAsia"/>
          <w:b w:val="0"/>
          <w:sz w:val="28"/>
          <w:szCs w:val="28"/>
        </w:rPr>
        <w:t>19</w:t>
      </w:r>
      <w:r>
        <w:rPr>
          <w:rFonts w:hint="eastAsia" w:cs="宋体" w:asciiTheme="minorEastAsia" w:hAnsiTheme="minorEastAsia" w:eastAsiaTheme="minorEastAsia"/>
          <w:b w:val="0"/>
          <w:sz w:val="28"/>
          <w:szCs w:val="28"/>
        </w:rPr>
        <w:t>号-</w:t>
      </w:r>
      <w:r>
        <w:rPr>
          <w:rFonts w:cs="宋体" w:asciiTheme="minorEastAsia" w:hAnsiTheme="minorEastAsia" w:eastAsiaTheme="minorEastAsia"/>
          <w:b w:val="0"/>
          <w:sz w:val="28"/>
          <w:szCs w:val="28"/>
        </w:rPr>
        <w:t>134</w:t>
      </w:r>
      <w:r>
        <w:rPr>
          <w:rFonts w:hint="eastAsia" w:cs="宋体" w:asciiTheme="minorEastAsia" w:hAnsiTheme="minorEastAsia" w:eastAsiaTheme="minorEastAsia"/>
          <w:b w:val="0"/>
          <w:sz w:val="28"/>
          <w:szCs w:val="28"/>
        </w:rPr>
        <w:t>号工房），拟占地面积3</w:t>
      </w:r>
      <w:r>
        <w:rPr>
          <w:rFonts w:cs="宋体" w:asciiTheme="minorEastAsia" w:hAnsiTheme="minorEastAsia" w:eastAsiaTheme="minorEastAsia"/>
          <w:b w:val="0"/>
          <w:sz w:val="28"/>
          <w:szCs w:val="28"/>
        </w:rPr>
        <w:t>2000</w:t>
      </w:r>
      <w:r>
        <w:rPr>
          <w:rFonts w:hint="eastAsia" w:cs="宋体" w:asciiTheme="minorEastAsia" w:hAnsiTheme="minorEastAsia" w:eastAsiaTheme="minorEastAsia"/>
          <w:b w:val="0"/>
          <w:sz w:val="28"/>
          <w:szCs w:val="28"/>
        </w:rPr>
        <w:t>平米。</w:t>
      </w:r>
    </w:p>
    <w:p w14:paraId="50DEF22F">
      <w:pPr>
        <w:spacing w:line="360" w:lineRule="auto"/>
        <w:ind w:firstLine="560" w:firstLineChars="200"/>
        <w:rPr>
          <w:rFonts w:ascii="宋体" w:hAnsi="宋体"/>
          <w:b w:val="0"/>
          <w:sz w:val="28"/>
          <w:szCs w:val="28"/>
        </w:rPr>
      </w:pPr>
      <w:r>
        <w:rPr>
          <w:rFonts w:hint="eastAsia" w:asciiTheme="minorEastAsia" w:hAnsiTheme="minorEastAsia" w:eastAsiaTheme="minorEastAsia"/>
          <w:b w:val="0"/>
          <w:sz w:val="28"/>
          <w:szCs w:val="28"/>
        </w:rPr>
        <w:t>本项目扩建后厂区共设工库房等建（构）筑物1</w:t>
      </w:r>
      <w:r>
        <w:rPr>
          <w:rFonts w:asciiTheme="minorEastAsia" w:hAnsiTheme="minorEastAsia" w:eastAsiaTheme="minorEastAsia"/>
          <w:b w:val="0"/>
          <w:sz w:val="28"/>
          <w:szCs w:val="28"/>
        </w:rPr>
        <w:t>34</w:t>
      </w:r>
      <w:r>
        <w:rPr>
          <w:rFonts w:hint="eastAsia" w:asciiTheme="minorEastAsia" w:hAnsiTheme="minorEastAsia" w:eastAsiaTheme="minorEastAsia"/>
          <w:b w:val="0"/>
          <w:sz w:val="28"/>
          <w:szCs w:val="28"/>
        </w:rPr>
        <w:t>栋，</w:t>
      </w:r>
      <w:r>
        <w:rPr>
          <w:rFonts w:hint="eastAsia" w:ascii="宋体" w:hAnsi="宋体" w:cs="Arial"/>
          <w:b w:val="0"/>
          <w:sz w:val="28"/>
        </w:rPr>
        <w:t>包括本次拟新建黑火药（粉状）生产线1条</w:t>
      </w:r>
      <w:r>
        <w:rPr>
          <w:rFonts w:hint="eastAsia" w:asciiTheme="minorEastAsia" w:hAnsiTheme="minorEastAsia" w:eastAsiaTheme="minorEastAsia"/>
          <w:b w:val="0"/>
          <w:sz w:val="28"/>
          <w:szCs w:val="28"/>
        </w:rPr>
        <w:t>，设计生产范围：黑火药（粒状）、黑火药（粉状）。</w:t>
      </w:r>
      <w:r>
        <w:rPr>
          <w:rFonts w:hint="eastAsia" w:ascii="宋体" w:hAnsi="宋体" w:cs="宋体"/>
          <w:b w:val="0"/>
          <w:sz w:val="28"/>
          <w:szCs w:val="28"/>
        </w:rPr>
        <w:t>企业建（构）筑物情况见表2</w:t>
      </w:r>
      <w:r>
        <w:rPr>
          <w:rFonts w:ascii="宋体" w:hAnsi="宋体" w:cs="宋体"/>
          <w:b w:val="0"/>
          <w:sz w:val="28"/>
          <w:szCs w:val="28"/>
        </w:rPr>
        <w:t>.2-2</w:t>
      </w:r>
      <w:r>
        <w:rPr>
          <w:rFonts w:hint="eastAsia" w:ascii="宋体" w:hAnsi="宋体" w:cs="宋体"/>
          <w:b w:val="0"/>
          <w:sz w:val="28"/>
          <w:szCs w:val="28"/>
        </w:rPr>
        <w:t>：</w:t>
      </w:r>
    </w:p>
    <w:p w14:paraId="13FDD669">
      <w:pPr>
        <w:jc w:val="center"/>
        <w:rPr>
          <w:rFonts w:ascii="黑体" w:hAnsi="黑体" w:eastAsia="黑体"/>
          <w:b w:val="0"/>
          <w:bCs/>
          <w:spacing w:val="-2"/>
          <w:sz w:val="24"/>
        </w:rPr>
      </w:pPr>
      <w:r>
        <w:rPr>
          <w:rFonts w:hint="eastAsia" w:ascii="黑体" w:hAnsi="黑体" w:eastAsia="黑体"/>
          <w:b w:val="0"/>
          <w:bCs/>
          <w:spacing w:val="-2"/>
          <w:sz w:val="24"/>
        </w:rPr>
        <w:t>表2.2-</w:t>
      </w:r>
      <w:r>
        <w:rPr>
          <w:rFonts w:ascii="黑体" w:hAnsi="黑体" w:eastAsia="黑体"/>
          <w:b w:val="0"/>
          <w:bCs/>
          <w:spacing w:val="-2"/>
          <w:sz w:val="24"/>
        </w:rPr>
        <w:t>2</w:t>
      </w:r>
      <w:r>
        <w:rPr>
          <w:rFonts w:hint="eastAsia" w:ascii="黑体" w:hAnsi="黑体" w:eastAsia="黑体"/>
          <w:b w:val="0"/>
          <w:bCs/>
          <w:spacing w:val="-2"/>
          <w:sz w:val="24"/>
        </w:rPr>
        <w:t xml:space="preserve">  建设项目建（构）筑物情况表</w:t>
      </w:r>
    </w:p>
    <w:tbl>
      <w:tblPr>
        <w:tblStyle w:val="88"/>
        <w:tblW w:w="86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448"/>
        <w:gridCol w:w="881"/>
        <w:gridCol w:w="731"/>
        <w:gridCol w:w="1221"/>
        <w:gridCol w:w="771"/>
        <w:gridCol w:w="930"/>
        <w:gridCol w:w="998"/>
      </w:tblGrid>
      <w:tr w14:paraId="6C240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0" w:hRule="atLeast"/>
          <w:tblHeader/>
          <w:jc w:val="center"/>
        </w:trPr>
        <w:tc>
          <w:tcPr>
            <w:tcW w:w="697" w:type="dxa"/>
            <w:vAlign w:val="center"/>
          </w:tcPr>
          <w:p w14:paraId="0C172BC0">
            <w:pPr>
              <w:tabs>
                <w:tab w:val="left" w:pos="3135"/>
              </w:tabs>
              <w:spacing w:line="300" w:lineRule="exact"/>
              <w:jc w:val="center"/>
              <w:rPr>
                <w:rFonts w:ascii="宋体" w:hAnsi="宋体"/>
                <w:szCs w:val="21"/>
              </w:rPr>
            </w:pPr>
            <w:r>
              <w:rPr>
                <w:rFonts w:hint="eastAsia" w:ascii="宋体" w:hAnsi="宋体"/>
                <w:szCs w:val="21"/>
              </w:rPr>
              <w:t>编号</w:t>
            </w:r>
          </w:p>
        </w:tc>
        <w:tc>
          <w:tcPr>
            <w:tcW w:w="2448" w:type="dxa"/>
            <w:vAlign w:val="center"/>
          </w:tcPr>
          <w:p w14:paraId="6FF621AA">
            <w:pPr>
              <w:tabs>
                <w:tab w:val="left" w:pos="3135"/>
              </w:tabs>
              <w:spacing w:line="300" w:lineRule="exact"/>
              <w:jc w:val="center"/>
              <w:rPr>
                <w:rFonts w:ascii="宋体" w:hAnsi="宋体"/>
                <w:szCs w:val="21"/>
              </w:rPr>
            </w:pPr>
            <w:r>
              <w:rPr>
                <w:rFonts w:hint="eastAsia" w:ascii="宋体" w:hAnsi="宋体"/>
                <w:szCs w:val="21"/>
              </w:rPr>
              <w:t>工房名称</w:t>
            </w:r>
          </w:p>
        </w:tc>
        <w:tc>
          <w:tcPr>
            <w:tcW w:w="881" w:type="dxa"/>
            <w:vAlign w:val="center"/>
          </w:tcPr>
          <w:p w14:paraId="50766A72">
            <w:pPr>
              <w:tabs>
                <w:tab w:val="left" w:pos="3135"/>
              </w:tabs>
              <w:spacing w:line="300" w:lineRule="exact"/>
              <w:jc w:val="center"/>
              <w:rPr>
                <w:rFonts w:ascii="宋体" w:hAnsi="宋体"/>
                <w:szCs w:val="21"/>
              </w:rPr>
            </w:pPr>
            <w:r>
              <w:rPr>
                <w:rFonts w:hint="eastAsia" w:ascii="宋体" w:hAnsi="宋体"/>
                <w:szCs w:val="21"/>
              </w:rPr>
              <w:t>面积（m</w:t>
            </w:r>
            <w:r>
              <w:rPr>
                <w:rFonts w:hint="eastAsia" w:ascii="宋体" w:hAnsi="宋体"/>
                <w:szCs w:val="21"/>
                <w:vertAlign w:val="superscript"/>
              </w:rPr>
              <w:t>2</w:t>
            </w:r>
            <w:r>
              <w:rPr>
                <w:rFonts w:ascii="宋体" w:hAnsi="宋体"/>
                <w:szCs w:val="21"/>
              </w:rPr>
              <w:t>）</w:t>
            </w:r>
          </w:p>
        </w:tc>
        <w:tc>
          <w:tcPr>
            <w:tcW w:w="731" w:type="dxa"/>
            <w:vAlign w:val="center"/>
          </w:tcPr>
          <w:p w14:paraId="69DE82A2">
            <w:pPr>
              <w:tabs>
                <w:tab w:val="left" w:pos="3135"/>
              </w:tabs>
              <w:spacing w:line="300" w:lineRule="exact"/>
              <w:jc w:val="center"/>
              <w:rPr>
                <w:rFonts w:ascii="宋体" w:hAnsi="宋体"/>
                <w:szCs w:val="21"/>
              </w:rPr>
            </w:pPr>
            <w:r>
              <w:rPr>
                <w:rFonts w:hint="eastAsia" w:ascii="宋体" w:hAnsi="宋体"/>
                <w:szCs w:val="21"/>
              </w:rPr>
              <w:t>危险</w:t>
            </w:r>
          </w:p>
          <w:p w14:paraId="18467E49">
            <w:pPr>
              <w:tabs>
                <w:tab w:val="left" w:pos="3135"/>
              </w:tabs>
              <w:spacing w:line="300" w:lineRule="exact"/>
              <w:jc w:val="center"/>
              <w:rPr>
                <w:rFonts w:ascii="宋体" w:hAnsi="宋体"/>
                <w:szCs w:val="21"/>
              </w:rPr>
            </w:pPr>
            <w:r>
              <w:rPr>
                <w:rFonts w:hint="eastAsia" w:ascii="宋体" w:hAnsi="宋体"/>
                <w:szCs w:val="21"/>
              </w:rPr>
              <w:t>等级</w:t>
            </w:r>
          </w:p>
        </w:tc>
        <w:tc>
          <w:tcPr>
            <w:tcW w:w="1221" w:type="dxa"/>
            <w:vAlign w:val="center"/>
          </w:tcPr>
          <w:p w14:paraId="63676C8A">
            <w:pPr>
              <w:tabs>
                <w:tab w:val="left" w:pos="3135"/>
              </w:tabs>
              <w:spacing w:line="300" w:lineRule="exact"/>
              <w:jc w:val="center"/>
              <w:rPr>
                <w:rFonts w:ascii="宋体" w:hAnsi="宋体"/>
                <w:szCs w:val="21"/>
              </w:rPr>
            </w:pPr>
            <w:r>
              <w:rPr>
                <w:rFonts w:hint="eastAsia" w:ascii="宋体" w:hAnsi="宋体"/>
                <w:szCs w:val="21"/>
              </w:rPr>
              <w:t>计算药量（㎏）</w:t>
            </w:r>
          </w:p>
        </w:tc>
        <w:tc>
          <w:tcPr>
            <w:tcW w:w="771" w:type="dxa"/>
            <w:vAlign w:val="center"/>
          </w:tcPr>
          <w:p w14:paraId="11BBE8EA">
            <w:pPr>
              <w:tabs>
                <w:tab w:val="left" w:pos="3135"/>
              </w:tabs>
              <w:spacing w:line="300" w:lineRule="exact"/>
              <w:jc w:val="center"/>
              <w:rPr>
                <w:rFonts w:ascii="宋体" w:hAnsi="宋体"/>
                <w:szCs w:val="21"/>
              </w:rPr>
            </w:pPr>
            <w:r>
              <w:rPr>
                <w:rFonts w:hint="eastAsia" w:ascii="宋体" w:hAnsi="宋体"/>
                <w:szCs w:val="21"/>
              </w:rPr>
              <w:t>定员（人）</w:t>
            </w:r>
          </w:p>
        </w:tc>
        <w:tc>
          <w:tcPr>
            <w:tcW w:w="930" w:type="dxa"/>
            <w:vAlign w:val="center"/>
          </w:tcPr>
          <w:p w14:paraId="70E3195E">
            <w:pPr>
              <w:tabs>
                <w:tab w:val="left" w:pos="3135"/>
              </w:tabs>
              <w:spacing w:line="300" w:lineRule="exact"/>
              <w:jc w:val="center"/>
              <w:rPr>
                <w:rFonts w:ascii="宋体" w:hAnsi="宋体"/>
                <w:szCs w:val="21"/>
              </w:rPr>
            </w:pPr>
            <w:r>
              <w:rPr>
                <w:rFonts w:hint="eastAsia" w:ascii="宋体" w:hAnsi="宋体"/>
                <w:szCs w:val="21"/>
              </w:rPr>
              <w:t>限机（台）</w:t>
            </w:r>
          </w:p>
        </w:tc>
        <w:tc>
          <w:tcPr>
            <w:tcW w:w="998" w:type="dxa"/>
            <w:vAlign w:val="center"/>
          </w:tcPr>
          <w:p w14:paraId="53512C79">
            <w:pPr>
              <w:tabs>
                <w:tab w:val="left" w:pos="3135"/>
              </w:tabs>
              <w:spacing w:line="300" w:lineRule="exact"/>
              <w:jc w:val="center"/>
              <w:rPr>
                <w:rFonts w:ascii="宋体" w:hAnsi="宋体"/>
                <w:szCs w:val="21"/>
              </w:rPr>
            </w:pPr>
            <w:r>
              <w:rPr>
                <w:rFonts w:hint="eastAsia" w:ascii="宋体" w:hAnsi="宋体"/>
                <w:szCs w:val="21"/>
              </w:rPr>
              <w:t>备注</w:t>
            </w:r>
          </w:p>
        </w:tc>
      </w:tr>
      <w:tr w14:paraId="525DA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DDCFCA4">
            <w:pPr>
              <w:jc w:val="center"/>
              <w:rPr>
                <w:rFonts w:ascii="宋体" w:hAnsi="宋体" w:cs="Arial"/>
                <w:b w:val="0"/>
                <w:bCs/>
                <w:szCs w:val="21"/>
              </w:rPr>
            </w:pPr>
            <w:r>
              <w:rPr>
                <w:rFonts w:hint="eastAsia" w:ascii="宋体" w:hAnsi="宋体" w:cs="Arial"/>
                <w:b w:val="0"/>
                <w:bCs/>
                <w:szCs w:val="21"/>
              </w:rPr>
              <w:t>1</w:t>
            </w:r>
          </w:p>
        </w:tc>
        <w:tc>
          <w:tcPr>
            <w:tcW w:w="2448" w:type="dxa"/>
            <w:shd w:val="clear" w:color="auto" w:fill="auto"/>
            <w:vAlign w:val="center"/>
          </w:tcPr>
          <w:p w14:paraId="61D4EB54">
            <w:pPr>
              <w:jc w:val="center"/>
              <w:rPr>
                <w:rFonts w:ascii="宋体" w:hAnsi="宋体" w:cs="Arial"/>
                <w:b w:val="0"/>
                <w:bCs/>
                <w:szCs w:val="21"/>
              </w:rPr>
            </w:pPr>
            <w:r>
              <w:rPr>
                <w:rFonts w:hint="eastAsia" w:ascii="宋体" w:hAnsi="宋体" w:cs="Arial"/>
                <w:b w:val="0"/>
                <w:bCs/>
                <w:szCs w:val="21"/>
              </w:rPr>
              <w:t>办公楼</w:t>
            </w:r>
          </w:p>
        </w:tc>
        <w:tc>
          <w:tcPr>
            <w:tcW w:w="881" w:type="dxa"/>
            <w:shd w:val="clear" w:color="auto" w:fill="auto"/>
            <w:vAlign w:val="center"/>
          </w:tcPr>
          <w:p w14:paraId="4054E7D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20.8</w:t>
            </w:r>
          </w:p>
        </w:tc>
        <w:tc>
          <w:tcPr>
            <w:tcW w:w="731" w:type="dxa"/>
            <w:shd w:val="clear" w:color="auto" w:fill="auto"/>
            <w:vAlign w:val="center"/>
          </w:tcPr>
          <w:p w14:paraId="144F9D72">
            <w:pPr>
              <w:jc w:val="center"/>
              <w:rPr>
                <w:rFonts w:ascii="宋体" w:hAnsi="宋体" w:cs="Arial"/>
                <w:b w:val="0"/>
                <w:bCs/>
                <w:szCs w:val="21"/>
              </w:rPr>
            </w:pPr>
          </w:p>
        </w:tc>
        <w:tc>
          <w:tcPr>
            <w:tcW w:w="1221" w:type="dxa"/>
            <w:shd w:val="clear" w:color="auto" w:fill="auto"/>
            <w:vAlign w:val="center"/>
          </w:tcPr>
          <w:p w14:paraId="4D57CC92">
            <w:pPr>
              <w:jc w:val="center"/>
              <w:rPr>
                <w:rFonts w:ascii="宋体" w:hAnsi="宋体" w:cs="Arial"/>
                <w:b w:val="0"/>
                <w:bCs/>
                <w:szCs w:val="21"/>
              </w:rPr>
            </w:pPr>
          </w:p>
        </w:tc>
        <w:tc>
          <w:tcPr>
            <w:tcW w:w="771" w:type="dxa"/>
            <w:shd w:val="clear" w:color="auto" w:fill="auto"/>
            <w:vAlign w:val="center"/>
          </w:tcPr>
          <w:p w14:paraId="3C4FD2AF">
            <w:pPr>
              <w:jc w:val="center"/>
              <w:rPr>
                <w:rFonts w:ascii="宋体" w:hAnsi="宋体" w:cs="Arial"/>
                <w:b w:val="0"/>
                <w:bCs/>
                <w:szCs w:val="21"/>
              </w:rPr>
            </w:pPr>
          </w:p>
        </w:tc>
        <w:tc>
          <w:tcPr>
            <w:tcW w:w="930" w:type="dxa"/>
            <w:shd w:val="clear" w:color="auto" w:fill="auto"/>
            <w:vAlign w:val="center"/>
          </w:tcPr>
          <w:p w14:paraId="5D524EA7">
            <w:pPr>
              <w:jc w:val="center"/>
              <w:rPr>
                <w:rFonts w:ascii="宋体" w:hAnsi="宋体" w:cs="Arial"/>
                <w:b w:val="0"/>
                <w:bCs/>
                <w:szCs w:val="21"/>
              </w:rPr>
            </w:pPr>
          </w:p>
        </w:tc>
        <w:tc>
          <w:tcPr>
            <w:tcW w:w="998" w:type="dxa"/>
            <w:shd w:val="clear" w:color="auto" w:fill="auto"/>
            <w:vAlign w:val="center"/>
          </w:tcPr>
          <w:p w14:paraId="39A036A8">
            <w:pPr>
              <w:jc w:val="center"/>
              <w:rPr>
                <w:rFonts w:ascii="宋体" w:hAnsi="宋体" w:cs="Arial"/>
                <w:b w:val="0"/>
                <w:bCs/>
                <w:szCs w:val="21"/>
              </w:rPr>
            </w:pPr>
            <w:r>
              <w:rPr>
                <w:rFonts w:hint="eastAsia" w:ascii="宋体" w:hAnsi="宋体" w:cs="Arial"/>
                <w:b w:val="0"/>
                <w:bCs/>
                <w:szCs w:val="21"/>
              </w:rPr>
              <w:t>新建</w:t>
            </w:r>
          </w:p>
        </w:tc>
      </w:tr>
      <w:tr w14:paraId="33653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E6826B9">
            <w:pPr>
              <w:jc w:val="center"/>
              <w:rPr>
                <w:rFonts w:ascii="宋体" w:hAnsi="宋体" w:cs="Arial"/>
                <w:b w:val="0"/>
                <w:bCs/>
                <w:szCs w:val="21"/>
              </w:rPr>
            </w:pPr>
            <w:r>
              <w:rPr>
                <w:rFonts w:hint="eastAsia" w:ascii="宋体" w:hAnsi="宋体" w:cs="Arial"/>
                <w:b w:val="0"/>
                <w:bCs/>
                <w:szCs w:val="21"/>
              </w:rPr>
              <w:t>2</w:t>
            </w:r>
          </w:p>
        </w:tc>
        <w:tc>
          <w:tcPr>
            <w:tcW w:w="2448" w:type="dxa"/>
            <w:shd w:val="clear" w:color="auto" w:fill="auto"/>
            <w:vAlign w:val="center"/>
          </w:tcPr>
          <w:p w14:paraId="2CA27C8C">
            <w:pPr>
              <w:jc w:val="center"/>
              <w:rPr>
                <w:rFonts w:ascii="宋体" w:hAnsi="宋体" w:cs="Arial"/>
                <w:b w:val="0"/>
                <w:bCs/>
                <w:szCs w:val="21"/>
              </w:rPr>
            </w:pPr>
            <w:r>
              <w:rPr>
                <w:rFonts w:hint="eastAsia" w:ascii="宋体" w:hAnsi="宋体" w:cs="Arial"/>
                <w:b w:val="0"/>
                <w:bCs/>
                <w:szCs w:val="21"/>
              </w:rPr>
              <w:t>宿舍楼</w:t>
            </w:r>
          </w:p>
        </w:tc>
        <w:tc>
          <w:tcPr>
            <w:tcW w:w="881" w:type="dxa"/>
            <w:shd w:val="clear" w:color="auto" w:fill="auto"/>
            <w:vAlign w:val="center"/>
          </w:tcPr>
          <w:p w14:paraId="7090CBB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79.8</w:t>
            </w:r>
          </w:p>
        </w:tc>
        <w:tc>
          <w:tcPr>
            <w:tcW w:w="731" w:type="dxa"/>
            <w:shd w:val="clear" w:color="auto" w:fill="auto"/>
            <w:vAlign w:val="center"/>
          </w:tcPr>
          <w:p w14:paraId="7DE428E8">
            <w:pPr>
              <w:jc w:val="center"/>
              <w:rPr>
                <w:rFonts w:ascii="宋体" w:hAnsi="宋体" w:cs="Arial"/>
                <w:b w:val="0"/>
                <w:bCs/>
                <w:szCs w:val="21"/>
              </w:rPr>
            </w:pPr>
          </w:p>
        </w:tc>
        <w:tc>
          <w:tcPr>
            <w:tcW w:w="1221" w:type="dxa"/>
            <w:shd w:val="clear" w:color="auto" w:fill="auto"/>
            <w:vAlign w:val="center"/>
          </w:tcPr>
          <w:p w14:paraId="35024F2F">
            <w:pPr>
              <w:jc w:val="center"/>
              <w:rPr>
                <w:rFonts w:ascii="宋体" w:hAnsi="宋体" w:cs="Arial"/>
                <w:b w:val="0"/>
                <w:bCs/>
                <w:szCs w:val="21"/>
              </w:rPr>
            </w:pPr>
          </w:p>
        </w:tc>
        <w:tc>
          <w:tcPr>
            <w:tcW w:w="771" w:type="dxa"/>
            <w:shd w:val="clear" w:color="auto" w:fill="auto"/>
            <w:vAlign w:val="center"/>
          </w:tcPr>
          <w:p w14:paraId="34A47E24">
            <w:pPr>
              <w:jc w:val="center"/>
              <w:rPr>
                <w:rFonts w:ascii="宋体" w:hAnsi="宋体" w:cs="Arial"/>
                <w:b w:val="0"/>
                <w:bCs/>
                <w:szCs w:val="21"/>
              </w:rPr>
            </w:pPr>
          </w:p>
        </w:tc>
        <w:tc>
          <w:tcPr>
            <w:tcW w:w="930" w:type="dxa"/>
            <w:shd w:val="clear" w:color="auto" w:fill="auto"/>
            <w:vAlign w:val="center"/>
          </w:tcPr>
          <w:p w14:paraId="2587EA2B">
            <w:pPr>
              <w:jc w:val="center"/>
              <w:rPr>
                <w:rFonts w:ascii="宋体" w:hAnsi="宋体" w:cs="Arial"/>
                <w:b w:val="0"/>
                <w:bCs/>
                <w:szCs w:val="21"/>
              </w:rPr>
            </w:pPr>
          </w:p>
        </w:tc>
        <w:tc>
          <w:tcPr>
            <w:tcW w:w="998" w:type="dxa"/>
            <w:shd w:val="clear" w:color="auto" w:fill="auto"/>
            <w:vAlign w:val="center"/>
          </w:tcPr>
          <w:p w14:paraId="6A2F4B36">
            <w:pPr>
              <w:jc w:val="center"/>
              <w:rPr>
                <w:rFonts w:ascii="宋体" w:hAnsi="宋体" w:cs="Arial"/>
                <w:b w:val="0"/>
                <w:bCs/>
                <w:szCs w:val="21"/>
              </w:rPr>
            </w:pPr>
            <w:r>
              <w:rPr>
                <w:rFonts w:hint="eastAsia" w:ascii="宋体" w:hAnsi="宋体" w:cs="Arial"/>
                <w:b w:val="0"/>
                <w:bCs/>
                <w:szCs w:val="21"/>
              </w:rPr>
              <w:t>新建</w:t>
            </w:r>
          </w:p>
        </w:tc>
      </w:tr>
      <w:tr w14:paraId="109F8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DF213CD">
            <w:pPr>
              <w:jc w:val="center"/>
              <w:rPr>
                <w:rFonts w:ascii="宋体" w:hAnsi="宋体" w:cs="Arial"/>
                <w:b w:val="0"/>
                <w:bCs/>
                <w:szCs w:val="21"/>
              </w:rPr>
            </w:pPr>
            <w:r>
              <w:rPr>
                <w:rFonts w:hint="eastAsia" w:ascii="宋体" w:hAnsi="宋体" w:cs="Arial"/>
                <w:b w:val="0"/>
                <w:bCs/>
                <w:szCs w:val="21"/>
              </w:rPr>
              <w:t>3</w:t>
            </w:r>
          </w:p>
        </w:tc>
        <w:tc>
          <w:tcPr>
            <w:tcW w:w="2448" w:type="dxa"/>
            <w:shd w:val="clear" w:color="auto" w:fill="auto"/>
            <w:vAlign w:val="center"/>
          </w:tcPr>
          <w:p w14:paraId="5AEE88D2">
            <w:pPr>
              <w:jc w:val="center"/>
              <w:rPr>
                <w:rFonts w:ascii="宋体" w:hAnsi="宋体" w:cs="Arial"/>
                <w:b w:val="0"/>
                <w:bCs/>
                <w:szCs w:val="21"/>
              </w:rPr>
            </w:pPr>
            <w:r>
              <w:rPr>
                <w:rFonts w:hint="eastAsia" w:ascii="宋体" w:hAnsi="宋体" w:cs="Arial"/>
                <w:b w:val="0"/>
                <w:bCs/>
                <w:szCs w:val="21"/>
              </w:rPr>
              <w:t>电瓶车充电棚</w:t>
            </w:r>
          </w:p>
        </w:tc>
        <w:tc>
          <w:tcPr>
            <w:tcW w:w="881" w:type="dxa"/>
            <w:shd w:val="clear" w:color="auto" w:fill="auto"/>
            <w:vAlign w:val="center"/>
          </w:tcPr>
          <w:p w14:paraId="0C03C8F8">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8</w:t>
            </w:r>
          </w:p>
        </w:tc>
        <w:tc>
          <w:tcPr>
            <w:tcW w:w="731" w:type="dxa"/>
            <w:shd w:val="clear" w:color="auto" w:fill="auto"/>
            <w:vAlign w:val="center"/>
          </w:tcPr>
          <w:p w14:paraId="08417C0F">
            <w:pPr>
              <w:jc w:val="center"/>
              <w:rPr>
                <w:rFonts w:ascii="宋体" w:hAnsi="宋体" w:cs="Arial"/>
                <w:b w:val="0"/>
                <w:bCs/>
                <w:szCs w:val="21"/>
              </w:rPr>
            </w:pPr>
          </w:p>
        </w:tc>
        <w:tc>
          <w:tcPr>
            <w:tcW w:w="1221" w:type="dxa"/>
            <w:shd w:val="clear" w:color="auto" w:fill="auto"/>
            <w:vAlign w:val="center"/>
          </w:tcPr>
          <w:p w14:paraId="5340F422">
            <w:pPr>
              <w:jc w:val="center"/>
              <w:rPr>
                <w:rFonts w:ascii="宋体" w:hAnsi="宋体" w:cs="Arial"/>
                <w:b w:val="0"/>
                <w:bCs/>
                <w:szCs w:val="21"/>
              </w:rPr>
            </w:pPr>
          </w:p>
        </w:tc>
        <w:tc>
          <w:tcPr>
            <w:tcW w:w="771" w:type="dxa"/>
            <w:shd w:val="clear" w:color="auto" w:fill="auto"/>
            <w:vAlign w:val="center"/>
          </w:tcPr>
          <w:p w14:paraId="7DE2AE64">
            <w:pPr>
              <w:jc w:val="center"/>
              <w:rPr>
                <w:rFonts w:ascii="宋体" w:hAnsi="宋体" w:cs="Arial"/>
                <w:b w:val="0"/>
                <w:bCs/>
                <w:szCs w:val="21"/>
              </w:rPr>
            </w:pPr>
          </w:p>
        </w:tc>
        <w:tc>
          <w:tcPr>
            <w:tcW w:w="930" w:type="dxa"/>
            <w:shd w:val="clear" w:color="auto" w:fill="auto"/>
            <w:vAlign w:val="center"/>
          </w:tcPr>
          <w:p w14:paraId="7C491DB2">
            <w:pPr>
              <w:jc w:val="center"/>
              <w:rPr>
                <w:rFonts w:ascii="宋体" w:hAnsi="宋体" w:cs="Arial"/>
                <w:b w:val="0"/>
                <w:bCs/>
                <w:szCs w:val="21"/>
              </w:rPr>
            </w:pPr>
          </w:p>
        </w:tc>
        <w:tc>
          <w:tcPr>
            <w:tcW w:w="998" w:type="dxa"/>
            <w:shd w:val="clear" w:color="auto" w:fill="auto"/>
            <w:vAlign w:val="center"/>
          </w:tcPr>
          <w:p w14:paraId="1C05411C">
            <w:pPr>
              <w:jc w:val="center"/>
              <w:rPr>
                <w:rFonts w:ascii="宋体" w:hAnsi="宋体" w:cs="Arial"/>
                <w:b w:val="0"/>
                <w:bCs/>
                <w:szCs w:val="21"/>
              </w:rPr>
            </w:pPr>
            <w:r>
              <w:rPr>
                <w:rFonts w:hint="eastAsia" w:ascii="宋体" w:hAnsi="宋体" w:cs="Arial"/>
                <w:b w:val="0"/>
                <w:bCs/>
                <w:szCs w:val="21"/>
              </w:rPr>
              <w:t>新建</w:t>
            </w:r>
          </w:p>
        </w:tc>
      </w:tr>
      <w:tr w14:paraId="1D4AE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297A9A6">
            <w:pPr>
              <w:jc w:val="center"/>
              <w:rPr>
                <w:rFonts w:ascii="宋体" w:hAnsi="宋体" w:cs="Arial"/>
                <w:b w:val="0"/>
                <w:bCs/>
                <w:szCs w:val="21"/>
              </w:rPr>
            </w:pPr>
            <w:r>
              <w:rPr>
                <w:rFonts w:hint="eastAsia" w:ascii="宋体" w:hAnsi="宋体" w:cs="Arial"/>
                <w:b w:val="0"/>
                <w:bCs/>
                <w:szCs w:val="21"/>
              </w:rPr>
              <w:t>4</w:t>
            </w:r>
          </w:p>
        </w:tc>
        <w:tc>
          <w:tcPr>
            <w:tcW w:w="2448" w:type="dxa"/>
            <w:shd w:val="clear" w:color="auto" w:fill="auto"/>
            <w:vAlign w:val="center"/>
          </w:tcPr>
          <w:p w14:paraId="1F54213E">
            <w:pPr>
              <w:jc w:val="center"/>
              <w:rPr>
                <w:rFonts w:ascii="宋体" w:hAnsi="宋体" w:cs="Arial"/>
                <w:b w:val="0"/>
                <w:bCs/>
                <w:szCs w:val="21"/>
              </w:rPr>
            </w:pPr>
            <w:r>
              <w:rPr>
                <w:rFonts w:hint="eastAsia" w:ascii="宋体" w:hAnsi="宋体" w:cs="Arial"/>
                <w:b w:val="0"/>
                <w:bCs/>
                <w:szCs w:val="21"/>
              </w:rPr>
              <w:t>机修间</w:t>
            </w:r>
          </w:p>
        </w:tc>
        <w:tc>
          <w:tcPr>
            <w:tcW w:w="881" w:type="dxa"/>
            <w:shd w:val="clear" w:color="auto" w:fill="auto"/>
            <w:vAlign w:val="center"/>
          </w:tcPr>
          <w:p w14:paraId="798C1C7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w:t>
            </w:r>
          </w:p>
        </w:tc>
        <w:tc>
          <w:tcPr>
            <w:tcW w:w="731" w:type="dxa"/>
            <w:shd w:val="clear" w:color="auto" w:fill="auto"/>
            <w:vAlign w:val="center"/>
          </w:tcPr>
          <w:p w14:paraId="0F2DE6DE">
            <w:pPr>
              <w:jc w:val="center"/>
              <w:rPr>
                <w:rFonts w:ascii="宋体" w:hAnsi="宋体" w:cs="Arial"/>
                <w:b w:val="0"/>
                <w:bCs/>
                <w:szCs w:val="21"/>
              </w:rPr>
            </w:pPr>
          </w:p>
        </w:tc>
        <w:tc>
          <w:tcPr>
            <w:tcW w:w="1221" w:type="dxa"/>
            <w:shd w:val="clear" w:color="auto" w:fill="auto"/>
            <w:vAlign w:val="center"/>
          </w:tcPr>
          <w:p w14:paraId="6EFE8513">
            <w:pPr>
              <w:jc w:val="center"/>
              <w:rPr>
                <w:rFonts w:ascii="宋体" w:hAnsi="宋体" w:cs="Arial"/>
                <w:b w:val="0"/>
                <w:bCs/>
                <w:szCs w:val="21"/>
              </w:rPr>
            </w:pPr>
          </w:p>
        </w:tc>
        <w:tc>
          <w:tcPr>
            <w:tcW w:w="771" w:type="dxa"/>
            <w:shd w:val="clear" w:color="auto" w:fill="auto"/>
            <w:vAlign w:val="center"/>
          </w:tcPr>
          <w:p w14:paraId="35440D1C">
            <w:pPr>
              <w:jc w:val="center"/>
              <w:rPr>
                <w:rFonts w:ascii="宋体" w:hAnsi="宋体" w:cs="Arial"/>
                <w:b w:val="0"/>
                <w:bCs/>
                <w:szCs w:val="21"/>
              </w:rPr>
            </w:pPr>
          </w:p>
        </w:tc>
        <w:tc>
          <w:tcPr>
            <w:tcW w:w="930" w:type="dxa"/>
            <w:shd w:val="clear" w:color="auto" w:fill="auto"/>
            <w:vAlign w:val="center"/>
          </w:tcPr>
          <w:p w14:paraId="0EB7B188">
            <w:pPr>
              <w:jc w:val="center"/>
              <w:rPr>
                <w:rFonts w:ascii="宋体" w:hAnsi="宋体" w:cs="Arial"/>
                <w:b w:val="0"/>
                <w:bCs/>
                <w:szCs w:val="21"/>
              </w:rPr>
            </w:pPr>
          </w:p>
        </w:tc>
        <w:tc>
          <w:tcPr>
            <w:tcW w:w="998" w:type="dxa"/>
            <w:shd w:val="clear" w:color="auto" w:fill="auto"/>
            <w:vAlign w:val="center"/>
          </w:tcPr>
          <w:p w14:paraId="38227763">
            <w:pPr>
              <w:jc w:val="center"/>
              <w:rPr>
                <w:rFonts w:ascii="宋体" w:hAnsi="宋体" w:cs="Arial"/>
                <w:b w:val="0"/>
                <w:bCs/>
                <w:szCs w:val="21"/>
              </w:rPr>
            </w:pPr>
            <w:r>
              <w:rPr>
                <w:rFonts w:hint="eastAsia" w:ascii="宋体" w:hAnsi="宋体" w:cs="Arial"/>
                <w:b w:val="0"/>
                <w:bCs/>
                <w:szCs w:val="21"/>
              </w:rPr>
              <w:t>新建</w:t>
            </w:r>
          </w:p>
        </w:tc>
      </w:tr>
      <w:tr w14:paraId="2467B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DA5F7F0">
            <w:pPr>
              <w:jc w:val="center"/>
              <w:rPr>
                <w:rFonts w:ascii="宋体" w:hAnsi="宋体" w:cs="Arial"/>
                <w:b w:val="0"/>
                <w:bCs/>
                <w:szCs w:val="21"/>
              </w:rPr>
            </w:pPr>
            <w:r>
              <w:rPr>
                <w:rFonts w:hint="eastAsia" w:ascii="宋体" w:hAnsi="宋体" w:cs="Arial"/>
                <w:b w:val="0"/>
                <w:bCs/>
                <w:szCs w:val="21"/>
              </w:rPr>
              <w:t>5</w:t>
            </w:r>
          </w:p>
        </w:tc>
        <w:tc>
          <w:tcPr>
            <w:tcW w:w="2448" w:type="dxa"/>
            <w:shd w:val="clear" w:color="auto" w:fill="auto"/>
            <w:vAlign w:val="center"/>
          </w:tcPr>
          <w:p w14:paraId="43259F35">
            <w:pPr>
              <w:jc w:val="center"/>
              <w:rPr>
                <w:rFonts w:ascii="宋体" w:hAnsi="宋体" w:cs="Arial"/>
                <w:b w:val="0"/>
                <w:bCs/>
                <w:szCs w:val="21"/>
              </w:rPr>
            </w:pPr>
            <w:r>
              <w:rPr>
                <w:rFonts w:hint="eastAsia" w:ascii="宋体" w:hAnsi="宋体" w:cs="Arial"/>
                <w:b w:val="0"/>
                <w:bCs/>
                <w:szCs w:val="21"/>
              </w:rPr>
              <w:t>食堂/宿舍</w:t>
            </w:r>
          </w:p>
        </w:tc>
        <w:tc>
          <w:tcPr>
            <w:tcW w:w="881" w:type="dxa"/>
            <w:shd w:val="clear" w:color="auto" w:fill="auto"/>
            <w:vAlign w:val="center"/>
          </w:tcPr>
          <w:p w14:paraId="1559991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38</w:t>
            </w:r>
          </w:p>
        </w:tc>
        <w:tc>
          <w:tcPr>
            <w:tcW w:w="731" w:type="dxa"/>
            <w:shd w:val="clear" w:color="auto" w:fill="auto"/>
            <w:vAlign w:val="center"/>
          </w:tcPr>
          <w:p w14:paraId="29538D62">
            <w:pPr>
              <w:jc w:val="center"/>
              <w:rPr>
                <w:rFonts w:ascii="宋体" w:hAnsi="宋体" w:cs="Arial"/>
                <w:b w:val="0"/>
                <w:bCs/>
                <w:szCs w:val="21"/>
              </w:rPr>
            </w:pPr>
          </w:p>
        </w:tc>
        <w:tc>
          <w:tcPr>
            <w:tcW w:w="1221" w:type="dxa"/>
            <w:shd w:val="clear" w:color="auto" w:fill="auto"/>
            <w:vAlign w:val="center"/>
          </w:tcPr>
          <w:p w14:paraId="0563A3A6">
            <w:pPr>
              <w:jc w:val="center"/>
              <w:rPr>
                <w:rFonts w:ascii="宋体" w:hAnsi="宋体" w:cs="Arial"/>
                <w:b w:val="0"/>
                <w:bCs/>
                <w:szCs w:val="21"/>
              </w:rPr>
            </w:pPr>
          </w:p>
        </w:tc>
        <w:tc>
          <w:tcPr>
            <w:tcW w:w="771" w:type="dxa"/>
            <w:shd w:val="clear" w:color="auto" w:fill="auto"/>
            <w:vAlign w:val="center"/>
          </w:tcPr>
          <w:p w14:paraId="5A89CFE0">
            <w:pPr>
              <w:jc w:val="center"/>
              <w:rPr>
                <w:rFonts w:ascii="宋体" w:hAnsi="宋体" w:cs="Arial"/>
                <w:b w:val="0"/>
                <w:bCs/>
                <w:szCs w:val="21"/>
              </w:rPr>
            </w:pPr>
          </w:p>
        </w:tc>
        <w:tc>
          <w:tcPr>
            <w:tcW w:w="930" w:type="dxa"/>
            <w:shd w:val="clear" w:color="auto" w:fill="auto"/>
            <w:vAlign w:val="center"/>
          </w:tcPr>
          <w:p w14:paraId="73F8A388">
            <w:pPr>
              <w:jc w:val="center"/>
              <w:rPr>
                <w:rFonts w:ascii="宋体" w:hAnsi="宋体" w:cs="Arial"/>
                <w:b w:val="0"/>
                <w:bCs/>
                <w:szCs w:val="21"/>
              </w:rPr>
            </w:pPr>
          </w:p>
        </w:tc>
        <w:tc>
          <w:tcPr>
            <w:tcW w:w="998" w:type="dxa"/>
            <w:shd w:val="clear" w:color="auto" w:fill="auto"/>
            <w:vAlign w:val="center"/>
          </w:tcPr>
          <w:p w14:paraId="24A68C79">
            <w:pPr>
              <w:jc w:val="center"/>
              <w:rPr>
                <w:rFonts w:ascii="宋体" w:hAnsi="宋体" w:cs="Arial"/>
                <w:b w:val="0"/>
                <w:bCs/>
                <w:szCs w:val="21"/>
              </w:rPr>
            </w:pPr>
            <w:r>
              <w:rPr>
                <w:rFonts w:hint="eastAsia" w:ascii="宋体" w:hAnsi="宋体" w:cs="Arial"/>
                <w:b w:val="0"/>
                <w:bCs/>
                <w:szCs w:val="21"/>
              </w:rPr>
              <w:t>新建</w:t>
            </w:r>
          </w:p>
        </w:tc>
      </w:tr>
      <w:tr w14:paraId="7DD17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B2568F1">
            <w:pPr>
              <w:jc w:val="center"/>
              <w:rPr>
                <w:rFonts w:ascii="宋体" w:hAnsi="宋体" w:cs="Arial"/>
                <w:b w:val="0"/>
                <w:bCs/>
                <w:szCs w:val="21"/>
              </w:rPr>
            </w:pPr>
            <w:r>
              <w:rPr>
                <w:rFonts w:hint="eastAsia" w:ascii="宋体" w:hAnsi="宋体" w:cs="Arial"/>
                <w:b w:val="0"/>
                <w:bCs/>
                <w:szCs w:val="21"/>
              </w:rPr>
              <w:t>6</w:t>
            </w:r>
          </w:p>
        </w:tc>
        <w:tc>
          <w:tcPr>
            <w:tcW w:w="2448" w:type="dxa"/>
            <w:shd w:val="clear" w:color="auto" w:fill="auto"/>
            <w:vAlign w:val="center"/>
          </w:tcPr>
          <w:p w14:paraId="2537BFB1">
            <w:pPr>
              <w:jc w:val="center"/>
              <w:rPr>
                <w:rFonts w:ascii="宋体" w:hAnsi="宋体" w:cs="Arial"/>
                <w:b w:val="0"/>
                <w:bCs/>
                <w:szCs w:val="21"/>
              </w:rPr>
            </w:pPr>
            <w:r>
              <w:rPr>
                <w:rFonts w:hint="eastAsia" w:ascii="宋体" w:hAnsi="宋体" w:cs="Arial"/>
                <w:b w:val="0"/>
                <w:bCs/>
                <w:szCs w:val="21"/>
              </w:rPr>
              <w:t>值班室</w:t>
            </w:r>
          </w:p>
        </w:tc>
        <w:tc>
          <w:tcPr>
            <w:tcW w:w="881" w:type="dxa"/>
            <w:shd w:val="clear" w:color="auto" w:fill="auto"/>
            <w:vAlign w:val="center"/>
          </w:tcPr>
          <w:p w14:paraId="66C1B07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2F9C4DF4">
            <w:pPr>
              <w:jc w:val="center"/>
              <w:rPr>
                <w:rFonts w:ascii="宋体" w:hAnsi="宋体" w:cs="Arial"/>
                <w:b w:val="0"/>
                <w:bCs/>
                <w:szCs w:val="21"/>
              </w:rPr>
            </w:pPr>
          </w:p>
        </w:tc>
        <w:tc>
          <w:tcPr>
            <w:tcW w:w="1221" w:type="dxa"/>
            <w:shd w:val="clear" w:color="auto" w:fill="auto"/>
            <w:vAlign w:val="center"/>
          </w:tcPr>
          <w:p w14:paraId="1A67595E">
            <w:pPr>
              <w:jc w:val="center"/>
              <w:rPr>
                <w:rFonts w:ascii="宋体" w:hAnsi="宋体" w:cs="Arial"/>
                <w:b w:val="0"/>
                <w:bCs/>
                <w:szCs w:val="21"/>
              </w:rPr>
            </w:pPr>
          </w:p>
        </w:tc>
        <w:tc>
          <w:tcPr>
            <w:tcW w:w="771" w:type="dxa"/>
            <w:shd w:val="clear" w:color="auto" w:fill="auto"/>
            <w:vAlign w:val="center"/>
          </w:tcPr>
          <w:p w14:paraId="09DC28D1">
            <w:pPr>
              <w:jc w:val="center"/>
              <w:rPr>
                <w:rFonts w:ascii="宋体" w:hAnsi="宋体" w:cs="Arial"/>
                <w:b w:val="0"/>
                <w:bCs/>
                <w:szCs w:val="21"/>
              </w:rPr>
            </w:pPr>
          </w:p>
        </w:tc>
        <w:tc>
          <w:tcPr>
            <w:tcW w:w="930" w:type="dxa"/>
            <w:shd w:val="clear" w:color="auto" w:fill="auto"/>
            <w:vAlign w:val="center"/>
          </w:tcPr>
          <w:p w14:paraId="5E16A035">
            <w:pPr>
              <w:jc w:val="center"/>
              <w:rPr>
                <w:rFonts w:ascii="宋体" w:hAnsi="宋体" w:cs="Arial"/>
                <w:b w:val="0"/>
                <w:bCs/>
                <w:szCs w:val="21"/>
              </w:rPr>
            </w:pPr>
          </w:p>
        </w:tc>
        <w:tc>
          <w:tcPr>
            <w:tcW w:w="998" w:type="dxa"/>
            <w:shd w:val="clear" w:color="auto" w:fill="auto"/>
            <w:vAlign w:val="center"/>
          </w:tcPr>
          <w:p w14:paraId="250CF9A2">
            <w:pPr>
              <w:jc w:val="center"/>
              <w:rPr>
                <w:rFonts w:ascii="宋体" w:hAnsi="宋体" w:cs="Arial"/>
                <w:b w:val="0"/>
                <w:bCs/>
                <w:szCs w:val="21"/>
              </w:rPr>
            </w:pPr>
            <w:r>
              <w:rPr>
                <w:rFonts w:hint="eastAsia" w:ascii="宋体" w:hAnsi="宋体" w:cs="Arial"/>
                <w:b w:val="0"/>
                <w:bCs/>
                <w:szCs w:val="21"/>
              </w:rPr>
              <w:t>新建</w:t>
            </w:r>
          </w:p>
        </w:tc>
      </w:tr>
      <w:tr w14:paraId="10509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6CE1981">
            <w:pPr>
              <w:jc w:val="center"/>
              <w:rPr>
                <w:rFonts w:ascii="宋体" w:hAnsi="宋体" w:cs="Arial"/>
                <w:b w:val="0"/>
                <w:bCs/>
                <w:szCs w:val="21"/>
              </w:rPr>
            </w:pPr>
            <w:r>
              <w:rPr>
                <w:rFonts w:hint="eastAsia" w:ascii="宋体" w:hAnsi="宋体" w:cs="Arial"/>
                <w:b w:val="0"/>
                <w:bCs/>
                <w:szCs w:val="21"/>
              </w:rPr>
              <w:t>7</w:t>
            </w:r>
          </w:p>
        </w:tc>
        <w:tc>
          <w:tcPr>
            <w:tcW w:w="2448" w:type="dxa"/>
            <w:shd w:val="clear" w:color="auto" w:fill="auto"/>
            <w:vAlign w:val="center"/>
          </w:tcPr>
          <w:p w14:paraId="0BB55A7C">
            <w:pPr>
              <w:jc w:val="center"/>
              <w:rPr>
                <w:rFonts w:ascii="宋体" w:hAnsi="宋体" w:cs="Arial"/>
                <w:b w:val="0"/>
                <w:bCs/>
                <w:szCs w:val="21"/>
              </w:rPr>
            </w:pPr>
            <w:r>
              <w:rPr>
                <w:rFonts w:hint="eastAsia" w:ascii="宋体" w:hAnsi="宋体" w:cs="Arial"/>
                <w:b w:val="0"/>
                <w:bCs/>
                <w:szCs w:val="21"/>
              </w:rPr>
              <w:t>配电间</w:t>
            </w:r>
          </w:p>
        </w:tc>
        <w:tc>
          <w:tcPr>
            <w:tcW w:w="881" w:type="dxa"/>
            <w:shd w:val="clear" w:color="auto" w:fill="auto"/>
            <w:vAlign w:val="center"/>
          </w:tcPr>
          <w:p w14:paraId="475CFAB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w:t>
            </w:r>
          </w:p>
        </w:tc>
        <w:tc>
          <w:tcPr>
            <w:tcW w:w="731" w:type="dxa"/>
            <w:shd w:val="clear" w:color="auto" w:fill="auto"/>
            <w:vAlign w:val="center"/>
          </w:tcPr>
          <w:p w14:paraId="550C57F6">
            <w:pPr>
              <w:jc w:val="center"/>
              <w:rPr>
                <w:rFonts w:ascii="宋体" w:hAnsi="宋体" w:cs="Arial"/>
                <w:b w:val="0"/>
                <w:bCs/>
                <w:szCs w:val="21"/>
              </w:rPr>
            </w:pPr>
          </w:p>
        </w:tc>
        <w:tc>
          <w:tcPr>
            <w:tcW w:w="1221" w:type="dxa"/>
            <w:shd w:val="clear" w:color="auto" w:fill="auto"/>
            <w:vAlign w:val="center"/>
          </w:tcPr>
          <w:p w14:paraId="55976BC1">
            <w:pPr>
              <w:jc w:val="center"/>
              <w:rPr>
                <w:rFonts w:ascii="宋体" w:hAnsi="宋体" w:cs="Arial"/>
                <w:b w:val="0"/>
                <w:bCs/>
                <w:szCs w:val="21"/>
              </w:rPr>
            </w:pPr>
          </w:p>
        </w:tc>
        <w:tc>
          <w:tcPr>
            <w:tcW w:w="771" w:type="dxa"/>
            <w:shd w:val="clear" w:color="auto" w:fill="auto"/>
            <w:vAlign w:val="center"/>
          </w:tcPr>
          <w:p w14:paraId="2D0DC0D4">
            <w:pPr>
              <w:jc w:val="center"/>
              <w:rPr>
                <w:rFonts w:ascii="宋体" w:hAnsi="宋体" w:cs="Arial"/>
                <w:b w:val="0"/>
                <w:bCs/>
                <w:szCs w:val="21"/>
              </w:rPr>
            </w:pPr>
          </w:p>
        </w:tc>
        <w:tc>
          <w:tcPr>
            <w:tcW w:w="930" w:type="dxa"/>
            <w:shd w:val="clear" w:color="auto" w:fill="auto"/>
            <w:vAlign w:val="center"/>
          </w:tcPr>
          <w:p w14:paraId="03AB4635">
            <w:pPr>
              <w:jc w:val="center"/>
              <w:rPr>
                <w:rFonts w:ascii="宋体" w:hAnsi="宋体" w:cs="Arial"/>
                <w:b w:val="0"/>
                <w:bCs/>
                <w:szCs w:val="21"/>
              </w:rPr>
            </w:pPr>
          </w:p>
        </w:tc>
        <w:tc>
          <w:tcPr>
            <w:tcW w:w="998" w:type="dxa"/>
            <w:shd w:val="clear" w:color="auto" w:fill="auto"/>
            <w:vAlign w:val="center"/>
          </w:tcPr>
          <w:p w14:paraId="5CB113C7">
            <w:pPr>
              <w:jc w:val="center"/>
              <w:rPr>
                <w:rFonts w:ascii="宋体" w:hAnsi="宋体" w:cs="Arial"/>
                <w:b w:val="0"/>
                <w:bCs/>
                <w:szCs w:val="21"/>
              </w:rPr>
            </w:pPr>
            <w:r>
              <w:rPr>
                <w:rFonts w:hint="eastAsia" w:ascii="宋体" w:hAnsi="宋体" w:cs="Arial"/>
                <w:b w:val="0"/>
                <w:bCs/>
                <w:szCs w:val="21"/>
              </w:rPr>
              <w:t>新建</w:t>
            </w:r>
          </w:p>
        </w:tc>
      </w:tr>
      <w:tr w14:paraId="5F95E9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00F1B2C">
            <w:pPr>
              <w:jc w:val="center"/>
              <w:rPr>
                <w:rFonts w:ascii="宋体" w:hAnsi="宋体" w:cs="Arial"/>
                <w:b w:val="0"/>
                <w:bCs/>
                <w:szCs w:val="21"/>
              </w:rPr>
            </w:pPr>
            <w:r>
              <w:rPr>
                <w:rFonts w:hint="eastAsia" w:ascii="宋体" w:hAnsi="宋体" w:cs="Arial"/>
                <w:b w:val="0"/>
                <w:bCs/>
                <w:szCs w:val="21"/>
              </w:rPr>
              <w:t>8</w:t>
            </w:r>
          </w:p>
        </w:tc>
        <w:tc>
          <w:tcPr>
            <w:tcW w:w="2448" w:type="dxa"/>
            <w:shd w:val="clear" w:color="auto" w:fill="auto"/>
            <w:vAlign w:val="center"/>
          </w:tcPr>
          <w:p w14:paraId="5E921417">
            <w:pPr>
              <w:jc w:val="center"/>
              <w:rPr>
                <w:rFonts w:ascii="宋体" w:hAnsi="宋体" w:cs="Arial"/>
                <w:b w:val="0"/>
                <w:bCs/>
                <w:szCs w:val="21"/>
              </w:rPr>
            </w:pPr>
            <w:r>
              <w:rPr>
                <w:rFonts w:hint="eastAsia" w:ascii="宋体" w:hAnsi="宋体" w:cs="Arial"/>
                <w:b w:val="0"/>
                <w:bCs/>
                <w:szCs w:val="21"/>
              </w:rPr>
              <w:t>硝酸钾库</w:t>
            </w:r>
          </w:p>
        </w:tc>
        <w:tc>
          <w:tcPr>
            <w:tcW w:w="881" w:type="dxa"/>
            <w:shd w:val="clear" w:color="auto" w:fill="auto"/>
            <w:vAlign w:val="center"/>
          </w:tcPr>
          <w:p w14:paraId="25199D8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0.8</w:t>
            </w:r>
          </w:p>
        </w:tc>
        <w:tc>
          <w:tcPr>
            <w:tcW w:w="731" w:type="dxa"/>
            <w:shd w:val="clear" w:color="auto" w:fill="auto"/>
            <w:vAlign w:val="center"/>
          </w:tcPr>
          <w:p w14:paraId="62BD5673">
            <w:pPr>
              <w:jc w:val="center"/>
              <w:rPr>
                <w:rFonts w:ascii="宋体" w:hAnsi="宋体" w:cs="Arial"/>
                <w:b w:val="0"/>
                <w:bCs/>
                <w:szCs w:val="21"/>
              </w:rPr>
            </w:pPr>
            <w:r>
              <w:rPr>
                <w:rFonts w:hint="eastAsia" w:ascii="宋体" w:hAnsi="宋体" w:cs="Arial"/>
                <w:b w:val="0"/>
                <w:bCs/>
                <w:szCs w:val="21"/>
              </w:rPr>
              <w:t>甲类</w:t>
            </w:r>
          </w:p>
        </w:tc>
        <w:tc>
          <w:tcPr>
            <w:tcW w:w="1221" w:type="dxa"/>
            <w:shd w:val="clear" w:color="auto" w:fill="auto"/>
            <w:vAlign w:val="center"/>
          </w:tcPr>
          <w:p w14:paraId="14AA7723">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0000</w:t>
            </w:r>
          </w:p>
        </w:tc>
        <w:tc>
          <w:tcPr>
            <w:tcW w:w="771" w:type="dxa"/>
            <w:shd w:val="clear" w:color="auto" w:fill="auto"/>
            <w:vAlign w:val="center"/>
          </w:tcPr>
          <w:p w14:paraId="6AA928C4">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768DEA1A">
            <w:pPr>
              <w:jc w:val="center"/>
              <w:rPr>
                <w:rFonts w:ascii="宋体" w:hAnsi="宋体" w:cs="Arial"/>
                <w:b w:val="0"/>
                <w:bCs/>
                <w:szCs w:val="21"/>
              </w:rPr>
            </w:pPr>
          </w:p>
        </w:tc>
        <w:tc>
          <w:tcPr>
            <w:tcW w:w="998" w:type="dxa"/>
            <w:shd w:val="clear" w:color="auto" w:fill="auto"/>
            <w:vAlign w:val="center"/>
          </w:tcPr>
          <w:p w14:paraId="3D5ACDCC">
            <w:pPr>
              <w:jc w:val="center"/>
              <w:rPr>
                <w:rFonts w:ascii="宋体" w:hAnsi="宋体" w:cs="Arial"/>
                <w:b w:val="0"/>
                <w:bCs/>
                <w:szCs w:val="21"/>
              </w:rPr>
            </w:pPr>
            <w:r>
              <w:rPr>
                <w:rFonts w:hint="eastAsia" w:ascii="宋体" w:hAnsi="宋体" w:cs="Arial"/>
                <w:b w:val="0"/>
                <w:bCs/>
                <w:szCs w:val="21"/>
              </w:rPr>
              <w:t>新建</w:t>
            </w:r>
          </w:p>
        </w:tc>
      </w:tr>
      <w:tr w14:paraId="60F8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53507AD">
            <w:pPr>
              <w:jc w:val="center"/>
              <w:rPr>
                <w:rFonts w:ascii="宋体" w:hAnsi="宋体" w:cs="Arial"/>
                <w:b w:val="0"/>
                <w:bCs/>
                <w:szCs w:val="21"/>
              </w:rPr>
            </w:pPr>
            <w:r>
              <w:rPr>
                <w:rFonts w:hint="eastAsia" w:ascii="宋体" w:hAnsi="宋体" w:cs="Arial"/>
                <w:b w:val="0"/>
                <w:bCs/>
                <w:szCs w:val="21"/>
              </w:rPr>
              <w:t>9</w:t>
            </w:r>
          </w:p>
        </w:tc>
        <w:tc>
          <w:tcPr>
            <w:tcW w:w="2448" w:type="dxa"/>
            <w:shd w:val="clear" w:color="auto" w:fill="auto"/>
            <w:vAlign w:val="center"/>
          </w:tcPr>
          <w:p w14:paraId="2E742FAC">
            <w:pPr>
              <w:jc w:val="center"/>
              <w:rPr>
                <w:rFonts w:ascii="宋体" w:hAnsi="宋体" w:cs="Arial"/>
                <w:b w:val="0"/>
                <w:bCs/>
                <w:szCs w:val="21"/>
              </w:rPr>
            </w:pPr>
            <w:r>
              <w:rPr>
                <w:rFonts w:hint="eastAsia" w:ascii="宋体" w:hAnsi="宋体" w:cs="Arial"/>
                <w:b w:val="0"/>
                <w:bCs/>
                <w:szCs w:val="21"/>
              </w:rPr>
              <w:t>硝酸钾粉碎</w:t>
            </w:r>
          </w:p>
        </w:tc>
        <w:tc>
          <w:tcPr>
            <w:tcW w:w="881" w:type="dxa"/>
            <w:shd w:val="clear" w:color="auto" w:fill="auto"/>
            <w:vAlign w:val="center"/>
          </w:tcPr>
          <w:p w14:paraId="3A559953">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731" w:type="dxa"/>
            <w:shd w:val="clear" w:color="auto" w:fill="auto"/>
            <w:vAlign w:val="center"/>
          </w:tcPr>
          <w:p w14:paraId="00E7D5B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58FE17FB">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26EADDDD">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1B4E38E2">
            <w:pPr>
              <w:jc w:val="center"/>
              <w:rPr>
                <w:rFonts w:ascii="宋体" w:hAnsi="宋体" w:cs="Arial"/>
                <w:b w:val="0"/>
                <w:bCs/>
                <w:szCs w:val="21"/>
              </w:rPr>
            </w:pPr>
            <w:r>
              <w:rPr>
                <w:rFonts w:hint="eastAsia" w:ascii="宋体" w:hAnsi="宋体" w:cs="Arial"/>
                <w:b w:val="0"/>
                <w:bCs/>
                <w:szCs w:val="21"/>
              </w:rPr>
              <w:t>2</w:t>
            </w:r>
          </w:p>
        </w:tc>
        <w:tc>
          <w:tcPr>
            <w:tcW w:w="998" w:type="dxa"/>
            <w:shd w:val="clear" w:color="auto" w:fill="auto"/>
            <w:vAlign w:val="center"/>
          </w:tcPr>
          <w:p w14:paraId="22E90886">
            <w:pPr>
              <w:jc w:val="center"/>
              <w:rPr>
                <w:rFonts w:ascii="宋体" w:hAnsi="宋体" w:cs="Arial"/>
                <w:b w:val="0"/>
                <w:bCs/>
                <w:szCs w:val="21"/>
              </w:rPr>
            </w:pPr>
            <w:r>
              <w:rPr>
                <w:rFonts w:hint="eastAsia" w:ascii="宋体" w:hAnsi="宋体" w:cs="Arial"/>
                <w:b w:val="0"/>
                <w:bCs/>
                <w:szCs w:val="21"/>
              </w:rPr>
              <w:t>新建</w:t>
            </w:r>
          </w:p>
        </w:tc>
      </w:tr>
      <w:tr w14:paraId="7D992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42B0AEC">
            <w:pPr>
              <w:jc w:val="center"/>
              <w:rPr>
                <w:rFonts w:ascii="宋体" w:hAnsi="宋体" w:cs="Arial"/>
                <w:b w:val="0"/>
                <w:bCs/>
                <w:szCs w:val="21"/>
              </w:rPr>
            </w:pPr>
            <w:r>
              <w:rPr>
                <w:rFonts w:hint="eastAsia" w:ascii="宋体" w:hAnsi="宋体" w:cs="Arial"/>
                <w:b w:val="0"/>
                <w:bCs/>
                <w:szCs w:val="21"/>
              </w:rPr>
              <w:t>10</w:t>
            </w:r>
          </w:p>
        </w:tc>
        <w:tc>
          <w:tcPr>
            <w:tcW w:w="2448" w:type="dxa"/>
            <w:shd w:val="clear" w:color="auto" w:fill="auto"/>
            <w:vAlign w:val="center"/>
          </w:tcPr>
          <w:p w14:paraId="424ECF3C">
            <w:pPr>
              <w:jc w:val="center"/>
              <w:rPr>
                <w:rFonts w:ascii="宋体" w:hAnsi="宋体" w:cs="Arial"/>
                <w:b w:val="0"/>
                <w:bCs/>
                <w:szCs w:val="21"/>
              </w:rPr>
            </w:pPr>
            <w:r>
              <w:rPr>
                <w:rFonts w:hint="eastAsia" w:ascii="宋体" w:hAnsi="宋体" w:cs="Arial"/>
                <w:b w:val="0"/>
                <w:bCs/>
                <w:szCs w:val="21"/>
              </w:rPr>
              <w:t>硝酸钾粉碎中转</w:t>
            </w:r>
          </w:p>
        </w:tc>
        <w:tc>
          <w:tcPr>
            <w:tcW w:w="881" w:type="dxa"/>
            <w:shd w:val="clear" w:color="auto" w:fill="auto"/>
            <w:vAlign w:val="center"/>
          </w:tcPr>
          <w:p w14:paraId="6470FFE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w:t>
            </w:r>
          </w:p>
        </w:tc>
        <w:tc>
          <w:tcPr>
            <w:tcW w:w="731" w:type="dxa"/>
            <w:shd w:val="clear" w:color="auto" w:fill="auto"/>
            <w:vAlign w:val="center"/>
          </w:tcPr>
          <w:p w14:paraId="5E16D36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2CB8177E">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w:t>
            </w:r>
          </w:p>
        </w:tc>
        <w:tc>
          <w:tcPr>
            <w:tcW w:w="771" w:type="dxa"/>
            <w:shd w:val="clear" w:color="auto" w:fill="auto"/>
            <w:vAlign w:val="center"/>
          </w:tcPr>
          <w:p w14:paraId="2D69FBCA">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5ED4501">
            <w:pPr>
              <w:jc w:val="center"/>
              <w:rPr>
                <w:rFonts w:ascii="宋体" w:hAnsi="宋体" w:cs="Arial"/>
                <w:b w:val="0"/>
                <w:bCs/>
                <w:szCs w:val="21"/>
              </w:rPr>
            </w:pPr>
          </w:p>
        </w:tc>
        <w:tc>
          <w:tcPr>
            <w:tcW w:w="998" w:type="dxa"/>
            <w:shd w:val="clear" w:color="auto" w:fill="auto"/>
            <w:vAlign w:val="center"/>
          </w:tcPr>
          <w:p w14:paraId="0A7D224A">
            <w:pPr>
              <w:jc w:val="center"/>
              <w:rPr>
                <w:rFonts w:ascii="宋体" w:hAnsi="宋体" w:cs="Arial"/>
                <w:b w:val="0"/>
                <w:bCs/>
                <w:szCs w:val="21"/>
              </w:rPr>
            </w:pPr>
            <w:r>
              <w:rPr>
                <w:rFonts w:hint="eastAsia" w:ascii="宋体" w:hAnsi="宋体" w:cs="Arial"/>
                <w:b w:val="0"/>
                <w:bCs/>
                <w:szCs w:val="21"/>
              </w:rPr>
              <w:t>新建</w:t>
            </w:r>
          </w:p>
        </w:tc>
      </w:tr>
      <w:tr w14:paraId="74036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83CC1C5">
            <w:pPr>
              <w:jc w:val="center"/>
              <w:rPr>
                <w:rFonts w:ascii="宋体" w:hAnsi="宋体" w:cs="Arial"/>
                <w:b w:val="0"/>
                <w:bCs/>
                <w:szCs w:val="21"/>
              </w:rPr>
            </w:pPr>
            <w:r>
              <w:rPr>
                <w:rFonts w:hint="eastAsia" w:ascii="宋体" w:hAnsi="宋体" w:cs="Arial"/>
                <w:b w:val="0"/>
                <w:bCs/>
                <w:szCs w:val="21"/>
              </w:rPr>
              <w:t>11</w:t>
            </w:r>
          </w:p>
        </w:tc>
        <w:tc>
          <w:tcPr>
            <w:tcW w:w="2448" w:type="dxa"/>
            <w:shd w:val="clear" w:color="auto" w:fill="auto"/>
            <w:vAlign w:val="center"/>
          </w:tcPr>
          <w:p w14:paraId="4DE29FEC">
            <w:pPr>
              <w:jc w:val="center"/>
              <w:rPr>
                <w:rFonts w:ascii="宋体" w:hAnsi="宋体" w:cs="Arial"/>
                <w:b w:val="0"/>
                <w:bCs/>
                <w:szCs w:val="21"/>
              </w:rPr>
            </w:pPr>
            <w:r>
              <w:rPr>
                <w:rFonts w:hint="eastAsia" w:ascii="宋体" w:hAnsi="宋体" w:cs="Arial"/>
                <w:b w:val="0"/>
                <w:bCs/>
                <w:szCs w:val="21"/>
              </w:rPr>
              <w:t>木炭库</w:t>
            </w:r>
          </w:p>
        </w:tc>
        <w:tc>
          <w:tcPr>
            <w:tcW w:w="881" w:type="dxa"/>
            <w:shd w:val="clear" w:color="auto" w:fill="auto"/>
            <w:vAlign w:val="center"/>
          </w:tcPr>
          <w:p w14:paraId="0A1DF63B">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3A7BF293">
            <w:pPr>
              <w:jc w:val="center"/>
              <w:rPr>
                <w:rFonts w:ascii="宋体" w:hAnsi="宋体" w:cs="Arial"/>
                <w:b w:val="0"/>
                <w:bCs/>
                <w:szCs w:val="21"/>
              </w:rPr>
            </w:pPr>
            <w:r>
              <w:rPr>
                <w:rFonts w:hint="eastAsia" w:ascii="宋体" w:hAnsi="宋体" w:cs="Arial"/>
                <w:b w:val="0"/>
                <w:bCs/>
                <w:szCs w:val="21"/>
              </w:rPr>
              <w:t>丙类</w:t>
            </w:r>
          </w:p>
        </w:tc>
        <w:tc>
          <w:tcPr>
            <w:tcW w:w="1221" w:type="dxa"/>
            <w:shd w:val="clear" w:color="auto" w:fill="auto"/>
            <w:vAlign w:val="center"/>
          </w:tcPr>
          <w:p w14:paraId="4015D3A2">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0000</w:t>
            </w:r>
          </w:p>
        </w:tc>
        <w:tc>
          <w:tcPr>
            <w:tcW w:w="771" w:type="dxa"/>
            <w:shd w:val="clear" w:color="auto" w:fill="auto"/>
            <w:vAlign w:val="center"/>
          </w:tcPr>
          <w:p w14:paraId="2064CCB7">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60E3A4F">
            <w:pPr>
              <w:jc w:val="center"/>
              <w:rPr>
                <w:rFonts w:ascii="宋体" w:hAnsi="宋体" w:cs="Arial"/>
                <w:b w:val="0"/>
                <w:bCs/>
                <w:szCs w:val="21"/>
              </w:rPr>
            </w:pPr>
          </w:p>
        </w:tc>
        <w:tc>
          <w:tcPr>
            <w:tcW w:w="998" w:type="dxa"/>
            <w:shd w:val="clear" w:color="auto" w:fill="auto"/>
            <w:vAlign w:val="center"/>
          </w:tcPr>
          <w:p w14:paraId="7ADFBA85">
            <w:pPr>
              <w:jc w:val="center"/>
              <w:rPr>
                <w:rFonts w:ascii="宋体" w:hAnsi="宋体" w:cs="Arial"/>
                <w:b w:val="0"/>
                <w:bCs/>
                <w:szCs w:val="21"/>
              </w:rPr>
            </w:pPr>
            <w:r>
              <w:rPr>
                <w:rFonts w:hint="eastAsia" w:ascii="宋体" w:hAnsi="宋体" w:cs="Arial"/>
                <w:b w:val="0"/>
                <w:bCs/>
                <w:szCs w:val="21"/>
              </w:rPr>
              <w:t>新建</w:t>
            </w:r>
          </w:p>
        </w:tc>
      </w:tr>
      <w:tr w14:paraId="61C5F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1ABEB00">
            <w:pPr>
              <w:jc w:val="center"/>
              <w:rPr>
                <w:rFonts w:ascii="宋体" w:hAnsi="宋体" w:cs="Arial"/>
                <w:b w:val="0"/>
                <w:bCs/>
                <w:szCs w:val="21"/>
              </w:rPr>
            </w:pPr>
            <w:r>
              <w:rPr>
                <w:rFonts w:hint="eastAsia" w:ascii="宋体" w:hAnsi="宋体" w:cs="Arial"/>
                <w:b w:val="0"/>
                <w:bCs/>
                <w:szCs w:val="21"/>
              </w:rPr>
              <w:t>12</w:t>
            </w:r>
          </w:p>
        </w:tc>
        <w:tc>
          <w:tcPr>
            <w:tcW w:w="2448" w:type="dxa"/>
            <w:shd w:val="clear" w:color="auto" w:fill="auto"/>
            <w:vAlign w:val="center"/>
          </w:tcPr>
          <w:p w14:paraId="7B63328B">
            <w:pPr>
              <w:jc w:val="center"/>
              <w:rPr>
                <w:rFonts w:ascii="宋体" w:hAnsi="宋体" w:cs="Arial"/>
                <w:b w:val="0"/>
                <w:bCs/>
                <w:szCs w:val="21"/>
              </w:rPr>
            </w:pPr>
            <w:r>
              <w:rPr>
                <w:rFonts w:hint="eastAsia" w:ascii="宋体" w:hAnsi="宋体" w:cs="Arial"/>
                <w:b w:val="0"/>
                <w:bCs/>
                <w:szCs w:val="21"/>
              </w:rPr>
              <w:t>木炭库</w:t>
            </w:r>
          </w:p>
        </w:tc>
        <w:tc>
          <w:tcPr>
            <w:tcW w:w="881" w:type="dxa"/>
            <w:shd w:val="clear" w:color="auto" w:fill="auto"/>
            <w:vAlign w:val="center"/>
          </w:tcPr>
          <w:p w14:paraId="2796ECA4">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64012A04">
            <w:pPr>
              <w:jc w:val="center"/>
              <w:rPr>
                <w:rFonts w:ascii="宋体" w:hAnsi="宋体" w:cs="Arial"/>
                <w:b w:val="0"/>
                <w:bCs/>
                <w:szCs w:val="21"/>
              </w:rPr>
            </w:pPr>
            <w:r>
              <w:rPr>
                <w:rFonts w:hint="eastAsia" w:ascii="宋体" w:hAnsi="宋体" w:cs="Arial"/>
                <w:b w:val="0"/>
                <w:bCs/>
                <w:szCs w:val="21"/>
              </w:rPr>
              <w:t>丙类</w:t>
            </w:r>
          </w:p>
        </w:tc>
        <w:tc>
          <w:tcPr>
            <w:tcW w:w="1221" w:type="dxa"/>
            <w:shd w:val="clear" w:color="auto" w:fill="auto"/>
            <w:vAlign w:val="center"/>
          </w:tcPr>
          <w:p w14:paraId="1BB5BE83">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0000</w:t>
            </w:r>
          </w:p>
        </w:tc>
        <w:tc>
          <w:tcPr>
            <w:tcW w:w="771" w:type="dxa"/>
            <w:shd w:val="clear" w:color="auto" w:fill="auto"/>
            <w:vAlign w:val="center"/>
          </w:tcPr>
          <w:p w14:paraId="265A6003">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7422244F">
            <w:pPr>
              <w:jc w:val="center"/>
              <w:rPr>
                <w:rFonts w:ascii="宋体" w:hAnsi="宋体" w:cs="Arial"/>
                <w:b w:val="0"/>
                <w:bCs/>
                <w:szCs w:val="21"/>
              </w:rPr>
            </w:pPr>
          </w:p>
        </w:tc>
        <w:tc>
          <w:tcPr>
            <w:tcW w:w="998" w:type="dxa"/>
            <w:shd w:val="clear" w:color="auto" w:fill="auto"/>
            <w:vAlign w:val="center"/>
          </w:tcPr>
          <w:p w14:paraId="5CD7E701">
            <w:pPr>
              <w:jc w:val="center"/>
              <w:rPr>
                <w:rFonts w:ascii="宋体" w:hAnsi="宋体" w:cs="Arial"/>
                <w:b w:val="0"/>
                <w:bCs/>
                <w:szCs w:val="21"/>
              </w:rPr>
            </w:pPr>
            <w:r>
              <w:rPr>
                <w:rFonts w:hint="eastAsia" w:ascii="宋体" w:hAnsi="宋体" w:cs="Arial"/>
                <w:b w:val="0"/>
                <w:bCs/>
                <w:szCs w:val="21"/>
              </w:rPr>
              <w:t>新建</w:t>
            </w:r>
          </w:p>
        </w:tc>
      </w:tr>
      <w:tr w14:paraId="411F5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2D6E4CE">
            <w:pPr>
              <w:jc w:val="center"/>
              <w:rPr>
                <w:rFonts w:ascii="宋体" w:hAnsi="宋体" w:cs="Arial"/>
                <w:b w:val="0"/>
                <w:bCs/>
                <w:szCs w:val="21"/>
              </w:rPr>
            </w:pPr>
            <w:r>
              <w:rPr>
                <w:rFonts w:hint="eastAsia" w:ascii="宋体" w:hAnsi="宋体" w:cs="Arial"/>
                <w:b w:val="0"/>
                <w:bCs/>
                <w:szCs w:val="21"/>
              </w:rPr>
              <w:t>13</w:t>
            </w:r>
          </w:p>
        </w:tc>
        <w:tc>
          <w:tcPr>
            <w:tcW w:w="2448" w:type="dxa"/>
            <w:shd w:val="clear" w:color="auto" w:fill="auto"/>
            <w:vAlign w:val="center"/>
          </w:tcPr>
          <w:p w14:paraId="09146976">
            <w:pPr>
              <w:jc w:val="center"/>
              <w:rPr>
                <w:rFonts w:ascii="宋体" w:hAnsi="宋体" w:cs="Arial"/>
                <w:b w:val="0"/>
                <w:bCs/>
                <w:szCs w:val="21"/>
              </w:rPr>
            </w:pPr>
            <w:r>
              <w:rPr>
                <w:rFonts w:hint="eastAsia" w:ascii="宋体" w:hAnsi="宋体" w:cs="Arial"/>
                <w:b w:val="0"/>
                <w:bCs/>
                <w:szCs w:val="21"/>
              </w:rPr>
              <w:t>硫磺库</w:t>
            </w:r>
          </w:p>
        </w:tc>
        <w:tc>
          <w:tcPr>
            <w:tcW w:w="881" w:type="dxa"/>
            <w:shd w:val="clear" w:color="auto" w:fill="auto"/>
            <w:vAlign w:val="center"/>
          </w:tcPr>
          <w:p w14:paraId="6F1E974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w:t>
            </w:r>
          </w:p>
        </w:tc>
        <w:tc>
          <w:tcPr>
            <w:tcW w:w="731" w:type="dxa"/>
            <w:shd w:val="clear" w:color="auto" w:fill="auto"/>
            <w:vAlign w:val="center"/>
          </w:tcPr>
          <w:p w14:paraId="039F6818">
            <w:pPr>
              <w:jc w:val="center"/>
              <w:rPr>
                <w:rFonts w:ascii="宋体" w:hAnsi="宋体" w:cs="Arial"/>
                <w:b w:val="0"/>
                <w:bCs/>
                <w:szCs w:val="21"/>
              </w:rPr>
            </w:pPr>
            <w:r>
              <w:rPr>
                <w:rFonts w:hint="eastAsia" w:ascii="宋体" w:hAnsi="宋体" w:cs="Arial"/>
                <w:b w:val="0"/>
                <w:bCs/>
                <w:szCs w:val="21"/>
              </w:rPr>
              <w:t>乙类</w:t>
            </w:r>
          </w:p>
        </w:tc>
        <w:tc>
          <w:tcPr>
            <w:tcW w:w="1221" w:type="dxa"/>
            <w:shd w:val="clear" w:color="auto" w:fill="auto"/>
            <w:vAlign w:val="center"/>
          </w:tcPr>
          <w:p w14:paraId="1569001E">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0000</w:t>
            </w:r>
          </w:p>
        </w:tc>
        <w:tc>
          <w:tcPr>
            <w:tcW w:w="771" w:type="dxa"/>
            <w:shd w:val="clear" w:color="auto" w:fill="auto"/>
            <w:vAlign w:val="center"/>
          </w:tcPr>
          <w:p w14:paraId="7836367E">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2D5776F">
            <w:pPr>
              <w:jc w:val="center"/>
              <w:rPr>
                <w:rFonts w:ascii="宋体" w:hAnsi="宋体" w:cs="Arial"/>
                <w:b w:val="0"/>
                <w:bCs/>
                <w:szCs w:val="21"/>
              </w:rPr>
            </w:pPr>
          </w:p>
        </w:tc>
        <w:tc>
          <w:tcPr>
            <w:tcW w:w="998" w:type="dxa"/>
            <w:shd w:val="clear" w:color="auto" w:fill="auto"/>
            <w:vAlign w:val="center"/>
          </w:tcPr>
          <w:p w14:paraId="6253BA4F">
            <w:pPr>
              <w:jc w:val="center"/>
              <w:rPr>
                <w:rFonts w:ascii="宋体" w:hAnsi="宋体" w:cs="Arial"/>
                <w:b w:val="0"/>
                <w:bCs/>
                <w:szCs w:val="21"/>
              </w:rPr>
            </w:pPr>
            <w:r>
              <w:rPr>
                <w:rFonts w:hint="eastAsia" w:ascii="宋体" w:hAnsi="宋体" w:cs="Arial"/>
                <w:b w:val="0"/>
                <w:bCs/>
                <w:szCs w:val="21"/>
              </w:rPr>
              <w:t>新建</w:t>
            </w:r>
          </w:p>
        </w:tc>
      </w:tr>
      <w:tr w14:paraId="5D32E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9ACBE42">
            <w:pPr>
              <w:jc w:val="center"/>
              <w:rPr>
                <w:rFonts w:ascii="宋体" w:hAnsi="宋体" w:cs="Arial"/>
                <w:b w:val="0"/>
                <w:bCs/>
                <w:szCs w:val="21"/>
              </w:rPr>
            </w:pPr>
            <w:r>
              <w:rPr>
                <w:rFonts w:hint="eastAsia" w:ascii="宋体" w:hAnsi="宋体" w:cs="Arial"/>
                <w:b w:val="0"/>
                <w:bCs/>
                <w:szCs w:val="21"/>
              </w:rPr>
              <w:t>14</w:t>
            </w:r>
          </w:p>
        </w:tc>
        <w:tc>
          <w:tcPr>
            <w:tcW w:w="2448" w:type="dxa"/>
            <w:shd w:val="clear" w:color="auto" w:fill="auto"/>
            <w:vAlign w:val="center"/>
          </w:tcPr>
          <w:p w14:paraId="230BC7F0">
            <w:pPr>
              <w:jc w:val="center"/>
              <w:rPr>
                <w:rFonts w:ascii="宋体" w:hAnsi="宋体" w:cs="Arial"/>
                <w:b w:val="0"/>
                <w:bCs/>
                <w:szCs w:val="21"/>
              </w:rPr>
            </w:pPr>
            <w:r>
              <w:rPr>
                <w:rFonts w:hint="eastAsia" w:ascii="宋体" w:hAnsi="宋体" w:cs="Arial"/>
                <w:b w:val="0"/>
                <w:bCs/>
                <w:szCs w:val="21"/>
              </w:rPr>
              <w:t>二味球磨</w:t>
            </w:r>
          </w:p>
        </w:tc>
        <w:tc>
          <w:tcPr>
            <w:tcW w:w="881" w:type="dxa"/>
            <w:shd w:val="clear" w:color="auto" w:fill="auto"/>
            <w:vAlign w:val="center"/>
          </w:tcPr>
          <w:p w14:paraId="1602137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76.6</w:t>
            </w:r>
          </w:p>
        </w:tc>
        <w:tc>
          <w:tcPr>
            <w:tcW w:w="731" w:type="dxa"/>
            <w:shd w:val="clear" w:color="auto" w:fill="auto"/>
            <w:vAlign w:val="center"/>
          </w:tcPr>
          <w:p w14:paraId="68B258F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1D0B91D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5FE6889F">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A141959">
            <w:pPr>
              <w:jc w:val="center"/>
              <w:rPr>
                <w:rFonts w:ascii="宋体" w:hAnsi="宋体" w:cs="Arial"/>
                <w:b w:val="0"/>
                <w:bCs/>
                <w:szCs w:val="21"/>
              </w:rPr>
            </w:pPr>
            <w:r>
              <w:rPr>
                <w:rFonts w:hint="eastAsia" w:ascii="宋体" w:hAnsi="宋体" w:cs="Arial"/>
                <w:b w:val="0"/>
                <w:bCs/>
                <w:szCs w:val="21"/>
              </w:rPr>
              <w:t>2</w:t>
            </w:r>
          </w:p>
        </w:tc>
        <w:tc>
          <w:tcPr>
            <w:tcW w:w="998" w:type="dxa"/>
            <w:shd w:val="clear" w:color="auto" w:fill="auto"/>
            <w:vAlign w:val="center"/>
          </w:tcPr>
          <w:p w14:paraId="601D4026">
            <w:pPr>
              <w:jc w:val="center"/>
              <w:rPr>
                <w:rFonts w:ascii="宋体" w:hAnsi="宋体" w:cs="Arial"/>
                <w:b w:val="0"/>
                <w:bCs/>
                <w:szCs w:val="21"/>
              </w:rPr>
            </w:pPr>
            <w:r>
              <w:rPr>
                <w:rFonts w:hint="eastAsia" w:ascii="宋体" w:hAnsi="宋体" w:cs="Arial"/>
                <w:b w:val="0"/>
                <w:bCs/>
                <w:szCs w:val="21"/>
              </w:rPr>
              <w:t>新建</w:t>
            </w:r>
          </w:p>
        </w:tc>
      </w:tr>
      <w:tr w14:paraId="5B9DF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447A1C0">
            <w:pPr>
              <w:jc w:val="center"/>
              <w:rPr>
                <w:rFonts w:ascii="宋体" w:hAnsi="宋体" w:cs="Arial"/>
                <w:b w:val="0"/>
                <w:bCs/>
                <w:szCs w:val="21"/>
              </w:rPr>
            </w:pPr>
            <w:r>
              <w:rPr>
                <w:rFonts w:hint="eastAsia" w:ascii="宋体" w:hAnsi="宋体" w:cs="Arial"/>
                <w:b w:val="0"/>
                <w:bCs/>
                <w:szCs w:val="21"/>
              </w:rPr>
              <w:t>15</w:t>
            </w:r>
          </w:p>
        </w:tc>
        <w:tc>
          <w:tcPr>
            <w:tcW w:w="2448" w:type="dxa"/>
            <w:shd w:val="clear" w:color="auto" w:fill="auto"/>
            <w:vAlign w:val="center"/>
          </w:tcPr>
          <w:p w14:paraId="4B14F7E0">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7E761DE5">
            <w:pPr>
              <w:jc w:val="center"/>
              <w:rPr>
                <w:rFonts w:ascii="宋体" w:hAnsi="宋体" w:cs="Arial"/>
                <w:b w:val="0"/>
                <w:bCs/>
                <w:szCs w:val="21"/>
              </w:rPr>
            </w:pPr>
            <w:r>
              <w:rPr>
                <w:rFonts w:hint="eastAsia" w:ascii="宋体" w:hAnsi="宋体" w:cs="Arial"/>
                <w:b w:val="0"/>
                <w:bCs/>
                <w:szCs w:val="21"/>
              </w:rPr>
              <w:t>4</w:t>
            </w:r>
          </w:p>
        </w:tc>
        <w:tc>
          <w:tcPr>
            <w:tcW w:w="731" w:type="dxa"/>
            <w:shd w:val="clear" w:color="auto" w:fill="auto"/>
            <w:vAlign w:val="center"/>
          </w:tcPr>
          <w:p w14:paraId="1465CC03">
            <w:pPr>
              <w:jc w:val="center"/>
              <w:rPr>
                <w:rFonts w:ascii="宋体" w:hAnsi="宋体" w:cs="Arial"/>
                <w:b w:val="0"/>
                <w:bCs/>
                <w:szCs w:val="21"/>
              </w:rPr>
            </w:pPr>
          </w:p>
        </w:tc>
        <w:tc>
          <w:tcPr>
            <w:tcW w:w="1221" w:type="dxa"/>
            <w:shd w:val="clear" w:color="auto" w:fill="auto"/>
            <w:vAlign w:val="center"/>
          </w:tcPr>
          <w:p w14:paraId="20503F45">
            <w:pPr>
              <w:jc w:val="center"/>
              <w:rPr>
                <w:rFonts w:ascii="宋体" w:hAnsi="宋体" w:cs="Arial"/>
                <w:b w:val="0"/>
                <w:bCs/>
                <w:szCs w:val="21"/>
              </w:rPr>
            </w:pPr>
          </w:p>
        </w:tc>
        <w:tc>
          <w:tcPr>
            <w:tcW w:w="771" w:type="dxa"/>
            <w:shd w:val="clear" w:color="auto" w:fill="auto"/>
            <w:vAlign w:val="center"/>
          </w:tcPr>
          <w:p w14:paraId="41980C0A">
            <w:pPr>
              <w:jc w:val="center"/>
              <w:rPr>
                <w:rFonts w:ascii="宋体" w:hAnsi="宋体" w:cs="Arial"/>
                <w:b w:val="0"/>
                <w:bCs/>
                <w:szCs w:val="21"/>
              </w:rPr>
            </w:pPr>
          </w:p>
        </w:tc>
        <w:tc>
          <w:tcPr>
            <w:tcW w:w="930" w:type="dxa"/>
            <w:shd w:val="clear" w:color="auto" w:fill="auto"/>
            <w:vAlign w:val="center"/>
          </w:tcPr>
          <w:p w14:paraId="0112AA89">
            <w:pPr>
              <w:jc w:val="center"/>
              <w:rPr>
                <w:rFonts w:ascii="宋体" w:hAnsi="宋体" w:cs="Arial"/>
                <w:b w:val="0"/>
                <w:bCs/>
                <w:szCs w:val="21"/>
              </w:rPr>
            </w:pPr>
          </w:p>
        </w:tc>
        <w:tc>
          <w:tcPr>
            <w:tcW w:w="998" w:type="dxa"/>
            <w:shd w:val="clear" w:color="auto" w:fill="auto"/>
            <w:vAlign w:val="center"/>
          </w:tcPr>
          <w:p w14:paraId="44250783">
            <w:pPr>
              <w:jc w:val="center"/>
              <w:rPr>
                <w:rFonts w:ascii="宋体" w:hAnsi="宋体" w:cs="Arial"/>
                <w:b w:val="0"/>
                <w:bCs/>
                <w:szCs w:val="21"/>
              </w:rPr>
            </w:pPr>
            <w:r>
              <w:rPr>
                <w:rFonts w:hint="eastAsia" w:ascii="宋体" w:hAnsi="宋体" w:cs="Arial"/>
                <w:b w:val="0"/>
                <w:bCs/>
                <w:szCs w:val="21"/>
              </w:rPr>
              <w:t>新建</w:t>
            </w:r>
          </w:p>
        </w:tc>
      </w:tr>
      <w:tr w14:paraId="4E2CC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6869CD3">
            <w:pPr>
              <w:jc w:val="center"/>
              <w:rPr>
                <w:rFonts w:ascii="宋体" w:hAnsi="宋体" w:cs="Arial"/>
                <w:b w:val="0"/>
                <w:bCs/>
                <w:szCs w:val="21"/>
              </w:rPr>
            </w:pPr>
            <w:r>
              <w:rPr>
                <w:rFonts w:hint="eastAsia" w:ascii="宋体" w:hAnsi="宋体" w:cs="Arial"/>
                <w:b w:val="0"/>
                <w:bCs/>
                <w:szCs w:val="21"/>
              </w:rPr>
              <w:t>16</w:t>
            </w:r>
          </w:p>
        </w:tc>
        <w:tc>
          <w:tcPr>
            <w:tcW w:w="2448" w:type="dxa"/>
            <w:shd w:val="clear" w:color="auto" w:fill="auto"/>
            <w:vAlign w:val="center"/>
          </w:tcPr>
          <w:p w14:paraId="053B1DD4">
            <w:pPr>
              <w:jc w:val="center"/>
              <w:rPr>
                <w:rFonts w:ascii="宋体" w:hAnsi="宋体" w:cs="Arial"/>
                <w:b w:val="0"/>
                <w:bCs/>
                <w:szCs w:val="21"/>
              </w:rPr>
            </w:pPr>
            <w:r>
              <w:rPr>
                <w:rFonts w:hint="eastAsia" w:ascii="宋体" w:hAnsi="宋体" w:cs="Arial"/>
                <w:b w:val="0"/>
                <w:bCs/>
                <w:szCs w:val="21"/>
              </w:rPr>
              <w:t>二味球磨</w:t>
            </w:r>
          </w:p>
        </w:tc>
        <w:tc>
          <w:tcPr>
            <w:tcW w:w="881" w:type="dxa"/>
            <w:shd w:val="clear" w:color="auto" w:fill="auto"/>
            <w:vAlign w:val="center"/>
          </w:tcPr>
          <w:p w14:paraId="47F3F2F5">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2</w:t>
            </w:r>
          </w:p>
        </w:tc>
        <w:tc>
          <w:tcPr>
            <w:tcW w:w="731" w:type="dxa"/>
            <w:shd w:val="clear" w:color="auto" w:fill="auto"/>
            <w:vAlign w:val="center"/>
          </w:tcPr>
          <w:p w14:paraId="74BC698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7B29800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220EBC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402E2ED">
            <w:pPr>
              <w:jc w:val="center"/>
              <w:rPr>
                <w:rFonts w:ascii="宋体" w:hAnsi="宋体" w:cs="Arial"/>
                <w:b w:val="0"/>
                <w:bCs/>
                <w:szCs w:val="21"/>
              </w:rPr>
            </w:pPr>
            <w:r>
              <w:rPr>
                <w:rFonts w:hint="eastAsia" w:ascii="宋体" w:hAnsi="宋体" w:cs="Arial"/>
                <w:b w:val="0"/>
                <w:bCs/>
                <w:szCs w:val="21"/>
              </w:rPr>
              <w:t>2</w:t>
            </w:r>
          </w:p>
        </w:tc>
        <w:tc>
          <w:tcPr>
            <w:tcW w:w="998" w:type="dxa"/>
            <w:shd w:val="clear" w:color="auto" w:fill="auto"/>
            <w:vAlign w:val="center"/>
          </w:tcPr>
          <w:p w14:paraId="3DC87491">
            <w:pPr>
              <w:jc w:val="center"/>
              <w:rPr>
                <w:rFonts w:ascii="宋体" w:hAnsi="宋体" w:cs="Arial"/>
                <w:b w:val="0"/>
                <w:bCs/>
                <w:szCs w:val="21"/>
              </w:rPr>
            </w:pPr>
            <w:r>
              <w:rPr>
                <w:rFonts w:hint="eastAsia" w:ascii="宋体" w:hAnsi="宋体" w:cs="Arial"/>
                <w:b w:val="0"/>
                <w:bCs/>
                <w:szCs w:val="21"/>
              </w:rPr>
              <w:t>新建</w:t>
            </w:r>
          </w:p>
        </w:tc>
      </w:tr>
      <w:tr w14:paraId="33184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5E8C388">
            <w:pPr>
              <w:jc w:val="center"/>
              <w:rPr>
                <w:rFonts w:ascii="宋体" w:hAnsi="宋体" w:cs="Arial"/>
                <w:b w:val="0"/>
                <w:bCs/>
                <w:szCs w:val="21"/>
              </w:rPr>
            </w:pPr>
            <w:r>
              <w:rPr>
                <w:rFonts w:hint="eastAsia" w:ascii="宋体" w:hAnsi="宋体" w:cs="Arial"/>
                <w:b w:val="0"/>
                <w:bCs/>
                <w:szCs w:val="21"/>
              </w:rPr>
              <w:t>17</w:t>
            </w:r>
          </w:p>
        </w:tc>
        <w:tc>
          <w:tcPr>
            <w:tcW w:w="2448" w:type="dxa"/>
            <w:shd w:val="clear" w:color="auto" w:fill="auto"/>
            <w:vAlign w:val="center"/>
          </w:tcPr>
          <w:p w14:paraId="6DA1F698">
            <w:pPr>
              <w:jc w:val="center"/>
              <w:rPr>
                <w:rFonts w:ascii="宋体" w:hAnsi="宋体" w:cs="Arial"/>
                <w:b w:val="0"/>
                <w:bCs/>
                <w:szCs w:val="21"/>
              </w:rPr>
            </w:pPr>
            <w:r>
              <w:rPr>
                <w:rFonts w:hint="eastAsia" w:ascii="宋体" w:hAnsi="宋体" w:cs="Arial"/>
                <w:b w:val="0"/>
                <w:bCs/>
                <w:szCs w:val="21"/>
              </w:rPr>
              <w:t>二味中转</w:t>
            </w:r>
          </w:p>
        </w:tc>
        <w:tc>
          <w:tcPr>
            <w:tcW w:w="881" w:type="dxa"/>
            <w:shd w:val="clear" w:color="auto" w:fill="auto"/>
            <w:vAlign w:val="center"/>
          </w:tcPr>
          <w:p w14:paraId="797E1C4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w:t>
            </w:r>
          </w:p>
        </w:tc>
        <w:tc>
          <w:tcPr>
            <w:tcW w:w="731" w:type="dxa"/>
            <w:shd w:val="clear" w:color="auto" w:fill="auto"/>
            <w:vAlign w:val="center"/>
          </w:tcPr>
          <w:p w14:paraId="760FC1C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558913F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771" w:type="dxa"/>
            <w:shd w:val="clear" w:color="auto" w:fill="auto"/>
            <w:vAlign w:val="center"/>
          </w:tcPr>
          <w:p w14:paraId="06CF67D0">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DCE46D1">
            <w:pPr>
              <w:jc w:val="center"/>
              <w:rPr>
                <w:rFonts w:ascii="宋体" w:hAnsi="宋体" w:cs="Arial"/>
                <w:b w:val="0"/>
                <w:bCs/>
                <w:szCs w:val="21"/>
              </w:rPr>
            </w:pPr>
          </w:p>
        </w:tc>
        <w:tc>
          <w:tcPr>
            <w:tcW w:w="998" w:type="dxa"/>
            <w:shd w:val="clear" w:color="auto" w:fill="auto"/>
            <w:vAlign w:val="center"/>
          </w:tcPr>
          <w:p w14:paraId="4D7F98DD">
            <w:pPr>
              <w:jc w:val="center"/>
              <w:rPr>
                <w:rFonts w:ascii="宋体" w:hAnsi="宋体" w:cs="Arial"/>
                <w:b w:val="0"/>
                <w:bCs/>
                <w:szCs w:val="21"/>
              </w:rPr>
            </w:pPr>
            <w:r>
              <w:rPr>
                <w:rFonts w:hint="eastAsia" w:ascii="宋体" w:hAnsi="宋体" w:cs="Arial"/>
                <w:b w:val="0"/>
                <w:bCs/>
                <w:szCs w:val="21"/>
              </w:rPr>
              <w:t>新建</w:t>
            </w:r>
          </w:p>
        </w:tc>
      </w:tr>
      <w:tr w14:paraId="56E63C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5790514">
            <w:pPr>
              <w:jc w:val="center"/>
              <w:rPr>
                <w:rFonts w:ascii="宋体" w:hAnsi="宋体" w:cs="Arial"/>
                <w:b w:val="0"/>
                <w:bCs/>
                <w:szCs w:val="21"/>
              </w:rPr>
            </w:pPr>
            <w:r>
              <w:rPr>
                <w:rFonts w:hint="eastAsia" w:ascii="宋体" w:hAnsi="宋体" w:cs="Arial"/>
                <w:b w:val="0"/>
                <w:bCs/>
                <w:szCs w:val="21"/>
              </w:rPr>
              <w:t>18</w:t>
            </w:r>
          </w:p>
        </w:tc>
        <w:tc>
          <w:tcPr>
            <w:tcW w:w="2448" w:type="dxa"/>
            <w:shd w:val="clear" w:color="auto" w:fill="auto"/>
            <w:vAlign w:val="center"/>
          </w:tcPr>
          <w:p w14:paraId="4EC499FF">
            <w:pPr>
              <w:jc w:val="center"/>
              <w:rPr>
                <w:rFonts w:ascii="宋体" w:hAnsi="宋体" w:cs="Arial"/>
                <w:b w:val="0"/>
                <w:bCs/>
                <w:szCs w:val="21"/>
              </w:rPr>
            </w:pPr>
            <w:r>
              <w:rPr>
                <w:rFonts w:hint="eastAsia" w:ascii="宋体" w:hAnsi="宋体" w:cs="Arial"/>
                <w:b w:val="0"/>
                <w:bCs/>
                <w:szCs w:val="21"/>
              </w:rPr>
              <w:t>危废暂存间</w:t>
            </w:r>
          </w:p>
        </w:tc>
        <w:tc>
          <w:tcPr>
            <w:tcW w:w="881" w:type="dxa"/>
            <w:shd w:val="clear" w:color="auto" w:fill="auto"/>
            <w:vAlign w:val="center"/>
          </w:tcPr>
          <w:p w14:paraId="67549B4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33D61C9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8134A89">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71" w:type="dxa"/>
            <w:shd w:val="clear" w:color="auto" w:fill="auto"/>
            <w:vAlign w:val="center"/>
          </w:tcPr>
          <w:p w14:paraId="571F2B6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1D1131D">
            <w:pPr>
              <w:jc w:val="center"/>
              <w:rPr>
                <w:rFonts w:ascii="宋体" w:hAnsi="宋体" w:cs="Arial"/>
                <w:b w:val="0"/>
                <w:bCs/>
                <w:szCs w:val="21"/>
              </w:rPr>
            </w:pPr>
          </w:p>
        </w:tc>
        <w:tc>
          <w:tcPr>
            <w:tcW w:w="998" w:type="dxa"/>
            <w:shd w:val="clear" w:color="auto" w:fill="auto"/>
            <w:vAlign w:val="center"/>
          </w:tcPr>
          <w:p w14:paraId="2CD733AD">
            <w:pPr>
              <w:jc w:val="center"/>
              <w:rPr>
                <w:rFonts w:ascii="宋体" w:hAnsi="宋体" w:cs="Arial"/>
                <w:b w:val="0"/>
                <w:bCs/>
                <w:szCs w:val="21"/>
              </w:rPr>
            </w:pPr>
            <w:r>
              <w:rPr>
                <w:rFonts w:hint="eastAsia" w:ascii="宋体" w:hAnsi="宋体" w:cs="Arial"/>
                <w:b w:val="0"/>
                <w:bCs/>
                <w:szCs w:val="21"/>
              </w:rPr>
              <w:t>新建</w:t>
            </w:r>
          </w:p>
        </w:tc>
      </w:tr>
      <w:tr w14:paraId="5E59D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99E88DF">
            <w:pPr>
              <w:jc w:val="center"/>
              <w:rPr>
                <w:rFonts w:ascii="宋体" w:hAnsi="宋体" w:cs="Arial"/>
                <w:b w:val="0"/>
                <w:bCs/>
                <w:szCs w:val="21"/>
              </w:rPr>
            </w:pPr>
            <w:r>
              <w:rPr>
                <w:rFonts w:hint="eastAsia" w:ascii="宋体" w:hAnsi="宋体" w:cs="Arial"/>
                <w:b w:val="0"/>
                <w:bCs/>
                <w:szCs w:val="21"/>
              </w:rPr>
              <w:t>19</w:t>
            </w:r>
          </w:p>
        </w:tc>
        <w:tc>
          <w:tcPr>
            <w:tcW w:w="2448" w:type="dxa"/>
            <w:shd w:val="clear" w:color="auto" w:fill="auto"/>
            <w:vAlign w:val="center"/>
          </w:tcPr>
          <w:p w14:paraId="31F5B1A6">
            <w:pPr>
              <w:jc w:val="center"/>
              <w:rPr>
                <w:b w:val="0"/>
                <w:bCs/>
              </w:rPr>
            </w:pPr>
            <w:r>
              <w:rPr>
                <w:rFonts w:hint="eastAsia"/>
                <w:b w:val="0"/>
                <w:bCs/>
              </w:rPr>
              <w:t>原材料中转</w:t>
            </w:r>
          </w:p>
        </w:tc>
        <w:tc>
          <w:tcPr>
            <w:tcW w:w="881" w:type="dxa"/>
            <w:shd w:val="clear" w:color="auto" w:fill="auto"/>
            <w:vAlign w:val="center"/>
          </w:tcPr>
          <w:p w14:paraId="39ACF097">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8</w:t>
            </w:r>
          </w:p>
        </w:tc>
        <w:tc>
          <w:tcPr>
            <w:tcW w:w="731" w:type="dxa"/>
            <w:shd w:val="clear" w:color="auto" w:fill="auto"/>
            <w:vAlign w:val="center"/>
          </w:tcPr>
          <w:p w14:paraId="3A96AF0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41C5F8D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771" w:type="dxa"/>
            <w:shd w:val="clear" w:color="auto" w:fill="auto"/>
            <w:vAlign w:val="center"/>
          </w:tcPr>
          <w:p w14:paraId="62E7FA4A">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879CCD6">
            <w:pPr>
              <w:jc w:val="center"/>
              <w:rPr>
                <w:rFonts w:ascii="宋体" w:hAnsi="宋体" w:cs="Arial"/>
                <w:b w:val="0"/>
                <w:bCs/>
                <w:szCs w:val="21"/>
              </w:rPr>
            </w:pPr>
          </w:p>
        </w:tc>
        <w:tc>
          <w:tcPr>
            <w:tcW w:w="998" w:type="dxa"/>
            <w:shd w:val="clear" w:color="auto" w:fill="auto"/>
            <w:vAlign w:val="center"/>
          </w:tcPr>
          <w:p w14:paraId="73B4136B">
            <w:pPr>
              <w:jc w:val="center"/>
              <w:rPr>
                <w:rFonts w:ascii="宋体" w:hAnsi="宋体" w:cs="Arial"/>
                <w:b w:val="0"/>
                <w:bCs/>
                <w:szCs w:val="21"/>
              </w:rPr>
            </w:pPr>
            <w:r>
              <w:rPr>
                <w:rFonts w:hint="eastAsia" w:ascii="宋体" w:hAnsi="宋体" w:cs="Arial"/>
                <w:b w:val="0"/>
                <w:bCs/>
                <w:szCs w:val="21"/>
              </w:rPr>
              <w:t>新建</w:t>
            </w:r>
          </w:p>
        </w:tc>
      </w:tr>
      <w:tr w14:paraId="6E74B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86ABC89">
            <w:pPr>
              <w:jc w:val="center"/>
              <w:rPr>
                <w:rFonts w:ascii="宋体" w:hAnsi="宋体" w:cs="Arial"/>
                <w:b w:val="0"/>
                <w:bCs/>
                <w:szCs w:val="21"/>
              </w:rPr>
            </w:pPr>
            <w:r>
              <w:rPr>
                <w:rFonts w:hint="eastAsia" w:ascii="宋体" w:hAnsi="宋体" w:cs="Arial"/>
                <w:b w:val="0"/>
                <w:bCs/>
                <w:szCs w:val="21"/>
              </w:rPr>
              <w:t>20</w:t>
            </w:r>
          </w:p>
        </w:tc>
        <w:tc>
          <w:tcPr>
            <w:tcW w:w="2448" w:type="dxa"/>
            <w:shd w:val="clear" w:color="auto" w:fill="auto"/>
            <w:vAlign w:val="center"/>
          </w:tcPr>
          <w:p w14:paraId="71CF934E">
            <w:pPr>
              <w:jc w:val="center"/>
              <w:rPr>
                <w:b w:val="0"/>
                <w:bCs/>
              </w:rPr>
            </w:pPr>
            <w:r>
              <w:rPr>
                <w:rFonts w:hint="eastAsia"/>
                <w:b w:val="0"/>
                <w:bCs/>
              </w:rPr>
              <w:t>电控室</w:t>
            </w:r>
          </w:p>
        </w:tc>
        <w:tc>
          <w:tcPr>
            <w:tcW w:w="881" w:type="dxa"/>
            <w:shd w:val="clear" w:color="auto" w:fill="auto"/>
            <w:vAlign w:val="center"/>
          </w:tcPr>
          <w:p w14:paraId="435318B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65E8D8CF">
            <w:pPr>
              <w:jc w:val="center"/>
              <w:rPr>
                <w:rFonts w:ascii="宋体" w:hAnsi="宋体" w:cs="Arial"/>
                <w:b w:val="0"/>
                <w:bCs/>
                <w:szCs w:val="21"/>
              </w:rPr>
            </w:pPr>
          </w:p>
        </w:tc>
        <w:tc>
          <w:tcPr>
            <w:tcW w:w="1221" w:type="dxa"/>
            <w:shd w:val="clear" w:color="auto" w:fill="auto"/>
            <w:vAlign w:val="center"/>
          </w:tcPr>
          <w:p w14:paraId="30D26859">
            <w:pPr>
              <w:jc w:val="center"/>
              <w:rPr>
                <w:rFonts w:ascii="宋体" w:hAnsi="宋体" w:cs="Arial"/>
                <w:b w:val="0"/>
                <w:bCs/>
                <w:szCs w:val="21"/>
              </w:rPr>
            </w:pPr>
          </w:p>
        </w:tc>
        <w:tc>
          <w:tcPr>
            <w:tcW w:w="771" w:type="dxa"/>
            <w:shd w:val="clear" w:color="auto" w:fill="auto"/>
            <w:vAlign w:val="center"/>
          </w:tcPr>
          <w:p w14:paraId="12F9EE6F">
            <w:pPr>
              <w:jc w:val="center"/>
              <w:rPr>
                <w:rFonts w:ascii="宋体" w:hAnsi="宋体" w:cs="Arial"/>
                <w:b w:val="0"/>
                <w:bCs/>
                <w:szCs w:val="21"/>
              </w:rPr>
            </w:pPr>
          </w:p>
        </w:tc>
        <w:tc>
          <w:tcPr>
            <w:tcW w:w="930" w:type="dxa"/>
            <w:shd w:val="clear" w:color="auto" w:fill="auto"/>
            <w:vAlign w:val="center"/>
          </w:tcPr>
          <w:p w14:paraId="193CD279">
            <w:pPr>
              <w:jc w:val="center"/>
              <w:rPr>
                <w:rFonts w:ascii="宋体" w:hAnsi="宋体" w:cs="Arial"/>
                <w:b w:val="0"/>
                <w:bCs/>
                <w:szCs w:val="21"/>
              </w:rPr>
            </w:pPr>
          </w:p>
        </w:tc>
        <w:tc>
          <w:tcPr>
            <w:tcW w:w="998" w:type="dxa"/>
            <w:shd w:val="clear" w:color="auto" w:fill="auto"/>
            <w:vAlign w:val="center"/>
          </w:tcPr>
          <w:p w14:paraId="4D631DA2">
            <w:pPr>
              <w:jc w:val="center"/>
              <w:rPr>
                <w:rFonts w:ascii="宋体" w:hAnsi="宋体" w:cs="Arial"/>
                <w:b w:val="0"/>
                <w:bCs/>
                <w:szCs w:val="21"/>
              </w:rPr>
            </w:pPr>
            <w:r>
              <w:rPr>
                <w:rFonts w:hint="eastAsia" w:ascii="宋体" w:hAnsi="宋体" w:cs="Arial"/>
                <w:b w:val="0"/>
                <w:bCs/>
                <w:szCs w:val="21"/>
              </w:rPr>
              <w:t>新建</w:t>
            </w:r>
          </w:p>
        </w:tc>
      </w:tr>
      <w:tr w14:paraId="58E18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F1440A7">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1</w:t>
            </w:r>
          </w:p>
        </w:tc>
        <w:tc>
          <w:tcPr>
            <w:tcW w:w="2448" w:type="dxa"/>
            <w:shd w:val="clear" w:color="auto" w:fill="auto"/>
            <w:vAlign w:val="center"/>
          </w:tcPr>
          <w:p w14:paraId="17010BFB">
            <w:pPr>
              <w:jc w:val="center"/>
              <w:rPr>
                <w:b w:val="0"/>
                <w:bCs/>
              </w:rPr>
            </w:pPr>
            <w:r>
              <w:rPr>
                <w:rFonts w:hint="eastAsia"/>
                <w:b w:val="0"/>
                <w:bCs/>
              </w:rPr>
              <w:t>回收粉中转</w:t>
            </w:r>
          </w:p>
        </w:tc>
        <w:tc>
          <w:tcPr>
            <w:tcW w:w="881" w:type="dxa"/>
            <w:shd w:val="clear" w:color="auto" w:fill="auto"/>
            <w:vAlign w:val="center"/>
          </w:tcPr>
          <w:p w14:paraId="1E35505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7E57B6E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610969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56DA3E0">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A34A8BC">
            <w:pPr>
              <w:jc w:val="center"/>
              <w:rPr>
                <w:rFonts w:ascii="宋体" w:hAnsi="宋体" w:cs="Arial"/>
                <w:b w:val="0"/>
                <w:bCs/>
                <w:szCs w:val="21"/>
              </w:rPr>
            </w:pPr>
          </w:p>
        </w:tc>
        <w:tc>
          <w:tcPr>
            <w:tcW w:w="998" w:type="dxa"/>
            <w:shd w:val="clear" w:color="auto" w:fill="auto"/>
            <w:vAlign w:val="center"/>
          </w:tcPr>
          <w:p w14:paraId="7139FE66">
            <w:pPr>
              <w:jc w:val="center"/>
              <w:rPr>
                <w:rFonts w:ascii="宋体" w:hAnsi="宋体" w:cs="Arial"/>
                <w:b w:val="0"/>
                <w:bCs/>
                <w:szCs w:val="21"/>
              </w:rPr>
            </w:pPr>
            <w:r>
              <w:rPr>
                <w:rFonts w:hint="eastAsia" w:ascii="宋体" w:hAnsi="宋体" w:cs="Arial"/>
                <w:b w:val="0"/>
                <w:bCs/>
                <w:szCs w:val="21"/>
              </w:rPr>
              <w:t>新建</w:t>
            </w:r>
          </w:p>
        </w:tc>
      </w:tr>
      <w:tr w14:paraId="72ED8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E33A050">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2</w:t>
            </w:r>
          </w:p>
        </w:tc>
        <w:tc>
          <w:tcPr>
            <w:tcW w:w="2448" w:type="dxa"/>
            <w:shd w:val="clear" w:color="auto" w:fill="auto"/>
            <w:vAlign w:val="center"/>
          </w:tcPr>
          <w:p w14:paraId="7D9A0FB3">
            <w:pPr>
              <w:jc w:val="center"/>
              <w:rPr>
                <w:b w:val="0"/>
                <w:bCs/>
              </w:rPr>
            </w:pPr>
            <w:r>
              <w:rPr>
                <w:rFonts w:hint="eastAsia"/>
                <w:b w:val="0"/>
                <w:bCs/>
              </w:rPr>
              <w:t>气泵间</w:t>
            </w:r>
          </w:p>
        </w:tc>
        <w:tc>
          <w:tcPr>
            <w:tcW w:w="881" w:type="dxa"/>
            <w:shd w:val="clear" w:color="auto" w:fill="auto"/>
            <w:vAlign w:val="center"/>
          </w:tcPr>
          <w:p w14:paraId="1A5942C9">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6D63DD20">
            <w:pPr>
              <w:jc w:val="center"/>
              <w:rPr>
                <w:rFonts w:ascii="宋体" w:hAnsi="宋体" w:cs="Arial"/>
                <w:b w:val="0"/>
                <w:bCs/>
                <w:szCs w:val="21"/>
              </w:rPr>
            </w:pPr>
          </w:p>
        </w:tc>
        <w:tc>
          <w:tcPr>
            <w:tcW w:w="1221" w:type="dxa"/>
            <w:shd w:val="clear" w:color="auto" w:fill="auto"/>
            <w:vAlign w:val="center"/>
          </w:tcPr>
          <w:p w14:paraId="2B27191A">
            <w:pPr>
              <w:jc w:val="center"/>
              <w:rPr>
                <w:rFonts w:ascii="宋体" w:hAnsi="宋体" w:cs="Arial"/>
                <w:b w:val="0"/>
                <w:bCs/>
                <w:szCs w:val="21"/>
              </w:rPr>
            </w:pPr>
          </w:p>
        </w:tc>
        <w:tc>
          <w:tcPr>
            <w:tcW w:w="771" w:type="dxa"/>
            <w:shd w:val="clear" w:color="auto" w:fill="auto"/>
            <w:vAlign w:val="center"/>
          </w:tcPr>
          <w:p w14:paraId="15FAB352">
            <w:pPr>
              <w:jc w:val="center"/>
              <w:rPr>
                <w:rFonts w:ascii="宋体" w:hAnsi="宋体" w:cs="Arial"/>
                <w:b w:val="0"/>
                <w:bCs/>
                <w:szCs w:val="21"/>
              </w:rPr>
            </w:pPr>
          </w:p>
        </w:tc>
        <w:tc>
          <w:tcPr>
            <w:tcW w:w="930" w:type="dxa"/>
            <w:shd w:val="clear" w:color="auto" w:fill="auto"/>
            <w:vAlign w:val="center"/>
          </w:tcPr>
          <w:p w14:paraId="4DBDFF18">
            <w:pPr>
              <w:jc w:val="center"/>
              <w:rPr>
                <w:rFonts w:ascii="宋体" w:hAnsi="宋体" w:cs="Arial"/>
                <w:b w:val="0"/>
                <w:bCs/>
                <w:szCs w:val="21"/>
              </w:rPr>
            </w:pPr>
          </w:p>
        </w:tc>
        <w:tc>
          <w:tcPr>
            <w:tcW w:w="998" w:type="dxa"/>
            <w:shd w:val="clear" w:color="auto" w:fill="auto"/>
            <w:vAlign w:val="center"/>
          </w:tcPr>
          <w:p w14:paraId="0CF01F4D">
            <w:pPr>
              <w:jc w:val="center"/>
              <w:rPr>
                <w:rFonts w:ascii="宋体" w:hAnsi="宋体" w:cs="Arial"/>
                <w:b w:val="0"/>
                <w:bCs/>
                <w:szCs w:val="21"/>
              </w:rPr>
            </w:pPr>
            <w:r>
              <w:rPr>
                <w:rFonts w:hint="eastAsia" w:ascii="宋体" w:hAnsi="宋体" w:cs="Arial"/>
                <w:b w:val="0"/>
                <w:bCs/>
                <w:szCs w:val="21"/>
              </w:rPr>
              <w:t>新建</w:t>
            </w:r>
          </w:p>
        </w:tc>
      </w:tr>
      <w:tr w14:paraId="489DB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97" w:type="dxa"/>
            <w:shd w:val="clear" w:color="auto" w:fill="auto"/>
            <w:vAlign w:val="center"/>
          </w:tcPr>
          <w:p w14:paraId="1EB2D2F1">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3</w:t>
            </w:r>
          </w:p>
        </w:tc>
        <w:tc>
          <w:tcPr>
            <w:tcW w:w="2448" w:type="dxa"/>
            <w:shd w:val="clear" w:color="auto" w:fill="auto"/>
            <w:vAlign w:val="center"/>
          </w:tcPr>
          <w:p w14:paraId="4D5319D4">
            <w:pPr>
              <w:jc w:val="center"/>
              <w:rPr>
                <w:b w:val="0"/>
                <w:bCs/>
              </w:rPr>
            </w:pPr>
            <w:r>
              <w:rPr>
                <w:rFonts w:hint="eastAsia"/>
                <w:b w:val="0"/>
                <w:bCs/>
              </w:rPr>
              <w:t>自动混合</w:t>
            </w:r>
            <w:r>
              <w:rPr>
                <w:b w:val="0"/>
                <w:bCs/>
              </w:rPr>
              <w:t>/</w:t>
            </w:r>
            <w:r>
              <w:rPr>
                <w:rFonts w:hint="eastAsia"/>
                <w:b w:val="0"/>
                <w:bCs/>
              </w:rPr>
              <w:t>上潮/装模制片</w:t>
            </w:r>
          </w:p>
        </w:tc>
        <w:tc>
          <w:tcPr>
            <w:tcW w:w="881" w:type="dxa"/>
            <w:shd w:val="clear" w:color="auto" w:fill="auto"/>
            <w:vAlign w:val="center"/>
          </w:tcPr>
          <w:p w14:paraId="0812AF4A">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4FDB521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BEA377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535FBA8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A82EFFC">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C3D5976">
            <w:pPr>
              <w:jc w:val="center"/>
              <w:rPr>
                <w:rFonts w:ascii="宋体" w:hAnsi="宋体" w:cs="Arial"/>
                <w:b w:val="0"/>
                <w:bCs/>
                <w:szCs w:val="21"/>
              </w:rPr>
            </w:pPr>
            <w:r>
              <w:rPr>
                <w:rFonts w:hint="eastAsia" w:ascii="宋体" w:hAnsi="宋体" w:cs="Arial"/>
                <w:b w:val="0"/>
                <w:bCs/>
                <w:szCs w:val="21"/>
              </w:rPr>
              <w:t>新建</w:t>
            </w:r>
          </w:p>
        </w:tc>
      </w:tr>
      <w:tr w14:paraId="7B384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6BD4F0F">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w:t>
            </w:r>
          </w:p>
        </w:tc>
        <w:tc>
          <w:tcPr>
            <w:tcW w:w="2448" w:type="dxa"/>
            <w:shd w:val="clear" w:color="auto" w:fill="auto"/>
            <w:vAlign w:val="center"/>
          </w:tcPr>
          <w:p w14:paraId="078EE77E">
            <w:pPr>
              <w:jc w:val="center"/>
              <w:rPr>
                <w:b w:val="0"/>
                <w:bCs/>
              </w:rPr>
            </w:pPr>
            <w:r>
              <w:rPr>
                <w:rFonts w:hint="eastAsia"/>
                <w:b w:val="0"/>
                <w:bCs/>
              </w:rPr>
              <w:t>空板车间</w:t>
            </w:r>
          </w:p>
        </w:tc>
        <w:tc>
          <w:tcPr>
            <w:tcW w:w="881" w:type="dxa"/>
            <w:shd w:val="clear" w:color="auto" w:fill="auto"/>
            <w:vAlign w:val="center"/>
          </w:tcPr>
          <w:p w14:paraId="1053759D">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6CD3BB49">
            <w:pPr>
              <w:jc w:val="center"/>
              <w:rPr>
                <w:rFonts w:ascii="宋体" w:hAnsi="宋体" w:cs="Arial"/>
                <w:b w:val="0"/>
                <w:bCs/>
                <w:szCs w:val="21"/>
              </w:rPr>
            </w:pPr>
          </w:p>
        </w:tc>
        <w:tc>
          <w:tcPr>
            <w:tcW w:w="1221" w:type="dxa"/>
            <w:shd w:val="clear" w:color="auto" w:fill="auto"/>
            <w:vAlign w:val="center"/>
          </w:tcPr>
          <w:p w14:paraId="11C4C2A7">
            <w:pPr>
              <w:jc w:val="center"/>
              <w:rPr>
                <w:rFonts w:ascii="宋体" w:hAnsi="宋体" w:cs="Arial"/>
                <w:b w:val="0"/>
                <w:bCs/>
                <w:szCs w:val="21"/>
              </w:rPr>
            </w:pPr>
          </w:p>
        </w:tc>
        <w:tc>
          <w:tcPr>
            <w:tcW w:w="771" w:type="dxa"/>
            <w:shd w:val="clear" w:color="auto" w:fill="auto"/>
            <w:vAlign w:val="center"/>
          </w:tcPr>
          <w:p w14:paraId="446C4022">
            <w:pPr>
              <w:jc w:val="center"/>
              <w:rPr>
                <w:rFonts w:ascii="宋体" w:hAnsi="宋体" w:cs="Arial"/>
                <w:b w:val="0"/>
                <w:bCs/>
                <w:szCs w:val="21"/>
              </w:rPr>
            </w:pPr>
          </w:p>
        </w:tc>
        <w:tc>
          <w:tcPr>
            <w:tcW w:w="930" w:type="dxa"/>
            <w:shd w:val="clear" w:color="auto" w:fill="auto"/>
            <w:vAlign w:val="center"/>
          </w:tcPr>
          <w:p w14:paraId="07E52C6D">
            <w:pPr>
              <w:jc w:val="center"/>
              <w:rPr>
                <w:rFonts w:ascii="宋体" w:hAnsi="宋体" w:cs="Arial"/>
                <w:b w:val="0"/>
                <w:bCs/>
                <w:szCs w:val="21"/>
              </w:rPr>
            </w:pPr>
          </w:p>
        </w:tc>
        <w:tc>
          <w:tcPr>
            <w:tcW w:w="998" w:type="dxa"/>
            <w:shd w:val="clear" w:color="auto" w:fill="auto"/>
            <w:vAlign w:val="center"/>
          </w:tcPr>
          <w:p w14:paraId="7DE5FD6D">
            <w:pPr>
              <w:jc w:val="center"/>
              <w:rPr>
                <w:rFonts w:ascii="宋体" w:hAnsi="宋体" w:cs="Arial"/>
                <w:b w:val="0"/>
                <w:bCs/>
                <w:szCs w:val="21"/>
              </w:rPr>
            </w:pPr>
            <w:r>
              <w:rPr>
                <w:rFonts w:hint="eastAsia" w:ascii="宋体" w:hAnsi="宋体" w:cs="Arial"/>
                <w:b w:val="0"/>
                <w:bCs/>
                <w:szCs w:val="21"/>
              </w:rPr>
              <w:t>新建</w:t>
            </w:r>
          </w:p>
        </w:tc>
      </w:tr>
      <w:tr w14:paraId="1BAE9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97" w:type="dxa"/>
            <w:shd w:val="clear" w:color="auto" w:fill="auto"/>
            <w:vAlign w:val="center"/>
          </w:tcPr>
          <w:p w14:paraId="394C5EF2">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w:t>
            </w:r>
          </w:p>
        </w:tc>
        <w:tc>
          <w:tcPr>
            <w:tcW w:w="2448" w:type="dxa"/>
            <w:shd w:val="clear" w:color="auto" w:fill="auto"/>
            <w:vAlign w:val="center"/>
          </w:tcPr>
          <w:p w14:paraId="41E3385D">
            <w:pPr>
              <w:jc w:val="center"/>
              <w:rPr>
                <w:b w:val="0"/>
                <w:bCs/>
              </w:rPr>
            </w:pPr>
            <w:r>
              <w:rPr>
                <w:rFonts w:hint="eastAsia"/>
                <w:b w:val="0"/>
                <w:bCs/>
              </w:rPr>
              <w:t>自动混合</w:t>
            </w:r>
            <w:r>
              <w:rPr>
                <w:b w:val="0"/>
                <w:bCs/>
              </w:rPr>
              <w:t>/</w:t>
            </w:r>
            <w:r>
              <w:rPr>
                <w:rFonts w:hint="eastAsia"/>
                <w:b w:val="0"/>
                <w:bCs/>
              </w:rPr>
              <w:t>上潮/装模制片</w:t>
            </w:r>
          </w:p>
        </w:tc>
        <w:tc>
          <w:tcPr>
            <w:tcW w:w="881" w:type="dxa"/>
            <w:shd w:val="clear" w:color="auto" w:fill="auto"/>
            <w:vAlign w:val="center"/>
          </w:tcPr>
          <w:p w14:paraId="44F62871">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327A5D0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B4FB78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5C41662D">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3F9B0E7">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D045E9E">
            <w:pPr>
              <w:jc w:val="center"/>
              <w:rPr>
                <w:rFonts w:ascii="宋体" w:hAnsi="宋体" w:cs="Arial"/>
                <w:b w:val="0"/>
                <w:bCs/>
                <w:szCs w:val="21"/>
              </w:rPr>
            </w:pPr>
            <w:r>
              <w:rPr>
                <w:rFonts w:hint="eastAsia" w:ascii="宋体" w:hAnsi="宋体" w:cs="Arial"/>
                <w:b w:val="0"/>
                <w:bCs/>
                <w:szCs w:val="21"/>
              </w:rPr>
              <w:t>新建</w:t>
            </w:r>
          </w:p>
        </w:tc>
      </w:tr>
      <w:tr w14:paraId="793368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513C789">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6</w:t>
            </w:r>
          </w:p>
        </w:tc>
        <w:tc>
          <w:tcPr>
            <w:tcW w:w="2448" w:type="dxa"/>
            <w:shd w:val="clear" w:color="auto" w:fill="auto"/>
            <w:vAlign w:val="center"/>
          </w:tcPr>
          <w:p w14:paraId="32DA99A7">
            <w:pPr>
              <w:jc w:val="center"/>
              <w:rPr>
                <w:rFonts w:ascii="宋体" w:hAnsi="宋体" w:cs="Arial"/>
                <w:b w:val="0"/>
                <w:bCs/>
                <w:szCs w:val="21"/>
              </w:rPr>
            </w:pPr>
            <w:r>
              <w:rPr>
                <w:rFonts w:hint="eastAsia" w:ascii="宋体" w:hAnsi="宋体" w:cs="Arial"/>
                <w:b w:val="0"/>
                <w:bCs/>
                <w:szCs w:val="21"/>
              </w:rPr>
              <w:t>空板车间</w:t>
            </w:r>
          </w:p>
        </w:tc>
        <w:tc>
          <w:tcPr>
            <w:tcW w:w="881" w:type="dxa"/>
            <w:shd w:val="clear" w:color="auto" w:fill="auto"/>
            <w:vAlign w:val="center"/>
          </w:tcPr>
          <w:p w14:paraId="07456F11">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0DC29906">
            <w:pPr>
              <w:jc w:val="center"/>
              <w:rPr>
                <w:rFonts w:ascii="宋体" w:hAnsi="宋体" w:cs="Arial"/>
                <w:b w:val="0"/>
                <w:bCs/>
                <w:szCs w:val="21"/>
              </w:rPr>
            </w:pPr>
          </w:p>
        </w:tc>
        <w:tc>
          <w:tcPr>
            <w:tcW w:w="1221" w:type="dxa"/>
            <w:shd w:val="clear" w:color="auto" w:fill="auto"/>
            <w:vAlign w:val="center"/>
          </w:tcPr>
          <w:p w14:paraId="7D753758">
            <w:pPr>
              <w:jc w:val="center"/>
              <w:rPr>
                <w:rFonts w:ascii="宋体" w:hAnsi="宋体" w:cs="Arial"/>
                <w:b w:val="0"/>
                <w:bCs/>
                <w:szCs w:val="21"/>
              </w:rPr>
            </w:pPr>
          </w:p>
        </w:tc>
        <w:tc>
          <w:tcPr>
            <w:tcW w:w="771" w:type="dxa"/>
            <w:shd w:val="clear" w:color="auto" w:fill="auto"/>
            <w:vAlign w:val="center"/>
          </w:tcPr>
          <w:p w14:paraId="14D925B4">
            <w:pPr>
              <w:jc w:val="center"/>
              <w:rPr>
                <w:rFonts w:ascii="宋体" w:hAnsi="宋体" w:cs="Arial"/>
                <w:b w:val="0"/>
                <w:bCs/>
                <w:szCs w:val="21"/>
              </w:rPr>
            </w:pPr>
          </w:p>
        </w:tc>
        <w:tc>
          <w:tcPr>
            <w:tcW w:w="930" w:type="dxa"/>
            <w:shd w:val="clear" w:color="auto" w:fill="auto"/>
            <w:vAlign w:val="center"/>
          </w:tcPr>
          <w:p w14:paraId="6988323F">
            <w:pPr>
              <w:jc w:val="center"/>
              <w:rPr>
                <w:rFonts w:ascii="宋体" w:hAnsi="宋体" w:cs="Arial"/>
                <w:b w:val="0"/>
                <w:bCs/>
                <w:szCs w:val="21"/>
              </w:rPr>
            </w:pPr>
          </w:p>
        </w:tc>
        <w:tc>
          <w:tcPr>
            <w:tcW w:w="998" w:type="dxa"/>
            <w:shd w:val="clear" w:color="auto" w:fill="auto"/>
            <w:vAlign w:val="center"/>
          </w:tcPr>
          <w:p w14:paraId="28FC7C25">
            <w:pPr>
              <w:jc w:val="center"/>
              <w:rPr>
                <w:rFonts w:ascii="宋体" w:hAnsi="宋体" w:cs="Arial"/>
                <w:b w:val="0"/>
                <w:bCs/>
                <w:szCs w:val="21"/>
              </w:rPr>
            </w:pPr>
            <w:r>
              <w:rPr>
                <w:rFonts w:hint="eastAsia" w:ascii="宋体" w:hAnsi="宋体" w:cs="Arial"/>
                <w:b w:val="0"/>
                <w:bCs/>
                <w:szCs w:val="21"/>
              </w:rPr>
              <w:t>新建</w:t>
            </w:r>
          </w:p>
        </w:tc>
      </w:tr>
      <w:tr w14:paraId="3C472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43A7817">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7</w:t>
            </w:r>
          </w:p>
        </w:tc>
        <w:tc>
          <w:tcPr>
            <w:tcW w:w="2448" w:type="dxa"/>
            <w:shd w:val="clear" w:color="auto" w:fill="auto"/>
            <w:vAlign w:val="center"/>
          </w:tcPr>
          <w:p w14:paraId="121DD74F">
            <w:pPr>
              <w:jc w:val="center"/>
              <w:rPr>
                <w:rFonts w:ascii="宋体" w:hAnsi="宋体" w:cs="Arial"/>
                <w:b w:val="0"/>
                <w:bCs/>
                <w:szCs w:val="21"/>
              </w:rPr>
            </w:pPr>
            <w:r>
              <w:rPr>
                <w:rFonts w:hint="eastAsia" w:ascii="宋体" w:hAnsi="宋体" w:cs="Arial"/>
                <w:b w:val="0"/>
                <w:bCs/>
                <w:szCs w:val="21"/>
              </w:rPr>
              <w:t>制片中转</w:t>
            </w:r>
          </w:p>
        </w:tc>
        <w:tc>
          <w:tcPr>
            <w:tcW w:w="881" w:type="dxa"/>
            <w:shd w:val="clear" w:color="auto" w:fill="auto"/>
            <w:vAlign w:val="center"/>
          </w:tcPr>
          <w:p w14:paraId="1DD9BA1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44C47CF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0F9DDB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CBB060D">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3DE3FB63">
            <w:pPr>
              <w:jc w:val="center"/>
              <w:rPr>
                <w:rFonts w:ascii="宋体" w:hAnsi="宋体" w:cs="Arial"/>
                <w:b w:val="0"/>
                <w:bCs/>
                <w:szCs w:val="21"/>
              </w:rPr>
            </w:pPr>
          </w:p>
        </w:tc>
        <w:tc>
          <w:tcPr>
            <w:tcW w:w="998" w:type="dxa"/>
            <w:shd w:val="clear" w:color="auto" w:fill="auto"/>
            <w:vAlign w:val="center"/>
          </w:tcPr>
          <w:p w14:paraId="6E2FD68F">
            <w:pPr>
              <w:jc w:val="center"/>
              <w:rPr>
                <w:rFonts w:ascii="宋体" w:hAnsi="宋体" w:cs="Arial"/>
                <w:b w:val="0"/>
                <w:bCs/>
                <w:szCs w:val="21"/>
              </w:rPr>
            </w:pPr>
            <w:r>
              <w:rPr>
                <w:rFonts w:hint="eastAsia" w:ascii="宋体" w:hAnsi="宋体" w:cs="Arial"/>
                <w:b w:val="0"/>
                <w:bCs/>
                <w:szCs w:val="21"/>
              </w:rPr>
              <w:t>新建</w:t>
            </w:r>
          </w:p>
        </w:tc>
      </w:tr>
      <w:tr w14:paraId="3302F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05912A5">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8</w:t>
            </w:r>
          </w:p>
        </w:tc>
        <w:tc>
          <w:tcPr>
            <w:tcW w:w="2448" w:type="dxa"/>
            <w:shd w:val="clear" w:color="auto" w:fill="auto"/>
            <w:vAlign w:val="center"/>
          </w:tcPr>
          <w:p w14:paraId="442D0F52">
            <w:pPr>
              <w:jc w:val="center"/>
              <w:rPr>
                <w:rFonts w:ascii="宋体" w:hAnsi="宋体" w:cs="Arial"/>
                <w:b w:val="0"/>
                <w:bCs/>
                <w:szCs w:val="21"/>
              </w:rPr>
            </w:pPr>
            <w:r>
              <w:rPr>
                <w:rFonts w:hint="eastAsia" w:ascii="宋体" w:hAnsi="宋体" w:cs="Arial"/>
                <w:b w:val="0"/>
                <w:bCs/>
                <w:szCs w:val="21"/>
              </w:rPr>
              <w:t>制片中转</w:t>
            </w:r>
          </w:p>
        </w:tc>
        <w:tc>
          <w:tcPr>
            <w:tcW w:w="881" w:type="dxa"/>
            <w:shd w:val="clear" w:color="auto" w:fill="auto"/>
            <w:vAlign w:val="center"/>
          </w:tcPr>
          <w:p w14:paraId="0FB18C4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295FC20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9A2995F">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DE2B8C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DD6F639">
            <w:pPr>
              <w:jc w:val="center"/>
              <w:rPr>
                <w:rFonts w:ascii="宋体" w:hAnsi="宋体" w:cs="Arial"/>
                <w:b w:val="0"/>
                <w:bCs/>
                <w:szCs w:val="21"/>
              </w:rPr>
            </w:pPr>
          </w:p>
        </w:tc>
        <w:tc>
          <w:tcPr>
            <w:tcW w:w="998" w:type="dxa"/>
            <w:shd w:val="clear" w:color="auto" w:fill="auto"/>
            <w:vAlign w:val="center"/>
          </w:tcPr>
          <w:p w14:paraId="0AB092F8">
            <w:pPr>
              <w:jc w:val="center"/>
              <w:rPr>
                <w:rFonts w:ascii="宋体" w:hAnsi="宋体" w:cs="Arial"/>
                <w:b w:val="0"/>
                <w:bCs/>
                <w:szCs w:val="21"/>
              </w:rPr>
            </w:pPr>
            <w:r>
              <w:rPr>
                <w:rFonts w:hint="eastAsia" w:ascii="宋体" w:hAnsi="宋体" w:cs="Arial"/>
                <w:b w:val="0"/>
                <w:bCs/>
                <w:szCs w:val="21"/>
              </w:rPr>
              <w:t>新建</w:t>
            </w:r>
          </w:p>
        </w:tc>
      </w:tr>
      <w:tr w14:paraId="62903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40A003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9</w:t>
            </w:r>
          </w:p>
        </w:tc>
        <w:tc>
          <w:tcPr>
            <w:tcW w:w="2448" w:type="dxa"/>
            <w:shd w:val="clear" w:color="auto" w:fill="auto"/>
            <w:vAlign w:val="center"/>
          </w:tcPr>
          <w:p w14:paraId="5EB77794">
            <w:pPr>
              <w:jc w:val="center"/>
              <w:rPr>
                <w:rFonts w:ascii="宋体" w:hAnsi="宋体" w:cs="Arial"/>
                <w:b w:val="0"/>
                <w:bCs/>
                <w:szCs w:val="21"/>
              </w:rPr>
            </w:pPr>
            <w:r>
              <w:rPr>
                <w:rFonts w:hint="eastAsia" w:ascii="宋体" w:hAnsi="宋体" w:cs="Arial"/>
                <w:b w:val="0"/>
                <w:bCs/>
                <w:szCs w:val="21"/>
              </w:rPr>
              <w:t>片子中转</w:t>
            </w:r>
          </w:p>
        </w:tc>
        <w:tc>
          <w:tcPr>
            <w:tcW w:w="881" w:type="dxa"/>
            <w:shd w:val="clear" w:color="auto" w:fill="auto"/>
            <w:vAlign w:val="center"/>
          </w:tcPr>
          <w:p w14:paraId="3F733FAF">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.5</w:t>
            </w:r>
          </w:p>
        </w:tc>
        <w:tc>
          <w:tcPr>
            <w:tcW w:w="731" w:type="dxa"/>
            <w:shd w:val="clear" w:color="auto" w:fill="auto"/>
            <w:vAlign w:val="center"/>
          </w:tcPr>
          <w:p w14:paraId="435EEB0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B6B25D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489768B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3993CD9">
            <w:pPr>
              <w:jc w:val="center"/>
              <w:rPr>
                <w:rFonts w:ascii="宋体" w:hAnsi="宋体" w:cs="Arial"/>
                <w:b w:val="0"/>
                <w:bCs/>
                <w:szCs w:val="21"/>
              </w:rPr>
            </w:pPr>
          </w:p>
        </w:tc>
        <w:tc>
          <w:tcPr>
            <w:tcW w:w="998" w:type="dxa"/>
            <w:shd w:val="clear" w:color="auto" w:fill="auto"/>
            <w:vAlign w:val="center"/>
          </w:tcPr>
          <w:p w14:paraId="58C04126">
            <w:pPr>
              <w:jc w:val="center"/>
              <w:rPr>
                <w:rFonts w:ascii="宋体" w:hAnsi="宋体" w:cs="Arial"/>
                <w:b w:val="0"/>
                <w:bCs/>
                <w:szCs w:val="21"/>
              </w:rPr>
            </w:pPr>
            <w:r>
              <w:rPr>
                <w:rFonts w:hint="eastAsia" w:ascii="宋体" w:hAnsi="宋体" w:cs="Arial"/>
                <w:b w:val="0"/>
                <w:bCs/>
                <w:szCs w:val="21"/>
              </w:rPr>
              <w:t>新建</w:t>
            </w:r>
          </w:p>
        </w:tc>
      </w:tr>
      <w:tr w14:paraId="10BF0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11200FD">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w:t>
            </w:r>
          </w:p>
        </w:tc>
        <w:tc>
          <w:tcPr>
            <w:tcW w:w="2448" w:type="dxa"/>
            <w:shd w:val="clear" w:color="auto" w:fill="auto"/>
            <w:vAlign w:val="center"/>
          </w:tcPr>
          <w:p w14:paraId="3ABCD7AE">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79AB0C0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6.8</w:t>
            </w:r>
          </w:p>
        </w:tc>
        <w:tc>
          <w:tcPr>
            <w:tcW w:w="731" w:type="dxa"/>
            <w:shd w:val="clear" w:color="auto" w:fill="auto"/>
            <w:vAlign w:val="center"/>
          </w:tcPr>
          <w:p w14:paraId="31F9058B">
            <w:pPr>
              <w:jc w:val="center"/>
              <w:rPr>
                <w:rFonts w:ascii="宋体" w:hAnsi="宋体" w:cs="Arial"/>
                <w:b w:val="0"/>
                <w:bCs/>
                <w:szCs w:val="21"/>
              </w:rPr>
            </w:pPr>
          </w:p>
        </w:tc>
        <w:tc>
          <w:tcPr>
            <w:tcW w:w="1221" w:type="dxa"/>
            <w:shd w:val="clear" w:color="auto" w:fill="auto"/>
            <w:vAlign w:val="center"/>
          </w:tcPr>
          <w:p w14:paraId="3956645D">
            <w:pPr>
              <w:jc w:val="center"/>
              <w:rPr>
                <w:rFonts w:ascii="宋体" w:hAnsi="宋体" w:cs="Arial"/>
                <w:b w:val="0"/>
                <w:bCs/>
                <w:szCs w:val="21"/>
              </w:rPr>
            </w:pPr>
          </w:p>
        </w:tc>
        <w:tc>
          <w:tcPr>
            <w:tcW w:w="771" w:type="dxa"/>
            <w:shd w:val="clear" w:color="auto" w:fill="auto"/>
            <w:vAlign w:val="center"/>
          </w:tcPr>
          <w:p w14:paraId="42550679">
            <w:pPr>
              <w:jc w:val="center"/>
              <w:rPr>
                <w:rFonts w:ascii="宋体" w:hAnsi="宋体" w:cs="Arial"/>
                <w:b w:val="0"/>
                <w:bCs/>
                <w:szCs w:val="21"/>
              </w:rPr>
            </w:pPr>
          </w:p>
        </w:tc>
        <w:tc>
          <w:tcPr>
            <w:tcW w:w="930" w:type="dxa"/>
            <w:shd w:val="clear" w:color="auto" w:fill="auto"/>
            <w:vAlign w:val="center"/>
          </w:tcPr>
          <w:p w14:paraId="52E61CC2">
            <w:pPr>
              <w:jc w:val="center"/>
              <w:rPr>
                <w:rFonts w:ascii="宋体" w:hAnsi="宋体" w:cs="Arial"/>
                <w:b w:val="0"/>
                <w:bCs/>
                <w:szCs w:val="21"/>
              </w:rPr>
            </w:pPr>
          </w:p>
        </w:tc>
        <w:tc>
          <w:tcPr>
            <w:tcW w:w="998" w:type="dxa"/>
            <w:shd w:val="clear" w:color="auto" w:fill="auto"/>
            <w:vAlign w:val="center"/>
          </w:tcPr>
          <w:p w14:paraId="60EA1F48">
            <w:pPr>
              <w:jc w:val="center"/>
              <w:rPr>
                <w:rFonts w:ascii="宋体" w:hAnsi="宋体" w:cs="Arial"/>
                <w:b w:val="0"/>
                <w:bCs/>
                <w:szCs w:val="21"/>
              </w:rPr>
            </w:pPr>
            <w:r>
              <w:rPr>
                <w:rFonts w:hint="eastAsia" w:ascii="宋体" w:hAnsi="宋体" w:cs="Arial"/>
                <w:b w:val="0"/>
                <w:bCs/>
                <w:szCs w:val="21"/>
              </w:rPr>
              <w:t>新建</w:t>
            </w:r>
          </w:p>
        </w:tc>
      </w:tr>
      <w:tr w14:paraId="667B7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A98E94F">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p>
        </w:tc>
        <w:tc>
          <w:tcPr>
            <w:tcW w:w="2448" w:type="dxa"/>
            <w:shd w:val="clear" w:color="auto" w:fill="auto"/>
            <w:vAlign w:val="center"/>
          </w:tcPr>
          <w:p w14:paraId="273B200B">
            <w:pPr>
              <w:jc w:val="center"/>
              <w:rPr>
                <w:rFonts w:ascii="宋体" w:hAnsi="宋体" w:cs="Arial"/>
                <w:b w:val="0"/>
                <w:bCs/>
                <w:szCs w:val="21"/>
              </w:rPr>
            </w:pPr>
            <w:r>
              <w:rPr>
                <w:rFonts w:hint="eastAsia" w:ascii="宋体" w:hAnsi="宋体" w:cs="Arial"/>
                <w:b w:val="0"/>
                <w:bCs/>
                <w:szCs w:val="21"/>
              </w:rPr>
              <w:t>压药</w:t>
            </w:r>
          </w:p>
        </w:tc>
        <w:tc>
          <w:tcPr>
            <w:tcW w:w="881" w:type="dxa"/>
            <w:shd w:val="clear" w:color="auto" w:fill="auto"/>
            <w:vAlign w:val="center"/>
          </w:tcPr>
          <w:p w14:paraId="2248FD25">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4</w:t>
            </w:r>
          </w:p>
        </w:tc>
        <w:tc>
          <w:tcPr>
            <w:tcW w:w="731" w:type="dxa"/>
            <w:shd w:val="clear" w:color="auto" w:fill="auto"/>
            <w:vAlign w:val="center"/>
          </w:tcPr>
          <w:p w14:paraId="6524424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B10068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70D6FCE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2B0E291">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56F09470">
            <w:pPr>
              <w:jc w:val="center"/>
              <w:rPr>
                <w:rFonts w:ascii="宋体" w:hAnsi="宋体" w:cs="Arial"/>
                <w:b w:val="0"/>
                <w:bCs/>
                <w:szCs w:val="21"/>
              </w:rPr>
            </w:pPr>
            <w:r>
              <w:rPr>
                <w:rFonts w:hint="eastAsia" w:ascii="宋体" w:hAnsi="宋体" w:cs="Arial"/>
                <w:b w:val="0"/>
                <w:bCs/>
                <w:szCs w:val="21"/>
              </w:rPr>
              <w:t>新建</w:t>
            </w:r>
          </w:p>
        </w:tc>
      </w:tr>
      <w:tr w14:paraId="63028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A692B91">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2</w:t>
            </w:r>
          </w:p>
        </w:tc>
        <w:tc>
          <w:tcPr>
            <w:tcW w:w="2448" w:type="dxa"/>
            <w:shd w:val="clear" w:color="auto" w:fill="auto"/>
            <w:vAlign w:val="center"/>
          </w:tcPr>
          <w:p w14:paraId="1FB935EA">
            <w:pPr>
              <w:jc w:val="center"/>
              <w:rPr>
                <w:rFonts w:ascii="宋体" w:hAnsi="宋体" w:cs="Arial"/>
                <w:b w:val="0"/>
                <w:bCs/>
                <w:szCs w:val="21"/>
              </w:rPr>
            </w:pPr>
            <w:r>
              <w:rPr>
                <w:rFonts w:hint="eastAsia" w:ascii="宋体" w:hAnsi="宋体" w:cs="Arial"/>
                <w:b w:val="0"/>
                <w:bCs/>
                <w:szCs w:val="21"/>
              </w:rPr>
              <w:t>油温机</w:t>
            </w:r>
          </w:p>
        </w:tc>
        <w:tc>
          <w:tcPr>
            <w:tcW w:w="881" w:type="dxa"/>
            <w:shd w:val="clear" w:color="auto" w:fill="auto"/>
            <w:vAlign w:val="center"/>
          </w:tcPr>
          <w:p w14:paraId="1F561C7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458FB004">
            <w:pPr>
              <w:jc w:val="center"/>
              <w:rPr>
                <w:rFonts w:ascii="宋体" w:hAnsi="宋体" w:cs="Arial"/>
                <w:b w:val="0"/>
                <w:bCs/>
                <w:szCs w:val="21"/>
              </w:rPr>
            </w:pPr>
          </w:p>
        </w:tc>
        <w:tc>
          <w:tcPr>
            <w:tcW w:w="1221" w:type="dxa"/>
            <w:shd w:val="clear" w:color="auto" w:fill="auto"/>
            <w:vAlign w:val="center"/>
          </w:tcPr>
          <w:p w14:paraId="346063AB">
            <w:pPr>
              <w:jc w:val="center"/>
              <w:rPr>
                <w:rFonts w:ascii="宋体" w:hAnsi="宋体" w:cs="Arial"/>
                <w:b w:val="0"/>
                <w:bCs/>
                <w:szCs w:val="21"/>
              </w:rPr>
            </w:pPr>
          </w:p>
        </w:tc>
        <w:tc>
          <w:tcPr>
            <w:tcW w:w="771" w:type="dxa"/>
            <w:shd w:val="clear" w:color="auto" w:fill="auto"/>
            <w:vAlign w:val="center"/>
          </w:tcPr>
          <w:p w14:paraId="70DC6545">
            <w:pPr>
              <w:jc w:val="center"/>
              <w:rPr>
                <w:rFonts w:ascii="宋体" w:hAnsi="宋体" w:cs="Arial"/>
                <w:b w:val="0"/>
                <w:bCs/>
                <w:szCs w:val="21"/>
              </w:rPr>
            </w:pPr>
          </w:p>
        </w:tc>
        <w:tc>
          <w:tcPr>
            <w:tcW w:w="930" w:type="dxa"/>
            <w:shd w:val="clear" w:color="auto" w:fill="auto"/>
            <w:vAlign w:val="center"/>
          </w:tcPr>
          <w:p w14:paraId="5225F337">
            <w:pPr>
              <w:jc w:val="center"/>
              <w:rPr>
                <w:rFonts w:ascii="宋体" w:hAnsi="宋体" w:cs="Arial"/>
                <w:b w:val="0"/>
                <w:bCs/>
                <w:szCs w:val="21"/>
              </w:rPr>
            </w:pPr>
          </w:p>
        </w:tc>
        <w:tc>
          <w:tcPr>
            <w:tcW w:w="998" w:type="dxa"/>
            <w:shd w:val="clear" w:color="auto" w:fill="auto"/>
            <w:vAlign w:val="center"/>
          </w:tcPr>
          <w:p w14:paraId="14F0553B">
            <w:pPr>
              <w:jc w:val="center"/>
              <w:rPr>
                <w:rFonts w:ascii="宋体" w:hAnsi="宋体" w:cs="Arial"/>
                <w:b w:val="0"/>
                <w:bCs/>
                <w:szCs w:val="21"/>
              </w:rPr>
            </w:pPr>
            <w:r>
              <w:rPr>
                <w:rFonts w:hint="eastAsia" w:ascii="宋体" w:hAnsi="宋体" w:cs="Arial"/>
                <w:b w:val="0"/>
                <w:bCs/>
                <w:szCs w:val="21"/>
              </w:rPr>
              <w:t>新建</w:t>
            </w:r>
          </w:p>
        </w:tc>
      </w:tr>
      <w:tr w14:paraId="6E3F0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20917C0">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3</w:t>
            </w:r>
          </w:p>
        </w:tc>
        <w:tc>
          <w:tcPr>
            <w:tcW w:w="2448" w:type="dxa"/>
            <w:shd w:val="clear" w:color="auto" w:fill="auto"/>
            <w:vAlign w:val="center"/>
          </w:tcPr>
          <w:p w14:paraId="61E10BBF">
            <w:pPr>
              <w:jc w:val="center"/>
              <w:rPr>
                <w:rFonts w:ascii="宋体" w:hAnsi="宋体" w:cs="Arial"/>
                <w:b w:val="0"/>
                <w:bCs/>
                <w:szCs w:val="21"/>
              </w:rPr>
            </w:pPr>
            <w:r>
              <w:rPr>
                <w:rFonts w:hint="eastAsia" w:ascii="宋体" w:hAnsi="宋体" w:cs="Arial"/>
                <w:b w:val="0"/>
                <w:bCs/>
                <w:szCs w:val="21"/>
              </w:rPr>
              <w:t>隐蔽室</w:t>
            </w:r>
          </w:p>
        </w:tc>
        <w:tc>
          <w:tcPr>
            <w:tcW w:w="881" w:type="dxa"/>
            <w:shd w:val="clear" w:color="auto" w:fill="auto"/>
            <w:vAlign w:val="center"/>
          </w:tcPr>
          <w:p w14:paraId="118C86EA">
            <w:pPr>
              <w:jc w:val="center"/>
              <w:rPr>
                <w:rFonts w:ascii="宋体" w:hAnsi="宋体" w:cs="Arial"/>
                <w:b w:val="0"/>
                <w:bCs/>
                <w:szCs w:val="21"/>
              </w:rPr>
            </w:pPr>
            <w:r>
              <w:rPr>
                <w:rFonts w:hint="eastAsia" w:ascii="宋体" w:hAnsi="宋体" w:cs="Arial"/>
                <w:b w:val="0"/>
                <w:bCs/>
                <w:szCs w:val="21"/>
              </w:rPr>
              <w:t>3</w:t>
            </w:r>
          </w:p>
        </w:tc>
        <w:tc>
          <w:tcPr>
            <w:tcW w:w="731" w:type="dxa"/>
            <w:shd w:val="clear" w:color="auto" w:fill="auto"/>
            <w:vAlign w:val="center"/>
          </w:tcPr>
          <w:p w14:paraId="57208165">
            <w:pPr>
              <w:jc w:val="center"/>
              <w:rPr>
                <w:rFonts w:ascii="宋体" w:hAnsi="宋体" w:cs="Arial"/>
                <w:b w:val="0"/>
                <w:bCs/>
                <w:szCs w:val="21"/>
              </w:rPr>
            </w:pPr>
          </w:p>
        </w:tc>
        <w:tc>
          <w:tcPr>
            <w:tcW w:w="1221" w:type="dxa"/>
            <w:shd w:val="clear" w:color="auto" w:fill="auto"/>
            <w:vAlign w:val="center"/>
          </w:tcPr>
          <w:p w14:paraId="1510D6FC">
            <w:pPr>
              <w:jc w:val="center"/>
              <w:rPr>
                <w:rFonts w:ascii="宋体" w:hAnsi="宋体" w:cs="Arial"/>
                <w:b w:val="0"/>
                <w:bCs/>
                <w:szCs w:val="21"/>
              </w:rPr>
            </w:pPr>
          </w:p>
        </w:tc>
        <w:tc>
          <w:tcPr>
            <w:tcW w:w="771" w:type="dxa"/>
            <w:shd w:val="clear" w:color="auto" w:fill="auto"/>
            <w:vAlign w:val="center"/>
          </w:tcPr>
          <w:p w14:paraId="42144C7A">
            <w:pPr>
              <w:jc w:val="center"/>
              <w:rPr>
                <w:rFonts w:ascii="宋体" w:hAnsi="宋体" w:cs="Arial"/>
                <w:b w:val="0"/>
                <w:bCs/>
                <w:szCs w:val="21"/>
              </w:rPr>
            </w:pPr>
          </w:p>
        </w:tc>
        <w:tc>
          <w:tcPr>
            <w:tcW w:w="930" w:type="dxa"/>
            <w:shd w:val="clear" w:color="auto" w:fill="auto"/>
            <w:vAlign w:val="center"/>
          </w:tcPr>
          <w:p w14:paraId="1FC6B060">
            <w:pPr>
              <w:jc w:val="center"/>
              <w:rPr>
                <w:rFonts w:ascii="宋体" w:hAnsi="宋体" w:cs="Arial"/>
                <w:b w:val="0"/>
                <w:bCs/>
                <w:szCs w:val="21"/>
              </w:rPr>
            </w:pPr>
          </w:p>
        </w:tc>
        <w:tc>
          <w:tcPr>
            <w:tcW w:w="998" w:type="dxa"/>
            <w:shd w:val="clear" w:color="auto" w:fill="auto"/>
            <w:vAlign w:val="center"/>
          </w:tcPr>
          <w:p w14:paraId="2469145D">
            <w:pPr>
              <w:jc w:val="center"/>
              <w:rPr>
                <w:rFonts w:ascii="宋体" w:hAnsi="宋体" w:cs="Arial"/>
                <w:b w:val="0"/>
                <w:bCs/>
                <w:szCs w:val="21"/>
              </w:rPr>
            </w:pPr>
            <w:r>
              <w:rPr>
                <w:rFonts w:hint="eastAsia" w:ascii="宋体" w:hAnsi="宋体" w:cs="Arial"/>
                <w:b w:val="0"/>
                <w:bCs/>
                <w:szCs w:val="21"/>
              </w:rPr>
              <w:t>新建</w:t>
            </w:r>
          </w:p>
        </w:tc>
      </w:tr>
      <w:tr w14:paraId="43FF4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2905519">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4</w:t>
            </w:r>
          </w:p>
        </w:tc>
        <w:tc>
          <w:tcPr>
            <w:tcW w:w="2448" w:type="dxa"/>
            <w:shd w:val="clear" w:color="auto" w:fill="auto"/>
            <w:vAlign w:val="center"/>
          </w:tcPr>
          <w:p w14:paraId="761D4146">
            <w:pPr>
              <w:jc w:val="center"/>
              <w:rPr>
                <w:rFonts w:ascii="宋体" w:hAnsi="宋体" w:cs="Arial"/>
                <w:b w:val="0"/>
                <w:bCs/>
                <w:szCs w:val="21"/>
              </w:rPr>
            </w:pPr>
            <w:r>
              <w:rPr>
                <w:rFonts w:hint="eastAsia" w:ascii="宋体" w:hAnsi="宋体" w:cs="Arial"/>
                <w:b w:val="0"/>
                <w:bCs/>
                <w:szCs w:val="21"/>
              </w:rPr>
              <w:t>厕所</w:t>
            </w:r>
          </w:p>
        </w:tc>
        <w:tc>
          <w:tcPr>
            <w:tcW w:w="881" w:type="dxa"/>
            <w:shd w:val="clear" w:color="auto" w:fill="auto"/>
            <w:vAlign w:val="center"/>
          </w:tcPr>
          <w:p w14:paraId="5B5E062D">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411FE4E8">
            <w:pPr>
              <w:jc w:val="center"/>
              <w:rPr>
                <w:rFonts w:ascii="宋体" w:hAnsi="宋体" w:cs="Arial"/>
                <w:b w:val="0"/>
                <w:bCs/>
                <w:szCs w:val="21"/>
              </w:rPr>
            </w:pPr>
          </w:p>
        </w:tc>
        <w:tc>
          <w:tcPr>
            <w:tcW w:w="1221" w:type="dxa"/>
            <w:shd w:val="clear" w:color="auto" w:fill="auto"/>
            <w:vAlign w:val="center"/>
          </w:tcPr>
          <w:p w14:paraId="7F9D7C15">
            <w:pPr>
              <w:jc w:val="center"/>
              <w:rPr>
                <w:rFonts w:ascii="宋体" w:hAnsi="宋体" w:cs="Arial"/>
                <w:b w:val="0"/>
                <w:bCs/>
                <w:szCs w:val="21"/>
              </w:rPr>
            </w:pPr>
          </w:p>
        </w:tc>
        <w:tc>
          <w:tcPr>
            <w:tcW w:w="771" w:type="dxa"/>
            <w:shd w:val="clear" w:color="auto" w:fill="auto"/>
            <w:vAlign w:val="center"/>
          </w:tcPr>
          <w:p w14:paraId="57AE2FBB">
            <w:pPr>
              <w:jc w:val="center"/>
              <w:rPr>
                <w:rFonts w:ascii="宋体" w:hAnsi="宋体" w:cs="Arial"/>
                <w:b w:val="0"/>
                <w:bCs/>
                <w:szCs w:val="21"/>
              </w:rPr>
            </w:pPr>
          </w:p>
        </w:tc>
        <w:tc>
          <w:tcPr>
            <w:tcW w:w="930" w:type="dxa"/>
            <w:shd w:val="clear" w:color="auto" w:fill="auto"/>
            <w:vAlign w:val="center"/>
          </w:tcPr>
          <w:p w14:paraId="506A0DBF">
            <w:pPr>
              <w:jc w:val="center"/>
              <w:rPr>
                <w:rFonts w:ascii="宋体" w:hAnsi="宋体" w:cs="Arial"/>
                <w:b w:val="0"/>
                <w:bCs/>
                <w:szCs w:val="21"/>
              </w:rPr>
            </w:pPr>
          </w:p>
        </w:tc>
        <w:tc>
          <w:tcPr>
            <w:tcW w:w="998" w:type="dxa"/>
            <w:shd w:val="clear" w:color="auto" w:fill="auto"/>
            <w:vAlign w:val="center"/>
          </w:tcPr>
          <w:p w14:paraId="0F9E390C">
            <w:pPr>
              <w:jc w:val="center"/>
              <w:rPr>
                <w:rFonts w:ascii="宋体" w:hAnsi="宋体" w:cs="Arial"/>
                <w:b w:val="0"/>
                <w:bCs/>
                <w:szCs w:val="21"/>
              </w:rPr>
            </w:pPr>
            <w:r>
              <w:rPr>
                <w:rFonts w:hint="eastAsia" w:ascii="宋体" w:hAnsi="宋体" w:cs="Arial"/>
                <w:b w:val="0"/>
                <w:bCs/>
                <w:szCs w:val="21"/>
              </w:rPr>
              <w:t>新建</w:t>
            </w:r>
          </w:p>
        </w:tc>
      </w:tr>
      <w:tr w14:paraId="25E39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26C727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w:t>
            </w:r>
          </w:p>
        </w:tc>
        <w:tc>
          <w:tcPr>
            <w:tcW w:w="2448" w:type="dxa"/>
            <w:shd w:val="clear" w:color="auto" w:fill="auto"/>
            <w:vAlign w:val="center"/>
          </w:tcPr>
          <w:p w14:paraId="05700930">
            <w:pPr>
              <w:jc w:val="center"/>
              <w:rPr>
                <w:rFonts w:ascii="宋体" w:hAnsi="宋体" w:cs="Arial"/>
                <w:b w:val="0"/>
                <w:bCs/>
                <w:szCs w:val="21"/>
              </w:rPr>
            </w:pPr>
            <w:r>
              <w:rPr>
                <w:rFonts w:hint="eastAsia" w:ascii="宋体" w:hAnsi="宋体" w:cs="Arial"/>
                <w:b w:val="0"/>
                <w:bCs/>
                <w:szCs w:val="21"/>
              </w:rPr>
              <w:t>凉片</w:t>
            </w:r>
          </w:p>
        </w:tc>
        <w:tc>
          <w:tcPr>
            <w:tcW w:w="881" w:type="dxa"/>
            <w:shd w:val="clear" w:color="auto" w:fill="auto"/>
            <w:vAlign w:val="center"/>
          </w:tcPr>
          <w:p w14:paraId="361D34A1">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w:t>
            </w:r>
          </w:p>
        </w:tc>
        <w:tc>
          <w:tcPr>
            <w:tcW w:w="731" w:type="dxa"/>
            <w:shd w:val="clear" w:color="auto" w:fill="auto"/>
            <w:vAlign w:val="center"/>
          </w:tcPr>
          <w:p w14:paraId="1978D53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B975DF7">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771" w:type="dxa"/>
            <w:shd w:val="clear" w:color="auto" w:fill="auto"/>
            <w:vAlign w:val="center"/>
          </w:tcPr>
          <w:p w14:paraId="08FCAA2B">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018FA80">
            <w:pPr>
              <w:jc w:val="center"/>
              <w:rPr>
                <w:rFonts w:ascii="宋体" w:hAnsi="宋体" w:cs="Arial"/>
                <w:b w:val="0"/>
                <w:bCs/>
                <w:szCs w:val="21"/>
              </w:rPr>
            </w:pPr>
          </w:p>
        </w:tc>
        <w:tc>
          <w:tcPr>
            <w:tcW w:w="998" w:type="dxa"/>
            <w:shd w:val="clear" w:color="auto" w:fill="auto"/>
            <w:vAlign w:val="center"/>
          </w:tcPr>
          <w:p w14:paraId="394EFA42">
            <w:pPr>
              <w:jc w:val="center"/>
              <w:rPr>
                <w:rFonts w:ascii="宋体" w:hAnsi="宋体" w:cs="Arial"/>
                <w:b w:val="0"/>
                <w:bCs/>
                <w:szCs w:val="21"/>
              </w:rPr>
            </w:pPr>
            <w:r>
              <w:rPr>
                <w:rFonts w:hint="eastAsia" w:ascii="宋体" w:hAnsi="宋体" w:cs="Arial"/>
                <w:b w:val="0"/>
                <w:bCs/>
                <w:szCs w:val="21"/>
              </w:rPr>
              <w:t>新建</w:t>
            </w:r>
          </w:p>
        </w:tc>
      </w:tr>
      <w:tr w14:paraId="47558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7056B9B">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6</w:t>
            </w:r>
          </w:p>
        </w:tc>
        <w:tc>
          <w:tcPr>
            <w:tcW w:w="2448" w:type="dxa"/>
            <w:shd w:val="clear" w:color="auto" w:fill="auto"/>
            <w:vAlign w:val="center"/>
          </w:tcPr>
          <w:p w14:paraId="15FDEDAE">
            <w:pPr>
              <w:jc w:val="center"/>
              <w:rPr>
                <w:rFonts w:ascii="宋体" w:hAnsi="宋体" w:cs="Arial"/>
                <w:b w:val="0"/>
                <w:bCs/>
                <w:szCs w:val="21"/>
              </w:rPr>
            </w:pPr>
            <w:r>
              <w:rPr>
                <w:rFonts w:hint="eastAsia" w:ascii="宋体" w:hAnsi="宋体" w:cs="Arial"/>
                <w:b w:val="0"/>
                <w:bCs/>
                <w:szCs w:val="21"/>
              </w:rPr>
              <w:t>凉片</w:t>
            </w:r>
          </w:p>
        </w:tc>
        <w:tc>
          <w:tcPr>
            <w:tcW w:w="881" w:type="dxa"/>
            <w:shd w:val="clear" w:color="auto" w:fill="auto"/>
            <w:vAlign w:val="center"/>
          </w:tcPr>
          <w:p w14:paraId="4993F3EB">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3.3</w:t>
            </w:r>
          </w:p>
        </w:tc>
        <w:tc>
          <w:tcPr>
            <w:tcW w:w="731" w:type="dxa"/>
            <w:shd w:val="clear" w:color="auto" w:fill="auto"/>
            <w:vAlign w:val="center"/>
          </w:tcPr>
          <w:p w14:paraId="4C0151B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9A7CC8A">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771" w:type="dxa"/>
            <w:shd w:val="clear" w:color="auto" w:fill="auto"/>
            <w:vAlign w:val="center"/>
          </w:tcPr>
          <w:p w14:paraId="655EB0C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CB0E303">
            <w:pPr>
              <w:jc w:val="center"/>
              <w:rPr>
                <w:rFonts w:ascii="宋体" w:hAnsi="宋体" w:cs="Arial"/>
                <w:b w:val="0"/>
                <w:bCs/>
                <w:szCs w:val="21"/>
              </w:rPr>
            </w:pPr>
          </w:p>
        </w:tc>
        <w:tc>
          <w:tcPr>
            <w:tcW w:w="998" w:type="dxa"/>
            <w:shd w:val="clear" w:color="auto" w:fill="auto"/>
            <w:vAlign w:val="center"/>
          </w:tcPr>
          <w:p w14:paraId="2901DBAF">
            <w:pPr>
              <w:jc w:val="center"/>
              <w:rPr>
                <w:rFonts w:ascii="宋体" w:hAnsi="宋体" w:cs="Arial"/>
                <w:b w:val="0"/>
                <w:bCs/>
                <w:szCs w:val="21"/>
              </w:rPr>
            </w:pPr>
            <w:r>
              <w:rPr>
                <w:rFonts w:hint="eastAsia" w:ascii="宋体" w:hAnsi="宋体" w:cs="Arial"/>
                <w:b w:val="0"/>
                <w:bCs/>
                <w:szCs w:val="21"/>
              </w:rPr>
              <w:t>新建</w:t>
            </w:r>
          </w:p>
        </w:tc>
      </w:tr>
      <w:tr w14:paraId="4B833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7A13815">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7</w:t>
            </w:r>
          </w:p>
        </w:tc>
        <w:tc>
          <w:tcPr>
            <w:tcW w:w="2448" w:type="dxa"/>
            <w:shd w:val="clear" w:color="auto" w:fill="auto"/>
            <w:vAlign w:val="center"/>
          </w:tcPr>
          <w:p w14:paraId="3EF14F87">
            <w:pPr>
              <w:jc w:val="center"/>
              <w:rPr>
                <w:rFonts w:ascii="宋体" w:hAnsi="宋体" w:cs="Arial"/>
                <w:b w:val="0"/>
                <w:bCs/>
                <w:szCs w:val="21"/>
              </w:rPr>
            </w:pPr>
            <w:r>
              <w:rPr>
                <w:rFonts w:hint="eastAsia" w:ascii="宋体" w:hAnsi="宋体" w:cs="Arial"/>
                <w:b w:val="0"/>
                <w:bCs/>
                <w:szCs w:val="21"/>
              </w:rPr>
              <w:t>凉片中转</w:t>
            </w:r>
          </w:p>
        </w:tc>
        <w:tc>
          <w:tcPr>
            <w:tcW w:w="881" w:type="dxa"/>
            <w:shd w:val="clear" w:color="auto" w:fill="auto"/>
            <w:vAlign w:val="center"/>
          </w:tcPr>
          <w:p w14:paraId="4A84B5F9">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.1</w:t>
            </w:r>
          </w:p>
        </w:tc>
        <w:tc>
          <w:tcPr>
            <w:tcW w:w="731" w:type="dxa"/>
            <w:shd w:val="clear" w:color="auto" w:fill="auto"/>
            <w:vAlign w:val="center"/>
          </w:tcPr>
          <w:p w14:paraId="6045F9A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77887B7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49F4D28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03E5B17">
            <w:pPr>
              <w:jc w:val="center"/>
              <w:rPr>
                <w:rFonts w:ascii="宋体" w:hAnsi="宋体" w:cs="Arial"/>
                <w:b w:val="0"/>
                <w:bCs/>
                <w:szCs w:val="21"/>
              </w:rPr>
            </w:pPr>
          </w:p>
        </w:tc>
        <w:tc>
          <w:tcPr>
            <w:tcW w:w="998" w:type="dxa"/>
            <w:shd w:val="clear" w:color="auto" w:fill="auto"/>
            <w:vAlign w:val="center"/>
          </w:tcPr>
          <w:p w14:paraId="03396277">
            <w:pPr>
              <w:jc w:val="center"/>
              <w:rPr>
                <w:rFonts w:ascii="宋体" w:hAnsi="宋体" w:cs="Arial"/>
                <w:b w:val="0"/>
                <w:bCs/>
                <w:szCs w:val="21"/>
              </w:rPr>
            </w:pPr>
            <w:r>
              <w:rPr>
                <w:rFonts w:hint="eastAsia" w:ascii="宋体" w:hAnsi="宋体" w:cs="Arial"/>
                <w:b w:val="0"/>
                <w:bCs/>
                <w:szCs w:val="21"/>
              </w:rPr>
              <w:t>新建</w:t>
            </w:r>
          </w:p>
        </w:tc>
      </w:tr>
      <w:tr w14:paraId="354D7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32D3088">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8</w:t>
            </w:r>
          </w:p>
        </w:tc>
        <w:tc>
          <w:tcPr>
            <w:tcW w:w="2448" w:type="dxa"/>
            <w:shd w:val="clear" w:color="auto" w:fill="auto"/>
            <w:vAlign w:val="center"/>
          </w:tcPr>
          <w:p w14:paraId="77AB8E3F">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0B7CF39D">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539A87A7">
            <w:pPr>
              <w:jc w:val="center"/>
              <w:rPr>
                <w:rFonts w:ascii="宋体" w:hAnsi="宋体" w:cs="Arial"/>
                <w:b w:val="0"/>
                <w:bCs/>
                <w:szCs w:val="21"/>
              </w:rPr>
            </w:pPr>
          </w:p>
        </w:tc>
        <w:tc>
          <w:tcPr>
            <w:tcW w:w="1221" w:type="dxa"/>
            <w:shd w:val="clear" w:color="auto" w:fill="auto"/>
            <w:vAlign w:val="center"/>
          </w:tcPr>
          <w:p w14:paraId="6A5305A8">
            <w:pPr>
              <w:jc w:val="center"/>
              <w:rPr>
                <w:rFonts w:ascii="宋体" w:hAnsi="宋体" w:cs="Arial"/>
                <w:b w:val="0"/>
                <w:bCs/>
                <w:szCs w:val="21"/>
              </w:rPr>
            </w:pPr>
          </w:p>
        </w:tc>
        <w:tc>
          <w:tcPr>
            <w:tcW w:w="771" w:type="dxa"/>
            <w:shd w:val="clear" w:color="auto" w:fill="auto"/>
            <w:vAlign w:val="center"/>
          </w:tcPr>
          <w:p w14:paraId="0E0CDEC4">
            <w:pPr>
              <w:jc w:val="center"/>
              <w:rPr>
                <w:rFonts w:ascii="宋体" w:hAnsi="宋体" w:cs="Arial"/>
                <w:b w:val="0"/>
                <w:bCs/>
                <w:szCs w:val="21"/>
              </w:rPr>
            </w:pPr>
          </w:p>
        </w:tc>
        <w:tc>
          <w:tcPr>
            <w:tcW w:w="930" w:type="dxa"/>
            <w:shd w:val="clear" w:color="auto" w:fill="auto"/>
            <w:vAlign w:val="center"/>
          </w:tcPr>
          <w:p w14:paraId="1ECACBCA">
            <w:pPr>
              <w:jc w:val="center"/>
              <w:rPr>
                <w:rFonts w:ascii="宋体" w:hAnsi="宋体" w:cs="Arial"/>
                <w:b w:val="0"/>
                <w:bCs/>
                <w:szCs w:val="21"/>
              </w:rPr>
            </w:pPr>
          </w:p>
        </w:tc>
        <w:tc>
          <w:tcPr>
            <w:tcW w:w="998" w:type="dxa"/>
            <w:shd w:val="clear" w:color="auto" w:fill="auto"/>
            <w:vAlign w:val="center"/>
          </w:tcPr>
          <w:p w14:paraId="64F8BBE7">
            <w:pPr>
              <w:jc w:val="center"/>
              <w:rPr>
                <w:rFonts w:ascii="宋体" w:hAnsi="宋体" w:cs="Arial"/>
                <w:b w:val="0"/>
                <w:bCs/>
                <w:szCs w:val="21"/>
              </w:rPr>
            </w:pPr>
            <w:r>
              <w:rPr>
                <w:rFonts w:hint="eastAsia" w:ascii="宋体" w:hAnsi="宋体" w:cs="Arial"/>
                <w:b w:val="0"/>
                <w:bCs/>
                <w:szCs w:val="21"/>
              </w:rPr>
              <w:t>新建</w:t>
            </w:r>
          </w:p>
        </w:tc>
      </w:tr>
      <w:tr w14:paraId="06CAC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8D8AAB3">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9</w:t>
            </w:r>
          </w:p>
        </w:tc>
        <w:tc>
          <w:tcPr>
            <w:tcW w:w="2448" w:type="dxa"/>
            <w:shd w:val="clear" w:color="auto" w:fill="auto"/>
            <w:vAlign w:val="center"/>
          </w:tcPr>
          <w:p w14:paraId="2B199DD9">
            <w:pPr>
              <w:jc w:val="center"/>
              <w:rPr>
                <w:rFonts w:ascii="宋体" w:hAnsi="宋体" w:cs="Arial"/>
                <w:b w:val="0"/>
                <w:bCs/>
                <w:szCs w:val="21"/>
              </w:rPr>
            </w:pPr>
            <w:r>
              <w:rPr>
                <w:rFonts w:hint="eastAsia" w:ascii="宋体" w:hAnsi="宋体" w:cs="Arial"/>
                <w:b w:val="0"/>
                <w:bCs/>
                <w:szCs w:val="21"/>
              </w:rPr>
              <w:t>造粒</w:t>
            </w:r>
          </w:p>
        </w:tc>
        <w:tc>
          <w:tcPr>
            <w:tcW w:w="881" w:type="dxa"/>
            <w:shd w:val="clear" w:color="auto" w:fill="auto"/>
            <w:vAlign w:val="center"/>
          </w:tcPr>
          <w:p w14:paraId="10C95B63">
            <w:pPr>
              <w:jc w:val="center"/>
              <w:rPr>
                <w:rFonts w:ascii="宋体" w:hAnsi="宋体" w:cs="Arial"/>
                <w:b w:val="0"/>
                <w:bCs/>
                <w:szCs w:val="21"/>
              </w:rPr>
            </w:pPr>
            <w:r>
              <w:rPr>
                <w:rFonts w:ascii="宋体" w:hAnsi="宋体" w:cs="Arial"/>
                <w:b w:val="0"/>
                <w:bCs/>
                <w:szCs w:val="21"/>
              </w:rPr>
              <w:t>184</w:t>
            </w:r>
          </w:p>
        </w:tc>
        <w:tc>
          <w:tcPr>
            <w:tcW w:w="731" w:type="dxa"/>
            <w:shd w:val="clear" w:color="auto" w:fill="auto"/>
            <w:vAlign w:val="center"/>
          </w:tcPr>
          <w:p w14:paraId="17C398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5B918DA">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68FB40B4">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9EE2D9C">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11586296">
            <w:pPr>
              <w:jc w:val="center"/>
              <w:rPr>
                <w:rFonts w:ascii="宋体" w:hAnsi="宋体" w:cs="Arial"/>
                <w:b w:val="0"/>
                <w:bCs/>
                <w:szCs w:val="21"/>
              </w:rPr>
            </w:pPr>
            <w:r>
              <w:rPr>
                <w:rFonts w:hint="eastAsia" w:ascii="宋体" w:hAnsi="宋体" w:cs="Arial"/>
                <w:b w:val="0"/>
                <w:bCs/>
                <w:szCs w:val="21"/>
              </w:rPr>
              <w:t>新建</w:t>
            </w:r>
          </w:p>
        </w:tc>
      </w:tr>
      <w:tr w14:paraId="516BF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D68FB21">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w:t>
            </w:r>
          </w:p>
        </w:tc>
        <w:tc>
          <w:tcPr>
            <w:tcW w:w="2448" w:type="dxa"/>
            <w:shd w:val="clear" w:color="auto" w:fill="auto"/>
            <w:vAlign w:val="center"/>
          </w:tcPr>
          <w:p w14:paraId="2F76E0C1">
            <w:pPr>
              <w:jc w:val="center"/>
              <w:rPr>
                <w:rFonts w:ascii="宋体" w:hAnsi="宋体" w:cs="Arial"/>
                <w:b w:val="0"/>
                <w:bCs/>
                <w:szCs w:val="21"/>
              </w:rPr>
            </w:pPr>
            <w:r>
              <w:rPr>
                <w:rFonts w:hint="eastAsia" w:ascii="宋体" w:hAnsi="宋体" w:cs="Arial"/>
                <w:b w:val="0"/>
                <w:bCs/>
                <w:szCs w:val="21"/>
              </w:rPr>
              <w:t>隐蔽室</w:t>
            </w:r>
          </w:p>
        </w:tc>
        <w:tc>
          <w:tcPr>
            <w:tcW w:w="881" w:type="dxa"/>
            <w:shd w:val="clear" w:color="auto" w:fill="auto"/>
            <w:vAlign w:val="center"/>
          </w:tcPr>
          <w:p w14:paraId="7E9915B0">
            <w:pPr>
              <w:jc w:val="center"/>
              <w:rPr>
                <w:rFonts w:ascii="宋体" w:hAnsi="宋体" w:cs="Arial"/>
                <w:b w:val="0"/>
                <w:bCs/>
                <w:szCs w:val="21"/>
              </w:rPr>
            </w:pPr>
            <w:r>
              <w:rPr>
                <w:rFonts w:hint="eastAsia" w:ascii="宋体" w:hAnsi="宋体" w:cs="Arial"/>
                <w:b w:val="0"/>
                <w:bCs/>
                <w:szCs w:val="21"/>
              </w:rPr>
              <w:t>5</w:t>
            </w:r>
          </w:p>
        </w:tc>
        <w:tc>
          <w:tcPr>
            <w:tcW w:w="731" w:type="dxa"/>
            <w:shd w:val="clear" w:color="auto" w:fill="auto"/>
            <w:vAlign w:val="center"/>
          </w:tcPr>
          <w:p w14:paraId="51E20F60">
            <w:pPr>
              <w:jc w:val="center"/>
              <w:rPr>
                <w:rFonts w:ascii="宋体" w:hAnsi="宋体" w:cs="Arial"/>
                <w:b w:val="0"/>
                <w:bCs/>
                <w:szCs w:val="21"/>
              </w:rPr>
            </w:pPr>
          </w:p>
        </w:tc>
        <w:tc>
          <w:tcPr>
            <w:tcW w:w="1221" w:type="dxa"/>
            <w:shd w:val="clear" w:color="auto" w:fill="auto"/>
            <w:vAlign w:val="center"/>
          </w:tcPr>
          <w:p w14:paraId="6874BB40">
            <w:pPr>
              <w:jc w:val="center"/>
              <w:rPr>
                <w:rFonts w:ascii="宋体" w:hAnsi="宋体" w:cs="Arial"/>
                <w:b w:val="0"/>
                <w:bCs/>
                <w:szCs w:val="21"/>
              </w:rPr>
            </w:pPr>
          </w:p>
        </w:tc>
        <w:tc>
          <w:tcPr>
            <w:tcW w:w="771" w:type="dxa"/>
            <w:shd w:val="clear" w:color="auto" w:fill="auto"/>
            <w:vAlign w:val="center"/>
          </w:tcPr>
          <w:p w14:paraId="61407D3C">
            <w:pPr>
              <w:jc w:val="center"/>
              <w:rPr>
                <w:rFonts w:ascii="宋体" w:hAnsi="宋体" w:cs="Arial"/>
                <w:b w:val="0"/>
                <w:bCs/>
                <w:szCs w:val="21"/>
              </w:rPr>
            </w:pPr>
          </w:p>
        </w:tc>
        <w:tc>
          <w:tcPr>
            <w:tcW w:w="930" w:type="dxa"/>
            <w:shd w:val="clear" w:color="auto" w:fill="auto"/>
            <w:vAlign w:val="center"/>
          </w:tcPr>
          <w:p w14:paraId="021151B9">
            <w:pPr>
              <w:jc w:val="center"/>
              <w:rPr>
                <w:rFonts w:ascii="宋体" w:hAnsi="宋体" w:cs="Arial"/>
                <w:b w:val="0"/>
                <w:bCs/>
                <w:szCs w:val="21"/>
              </w:rPr>
            </w:pPr>
          </w:p>
        </w:tc>
        <w:tc>
          <w:tcPr>
            <w:tcW w:w="998" w:type="dxa"/>
            <w:shd w:val="clear" w:color="auto" w:fill="auto"/>
            <w:vAlign w:val="center"/>
          </w:tcPr>
          <w:p w14:paraId="6D78E166">
            <w:pPr>
              <w:jc w:val="center"/>
              <w:rPr>
                <w:rFonts w:ascii="宋体" w:hAnsi="宋体" w:cs="Arial"/>
                <w:b w:val="0"/>
                <w:bCs/>
                <w:szCs w:val="21"/>
              </w:rPr>
            </w:pPr>
            <w:r>
              <w:rPr>
                <w:rFonts w:hint="eastAsia" w:ascii="宋体" w:hAnsi="宋体" w:cs="Arial"/>
                <w:b w:val="0"/>
                <w:bCs/>
                <w:szCs w:val="21"/>
              </w:rPr>
              <w:t>新建</w:t>
            </w:r>
          </w:p>
        </w:tc>
      </w:tr>
      <w:tr w14:paraId="531A6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5535C05">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1</w:t>
            </w:r>
          </w:p>
        </w:tc>
        <w:tc>
          <w:tcPr>
            <w:tcW w:w="2448" w:type="dxa"/>
            <w:shd w:val="clear" w:color="auto" w:fill="auto"/>
            <w:vAlign w:val="center"/>
          </w:tcPr>
          <w:p w14:paraId="59FDF133">
            <w:pPr>
              <w:jc w:val="center"/>
              <w:rPr>
                <w:rFonts w:ascii="宋体" w:hAnsi="宋体" w:cs="Arial"/>
                <w:b w:val="0"/>
                <w:bCs/>
                <w:szCs w:val="21"/>
              </w:rPr>
            </w:pPr>
            <w:r>
              <w:rPr>
                <w:rFonts w:hint="eastAsia" w:ascii="宋体" w:hAnsi="宋体" w:cs="Arial"/>
                <w:b w:val="0"/>
                <w:bCs/>
                <w:szCs w:val="21"/>
              </w:rPr>
              <w:t>造粒中转</w:t>
            </w:r>
          </w:p>
        </w:tc>
        <w:tc>
          <w:tcPr>
            <w:tcW w:w="881" w:type="dxa"/>
            <w:shd w:val="clear" w:color="auto" w:fill="auto"/>
            <w:vAlign w:val="center"/>
          </w:tcPr>
          <w:p w14:paraId="7E1B1301">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2.3</w:t>
            </w:r>
          </w:p>
        </w:tc>
        <w:tc>
          <w:tcPr>
            <w:tcW w:w="731" w:type="dxa"/>
            <w:shd w:val="clear" w:color="auto" w:fill="auto"/>
            <w:vAlign w:val="center"/>
          </w:tcPr>
          <w:p w14:paraId="6FB519A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1A5108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477D93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4D417F4">
            <w:pPr>
              <w:jc w:val="center"/>
              <w:rPr>
                <w:rFonts w:ascii="宋体" w:hAnsi="宋体" w:cs="Arial"/>
                <w:b w:val="0"/>
                <w:bCs/>
                <w:szCs w:val="21"/>
              </w:rPr>
            </w:pPr>
          </w:p>
        </w:tc>
        <w:tc>
          <w:tcPr>
            <w:tcW w:w="998" w:type="dxa"/>
            <w:shd w:val="clear" w:color="auto" w:fill="auto"/>
            <w:vAlign w:val="center"/>
          </w:tcPr>
          <w:p w14:paraId="57A79560">
            <w:pPr>
              <w:jc w:val="center"/>
              <w:rPr>
                <w:rFonts w:ascii="宋体" w:hAnsi="宋体" w:cs="Arial"/>
                <w:b w:val="0"/>
                <w:bCs/>
                <w:szCs w:val="21"/>
              </w:rPr>
            </w:pPr>
            <w:r>
              <w:rPr>
                <w:rFonts w:hint="eastAsia" w:ascii="宋体" w:hAnsi="宋体" w:cs="Arial"/>
                <w:b w:val="0"/>
                <w:bCs/>
                <w:szCs w:val="21"/>
              </w:rPr>
              <w:t>新建</w:t>
            </w:r>
          </w:p>
        </w:tc>
      </w:tr>
      <w:tr w14:paraId="4CB6A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689DBA5">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p>
        </w:tc>
        <w:tc>
          <w:tcPr>
            <w:tcW w:w="2448" w:type="dxa"/>
            <w:shd w:val="clear" w:color="auto" w:fill="auto"/>
            <w:vAlign w:val="center"/>
          </w:tcPr>
          <w:p w14:paraId="61BC0CD3">
            <w:pPr>
              <w:jc w:val="center"/>
              <w:rPr>
                <w:rFonts w:ascii="宋体" w:hAnsi="宋体" w:cs="Arial"/>
                <w:b w:val="0"/>
                <w:bCs/>
                <w:szCs w:val="21"/>
              </w:rPr>
            </w:pPr>
            <w:r>
              <w:rPr>
                <w:rFonts w:hint="eastAsia" w:ascii="宋体" w:hAnsi="宋体" w:cs="Arial"/>
                <w:b w:val="0"/>
                <w:bCs/>
                <w:szCs w:val="21"/>
              </w:rPr>
              <w:t>造粒中转</w:t>
            </w:r>
          </w:p>
        </w:tc>
        <w:tc>
          <w:tcPr>
            <w:tcW w:w="881" w:type="dxa"/>
            <w:shd w:val="clear" w:color="auto" w:fill="auto"/>
            <w:vAlign w:val="center"/>
          </w:tcPr>
          <w:p w14:paraId="0644EA3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6.8</w:t>
            </w:r>
          </w:p>
        </w:tc>
        <w:tc>
          <w:tcPr>
            <w:tcW w:w="731" w:type="dxa"/>
            <w:shd w:val="clear" w:color="auto" w:fill="auto"/>
            <w:vAlign w:val="center"/>
          </w:tcPr>
          <w:p w14:paraId="1CDA51F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7E865E1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3D4ACD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0F874BA">
            <w:pPr>
              <w:jc w:val="center"/>
              <w:rPr>
                <w:rFonts w:ascii="宋体" w:hAnsi="宋体" w:cs="Arial"/>
                <w:b w:val="0"/>
                <w:bCs/>
                <w:szCs w:val="21"/>
              </w:rPr>
            </w:pPr>
          </w:p>
        </w:tc>
        <w:tc>
          <w:tcPr>
            <w:tcW w:w="998" w:type="dxa"/>
            <w:shd w:val="clear" w:color="auto" w:fill="auto"/>
            <w:vAlign w:val="center"/>
          </w:tcPr>
          <w:p w14:paraId="26A2C044">
            <w:pPr>
              <w:jc w:val="center"/>
              <w:rPr>
                <w:rFonts w:ascii="宋体" w:hAnsi="宋体" w:cs="Arial"/>
                <w:b w:val="0"/>
                <w:bCs/>
                <w:szCs w:val="21"/>
              </w:rPr>
            </w:pPr>
            <w:r>
              <w:rPr>
                <w:rFonts w:hint="eastAsia" w:ascii="宋体" w:hAnsi="宋体" w:cs="Arial"/>
                <w:b w:val="0"/>
                <w:bCs/>
                <w:szCs w:val="21"/>
              </w:rPr>
              <w:t>新建</w:t>
            </w:r>
          </w:p>
        </w:tc>
      </w:tr>
      <w:tr w14:paraId="3032F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68301DA">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3</w:t>
            </w:r>
          </w:p>
        </w:tc>
        <w:tc>
          <w:tcPr>
            <w:tcW w:w="2448" w:type="dxa"/>
            <w:shd w:val="clear" w:color="auto" w:fill="auto"/>
            <w:vAlign w:val="center"/>
          </w:tcPr>
          <w:p w14:paraId="3AEAB7C7">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59990DE1">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p>
        </w:tc>
        <w:tc>
          <w:tcPr>
            <w:tcW w:w="731" w:type="dxa"/>
            <w:shd w:val="clear" w:color="auto" w:fill="auto"/>
            <w:vAlign w:val="center"/>
          </w:tcPr>
          <w:p w14:paraId="5FB6609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72A4FB6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771" w:type="dxa"/>
            <w:shd w:val="clear" w:color="auto" w:fill="auto"/>
            <w:vAlign w:val="center"/>
          </w:tcPr>
          <w:p w14:paraId="3E4DFAEF">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0A06C2E">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3562F3E2">
            <w:pPr>
              <w:jc w:val="center"/>
              <w:rPr>
                <w:rFonts w:ascii="宋体" w:hAnsi="宋体" w:cs="Arial"/>
                <w:b w:val="0"/>
                <w:bCs/>
                <w:szCs w:val="21"/>
              </w:rPr>
            </w:pPr>
            <w:r>
              <w:rPr>
                <w:rFonts w:hint="eastAsia" w:ascii="宋体" w:hAnsi="宋体" w:cs="Arial"/>
                <w:b w:val="0"/>
                <w:bCs/>
                <w:szCs w:val="21"/>
              </w:rPr>
              <w:t>新建</w:t>
            </w:r>
          </w:p>
        </w:tc>
      </w:tr>
      <w:tr w14:paraId="23EDF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D3D8E50">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4</w:t>
            </w:r>
          </w:p>
        </w:tc>
        <w:tc>
          <w:tcPr>
            <w:tcW w:w="2448" w:type="dxa"/>
            <w:shd w:val="clear" w:color="auto" w:fill="auto"/>
            <w:vAlign w:val="center"/>
          </w:tcPr>
          <w:p w14:paraId="2D89664F">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0B26B6F9">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p>
        </w:tc>
        <w:tc>
          <w:tcPr>
            <w:tcW w:w="731" w:type="dxa"/>
            <w:shd w:val="clear" w:color="auto" w:fill="auto"/>
            <w:vAlign w:val="center"/>
          </w:tcPr>
          <w:p w14:paraId="674632D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B1A4246">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771" w:type="dxa"/>
            <w:shd w:val="clear" w:color="auto" w:fill="auto"/>
            <w:vAlign w:val="center"/>
          </w:tcPr>
          <w:p w14:paraId="096D1FD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3A6A6B18">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1F9B4D37">
            <w:pPr>
              <w:jc w:val="center"/>
              <w:rPr>
                <w:rFonts w:ascii="宋体" w:hAnsi="宋体" w:cs="Arial"/>
                <w:b w:val="0"/>
                <w:bCs/>
                <w:szCs w:val="21"/>
              </w:rPr>
            </w:pPr>
            <w:r>
              <w:rPr>
                <w:rFonts w:hint="eastAsia" w:ascii="宋体" w:hAnsi="宋体" w:cs="Arial"/>
                <w:b w:val="0"/>
                <w:bCs/>
                <w:szCs w:val="21"/>
              </w:rPr>
              <w:t>新建</w:t>
            </w:r>
          </w:p>
        </w:tc>
      </w:tr>
      <w:tr w14:paraId="44982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ABB2B7D">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5</w:t>
            </w:r>
          </w:p>
        </w:tc>
        <w:tc>
          <w:tcPr>
            <w:tcW w:w="2448" w:type="dxa"/>
            <w:shd w:val="clear" w:color="auto" w:fill="auto"/>
            <w:vAlign w:val="center"/>
          </w:tcPr>
          <w:p w14:paraId="79805FA1">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4CE1A231">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p>
        </w:tc>
        <w:tc>
          <w:tcPr>
            <w:tcW w:w="731" w:type="dxa"/>
            <w:shd w:val="clear" w:color="auto" w:fill="auto"/>
            <w:vAlign w:val="center"/>
          </w:tcPr>
          <w:p w14:paraId="071811A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16959E7">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771" w:type="dxa"/>
            <w:shd w:val="clear" w:color="auto" w:fill="auto"/>
            <w:vAlign w:val="center"/>
          </w:tcPr>
          <w:p w14:paraId="01AADBE6">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2C2A607">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5068191C">
            <w:pPr>
              <w:jc w:val="center"/>
              <w:rPr>
                <w:rFonts w:ascii="宋体" w:hAnsi="宋体" w:cs="Arial"/>
                <w:b w:val="0"/>
                <w:bCs/>
                <w:szCs w:val="21"/>
              </w:rPr>
            </w:pPr>
            <w:r>
              <w:rPr>
                <w:rFonts w:hint="eastAsia" w:ascii="宋体" w:hAnsi="宋体" w:cs="Arial"/>
                <w:b w:val="0"/>
                <w:bCs/>
                <w:szCs w:val="21"/>
              </w:rPr>
              <w:t>新建</w:t>
            </w:r>
          </w:p>
        </w:tc>
      </w:tr>
      <w:tr w14:paraId="2CDD7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CC3EFEB">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6</w:t>
            </w:r>
          </w:p>
        </w:tc>
        <w:tc>
          <w:tcPr>
            <w:tcW w:w="2448" w:type="dxa"/>
            <w:shd w:val="clear" w:color="auto" w:fill="auto"/>
            <w:vAlign w:val="center"/>
          </w:tcPr>
          <w:p w14:paraId="23D7C425">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278C74A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2.4</w:t>
            </w:r>
          </w:p>
        </w:tc>
        <w:tc>
          <w:tcPr>
            <w:tcW w:w="731" w:type="dxa"/>
            <w:shd w:val="clear" w:color="auto" w:fill="auto"/>
            <w:vAlign w:val="center"/>
          </w:tcPr>
          <w:p w14:paraId="52639011">
            <w:pPr>
              <w:jc w:val="center"/>
              <w:rPr>
                <w:rFonts w:ascii="宋体" w:hAnsi="宋体" w:cs="Arial"/>
                <w:b w:val="0"/>
                <w:bCs/>
                <w:szCs w:val="21"/>
              </w:rPr>
            </w:pPr>
          </w:p>
        </w:tc>
        <w:tc>
          <w:tcPr>
            <w:tcW w:w="1221" w:type="dxa"/>
            <w:shd w:val="clear" w:color="auto" w:fill="auto"/>
            <w:vAlign w:val="center"/>
          </w:tcPr>
          <w:p w14:paraId="509AC9DF">
            <w:pPr>
              <w:jc w:val="center"/>
              <w:rPr>
                <w:rFonts w:ascii="宋体" w:hAnsi="宋体" w:cs="Arial"/>
                <w:b w:val="0"/>
                <w:bCs/>
                <w:szCs w:val="21"/>
              </w:rPr>
            </w:pPr>
          </w:p>
        </w:tc>
        <w:tc>
          <w:tcPr>
            <w:tcW w:w="771" w:type="dxa"/>
            <w:shd w:val="clear" w:color="auto" w:fill="auto"/>
            <w:vAlign w:val="center"/>
          </w:tcPr>
          <w:p w14:paraId="5D3F46DA">
            <w:pPr>
              <w:jc w:val="center"/>
              <w:rPr>
                <w:rFonts w:ascii="宋体" w:hAnsi="宋体" w:cs="Arial"/>
                <w:b w:val="0"/>
                <w:bCs/>
                <w:szCs w:val="21"/>
              </w:rPr>
            </w:pPr>
          </w:p>
        </w:tc>
        <w:tc>
          <w:tcPr>
            <w:tcW w:w="930" w:type="dxa"/>
            <w:shd w:val="clear" w:color="auto" w:fill="auto"/>
            <w:vAlign w:val="center"/>
          </w:tcPr>
          <w:p w14:paraId="5F8E070A">
            <w:pPr>
              <w:jc w:val="center"/>
              <w:rPr>
                <w:rFonts w:ascii="宋体" w:hAnsi="宋体" w:cs="Arial"/>
                <w:b w:val="0"/>
                <w:bCs/>
                <w:szCs w:val="21"/>
              </w:rPr>
            </w:pPr>
          </w:p>
        </w:tc>
        <w:tc>
          <w:tcPr>
            <w:tcW w:w="998" w:type="dxa"/>
            <w:shd w:val="clear" w:color="auto" w:fill="auto"/>
            <w:vAlign w:val="center"/>
          </w:tcPr>
          <w:p w14:paraId="66B0EF69">
            <w:pPr>
              <w:jc w:val="center"/>
              <w:rPr>
                <w:rFonts w:ascii="宋体" w:hAnsi="宋体" w:cs="Arial"/>
                <w:b w:val="0"/>
                <w:bCs/>
                <w:szCs w:val="21"/>
              </w:rPr>
            </w:pPr>
            <w:r>
              <w:rPr>
                <w:rFonts w:hint="eastAsia" w:ascii="宋体" w:hAnsi="宋体" w:cs="Arial"/>
                <w:b w:val="0"/>
                <w:bCs/>
                <w:szCs w:val="21"/>
              </w:rPr>
              <w:t>新建</w:t>
            </w:r>
          </w:p>
        </w:tc>
      </w:tr>
      <w:tr w14:paraId="66309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6D4A8EA">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7</w:t>
            </w:r>
          </w:p>
        </w:tc>
        <w:tc>
          <w:tcPr>
            <w:tcW w:w="2448" w:type="dxa"/>
            <w:shd w:val="clear" w:color="auto" w:fill="auto"/>
            <w:vAlign w:val="center"/>
          </w:tcPr>
          <w:p w14:paraId="6760F791">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0E06585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7.2</w:t>
            </w:r>
          </w:p>
        </w:tc>
        <w:tc>
          <w:tcPr>
            <w:tcW w:w="731" w:type="dxa"/>
            <w:shd w:val="clear" w:color="auto" w:fill="auto"/>
            <w:vAlign w:val="center"/>
          </w:tcPr>
          <w:p w14:paraId="24787D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D6E3E9D">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964E11B">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3E1C9B01">
            <w:pPr>
              <w:jc w:val="center"/>
              <w:rPr>
                <w:rFonts w:ascii="宋体" w:hAnsi="宋体" w:cs="Arial"/>
                <w:b w:val="0"/>
                <w:bCs/>
                <w:szCs w:val="21"/>
              </w:rPr>
            </w:pPr>
          </w:p>
        </w:tc>
        <w:tc>
          <w:tcPr>
            <w:tcW w:w="998" w:type="dxa"/>
            <w:shd w:val="clear" w:color="auto" w:fill="auto"/>
            <w:vAlign w:val="center"/>
          </w:tcPr>
          <w:p w14:paraId="6A73592A">
            <w:pPr>
              <w:jc w:val="center"/>
              <w:rPr>
                <w:rFonts w:ascii="宋体" w:hAnsi="宋体" w:cs="Arial"/>
                <w:b w:val="0"/>
                <w:bCs/>
                <w:szCs w:val="21"/>
              </w:rPr>
            </w:pPr>
            <w:r>
              <w:rPr>
                <w:rFonts w:hint="eastAsia" w:ascii="宋体" w:hAnsi="宋体" w:cs="Arial"/>
                <w:b w:val="0"/>
                <w:bCs/>
                <w:szCs w:val="21"/>
              </w:rPr>
              <w:t>新建</w:t>
            </w:r>
          </w:p>
        </w:tc>
      </w:tr>
      <w:tr w14:paraId="4E256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2382428">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8</w:t>
            </w:r>
          </w:p>
        </w:tc>
        <w:tc>
          <w:tcPr>
            <w:tcW w:w="2448" w:type="dxa"/>
            <w:shd w:val="clear" w:color="auto" w:fill="auto"/>
            <w:vAlign w:val="center"/>
          </w:tcPr>
          <w:p w14:paraId="6ED01295">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3F65C84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7.2</w:t>
            </w:r>
          </w:p>
        </w:tc>
        <w:tc>
          <w:tcPr>
            <w:tcW w:w="731" w:type="dxa"/>
            <w:shd w:val="clear" w:color="auto" w:fill="auto"/>
            <w:vAlign w:val="center"/>
          </w:tcPr>
          <w:p w14:paraId="3EC21AA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78522A1">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98E498B">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32A7FED0">
            <w:pPr>
              <w:jc w:val="center"/>
              <w:rPr>
                <w:rFonts w:ascii="宋体" w:hAnsi="宋体" w:cs="Arial"/>
                <w:b w:val="0"/>
                <w:bCs/>
                <w:szCs w:val="21"/>
              </w:rPr>
            </w:pPr>
          </w:p>
        </w:tc>
        <w:tc>
          <w:tcPr>
            <w:tcW w:w="998" w:type="dxa"/>
            <w:shd w:val="clear" w:color="auto" w:fill="auto"/>
            <w:vAlign w:val="center"/>
          </w:tcPr>
          <w:p w14:paraId="71E73692">
            <w:pPr>
              <w:jc w:val="center"/>
              <w:rPr>
                <w:rFonts w:ascii="宋体" w:hAnsi="宋体" w:cs="Arial"/>
                <w:b w:val="0"/>
                <w:bCs/>
                <w:szCs w:val="21"/>
              </w:rPr>
            </w:pPr>
            <w:r>
              <w:rPr>
                <w:rFonts w:hint="eastAsia" w:ascii="宋体" w:hAnsi="宋体" w:cs="Arial"/>
                <w:b w:val="0"/>
                <w:bCs/>
                <w:szCs w:val="21"/>
              </w:rPr>
              <w:t>新建</w:t>
            </w:r>
          </w:p>
        </w:tc>
      </w:tr>
      <w:tr w14:paraId="78C5A5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B7BCE25">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9</w:t>
            </w:r>
          </w:p>
        </w:tc>
        <w:tc>
          <w:tcPr>
            <w:tcW w:w="2448" w:type="dxa"/>
            <w:shd w:val="clear" w:color="auto" w:fill="auto"/>
            <w:vAlign w:val="center"/>
          </w:tcPr>
          <w:p w14:paraId="27A0143F">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43356E3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7.2</w:t>
            </w:r>
          </w:p>
        </w:tc>
        <w:tc>
          <w:tcPr>
            <w:tcW w:w="731" w:type="dxa"/>
            <w:shd w:val="clear" w:color="auto" w:fill="auto"/>
            <w:vAlign w:val="center"/>
          </w:tcPr>
          <w:p w14:paraId="73D1BF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0A76A5D">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1A85D4F">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3106C46">
            <w:pPr>
              <w:jc w:val="center"/>
              <w:rPr>
                <w:rFonts w:ascii="宋体" w:hAnsi="宋体" w:cs="Arial"/>
                <w:b w:val="0"/>
                <w:bCs/>
                <w:szCs w:val="21"/>
              </w:rPr>
            </w:pPr>
          </w:p>
        </w:tc>
        <w:tc>
          <w:tcPr>
            <w:tcW w:w="998" w:type="dxa"/>
            <w:shd w:val="clear" w:color="auto" w:fill="auto"/>
            <w:vAlign w:val="center"/>
          </w:tcPr>
          <w:p w14:paraId="5816ABB2">
            <w:pPr>
              <w:jc w:val="center"/>
              <w:rPr>
                <w:rFonts w:ascii="宋体" w:hAnsi="宋体" w:cs="Arial"/>
                <w:b w:val="0"/>
                <w:bCs/>
                <w:szCs w:val="21"/>
              </w:rPr>
            </w:pPr>
            <w:r>
              <w:rPr>
                <w:rFonts w:hint="eastAsia" w:ascii="宋体" w:hAnsi="宋体" w:cs="Arial"/>
                <w:b w:val="0"/>
                <w:bCs/>
                <w:szCs w:val="21"/>
              </w:rPr>
              <w:t>新建</w:t>
            </w:r>
          </w:p>
        </w:tc>
      </w:tr>
      <w:tr w14:paraId="4FB3DB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170D74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w:t>
            </w:r>
          </w:p>
        </w:tc>
        <w:tc>
          <w:tcPr>
            <w:tcW w:w="2448" w:type="dxa"/>
            <w:shd w:val="clear" w:color="auto" w:fill="auto"/>
            <w:vAlign w:val="center"/>
          </w:tcPr>
          <w:p w14:paraId="70FF8FF0">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1741DF87">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.3</w:t>
            </w:r>
          </w:p>
        </w:tc>
        <w:tc>
          <w:tcPr>
            <w:tcW w:w="731" w:type="dxa"/>
            <w:shd w:val="clear" w:color="auto" w:fill="auto"/>
            <w:vAlign w:val="center"/>
          </w:tcPr>
          <w:p w14:paraId="552902E7">
            <w:pPr>
              <w:jc w:val="center"/>
              <w:rPr>
                <w:rFonts w:ascii="宋体" w:hAnsi="宋体" w:cs="Arial"/>
                <w:b w:val="0"/>
                <w:bCs/>
                <w:szCs w:val="21"/>
              </w:rPr>
            </w:pPr>
          </w:p>
        </w:tc>
        <w:tc>
          <w:tcPr>
            <w:tcW w:w="1221" w:type="dxa"/>
            <w:shd w:val="clear" w:color="auto" w:fill="auto"/>
            <w:vAlign w:val="center"/>
          </w:tcPr>
          <w:p w14:paraId="21612EFD">
            <w:pPr>
              <w:jc w:val="center"/>
              <w:rPr>
                <w:rFonts w:ascii="宋体" w:hAnsi="宋体" w:cs="Arial"/>
                <w:b w:val="0"/>
                <w:bCs/>
                <w:szCs w:val="21"/>
              </w:rPr>
            </w:pPr>
          </w:p>
        </w:tc>
        <w:tc>
          <w:tcPr>
            <w:tcW w:w="771" w:type="dxa"/>
            <w:shd w:val="clear" w:color="auto" w:fill="auto"/>
            <w:vAlign w:val="center"/>
          </w:tcPr>
          <w:p w14:paraId="285455EF">
            <w:pPr>
              <w:jc w:val="center"/>
              <w:rPr>
                <w:rFonts w:ascii="宋体" w:hAnsi="宋体" w:cs="Arial"/>
                <w:b w:val="0"/>
                <w:bCs/>
                <w:szCs w:val="21"/>
              </w:rPr>
            </w:pPr>
          </w:p>
        </w:tc>
        <w:tc>
          <w:tcPr>
            <w:tcW w:w="930" w:type="dxa"/>
            <w:shd w:val="clear" w:color="auto" w:fill="auto"/>
            <w:vAlign w:val="center"/>
          </w:tcPr>
          <w:p w14:paraId="46718A3D">
            <w:pPr>
              <w:jc w:val="center"/>
              <w:rPr>
                <w:rFonts w:ascii="宋体" w:hAnsi="宋体" w:cs="Arial"/>
                <w:b w:val="0"/>
                <w:bCs/>
                <w:szCs w:val="21"/>
              </w:rPr>
            </w:pPr>
          </w:p>
        </w:tc>
        <w:tc>
          <w:tcPr>
            <w:tcW w:w="998" w:type="dxa"/>
            <w:shd w:val="clear" w:color="auto" w:fill="auto"/>
            <w:vAlign w:val="center"/>
          </w:tcPr>
          <w:p w14:paraId="0CD12CE4">
            <w:pPr>
              <w:jc w:val="center"/>
              <w:rPr>
                <w:rFonts w:ascii="宋体" w:hAnsi="宋体" w:cs="Arial"/>
                <w:b w:val="0"/>
                <w:bCs/>
                <w:szCs w:val="21"/>
              </w:rPr>
            </w:pPr>
            <w:r>
              <w:rPr>
                <w:rFonts w:hint="eastAsia" w:ascii="宋体" w:hAnsi="宋体" w:cs="Arial"/>
                <w:b w:val="0"/>
                <w:bCs/>
                <w:szCs w:val="21"/>
              </w:rPr>
              <w:t>新建</w:t>
            </w:r>
          </w:p>
        </w:tc>
      </w:tr>
      <w:tr w14:paraId="76493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1F5D211">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1</w:t>
            </w:r>
          </w:p>
        </w:tc>
        <w:tc>
          <w:tcPr>
            <w:tcW w:w="2448" w:type="dxa"/>
            <w:shd w:val="clear" w:color="auto" w:fill="auto"/>
            <w:vAlign w:val="center"/>
          </w:tcPr>
          <w:p w14:paraId="0E88BE7B">
            <w:pPr>
              <w:jc w:val="center"/>
              <w:rPr>
                <w:rFonts w:ascii="宋体" w:hAnsi="宋体" w:cs="Arial"/>
                <w:b w:val="0"/>
                <w:bCs/>
                <w:szCs w:val="21"/>
              </w:rPr>
            </w:pPr>
            <w:r>
              <w:rPr>
                <w:rFonts w:hint="eastAsia" w:ascii="宋体" w:hAnsi="宋体" w:cs="Arial"/>
                <w:b w:val="0"/>
                <w:bCs/>
                <w:szCs w:val="21"/>
              </w:rPr>
              <w:t>筛选</w:t>
            </w:r>
          </w:p>
        </w:tc>
        <w:tc>
          <w:tcPr>
            <w:tcW w:w="881" w:type="dxa"/>
            <w:shd w:val="clear" w:color="auto" w:fill="auto"/>
            <w:vAlign w:val="center"/>
          </w:tcPr>
          <w:p w14:paraId="2F00222B">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8</w:t>
            </w:r>
          </w:p>
        </w:tc>
        <w:tc>
          <w:tcPr>
            <w:tcW w:w="731" w:type="dxa"/>
            <w:shd w:val="clear" w:color="auto" w:fill="auto"/>
            <w:vAlign w:val="center"/>
          </w:tcPr>
          <w:p w14:paraId="332B88E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83042D0">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5E7FFC2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EFA49A6">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12E85673">
            <w:pPr>
              <w:jc w:val="center"/>
              <w:rPr>
                <w:rFonts w:ascii="宋体" w:hAnsi="宋体" w:cs="Arial"/>
                <w:b w:val="0"/>
                <w:bCs/>
                <w:szCs w:val="21"/>
              </w:rPr>
            </w:pPr>
            <w:r>
              <w:rPr>
                <w:rFonts w:hint="eastAsia" w:ascii="宋体" w:hAnsi="宋体" w:cs="Arial"/>
                <w:b w:val="0"/>
                <w:bCs/>
                <w:szCs w:val="21"/>
              </w:rPr>
              <w:t>新建</w:t>
            </w:r>
          </w:p>
        </w:tc>
      </w:tr>
      <w:tr w14:paraId="7B1A2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1F7D5A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2</w:t>
            </w:r>
          </w:p>
        </w:tc>
        <w:tc>
          <w:tcPr>
            <w:tcW w:w="2448" w:type="dxa"/>
            <w:shd w:val="clear" w:color="auto" w:fill="auto"/>
            <w:vAlign w:val="center"/>
          </w:tcPr>
          <w:p w14:paraId="4BCCA250">
            <w:pPr>
              <w:jc w:val="center"/>
              <w:rPr>
                <w:rFonts w:ascii="宋体" w:hAnsi="宋体" w:cs="Arial"/>
                <w:b w:val="0"/>
                <w:bCs/>
                <w:szCs w:val="21"/>
              </w:rPr>
            </w:pPr>
            <w:r>
              <w:rPr>
                <w:rFonts w:hint="eastAsia" w:ascii="宋体" w:hAnsi="宋体" w:cs="Arial"/>
                <w:b w:val="0"/>
                <w:bCs/>
                <w:szCs w:val="21"/>
              </w:rPr>
              <w:t>筛选中转</w:t>
            </w:r>
          </w:p>
        </w:tc>
        <w:tc>
          <w:tcPr>
            <w:tcW w:w="881" w:type="dxa"/>
            <w:shd w:val="clear" w:color="auto" w:fill="auto"/>
            <w:vAlign w:val="center"/>
          </w:tcPr>
          <w:p w14:paraId="047BC2E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w:t>
            </w:r>
          </w:p>
        </w:tc>
        <w:tc>
          <w:tcPr>
            <w:tcW w:w="731" w:type="dxa"/>
            <w:shd w:val="clear" w:color="auto" w:fill="auto"/>
            <w:vAlign w:val="center"/>
          </w:tcPr>
          <w:p w14:paraId="1AF0408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DE9430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8BC58C7">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CA694D8">
            <w:pPr>
              <w:jc w:val="center"/>
              <w:rPr>
                <w:rFonts w:ascii="宋体" w:hAnsi="宋体" w:cs="Arial"/>
                <w:b w:val="0"/>
                <w:bCs/>
                <w:szCs w:val="21"/>
              </w:rPr>
            </w:pPr>
          </w:p>
        </w:tc>
        <w:tc>
          <w:tcPr>
            <w:tcW w:w="998" w:type="dxa"/>
            <w:shd w:val="clear" w:color="auto" w:fill="auto"/>
            <w:vAlign w:val="center"/>
          </w:tcPr>
          <w:p w14:paraId="1DA91869">
            <w:pPr>
              <w:jc w:val="center"/>
              <w:rPr>
                <w:rFonts w:ascii="宋体" w:hAnsi="宋体" w:cs="Arial"/>
                <w:b w:val="0"/>
                <w:bCs/>
                <w:szCs w:val="21"/>
              </w:rPr>
            </w:pPr>
            <w:r>
              <w:rPr>
                <w:rFonts w:hint="eastAsia" w:ascii="宋体" w:hAnsi="宋体" w:cs="Arial"/>
                <w:b w:val="0"/>
                <w:bCs/>
                <w:szCs w:val="21"/>
              </w:rPr>
              <w:t>新建</w:t>
            </w:r>
          </w:p>
        </w:tc>
      </w:tr>
      <w:tr w14:paraId="00681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4E4D6A4">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3</w:t>
            </w:r>
          </w:p>
        </w:tc>
        <w:tc>
          <w:tcPr>
            <w:tcW w:w="2448" w:type="dxa"/>
            <w:shd w:val="clear" w:color="auto" w:fill="auto"/>
            <w:vAlign w:val="center"/>
          </w:tcPr>
          <w:p w14:paraId="4A0B311D">
            <w:pPr>
              <w:jc w:val="center"/>
              <w:rPr>
                <w:rFonts w:ascii="宋体" w:hAnsi="宋体" w:cs="Arial"/>
                <w:b w:val="0"/>
                <w:bCs/>
                <w:szCs w:val="21"/>
              </w:rPr>
            </w:pPr>
            <w:r>
              <w:rPr>
                <w:rFonts w:hint="eastAsia" w:ascii="宋体" w:hAnsi="宋体" w:cs="Arial"/>
                <w:b w:val="0"/>
                <w:bCs/>
                <w:szCs w:val="21"/>
              </w:rPr>
              <w:t>包装</w:t>
            </w:r>
          </w:p>
        </w:tc>
        <w:tc>
          <w:tcPr>
            <w:tcW w:w="881" w:type="dxa"/>
            <w:shd w:val="clear" w:color="auto" w:fill="auto"/>
            <w:vAlign w:val="center"/>
          </w:tcPr>
          <w:p w14:paraId="2A67EFB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p>
        </w:tc>
        <w:tc>
          <w:tcPr>
            <w:tcW w:w="731" w:type="dxa"/>
            <w:shd w:val="clear" w:color="auto" w:fill="auto"/>
            <w:vAlign w:val="center"/>
          </w:tcPr>
          <w:p w14:paraId="7064129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A297C1A">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348ABE19">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9AB97F4">
            <w:pPr>
              <w:jc w:val="center"/>
              <w:rPr>
                <w:rFonts w:ascii="宋体" w:hAnsi="宋体" w:cs="Arial"/>
                <w:b w:val="0"/>
                <w:bCs/>
                <w:szCs w:val="21"/>
              </w:rPr>
            </w:pPr>
          </w:p>
        </w:tc>
        <w:tc>
          <w:tcPr>
            <w:tcW w:w="998" w:type="dxa"/>
            <w:shd w:val="clear" w:color="auto" w:fill="auto"/>
            <w:vAlign w:val="center"/>
          </w:tcPr>
          <w:p w14:paraId="56F1416F">
            <w:pPr>
              <w:jc w:val="center"/>
              <w:rPr>
                <w:rFonts w:ascii="宋体" w:hAnsi="宋体" w:cs="Arial"/>
                <w:b w:val="0"/>
                <w:bCs/>
                <w:szCs w:val="21"/>
              </w:rPr>
            </w:pPr>
            <w:r>
              <w:rPr>
                <w:rFonts w:hint="eastAsia" w:ascii="宋体" w:hAnsi="宋体" w:cs="Arial"/>
                <w:b w:val="0"/>
                <w:bCs/>
                <w:szCs w:val="21"/>
              </w:rPr>
              <w:t>新建</w:t>
            </w:r>
          </w:p>
        </w:tc>
      </w:tr>
      <w:tr w14:paraId="434FE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47A935A">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4</w:t>
            </w:r>
          </w:p>
        </w:tc>
        <w:tc>
          <w:tcPr>
            <w:tcW w:w="2448" w:type="dxa"/>
            <w:shd w:val="clear" w:color="auto" w:fill="auto"/>
            <w:vAlign w:val="center"/>
          </w:tcPr>
          <w:p w14:paraId="5D73C40E">
            <w:pPr>
              <w:jc w:val="center"/>
              <w:rPr>
                <w:rFonts w:ascii="宋体" w:hAnsi="宋体" w:cs="Arial"/>
                <w:b w:val="0"/>
                <w:bCs/>
                <w:szCs w:val="21"/>
              </w:rPr>
            </w:pPr>
            <w:r>
              <w:rPr>
                <w:rFonts w:hint="eastAsia" w:ascii="宋体" w:hAnsi="宋体" w:cs="Arial"/>
                <w:b w:val="0"/>
                <w:bCs/>
                <w:szCs w:val="21"/>
              </w:rPr>
              <w:t>包装中转</w:t>
            </w:r>
          </w:p>
        </w:tc>
        <w:tc>
          <w:tcPr>
            <w:tcW w:w="881" w:type="dxa"/>
            <w:shd w:val="clear" w:color="auto" w:fill="auto"/>
            <w:vAlign w:val="center"/>
          </w:tcPr>
          <w:p w14:paraId="3D35259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w:t>
            </w:r>
          </w:p>
        </w:tc>
        <w:tc>
          <w:tcPr>
            <w:tcW w:w="731" w:type="dxa"/>
            <w:shd w:val="clear" w:color="auto" w:fill="auto"/>
            <w:vAlign w:val="center"/>
          </w:tcPr>
          <w:p w14:paraId="3AEF661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D2CA3ED">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499829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0334C8C">
            <w:pPr>
              <w:jc w:val="center"/>
              <w:rPr>
                <w:rFonts w:ascii="宋体" w:hAnsi="宋体" w:cs="Arial"/>
                <w:b w:val="0"/>
                <w:bCs/>
                <w:szCs w:val="21"/>
              </w:rPr>
            </w:pPr>
          </w:p>
        </w:tc>
        <w:tc>
          <w:tcPr>
            <w:tcW w:w="998" w:type="dxa"/>
            <w:shd w:val="clear" w:color="auto" w:fill="auto"/>
            <w:vAlign w:val="center"/>
          </w:tcPr>
          <w:p w14:paraId="1B0C561A">
            <w:pPr>
              <w:jc w:val="center"/>
              <w:rPr>
                <w:rFonts w:ascii="宋体" w:hAnsi="宋体" w:cs="Arial"/>
                <w:b w:val="0"/>
                <w:bCs/>
                <w:szCs w:val="21"/>
              </w:rPr>
            </w:pPr>
            <w:r>
              <w:rPr>
                <w:rFonts w:hint="eastAsia" w:ascii="宋体" w:hAnsi="宋体" w:cs="Arial"/>
                <w:b w:val="0"/>
                <w:bCs/>
                <w:szCs w:val="21"/>
              </w:rPr>
              <w:t>新建</w:t>
            </w:r>
          </w:p>
        </w:tc>
      </w:tr>
      <w:tr w14:paraId="35116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AB5593B">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5</w:t>
            </w:r>
          </w:p>
        </w:tc>
        <w:tc>
          <w:tcPr>
            <w:tcW w:w="2448" w:type="dxa"/>
            <w:shd w:val="clear" w:color="auto" w:fill="auto"/>
            <w:vAlign w:val="center"/>
          </w:tcPr>
          <w:p w14:paraId="4A2D0F1D">
            <w:pPr>
              <w:jc w:val="center"/>
              <w:rPr>
                <w:rFonts w:ascii="宋体" w:hAnsi="宋体" w:cs="Arial"/>
                <w:b w:val="0"/>
                <w:bCs/>
                <w:szCs w:val="21"/>
              </w:rPr>
            </w:pPr>
            <w:r>
              <w:rPr>
                <w:rFonts w:hint="eastAsia" w:ascii="宋体" w:hAnsi="宋体" w:cs="Arial"/>
                <w:b w:val="0"/>
                <w:bCs/>
                <w:szCs w:val="21"/>
              </w:rPr>
              <w:t>包装材料间</w:t>
            </w:r>
          </w:p>
        </w:tc>
        <w:tc>
          <w:tcPr>
            <w:tcW w:w="881" w:type="dxa"/>
            <w:shd w:val="clear" w:color="auto" w:fill="auto"/>
            <w:vAlign w:val="center"/>
          </w:tcPr>
          <w:p w14:paraId="3DA9ADD7">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1.9</w:t>
            </w:r>
          </w:p>
        </w:tc>
        <w:tc>
          <w:tcPr>
            <w:tcW w:w="731" w:type="dxa"/>
            <w:shd w:val="clear" w:color="auto" w:fill="auto"/>
            <w:vAlign w:val="center"/>
          </w:tcPr>
          <w:p w14:paraId="317EF6EF">
            <w:pPr>
              <w:jc w:val="center"/>
              <w:rPr>
                <w:rFonts w:ascii="宋体" w:hAnsi="宋体" w:cs="Arial"/>
                <w:b w:val="0"/>
                <w:bCs/>
                <w:szCs w:val="21"/>
              </w:rPr>
            </w:pPr>
          </w:p>
        </w:tc>
        <w:tc>
          <w:tcPr>
            <w:tcW w:w="1221" w:type="dxa"/>
            <w:shd w:val="clear" w:color="auto" w:fill="auto"/>
            <w:vAlign w:val="center"/>
          </w:tcPr>
          <w:p w14:paraId="6ED402E4">
            <w:pPr>
              <w:jc w:val="center"/>
              <w:rPr>
                <w:rFonts w:ascii="宋体" w:hAnsi="宋体" w:cs="Arial"/>
                <w:b w:val="0"/>
                <w:bCs/>
                <w:szCs w:val="21"/>
              </w:rPr>
            </w:pPr>
          </w:p>
        </w:tc>
        <w:tc>
          <w:tcPr>
            <w:tcW w:w="771" w:type="dxa"/>
            <w:shd w:val="clear" w:color="auto" w:fill="auto"/>
            <w:vAlign w:val="center"/>
          </w:tcPr>
          <w:p w14:paraId="567FDD63">
            <w:pPr>
              <w:jc w:val="center"/>
              <w:rPr>
                <w:rFonts w:ascii="宋体" w:hAnsi="宋体" w:cs="Arial"/>
                <w:b w:val="0"/>
                <w:bCs/>
                <w:szCs w:val="21"/>
              </w:rPr>
            </w:pPr>
          </w:p>
        </w:tc>
        <w:tc>
          <w:tcPr>
            <w:tcW w:w="930" w:type="dxa"/>
            <w:shd w:val="clear" w:color="auto" w:fill="auto"/>
            <w:vAlign w:val="center"/>
          </w:tcPr>
          <w:p w14:paraId="025D02D9">
            <w:pPr>
              <w:jc w:val="center"/>
              <w:rPr>
                <w:rFonts w:ascii="宋体" w:hAnsi="宋体" w:cs="Arial"/>
                <w:b w:val="0"/>
                <w:bCs/>
                <w:szCs w:val="21"/>
              </w:rPr>
            </w:pPr>
          </w:p>
        </w:tc>
        <w:tc>
          <w:tcPr>
            <w:tcW w:w="998" w:type="dxa"/>
            <w:shd w:val="clear" w:color="auto" w:fill="auto"/>
            <w:vAlign w:val="center"/>
          </w:tcPr>
          <w:p w14:paraId="4542F72E">
            <w:pPr>
              <w:jc w:val="center"/>
              <w:rPr>
                <w:rFonts w:ascii="宋体" w:hAnsi="宋体" w:cs="Arial"/>
                <w:b w:val="0"/>
                <w:bCs/>
                <w:szCs w:val="21"/>
              </w:rPr>
            </w:pPr>
            <w:r>
              <w:rPr>
                <w:rFonts w:hint="eastAsia" w:ascii="宋体" w:hAnsi="宋体" w:cs="Arial"/>
                <w:b w:val="0"/>
                <w:bCs/>
                <w:szCs w:val="21"/>
              </w:rPr>
              <w:t>新建</w:t>
            </w:r>
          </w:p>
        </w:tc>
      </w:tr>
      <w:tr w14:paraId="5472D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81B19CB">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6</w:t>
            </w:r>
          </w:p>
        </w:tc>
        <w:tc>
          <w:tcPr>
            <w:tcW w:w="2448" w:type="dxa"/>
            <w:shd w:val="clear" w:color="auto" w:fill="auto"/>
            <w:vAlign w:val="center"/>
          </w:tcPr>
          <w:p w14:paraId="42B9849F">
            <w:pPr>
              <w:jc w:val="center"/>
              <w:rPr>
                <w:rFonts w:ascii="宋体" w:hAnsi="宋体" w:cs="Arial"/>
                <w:b w:val="0"/>
                <w:bCs/>
                <w:szCs w:val="21"/>
              </w:rPr>
            </w:pPr>
            <w:r>
              <w:rPr>
                <w:rFonts w:hint="eastAsia" w:ascii="宋体" w:hAnsi="宋体" w:cs="Arial"/>
                <w:b w:val="0"/>
                <w:bCs/>
                <w:szCs w:val="21"/>
              </w:rPr>
              <w:t>值班室</w:t>
            </w:r>
          </w:p>
        </w:tc>
        <w:tc>
          <w:tcPr>
            <w:tcW w:w="881" w:type="dxa"/>
            <w:shd w:val="clear" w:color="auto" w:fill="auto"/>
            <w:vAlign w:val="center"/>
          </w:tcPr>
          <w:p w14:paraId="6221959C">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3D75774F">
            <w:pPr>
              <w:jc w:val="center"/>
              <w:rPr>
                <w:rFonts w:ascii="宋体" w:hAnsi="宋体" w:cs="Arial"/>
                <w:b w:val="0"/>
                <w:bCs/>
                <w:szCs w:val="21"/>
              </w:rPr>
            </w:pPr>
          </w:p>
        </w:tc>
        <w:tc>
          <w:tcPr>
            <w:tcW w:w="1221" w:type="dxa"/>
            <w:shd w:val="clear" w:color="auto" w:fill="auto"/>
            <w:vAlign w:val="center"/>
          </w:tcPr>
          <w:p w14:paraId="5E6EF248">
            <w:pPr>
              <w:jc w:val="center"/>
              <w:rPr>
                <w:rFonts w:ascii="宋体" w:hAnsi="宋体" w:cs="Arial"/>
                <w:b w:val="0"/>
                <w:bCs/>
                <w:szCs w:val="21"/>
              </w:rPr>
            </w:pPr>
          </w:p>
        </w:tc>
        <w:tc>
          <w:tcPr>
            <w:tcW w:w="771" w:type="dxa"/>
            <w:shd w:val="clear" w:color="auto" w:fill="auto"/>
            <w:vAlign w:val="center"/>
          </w:tcPr>
          <w:p w14:paraId="6151932A">
            <w:pPr>
              <w:jc w:val="center"/>
              <w:rPr>
                <w:rFonts w:ascii="宋体" w:hAnsi="宋体" w:cs="Arial"/>
                <w:b w:val="0"/>
                <w:bCs/>
                <w:szCs w:val="21"/>
              </w:rPr>
            </w:pPr>
          </w:p>
        </w:tc>
        <w:tc>
          <w:tcPr>
            <w:tcW w:w="930" w:type="dxa"/>
            <w:shd w:val="clear" w:color="auto" w:fill="auto"/>
            <w:vAlign w:val="center"/>
          </w:tcPr>
          <w:p w14:paraId="11879863">
            <w:pPr>
              <w:jc w:val="center"/>
              <w:rPr>
                <w:rFonts w:ascii="宋体" w:hAnsi="宋体" w:cs="Arial"/>
                <w:b w:val="0"/>
                <w:bCs/>
                <w:szCs w:val="21"/>
              </w:rPr>
            </w:pPr>
          </w:p>
        </w:tc>
        <w:tc>
          <w:tcPr>
            <w:tcW w:w="998" w:type="dxa"/>
            <w:shd w:val="clear" w:color="auto" w:fill="auto"/>
            <w:vAlign w:val="center"/>
          </w:tcPr>
          <w:p w14:paraId="19EDD78C">
            <w:pPr>
              <w:jc w:val="center"/>
              <w:rPr>
                <w:rFonts w:ascii="宋体" w:hAnsi="宋体" w:cs="Arial"/>
                <w:b w:val="0"/>
                <w:bCs/>
                <w:szCs w:val="21"/>
              </w:rPr>
            </w:pPr>
            <w:r>
              <w:rPr>
                <w:rFonts w:hint="eastAsia" w:ascii="宋体" w:hAnsi="宋体" w:cs="Arial"/>
                <w:b w:val="0"/>
                <w:bCs/>
                <w:szCs w:val="21"/>
              </w:rPr>
              <w:t>新建</w:t>
            </w:r>
          </w:p>
        </w:tc>
      </w:tr>
      <w:tr w14:paraId="7C097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4C4E15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7</w:t>
            </w:r>
          </w:p>
        </w:tc>
        <w:tc>
          <w:tcPr>
            <w:tcW w:w="2448" w:type="dxa"/>
            <w:shd w:val="clear" w:color="auto" w:fill="auto"/>
            <w:vAlign w:val="center"/>
          </w:tcPr>
          <w:p w14:paraId="2005B6A0">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163BE0C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w:t>
            </w:r>
          </w:p>
        </w:tc>
        <w:tc>
          <w:tcPr>
            <w:tcW w:w="731" w:type="dxa"/>
            <w:shd w:val="clear" w:color="auto" w:fill="auto"/>
            <w:vAlign w:val="center"/>
          </w:tcPr>
          <w:p w14:paraId="122C200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1D529D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771" w:type="dxa"/>
            <w:shd w:val="clear" w:color="auto" w:fill="auto"/>
            <w:vAlign w:val="center"/>
          </w:tcPr>
          <w:p w14:paraId="29B32EFE">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A1E92D9">
            <w:pPr>
              <w:jc w:val="center"/>
              <w:rPr>
                <w:rFonts w:ascii="宋体" w:hAnsi="宋体" w:cs="Arial"/>
                <w:b w:val="0"/>
                <w:bCs/>
                <w:szCs w:val="21"/>
              </w:rPr>
            </w:pPr>
          </w:p>
        </w:tc>
        <w:tc>
          <w:tcPr>
            <w:tcW w:w="998" w:type="dxa"/>
            <w:shd w:val="clear" w:color="auto" w:fill="auto"/>
            <w:vAlign w:val="center"/>
          </w:tcPr>
          <w:p w14:paraId="61F48119">
            <w:pPr>
              <w:jc w:val="center"/>
              <w:rPr>
                <w:rFonts w:ascii="宋体" w:hAnsi="宋体" w:cs="Arial"/>
                <w:b w:val="0"/>
                <w:bCs/>
                <w:szCs w:val="21"/>
              </w:rPr>
            </w:pPr>
            <w:r>
              <w:rPr>
                <w:rFonts w:hint="eastAsia" w:ascii="宋体" w:hAnsi="宋体" w:cs="Arial"/>
                <w:b w:val="0"/>
                <w:bCs/>
                <w:szCs w:val="21"/>
              </w:rPr>
              <w:t>新建</w:t>
            </w:r>
          </w:p>
        </w:tc>
      </w:tr>
      <w:tr w14:paraId="67302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200904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8</w:t>
            </w:r>
          </w:p>
        </w:tc>
        <w:tc>
          <w:tcPr>
            <w:tcW w:w="2448" w:type="dxa"/>
            <w:shd w:val="clear" w:color="auto" w:fill="auto"/>
            <w:vAlign w:val="center"/>
          </w:tcPr>
          <w:p w14:paraId="3AABC923">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6B50194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p>
        </w:tc>
        <w:tc>
          <w:tcPr>
            <w:tcW w:w="731" w:type="dxa"/>
            <w:shd w:val="clear" w:color="auto" w:fill="auto"/>
            <w:vAlign w:val="center"/>
          </w:tcPr>
          <w:p w14:paraId="7AE6C9A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2D203A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500</w:t>
            </w:r>
          </w:p>
        </w:tc>
        <w:tc>
          <w:tcPr>
            <w:tcW w:w="771" w:type="dxa"/>
            <w:shd w:val="clear" w:color="auto" w:fill="auto"/>
            <w:vAlign w:val="center"/>
          </w:tcPr>
          <w:p w14:paraId="4DE3C3C3">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35D9E75C">
            <w:pPr>
              <w:jc w:val="center"/>
              <w:rPr>
                <w:rFonts w:ascii="宋体" w:hAnsi="宋体" w:cs="Arial"/>
                <w:b w:val="0"/>
                <w:bCs/>
                <w:szCs w:val="21"/>
              </w:rPr>
            </w:pPr>
          </w:p>
        </w:tc>
        <w:tc>
          <w:tcPr>
            <w:tcW w:w="998" w:type="dxa"/>
            <w:shd w:val="clear" w:color="auto" w:fill="auto"/>
            <w:vAlign w:val="center"/>
          </w:tcPr>
          <w:p w14:paraId="038D84E6">
            <w:pPr>
              <w:jc w:val="center"/>
              <w:rPr>
                <w:rFonts w:ascii="宋体" w:hAnsi="宋体" w:cs="Arial"/>
                <w:b w:val="0"/>
                <w:bCs/>
                <w:szCs w:val="21"/>
              </w:rPr>
            </w:pPr>
            <w:r>
              <w:rPr>
                <w:rFonts w:hint="eastAsia" w:ascii="宋体" w:hAnsi="宋体" w:cs="Arial"/>
                <w:b w:val="0"/>
                <w:bCs/>
                <w:szCs w:val="21"/>
              </w:rPr>
              <w:t>新建</w:t>
            </w:r>
          </w:p>
        </w:tc>
      </w:tr>
      <w:tr w14:paraId="725EE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C9C022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9</w:t>
            </w:r>
          </w:p>
        </w:tc>
        <w:tc>
          <w:tcPr>
            <w:tcW w:w="2448" w:type="dxa"/>
            <w:shd w:val="clear" w:color="auto" w:fill="auto"/>
            <w:vAlign w:val="center"/>
          </w:tcPr>
          <w:p w14:paraId="480B3190">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70793F4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p>
        </w:tc>
        <w:tc>
          <w:tcPr>
            <w:tcW w:w="731" w:type="dxa"/>
            <w:shd w:val="clear" w:color="auto" w:fill="auto"/>
            <w:vAlign w:val="center"/>
          </w:tcPr>
          <w:p w14:paraId="767D31B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BE9898F">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000</w:t>
            </w:r>
          </w:p>
        </w:tc>
        <w:tc>
          <w:tcPr>
            <w:tcW w:w="771" w:type="dxa"/>
            <w:shd w:val="clear" w:color="auto" w:fill="auto"/>
            <w:vAlign w:val="center"/>
          </w:tcPr>
          <w:p w14:paraId="094EF677">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3551D998">
            <w:pPr>
              <w:jc w:val="center"/>
              <w:rPr>
                <w:rFonts w:ascii="宋体" w:hAnsi="宋体" w:cs="Arial"/>
                <w:b w:val="0"/>
                <w:bCs/>
                <w:szCs w:val="21"/>
              </w:rPr>
            </w:pPr>
          </w:p>
        </w:tc>
        <w:tc>
          <w:tcPr>
            <w:tcW w:w="998" w:type="dxa"/>
            <w:shd w:val="clear" w:color="auto" w:fill="auto"/>
            <w:vAlign w:val="center"/>
          </w:tcPr>
          <w:p w14:paraId="2015760F">
            <w:pPr>
              <w:jc w:val="center"/>
              <w:rPr>
                <w:rFonts w:ascii="宋体" w:hAnsi="宋体" w:cs="Arial"/>
                <w:b w:val="0"/>
                <w:bCs/>
                <w:szCs w:val="21"/>
              </w:rPr>
            </w:pPr>
            <w:r>
              <w:rPr>
                <w:rFonts w:hint="eastAsia" w:ascii="宋体" w:hAnsi="宋体" w:cs="Arial"/>
                <w:b w:val="0"/>
                <w:bCs/>
                <w:szCs w:val="21"/>
              </w:rPr>
              <w:t>新建</w:t>
            </w:r>
          </w:p>
        </w:tc>
      </w:tr>
      <w:tr w14:paraId="0178A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F0851A7">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w:t>
            </w:r>
          </w:p>
        </w:tc>
        <w:tc>
          <w:tcPr>
            <w:tcW w:w="2448" w:type="dxa"/>
            <w:shd w:val="clear" w:color="auto" w:fill="auto"/>
            <w:vAlign w:val="center"/>
          </w:tcPr>
          <w:p w14:paraId="3D3141F8">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25BC99D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8.4</w:t>
            </w:r>
          </w:p>
        </w:tc>
        <w:tc>
          <w:tcPr>
            <w:tcW w:w="731" w:type="dxa"/>
            <w:shd w:val="clear" w:color="auto" w:fill="auto"/>
            <w:vAlign w:val="center"/>
          </w:tcPr>
          <w:p w14:paraId="4F65AEC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AEF0FEB">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771" w:type="dxa"/>
            <w:shd w:val="clear" w:color="auto" w:fill="auto"/>
            <w:vAlign w:val="center"/>
          </w:tcPr>
          <w:p w14:paraId="10425502">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BC3EEC3">
            <w:pPr>
              <w:jc w:val="center"/>
              <w:rPr>
                <w:rFonts w:ascii="宋体" w:hAnsi="宋体" w:cs="Arial"/>
                <w:b w:val="0"/>
                <w:bCs/>
                <w:szCs w:val="21"/>
              </w:rPr>
            </w:pPr>
          </w:p>
        </w:tc>
        <w:tc>
          <w:tcPr>
            <w:tcW w:w="998" w:type="dxa"/>
            <w:shd w:val="clear" w:color="auto" w:fill="auto"/>
            <w:vAlign w:val="center"/>
          </w:tcPr>
          <w:p w14:paraId="06ABA229">
            <w:pPr>
              <w:jc w:val="center"/>
              <w:rPr>
                <w:rFonts w:ascii="宋体" w:hAnsi="宋体" w:cs="Arial"/>
                <w:b w:val="0"/>
                <w:bCs/>
                <w:szCs w:val="21"/>
              </w:rPr>
            </w:pPr>
            <w:r>
              <w:rPr>
                <w:rFonts w:hint="eastAsia" w:ascii="宋体" w:hAnsi="宋体" w:cs="Arial"/>
                <w:b w:val="0"/>
                <w:bCs/>
                <w:szCs w:val="21"/>
              </w:rPr>
              <w:t>新建</w:t>
            </w:r>
          </w:p>
        </w:tc>
      </w:tr>
      <w:tr w14:paraId="13D7F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BC1F652">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1</w:t>
            </w:r>
          </w:p>
        </w:tc>
        <w:tc>
          <w:tcPr>
            <w:tcW w:w="2448" w:type="dxa"/>
            <w:shd w:val="clear" w:color="auto" w:fill="auto"/>
            <w:vAlign w:val="center"/>
          </w:tcPr>
          <w:p w14:paraId="2B135BF1">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20BAFBB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0.5</w:t>
            </w:r>
          </w:p>
        </w:tc>
        <w:tc>
          <w:tcPr>
            <w:tcW w:w="731" w:type="dxa"/>
            <w:shd w:val="clear" w:color="auto" w:fill="auto"/>
            <w:vAlign w:val="center"/>
          </w:tcPr>
          <w:p w14:paraId="40575E6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72CE73F8">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000</w:t>
            </w:r>
          </w:p>
        </w:tc>
        <w:tc>
          <w:tcPr>
            <w:tcW w:w="771" w:type="dxa"/>
            <w:shd w:val="clear" w:color="auto" w:fill="auto"/>
            <w:vAlign w:val="center"/>
          </w:tcPr>
          <w:p w14:paraId="7543D6B2">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46905031">
            <w:pPr>
              <w:jc w:val="center"/>
              <w:rPr>
                <w:rFonts w:ascii="宋体" w:hAnsi="宋体" w:cs="Arial"/>
                <w:b w:val="0"/>
                <w:bCs/>
                <w:szCs w:val="21"/>
              </w:rPr>
            </w:pPr>
          </w:p>
        </w:tc>
        <w:tc>
          <w:tcPr>
            <w:tcW w:w="998" w:type="dxa"/>
            <w:shd w:val="clear" w:color="auto" w:fill="auto"/>
            <w:vAlign w:val="center"/>
          </w:tcPr>
          <w:p w14:paraId="29614670">
            <w:pPr>
              <w:jc w:val="center"/>
              <w:rPr>
                <w:rFonts w:ascii="宋体" w:hAnsi="宋体" w:cs="Arial"/>
                <w:b w:val="0"/>
                <w:bCs/>
                <w:szCs w:val="21"/>
              </w:rPr>
            </w:pPr>
            <w:r>
              <w:rPr>
                <w:rFonts w:hint="eastAsia" w:ascii="宋体" w:hAnsi="宋体" w:cs="Arial"/>
                <w:b w:val="0"/>
                <w:bCs/>
                <w:szCs w:val="21"/>
              </w:rPr>
              <w:t>新建</w:t>
            </w:r>
          </w:p>
        </w:tc>
      </w:tr>
      <w:tr w14:paraId="2C587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F9DA3A4">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2</w:t>
            </w:r>
          </w:p>
        </w:tc>
        <w:tc>
          <w:tcPr>
            <w:tcW w:w="2448" w:type="dxa"/>
            <w:shd w:val="clear" w:color="auto" w:fill="auto"/>
            <w:vAlign w:val="center"/>
          </w:tcPr>
          <w:p w14:paraId="3D9BB0C8">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18D9B935">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6</w:t>
            </w:r>
          </w:p>
        </w:tc>
        <w:tc>
          <w:tcPr>
            <w:tcW w:w="731" w:type="dxa"/>
            <w:shd w:val="clear" w:color="auto" w:fill="auto"/>
            <w:vAlign w:val="center"/>
          </w:tcPr>
          <w:p w14:paraId="73A2E3D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B0BBB25">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771" w:type="dxa"/>
            <w:shd w:val="clear" w:color="auto" w:fill="auto"/>
            <w:vAlign w:val="center"/>
          </w:tcPr>
          <w:p w14:paraId="1C176704">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48D7BF7F">
            <w:pPr>
              <w:jc w:val="center"/>
              <w:rPr>
                <w:rFonts w:ascii="宋体" w:hAnsi="宋体" w:cs="Arial"/>
                <w:b w:val="0"/>
                <w:bCs/>
                <w:szCs w:val="21"/>
              </w:rPr>
            </w:pPr>
          </w:p>
        </w:tc>
        <w:tc>
          <w:tcPr>
            <w:tcW w:w="998" w:type="dxa"/>
            <w:shd w:val="clear" w:color="auto" w:fill="auto"/>
            <w:vAlign w:val="center"/>
          </w:tcPr>
          <w:p w14:paraId="17DA4A13">
            <w:pPr>
              <w:jc w:val="center"/>
              <w:rPr>
                <w:rFonts w:ascii="宋体" w:hAnsi="宋体" w:cs="Arial"/>
                <w:b w:val="0"/>
                <w:bCs/>
                <w:szCs w:val="21"/>
              </w:rPr>
            </w:pPr>
            <w:r>
              <w:rPr>
                <w:rFonts w:hint="eastAsia" w:ascii="宋体" w:hAnsi="宋体" w:cs="Arial"/>
                <w:b w:val="0"/>
                <w:bCs/>
                <w:szCs w:val="21"/>
              </w:rPr>
              <w:t>新建</w:t>
            </w:r>
          </w:p>
        </w:tc>
      </w:tr>
      <w:tr w14:paraId="68B68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85B67BA">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p>
        </w:tc>
        <w:tc>
          <w:tcPr>
            <w:tcW w:w="2448" w:type="dxa"/>
            <w:shd w:val="clear" w:color="auto" w:fill="auto"/>
            <w:vAlign w:val="center"/>
          </w:tcPr>
          <w:p w14:paraId="45A73245">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3A4069E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7.3</w:t>
            </w:r>
          </w:p>
        </w:tc>
        <w:tc>
          <w:tcPr>
            <w:tcW w:w="731" w:type="dxa"/>
            <w:shd w:val="clear" w:color="auto" w:fill="auto"/>
            <w:vAlign w:val="center"/>
          </w:tcPr>
          <w:p w14:paraId="542B2E1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793EF2A">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771" w:type="dxa"/>
            <w:shd w:val="clear" w:color="auto" w:fill="auto"/>
            <w:vAlign w:val="center"/>
          </w:tcPr>
          <w:p w14:paraId="214AEAB0">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521A1FE7">
            <w:pPr>
              <w:jc w:val="center"/>
              <w:rPr>
                <w:rFonts w:ascii="宋体" w:hAnsi="宋体" w:cs="Arial"/>
                <w:b w:val="0"/>
                <w:bCs/>
                <w:szCs w:val="21"/>
              </w:rPr>
            </w:pPr>
          </w:p>
        </w:tc>
        <w:tc>
          <w:tcPr>
            <w:tcW w:w="998" w:type="dxa"/>
            <w:shd w:val="clear" w:color="auto" w:fill="auto"/>
            <w:vAlign w:val="center"/>
          </w:tcPr>
          <w:p w14:paraId="4F46C313">
            <w:pPr>
              <w:jc w:val="center"/>
              <w:rPr>
                <w:rFonts w:ascii="宋体" w:hAnsi="宋体" w:cs="Arial"/>
                <w:b w:val="0"/>
                <w:bCs/>
                <w:szCs w:val="21"/>
              </w:rPr>
            </w:pPr>
            <w:r>
              <w:rPr>
                <w:rFonts w:hint="eastAsia" w:ascii="宋体" w:hAnsi="宋体" w:cs="Arial"/>
                <w:b w:val="0"/>
                <w:bCs/>
                <w:szCs w:val="21"/>
              </w:rPr>
              <w:t>新建</w:t>
            </w:r>
          </w:p>
        </w:tc>
      </w:tr>
      <w:tr w14:paraId="145FA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D84530F">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4</w:t>
            </w:r>
          </w:p>
        </w:tc>
        <w:tc>
          <w:tcPr>
            <w:tcW w:w="2448" w:type="dxa"/>
            <w:shd w:val="clear" w:color="auto" w:fill="auto"/>
            <w:vAlign w:val="center"/>
          </w:tcPr>
          <w:p w14:paraId="187337E6">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1734370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6.4</w:t>
            </w:r>
          </w:p>
        </w:tc>
        <w:tc>
          <w:tcPr>
            <w:tcW w:w="731" w:type="dxa"/>
            <w:shd w:val="clear" w:color="auto" w:fill="auto"/>
            <w:vAlign w:val="center"/>
          </w:tcPr>
          <w:p w14:paraId="4930553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E423656">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771" w:type="dxa"/>
            <w:shd w:val="clear" w:color="auto" w:fill="auto"/>
            <w:vAlign w:val="center"/>
          </w:tcPr>
          <w:p w14:paraId="2D2B57C9">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72D38BFD">
            <w:pPr>
              <w:jc w:val="center"/>
              <w:rPr>
                <w:rFonts w:ascii="宋体" w:hAnsi="宋体" w:cs="Arial"/>
                <w:b w:val="0"/>
                <w:bCs/>
                <w:szCs w:val="21"/>
              </w:rPr>
            </w:pPr>
          </w:p>
        </w:tc>
        <w:tc>
          <w:tcPr>
            <w:tcW w:w="998" w:type="dxa"/>
            <w:shd w:val="clear" w:color="auto" w:fill="auto"/>
            <w:vAlign w:val="center"/>
          </w:tcPr>
          <w:p w14:paraId="38AE5E2C">
            <w:pPr>
              <w:jc w:val="center"/>
              <w:rPr>
                <w:rFonts w:ascii="宋体" w:hAnsi="宋体" w:cs="Arial"/>
                <w:b w:val="0"/>
                <w:bCs/>
                <w:szCs w:val="21"/>
              </w:rPr>
            </w:pPr>
            <w:r>
              <w:rPr>
                <w:rFonts w:hint="eastAsia" w:ascii="宋体" w:hAnsi="宋体" w:cs="Arial"/>
                <w:b w:val="0"/>
                <w:bCs/>
                <w:szCs w:val="21"/>
              </w:rPr>
              <w:t>新建</w:t>
            </w:r>
          </w:p>
        </w:tc>
      </w:tr>
      <w:tr w14:paraId="16BDF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3DCF97A">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5</w:t>
            </w:r>
          </w:p>
        </w:tc>
        <w:tc>
          <w:tcPr>
            <w:tcW w:w="2448" w:type="dxa"/>
            <w:shd w:val="clear" w:color="auto" w:fill="auto"/>
            <w:vAlign w:val="center"/>
          </w:tcPr>
          <w:p w14:paraId="3F5B9D74">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38B446B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w:t>
            </w:r>
          </w:p>
        </w:tc>
        <w:tc>
          <w:tcPr>
            <w:tcW w:w="731" w:type="dxa"/>
            <w:shd w:val="clear" w:color="auto" w:fill="auto"/>
            <w:vAlign w:val="center"/>
          </w:tcPr>
          <w:p w14:paraId="77093FE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8E4886F">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771" w:type="dxa"/>
            <w:shd w:val="clear" w:color="auto" w:fill="auto"/>
            <w:vAlign w:val="center"/>
          </w:tcPr>
          <w:p w14:paraId="3252E12B">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3094F61B">
            <w:pPr>
              <w:jc w:val="center"/>
              <w:rPr>
                <w:rFonts w:ascii="宋体" w:hAnsi="宋体" w:cs="Arial"/>
                <w:b w:val="0"/>
                <w:bCs/>
                <w:szCs w:val="21"/>
              </w:rPr>
            </w:pPr>
          </w:p>
        </w:tc>
        <w:tc>
          <w:tcPr>
            <w:tcW w:w="998" w:type="dxa"/>
            <w:shd w:val="clear" w:color="auto" w:fill="auto"/>
            <w:vAlign w:val="center"/>
          </w:tcPr>
          <w:p w14:paraId="5DB22839">
            <w:pPr>
              <w:jc w:val="center"/>
              <w:rPr>
                <w:rFonts w:ascii="宋体" w:hAnsi="宋体" w:cs="Arial"/>
                <w:b w:val="0"/>
                <w:bCs/>
                <w:szCs w:val="21"/>
              </w:rPr>
            </w:pPr>
            <w:r>
              <w:rPr>
                <w:rFonts w:hint="eastAsia" w:ascii="宋体" w:hAnsi="宋体" w:cs="Arial"/>
                <w:b w:val="0"/>
                <w:bCs/>
                <w:szCs w:val="21"/>
              </w:rPr>
              <w:t>新建</w:t>
            </w:r>
          </w:p>
        </w:tc>
      </w:tr>
      <w:tr w14:paraId="4A1E5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0EBD43B">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6</w:t>
            </w:r>
          </w:p>
        </w:tc>
        <w:tc>
          <w:tcPr>
            <w:tcW w:w="2448" w:type="dxa"/>
            <w:shd w:val="clear" w:color="auto" w:fill="auto"/>
            <w:vAlign w:val="center"/>
          </w:tcPr>
          <w:p w14:paraId="423993A1">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35E16A2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7.6</w:t>
            </w:r>
          </w:p>
        </w:tc>
        <w:tc>
          <w:tcPr>
            <w:tcW w:w="731" w:type="dxa"/>
            <w:shd w:val="clear" w:color="auto" w:fill="auto"/>
            <w:vAlign w:val="center"/>
          </w:tcPr>
          <w:p w14:paraId="23B2D5E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EC5CAE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500</w:t>
            </w:r>
          </w:p>
        </w:tc>
        <w:tc>
          <w:tcPr>
            <w:tcW w:w="771" w:type="dxa"/>
            <w:shd w:val="clear" w:color="auto" w:fill="auto"/>
            <w:vAlign w:val="center"/>
          </w:tcPr>
          <w:p w14:paraId="2506BA2B">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0E20D5D2">
            <w:pPr>
              <w:jc w:val="center"/>
              <w:rPr>
                <w:rFonts w:ascii="宋体" w:hAnsi="宋体" w:cs="Arial"/>
                <w:b w:val="0"/>
                <w:bCs/>
                <w:szCs w:val="21"/>
              </w:rPr>
            </w:pPr>
          </w:p>
        </w:tc>
        <w:tc>
          <w:tcPr>
            <w:tcW w:w="998" w:type="dxa"/>
            <w:shd w:val="clear" w:color="auto" w:fill="auto"/>
            <w:vAlign w:val="center"/>
          </w:tcPr>
          <w:p w14:paraId="1CB796BC">
            <w:pPr>
              <w:jc w:val="center"/>
              <w:rPr>
                <w:rFonts w:ascii="宋体" w:hAnsi="宋体" w:cs="Arial"/>
                <w:b w:val="0"/>
                <w:bCs/>
                <w:szCs w:val="21"/>
              </w:rPr>
            </w:pPr>
            <w:r>
              <w:rPr>
                <w:rFonts w:hint="eastAsia" w:ascii="宋体" w:hAnsi="宋体" w:cs="Arial"/>
                <w:b w:val="0"/>
                <w:bCs/>
                <w:szCs w:val="21"/>
              </w:rPr>
              <w:t>新建</w:t>
            </w:r>
          </w:p>
        </w:tc>
      </w:tr>
      <w:tr w14:paraId="6C975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9AFCA3A">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7</w:t>
            </w:r>
          </w:p>
        </w:tc>
        <w:tc>
          <w:tcPr>
            <w:tcW w:w="2448" w:type="dxa"/>
            <w:shd w:val="clear" w:color="auto" w:fill="auto"/>
            <w:vAlign w:val="center"/>
          </w:tcPr>
          <w:p w14:paraId="37EDC666">
            <w:pPr>
              <w:jc w:val="center"/>
              <w:rPr>
                <w:rFonts w:ascii="宋体" w:hAnsi="宋体" w:cs="Arial"/>
                <w:b w:val="0"/>
                <w:bCs/>
                <w:szCs w:val="21"/>
              </w:rPr>
            </w:pPr>
            <w:r>
              <w:rPr>
                <w:rFonts w:hint="eastAsia" w:ascii="宋体" w:hAnsi="宋体" w:cs="Arial"/>
                <w:b w:val="0"/>
                <w:bCs/>
                <w:szCs w:val="21"/>
              </w:rPr>
              <w:t>更衣室</w:t>
            </w:r>
          </w:p>
        </w:tc>
        <w:tc>
          <w:tcPr>
            <w:tcW w:w="881" w:type="dxa"/>
            <w:shd w:val="clear" w:color="auto" w:fill="auto"/>
            <w:vAlign w:val="center"/>
          </w:tcPr>
          <w:p w14:paraId="37E0FAC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p>
        </w:tc>
        <w:tc>
          <w:tcPr>
            <w:tcW w:w="731" w:type="dxa"/>
            <w:shd w:val="clear" w:color="auto" w:fill="auto"/>
            <w:vAlign w:val="center"/>
          </w:tcPr>
          <w:p w14:paraId="4D01F904">
            <w:pPr>
              <w:jc w:val="center"/>
              <w:rPr>
                <w:rFonts w:ascii="宋体" w:hAnsi="宋体" w:cs="Arial"/>
                <w:b w:val="0"/>
                <w:bCs/>
                <w:szCs w:val="21"/>
              </w:rPr>
            </w:pPr>
          </w:p>
        </w:tc>
        <w:tc>
          <w:tcPr>
            <w:tcW w:w="1221" w:type="dxa"/>
            <w:shd w:val="clear" w:color="auto" w:fill="auto"/>
            <w:vAlign w:val="center"/>
          </w:tcPr>
          <w:p w14:paraId="5FBADBED">
            <w:pPr>
              <w:jc w:val="center"/>
              <w:rPr>
                <w:rFonts w:ascii="宋体" w:hAnsi="宋体" w:cs="Arial"/>
                <w:b w:val="0"/>
                <w:bCs/>
                <w:szCs w:val="21"/>
              </w:rPr>
            </w:pPr>
          </w:p>
        </w:tc>
        <w:tc>
          <w:tcPr>
            <w:tcW w:w="771" w:type="dxa"/>
            <w:shd w:val="clear" w:color="auto" w:fill="auto"/>
            <w:vAlign w:val="center"/>
          </w:tcPr>
          <w:p w14:paraId="1E940C42">
            <w:pPr>
              <w:jc w:val="center"/>
              <w:rPr>
                <w:rFonts w:ascii="宋体" w:hAnsi="宋体" w:cs="Arial"/>
                <w:b w:val="0"/>
                <w:bCs/>
                <w:szCs w:val="21"/>
              </w:rPr>
            </w:pPr>
          </w:p>
        </w:tc>
        <w:tc>
          <w:tcPr>
            <w:tcW w:w="930" w:type="dxa"/>
            <w:shd w:val="clear" w:color="auto" w:fill="auto"/>
            <w:vAlign w:val="center"/>
          </w:tcPr>
          <w:p w14:paraId="30A70ECD">
            <w:pPr>
              <w:jc w:val="center"/>
              <w:rPr>
                <w:rFonts w:ascii="宋体" w:hAnsi="宋体" w:cs="Arial"/>
                <w:b w:val="0"/>
                <w:bCs/>
                <w:szCs w:val="21"/>
              </w:rPr>
            </w:pPr>
          </w:p>
        </w:tc>
        <w:tc>
          <w:tcPr>
            <w:tcW w:w="998" w:type="dxa"/>
            <w:shd w:val="clear" w:color="auto" w:fill="auto"/>
            <w:vAlign w:val="center"/>
          </w:tcPr>
          <w:p w14:paraId="13EFAB9D">
            <w:pPr>
              <w:jc w:val="center"/>
              <w:rPr>
                <w:rFonts w:ascii="宋体" w:hAnsi="宋体" w:cs="Arial"/>
                <w:b w:val="0"/>
                <w:bCs/>
                <w:szCs w:val="21"/>
              </w:rPr>
            </w:pPr>
            <w:r>
              <w:rPr>
                <w:rFonts w:hint="eastAsia" w:ascii="宋体" w:hAnsi="宋体" w:cs="Arial"/>
                <w:b w:val="0"/>
                <w:bCs/>
                <w:szCs w:val="21"/>
              </w:rPr>
              <w:t>新建</w:t>
            </w:r>
          </w:p>
        </w:tc>
      </w:tr>
      <w:tr w14:paraId="26B7C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40CF6E1">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8</w:t>
            </w:r>
          </w:p>
        </w:tc>
        <w:tc>
          <w:tcPr>
            <w:tcW w:w="2448" w:type="dxa"/>
            <w:shd w:val="clear" w:color="auto" w:fill="auto"/>
            <w:vAlign w:val="center"/>
          </w:tcPr>
          <w:p w14:paraId="0067CE2A">
            <w:pPr>
              <w:jc w:val="center"/>
              <w:rPr>
                <w:rFonts w:ascii="宋体" w:hAnsi="宋体" w:cs="Arial"/>
                <w:b w:val="0"/>
                <w:bCs/>
                <w:szCs w:val="21"/>
              </w:rPr>
            </w:pPr>
            <w:r>
              <w:rPr>
                <w:rFonts w:hint="eastAsia" w:ascii="宋体" w:hAnsi="宋体" w:cs="Arial"/>
                <w:b w:val="0"/>
                <w:bCs/>
                <w:szCs w:val="21"/>
              </w:rPr>
              <w:t>回收粉中转</w:t>
            </w:r>
          </w:p>
        </w:tc>
        <w:tc>
          <w:tcPr>
            <w:tcW w:w="881" w:type="dxa"/>
            <w:shd w:val="clear" w:color="auto" w:fill="auto"/>
            <w:vAlign w:val="center"/>
          </w:tcPr>
          <w:p w14:paraId="295CCC1E">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31" w:type="dxa"/>
            <w:shd w:val="clear" w:color="auto" w:fill="auto"/>
            <w:vAlign w:val="center"/>
          </w:tcPr>
          <w:p w14:paraId="680F70D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368DD7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5904231F">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EC44BC2">
            <w:pPr>
              <w:jc w:val="center"/>
              <w:rPr>
                <w:rFonts w:ascii="宋体" w:hAnsi="宋体" w:cs="Arial"/>
                <w:b w:val="0"/>
                <w:bCs/>
                <w:szCs w:val="21"/>
              </w:rPr>
            </w:pPr>
          </w:p>
        </w:tc>
        <w:tc>
          <w:tcPr>
            <w:tcW w:w="998" w:type="dxa"/>
            <w:shd w:val="clear" w:color="auto" w:fill="auto"/>
            <w:vAlign w:val="center"/>
          </w:tcPr>
          <w:p w14:paraId="1B9B0FBF">
            <w:pPr>
              <w:jc w:val="center"/>
              <w:rPr>
                <w:rFonts w:ascii="宋体" w:hAnsi="宋体" w:cs="Arial"/>
                <w:b w:val="0"/>
                <w:bCs/>
                <w:szCs w:val="21"/>
              </w:rPr>
            </w:pPr>
            <w:r>
              <w:rPr>
                <w:rFonts w:hint="eastAsia" w:ascii="宋体" w:hAnsi="宋体" w:cs="Arial"/>
                <w:b w:val="0"/>
                <w:bCs/>
                <w:szCs w:val="21"/>
              </w:rPr>
              <w:t>新建</w:t>
            </w:r>
          </w:p>
        </w:tc>
      </w:tr>
      <w:tr w14:paraId="3EADF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2DB24B4">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9</w:t>
            </w:r>
          </w:p>
        </w:tc>
        <w:tc>
          <w:tcPr>
            <w:tcW w:w="2448" w:type="dxa"/>
            <w:shd w:val="clear" w:color="auto" w:fill="auto"/>
            <w:vAlign w:val="center"/>
          </w:tcPr>
          <w:p w14:paraId="5C1C1190">
            <w:pPr>
              <w:jc w:val="center"/>
              <w:rPr>
                <w:rFonts w:ascii="宋体" w:hAnsi="宋体" w:cs="Arial"/>
                <w:b w:val="0"/>
                <w:bCs/>
                <w:szCs w:val="21"/>
              </w:rPr>
            </w:pPr>
            <w:r>
              <w:rPr>
                <w:rFonts w:hint="eastAsia" w:ascii="宋体" w:hAnsi="宋体" w:cs="Arial"/>
                <w:b w:val="0"/>
                <w:bCs/>
                <w:szCs w:val="21"/>
              </w:rPr>
              <w:t>原材料中转</w:t>
            </w:r>
          </w:p>
        </w:tc>
        <w:tc>
          <w:tcPr>
            <w:tcW w:w="881" w:type="dxa"/>
            <w:shd w:val="clear" w:color="auto" w:fill="auto"/>
            <w:vAlign w:val="center"/>
          </w:tcPr>
          <w:p w14:paraId="3BDAAB09">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w:t>
            </w:r>
          </w:p>
        </w:tc>
        <w:tc>
          <w:tcPr>
            <w:tcW w:w="731" w:type="dxa"/>
            <w:shd w:val="clear" w:color="auto" w:fill="auto"/>
            <w:vAlign w:val="center"/>
          </w:tcPr>
          <w:p w14:paraId="4EE05D6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106CDA5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771" w:type="dxa"/>
            <w:shd w:val="clear" w:color="auto" w:fill="auto"/>
            <w:vAlign w:val="center"/>
          </w:tcPr>
          <w:p w14:paraId="3B002659">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FCC04C5">
            <w:pPr>
              <w:jc w:val="center"/>
              <w:rPr>
                <w:rFonts w:ascii="宋体" w:hAnsi="宋体" w:cs="Arial"/>
                <w:b w:val="0"/>
                <w:bCs/>
                <w:szCs w:val="21"/>
              </w:rPr>
            </w:pPr>
          </w:p>
        </w:tc>
        <w:tc>
          <w:tcPr>
            <w:tcW w:w="998" w:type="dxa"/>
            <w:shd w:val="clear" w:color="auto" w:fill="auto"/>
            <w:vAlign w:val="center"/>
          </w:tcPr>
          <w:p w14:paraId="20DFA447">
            <w:pPr>
              <w:jc w:val="center"/>
              <w:rPr>
                <w:rFonts w:ascii="宋体" w:hAnsi="宋体" w:cs="Arial"/>
                <w:b w:val="0"/>
                <w:bCs/>
                <w:szCs w:val="21"/>
              </w:rPr>
            </w:pPr>
            <w:r>
              <w:rPr>
                <w:rFonts w:hint="eastAsia" w:ascii="宋体" w:hAnsi="宋体" w:cs="Arial"/>
                <w:b w:val="0"/>
                <w:bCs/>
                <w:szCs w:val="21"/>
              </w:rPr>
              <w:t>新建</w:t>
            </w:r>
          </w:p>
        </w:tc>
      </w:tr>
      <w:tr w14:paraId="5AB30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43B244E">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w:t>
            </w:r>
          </w:p>
        </w:tc>
        <w:tc>
          <w:tcPr>
            <w:tcW w:w="2448" w:type="dxa"/>
            <w:shd w:val="clear" w:color="auto" w:fill="auto"/>
            <w:vAlign w:val="center"/>
          </w:tcPr>
          <w:p w14:paraId="5BEC8D17">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1CED938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6140A822">
            <w:pPr>
              <w:jc w:val="center"/>
              <w:rPr>
                <w:rFonts w:ascii="宋体" w:hAnsi="宋体" w:cs="Arial"/>
                <w:b w:val="0"/>
                <w:bCs/>
                <w:szCs w:val="21"/>
              </w:rPr>
            </w:pPr>
          </w:p>
        </w:tc>
        <w:tc>
          <w:tcPr>
            <w:tcW w:w="1221" w:type="dxa"/>
            <w:shd w:val="clear" w:color="auto" w:fill="auto"/>
            <w:vAlign w:val="center"/>
          </w:tcPr>
          <w:p w14:paraId="087F0C41">
            <w:pPr>
              <w:jc w:val="center"/>
              <w:rPr>
                <w:rFonts w:ascii="宋体" w:hAnsi="宋体" w:cs="Arial"/>
                <w:b w:val="0"/>
                <w:bCs/>
                <w:szCs w:val="21"/>
              </w:rPr>
            </w:pPr>
          </w:p>
        </w:tc>
        <w:tc>
          <w:tcPr>
            <w:tcW w:w="771" w:type="dxa"/>
            <w:shd w:val="clear" w:color="auto" w:fill="auto"/>
            <w:vAlign w:val="center"/>
          </w:tcPr>
          <w:p w14:paraId="0D05BC4F">
            <w:pPr>
              <w:jc w:val="center"/>
              <w:rPr>
                <w:rFonts w:ascii="宋体" w:hAnsi="宋体" w:cs="Arial"/>
                <w:b w:val="0"/>
                <w:bCs/>
                <w:szCs w:val="21"/>
              </w:rPr>
            </w:pPr>
          </w:p>
        </w:tc>
        <w:tc>
          <w:tcPr>
            <w:tcW w:w="930" w:type="dxa"/>
            <w:shd w:val="clear" w:color="auto" w:fill="auto"/>
            <w:vAlign w:val="center"/>
          </w:tcPr>
          <w:p w14:paraId="3015D9FF">
            <w:pPr>
              <w:jc w:val="center"/>
              <w:rPr>
                <w:rFonts w:ascii="宋体" w:hAnsi="宋体" w:cs="Arial"/>
                <w:b w:val="0"/>
                <w:bCs/>
                <w:szCs w:val="21"/>
              </w:rPr>
            </w:pPr>
          </w:p>
        </w:tc>
        <w:tc>
          <w:tcPr>
            <w:tcW w:w="998" w:type="dxa"/>
            <w:shd w:val="clear" w:color="auto" w:fill="auto"/>
            <w:vAlign w:val="center"/>
          </w:tcPr>
          <w:p w14:paraId="5158E76C">
            <w:pPr>
              <w:jc w:val="center"/>
              <w:rPr>
                <w:rFonts w:ascii="宋体" w:hAnsi="宋体" w:cs="Arial"/>
                <w:b w:val="0"/>
                <w:bCs/>
                <w:szCs w:val="21"/>
              </w:rPr>
            </w:pPr>
            <w:r>
              <w:rPr>
                <w:rFonts w:hint="eastAsia" w:ascii="宋体" w:hAnsi="宋体" w:cs="Arial"/>
                <w:b w:val="0"/>
                <w:bCs/>
                <w:szCs w:val="21"/>
              </w:rPr>
              <w:t>新建</w:t>
            </w:r>
          </w:p>
        </w:tc>
      </w:tr>
      <w:tr w14:paraId="0D934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97" w:type="dxa"/>
            <w:shd w:val="clear" w:color="auto" w:fill="auto"/>
            <w:vAlign w:val="center"/>
          </w:tcPr>
          <w:p w14:paraId="21388CD3">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1</w:t>
            </w:r>
          </w:p>
        </w:tc>
        <w:tc>
          <w:tcPr>
            <w:tcW w:w="2448" w:type="dxa"/>
            <w:shd w:val="clear" w:color="auto" w:fill="auto"/>
            <w:vAlign w:val="center"/>
          </w:tcPr>
          <w:p w14:paraId="117F2C42">
            <w:pPr>
              <w:jc w:val="center"/>
              <w:rPr>
                <w:b w:val="0"/>
                <w:bCs/>
              </w:rPr>
            </w:pPr>
            <w:r>
              <w:rPr>
                <w:rFonts w:hint="eastAsia"/>
                <w:b w:val="0"/>
                <w:bCs/>
              </w:rPr>
              <w:t>自动混合</w:t>
            </w:r>
            <w:r>
              <w:rPr>
                <w:b w:val="0"/>
                <w:bCs/>
              </w:rPr>
              <w:t>/</w:t>
            </w:r>
            <w:r>
              <w:rPr>
                <w:rFonts w:hint="eastAsia"/>
                <w:b w:val="0"/>
                <w:bCs/>
              </w:rPr>
              <w:t>上潮/装模制片</w:t>
            </w:r>
          </w:p>
        </w:tc>
        <w:tc>
          <w:tcPr>
            <w:tcW w:w="881" w:type="dxa"/>
            <w:shd w:val="clear" w:color="auto" w:fill="auto"/>
            <w:vAlign w:val="center"/>
          </w:tcPr>
          <w:p w14:paraId="56D19CE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p>
        </w:tc>
        <w:tc>
          <w:tcPr>
            <w:tcW w:w="731" w:type="dxa"/>
            <w:shd w:val="clear" w:color="auto" w:fill="auto"/>
            <w:vAlign w:val="center"/>
          </w:tcPr>
          <w:p w14:paraId="427CCA8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872152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5BA3366A">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F6B5CE6">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74D7959B">
            <w:pPr>
              <w:jc w:val="center"/>
              <w:rPr>
                <w:rFonts w:ascii="宋体" w:hAnsi="宋体" w:cs="Arial"/>
                <w:b w:val="0"/>
                <w:bCs/>
                <w:szCs w:val="21"/>
              </w:rPr>
            </w:pPr>
            <w:r>
              <w:rPr>
                <w:rFonts w:hint="eastAsia" w:ascii="宋体" w:hAnsi="宋体" w:cs="Arial"/>
                <w:b w:val="0"/>
                <w:bCs/>
                <w:szCs w:val="21"/>
              </w:rPr>
              <w:t>新建</w:t>
            </w:r>
          </w:p>
        </w:tc>
      </w:tr>
      <w:tr w14:paraId="5E49D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5592E4E">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2</w:t>
            </w:r>
          </w:p>
        </w:tc>
        <w:tc>
          <w:tcPr>
            <w:tcW w:w="2448" w:type="dxa"/>
            <w:shd w:val="clear" w:color="auto" w:fill="auto"/>
            <w:vAlign w:val="center"/>
          </w:tcPr>
          <w:p w14:paraId="29525AC7">
            <w:pPr>
              <w:jc w:val="center"/>
              <w:rPr>
                <w:rFonts w:ascii="宋体" w:hAnsi="宋体" w:cs="Arial"/>
                <w:b w:val="0"/>
                <w:bCs/>
                <w:szCs w:val="21"/>
              </w:rPr>
            </w:pPr>
            <w:r>
              <w:rPr>
                <w:rFonts w:hint="eastAsia" w:ascii="宋体" w:hAnsi="宋体" w:cs="Arial"/>
                <w:b w:val="0"/>
                <w:bCs/>
                <w:szCs w:val="21"/>
              </w:rPr>
              <w:t>空板车间</w:t>
            </w:r>
          </w:p>
        </w:tc>
        <w:tc>
          <w:tcPr>
            <w:tcW w:w="881" w:type="dxa"/>
            <w:shd w:val="clear" w:color="auto" w:fill="auto"/>
            <w:vAlign w:val="center"/>
          </w:tcPr>
          <w:p w14:paraId="5771421C">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2F020065">
            <w:pPr>
              <w:jc w:val="center"/>
              <w:rPr>
                <w:rFonts w:ascii="宋体" w:hAnsi="宋体" w:cs="Arial"/>
                <w:b w:val="0"/>
                <w:bCs/>
                <w:szCs w:val="21"/>
              </w:rPr>
            </w:pPr>
          </w:p>
        </w:tc>
        <w:tc>
          <w:tcPr>
            <w:tcW w:w="1221" w:type="dxa"/>
            <w:shd w:val="clear" w:color="auto" w:fill="auto"/>
            <w:vAlign w:val="center"/>
          </w:tcPr>
          <w:p w14:paraId="7AD5DC75">
            <w:pPr>
              <w:jc w:val="center"/>
              <w:rPr>
                <w:rFonts w:ascii="宋体" w:hAnsi="宋体" w:cs="Arial"/>
                <w:b w:val="0"/>
                <w:bCs/>
                <w:szCs w:val="21"/>
              </w:rPr>
            </w:pPr>
          </w:p>
        </w:tc>
        <w:tc>
          <w:tcPr>
            <w:tcW w:w="771" w:type="dxa"/>
            <w:shd w:val="clear" w:color="auto" w:fill="auto"/>
            <w:vAlign w:val="center"/>
          </w:tcPr>
          <w:p w14:paraId="7977766D">
            <w:pPr>
              <w:jc w:val="center"/>
              <w:rPr>
                <w:rFonts w:ascii="宋体" w:hAnsi="宋体" w:cs="Arial"/>
                <w:b w:val="0"/>
                <w:bCs/>
                <w:szCs w:val="21"/>
              </w:rPr>
            </w:pPr>
          </w:p>
        </w:tc>
        <w:tc>
          <w:tcPr>
            <w:tcW w:w="930" w:type="dxa"/>
            <w:shd w:val="clear" w:color="auto" w:fill="auto"/>
            <w:vAlign w:val="center"/>
          </w:tcPr>
          <w:p w14:paraId="77073299">
            <w:pPr>
              <w:jc w:val="center"/>
              <w:rPr>
                <w:rFonts w:ascii="宋体" w:hAnsi="宋体" w:cs="Arial"/>
                <w:b w:val="0"/>
                <w:bCs/>
                <w:szCs w:val="21"/>
              </w:rPr>
            </w:pPr>
          </w:p>
        </w:tc>
        <w:tc>
          <w:tcPr>
            <w:tcW w:w="998" w:type="dxa"/>
            <w:shd w:val="clear" w:color="auto" w:fill="auto"/>
            <w:vAlign w:val="center"/>
          </w:tcPr>
          <w:p w14:paraId="6A2D1349">
            <w:pPr>
              <w:jc w:val="center"/>
              <w:rPr>
                <w:rFonts w:ascii="宋体" w:hAnsi="宋体" w:cs="Arial"/>
                <w:b w:val="0"/>
                <w:bCs/>
                <w:szCs w:val="21"/>
              </w:rPr>
            </w:pPr>
            <w:r>
              <w:rPr>
                <w:rFonts w:hint="eastAsia" w:ascii="宋体" w:hAnsi="宋体" w:cs="Arial"/>
                <w:b w:val="0"/>
                <w:bCs/>
                <w:szCs w:val="21"/>
              </w:rPr>
              <w:t>新建</w:t>
            </w:r>
          </w:p>
        </w:tc>
      </w:tr>
      <w:tr w14:paraId="78E0C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97" w:type="dxa"/>
            <w:shd w:val="clear" w:color="auto" w:fill="auto"/>
            <w:vAlign w:val="center"/>
          </w:tcPr>
          <w:p w14:paraId="5144AD1F">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3</w:t>
            </w:r>
          </w:p>
        </w:tc>
        <w:tc>
          <w:tcPr>
            <w:tcW w:w="2448" w:type="dxa"/>
            <w:shd w:val="clear" w:color="auto" w:fill="auto"/>
            <w:vAlign w:val="center"/>
          </w:tcPr>
          <w:p w14:paraId="52B25840">
            <w:pPr>
              <w:jc w:val="center"/>
              <w:rPr>
                <w:b w:val="0"/>
                <w:bCs/>
              </w:rPr>
            </w:pPr>
            <w:r>
              <w:rPr>
                <w:rFonts w:hint="eastAsia"/>
                <w:b w:val="0"/>
                <w:bCs/>
              </w:rPr>
              <w:t>自动混合</w:t>
            </w:r>
            <w:r>
              <w:rPr>
                <w:b w:val="0"/>
                <w:bCs/>
              </w:rPr>
              <w:t>/</w:t>
            </w:r>
            <w:r>
              <w:rPr>
                <w:rFonts w:hint="eastAsia"/>
                <w:b w:val="0"/>
                <w:bCs/>
              </w:rPr>
              <w:t>上潮/装模制片</w:t>
            </w:r>
          </w:p>
        </w:tc>
        <w:tc>
          <w:tcPr>
            <w:tcW w:w="881" w:type="dxa"/>
            <w:shd w:val="clear" w:color="auto" w:fill="auto"/>
            <w:vAlign w:val="center"/>
          </w:tcPr>
          <w:p w14:paraId="1EF06ED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p>
        </w:tc>
        <w:tc>
          <w:tcPr>
            <w:tcW w:w="731" w:type="dxa"/>
            <w:shd w:val="clear" w:color="auto" w:fill="auto"/>
            <w:vAlign w:val="center"/>
          </w:tcPr>
          <w:p w14:paraId="08D9BF1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483E48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72E260A9">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1A322E3">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1A7E4319">
            <w:pPr>
              <w:jc w:val="center"/>
              <w:rPr>
                <w:rFonts w:ascii="宋体" w:hAnsi="宋体" w:cs="Arial"/>
                <w:b w:val="0"/>
                <w:bCs/>
                <w:szCs w:val="21"/>
              </w:rPr>
            </w:pPr>
            <w:r>
              <w:rPr>
                <w:rFonts w:hint="eastAsia" w:ascii="宋体" w:hAnsi="宋体" w:cs="Arial"/>
                <w:b w:val="0"/>
                <w:bCs/>
                <w:szCs w:val="21"/>
              </w:rPr>
              <w:t>新建</w:t>
            </w:r>
          </w:p>
        </w:tc>
      </w:tr>
      <w:tr w14:paraId="0107A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250C83E">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4</w:t>
            </w:r>
          </w:p>
        </w:tc>
        <w:tc>
          <w:tcPr>
            <w:tcW w:w="2448" w:type="dxa"/>
            <w:shd w:val="clear" w:color="auto" w:fill="auto"/>
            <w:vAlign w:val="center"/>
          </w:tcPr>
          <w:p w14:paraId="501ECC5D">
            <w:pPr>
              <w:jc w:val="center"/>
              <w:rPr>
                <w:rFonts w:ascii="宋体" w:hAnsi="宋体" w:cs="Arial"/>
                <w:b w:val="0"/>
                <w:bCs/>
                <w:szCs w:val="21"/>
              </w:rPr>
            </w:pPr>
            <w:r>
              <w:rPr>
                <w:rFonts w:hint="eastAsia" w:ascii="宋体" w:hAnsi="宋体" w:cs="Arial"/>
                <w:b w:val="0"/>
                <w:bCs/>
                <w:szCs w:val="21"/>
              </w:rPr>
              <w:t>气泵间</w:t>
            </w:r>
          </w:p>
        </w:tc>
        <w:tc>
          <w:tcPr>
            <w:tcW w:w="881" w:type="dxa"/>
            <w:shd w:val="clear" w:color="auto" w:fill="auto"/>
            <w:vAlign w:val="center"/>
          </w:tcPr>
          <w:p w14:paraId="4892DD75">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4546AAE5">
            <w:pPr>
              <w:jc w:val="center"/>
              <w:rPr>
                <w:rFonts w:ascii="宋体" w:hAnsi="宋体" w:cs="Arial"/>
                <w:b w:val="0"/>
                <w:bCs/>
                <w:szCs w:val="21"/>
              </w:rPr>
            </w:pPr>
          </w:p>
        </w:tc>
        <w:tc>
          <w:tcPr>
            <w:tcW w:w="1221" w:type="dxa"/>
            <w:shd w:val="clear" w:color="auto" w:fill="auto"/>
            <w:vAlign w:val="center"/>
          </w:tcPr>
          <w:p w14:paraId="4316E16B">
            <w:pPr>
              <w:jc w:val="center"/>
              <w:rPr>
                <w:rFonts w:ascii="宋体" w:hAnsi="宋体" w:cs="Arial"/>
                <w:b w:val="0"/>
                <w:bCs/>
                <w:szCs w:val="21"/>
              </w:rPr>
            </w:pPr>
          </w:p>
        </w:tc>
        <w:tc>
          <w:tcPr>
            <w:tcW w:w="771" w:type="dxa"/>
            <w:shd w:val="clear" w:color="auto" w:fill="auto"/>
            <w:vAlign w:val="center"/>
          </w:tcPr>
          <w:p w14:paraId="5FD2919F">
            <w:pPr>
              <w:jc w:val="center"/>
              <w:rPr>
                <w:rFonts w:ascii="宋体" w:hAnsi="宋体" w:cs="Arial"/>
                <w:b w:val="0"/>
                <w:bCs/>
                <w:szCs w:val="21"/>
              </w:rPr>
            </w:pPr>
          </w:p>
        </w:tc>
        <w:tc>
          <w:tcPr>
            <w:tcW w:w="930" w:type="dxa"/>
            <w:shd w:val="clear" w:color="auto" w:fill="auto"/>
            <w:vAlign w:val="center"/>
          </w:tcPr>
          <w:p w14:paraId="2C29731B">
            <w:pPr>
              <w:jc w:val="center"/>
              <w:rPr>
                <w:rFonts w:ascii="宋体" w:hAnsi="宋体" w:cs="Arial"/>
                <w:b w:val="0"/>
                <w:bCs/>
                <w:szCs w:val="21"/>
              </w:rPr>
            </w:pPr>
          </w:p>
        </w:tc>
        <w:tc>
          <w:tcPr>
            <w:tcW w:w="998" w:type="dxa"/>
            <w:shd w:val="clear" w:color="auto" w:fill="auto"/>
            <w:vAlign w:val="center"/>
          </w:tcPr>
          <w:p w14:paraId="4D318D54">
            <w:pPr>
              <w:jc w:val="center"/>
              <w:rPr>
                <w:rFonts w:ascii="宋体" w:hAnsi="宋体" w:cs="Arial"/>
                <w:b w:val="0"/>
                <w:bCs/>
                <w:szCs w:val="21"/>
              </w:rPr>
            </w:pPr>
            <w:r>
              <w:rPr>
                <w:rFonts w:hint="eastAsia" w:ascii="宋体" w:hAnsi="宋体" w:cs="Arial"/>
                <w:b w:val="0"/>
                <w:bCs/>
                <w:szCs w:val="21"/>
              </w:rPr>
              <w:t>新建</w:t>
            </w:r>
          </w:p>
        </w:tc>
      </w:tr>
      <w:tr w14:paraId="48C1B184">
        <w:tblPrEx>
          <w:tblCellMar>
            <w:top w:w="0" w:type="dxa"/>
            <w:left w:w="108" w:type="dxa"/>
            <w:bottom w:w="0" w:type="dxa"/>
            <w:right w:w="108" w:type="dxa"/>
          </w:tblCellMar>
        </w:tblPrEx>
        <w:trPr>
          <w:trHeight w:val="356" w:hRule="atLeast"/>
          <w:jc w:val="center"/>
        </w:trPr>
        <w:tc>
          <w:tcPr>
            <w:tcW w:w="697" w:type="dxa"/>
            <w:shd w:val="clear" w:color="auto" w:fill="auto"/>
            <w:vAlign w:val="center"/>
          </w:tcPr>
          <w:p w14:paraId="1D2CC2EA">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5</w:t>
            </w:r>
          </w:p>
        </w:tc>
        <w:tc>
          <w:tcPr>
            <w:tcW w:w="2448" w:type="dxa"/>
            <w:shd w:val="clear" w:color="auto" w:fill="auto"/>
            <w:vAlign w:val="center"/>
          </w:tcPr>
          <w:p w14:paraId="593E5616">
            <w:pPr>
              <w:jc w:val="center"/>
              <w:rPr>
                <w:rFonts w:ascii="宋体" w:hAnsi="宋体" w:cs="Arial"/>
                <w:b w:val="0"/>
                <w:bCs/>
                <w:szCs w:val="21"/>
              </w:rPr>
            </w:pPr>
            <w:r>
              <w:rPr>
                <w:rFonts w:hint="eastAsia" w:ascii="宋体" w:hAnsi="宋体" w:cs="Arial"/>
                <w:b w:val="0"/>
                <w:bCs/>
                <w:szCs w:val="21"/>
              </w:rPr>
              <w:t>空板车间</w:t>
            </w:r>
          </w:p>
        </w:tc>
        <w:tc>
          <w:tcPr>
            <w:tcW w:w="881" w:type="dxa"/>
            <w:shd w:val="clear" w:color="auto" w:fill="auto"/>
            <w:vAlign w:val="center"/>
          </w:tcPr>
          <w:p w14:paraId="47796F7C">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.5</w:t>
            </w:r>
          </w:p>
        </w:tc>
        <w:tc>
          <w:tcPr>
            <w:tcW w:w="731" w:type="dxa"/>
            <w:shd w:val="clear" w:color="auto" w:fill="auto"/>
            <w:vAlign w:val="center"/>
          </w:tcPr>
          <w:p w14:paraId="18B6AFFB">
            <w:pPr>
              <w:jc w:val="center"/>
              <w:rPr>
                <w:rFonts w:ascii="宋体" w:hAnsi="宋体" w:cs="Arial"/>
                <w:b w:val="0"/>
                <w:bCs/>
                <w:szCs w:val="21"/>
              </w:rPr>
            </w:pPr>
          </w:p>
        </w:tc>
        <w:tc>
          <w:tcPr>
            <w:tcW w:w="1221" w:type="dxa"/>
            <w:shd w:val="clear" w:color="auto" w:fill="auto"/>
            <w:vAlign w:val="center"/>
          </w:tcPr>
          <w:p w14:paraId="3389F20C">
            <w:pPr>
              <w:jc w:val="center"/>
              <w:rPr>
                <w:rFonts w:ascii="宋体" w:hAnsi="宋体" w:cs="Arial"/>
                <w:b w:val="0"/>
                <w:bCs/>
                <w:szCs w:val="21"/>
              </w:rPr>
            </w:pPr>
          </w:p>
        </w:tc>
        <w:tc>
          <w:tcPr>
            <w:tcW w:w="771" w:type="dxa"/>
            <w:shd w:val="clear" w:color="auto" w:fill="auto"/>
            <w:vAlign w:val="center"/>
          </w:tcPr>
          <w:p w14:paraId="4E17833C">
            <w:pPr>
              <w:jc w:val="center"/>
              <w:rPr>
                <w:rFonts w:ascii="宋体" w:hAnsi="宋体" w:cs="Arial"/>
                <w:b w:val="0"/>
                <w:bCs/>
                <w:szCs w:val="21"/>
              </w:rPr>
            </w:pPr>
          </w:p>
        </w:tc>
        <w:tc>
          <w:tcPr>
            <w:tcW w:w="930" w:type="dxa"/>
            <w:shd w:val="clear" w:color="auto" w:fill="auto"/>
            <w:vAlign w:val="center"/>
          </w:tcPr>
          <w:p w14:paraId="77127C92">
            <w:pPr>
              <w:jc w:val="center"/>
              <w:rPr>
                <w:rFonts w:ascii="宋体" w:hAnsi="宋体" w:cs="Arial"/>
                <w:b w:val="0"/>
                <w:bCs/>
                <w:szCs w:val="21"/>
              </w:rPr>
            </w:pPr>
          </w:p>
        </w:tc>
        <w:tc>
          <w:tcPr>
            <w:tcW w:w="998" w:type="dxa"/>
            <w:shd w:val="clear" w:color="auto" w:fill="auto"/>
            <w:vAlign w:val="center"/>
          </w:tcPr>
          <w:p w14:paraId="1B41DCD6">
            <w:pPr>
              <w:jc w:val="center"/>
              <w:rPr>
                <w:rFonts w:ascii="宋体" w:hAnsi="宋体" w:cs="Arial"/>
                <w:b w:val="0"/>
                <w:bCs/>
                <w:szCs w:val="21"/>
              </w:rPr>
            </w:pPr>
            <w:r>
              <w:rPr>
                <w:rFonts w:hint="eastAsia" w:ascii="宋体" w:hAnsi="宋体" w:cs="Arial"/>
                <w:b w:val="0"/>
                <w:bCs/>
                <w:szCs w:val="21"/>
              </w:rPr>
              <w:t>新建</w:t>
            </w:r>
          </w:p>
        </w:tc>
      </w:tr>
      <w:tr w14:paraId="44C24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9C4027F">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6</w:t>
            </w:r>
          </w:p>
        </w:tc>
        <w:tc>
          <w:tcPr>
            <w:tcW w:w="2448" w:type="dxa"/>
            <w:shd w:val="clear" w:color="auto" w:fill="auto"/>
            <w:vAlign w:val="center"/>
          </w:tcPr>
          <w:p w14:paraId="7FA0B167">
            <w:pPr>
              <w:jc w:val="center"/>
              <w:rPr>
                <w:rFonts w:ascii="宋体" w:hAnsi="宋体" w:cs="Arial"/>
                <w:b w:val="0"/>
                <w:bCs/>
                <w:szCs w:val="21"/>
              </w:rPr>
            </w:pPr>
            <w:r>
              <w:rPr>
                <w:rFonts w:hint="eastAsia" w:ascii="宋体" w:hAnsi="宋体" w:cs="Arial"/>
                <w:b w:val="0"/>
                <w:bCs/>
                <w:szCs w:val="21"/>
              </w:rPr>
              <w:t>制片中转</w:t>
            </w:r>
          </w:p>
        </w:tc>
        <w:tc>
          <w:tcPr>
            <w:tcW w:w="881" w:type="dxa"/>
            <w:shd w:val="clear" w:color="auto" w:fill="auto"/>
            <w:vAlign w:val="center"/>
          </w:tcPr>
          <w:p w14:paraId="52C2B28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1246E2E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47B317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525D75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7C2B2B1">
            <w:pPr>
              <w:jc w:val="center"/>
              <w:rPr>
                <w:rFonts w:ascii="宋体" w:hAnsi="宋体" w:cs="Arial"/>
                <w:b w:val="0"/>
                <w:bCs/>
                <w:szCs w:val="21"/>
              </w:rPr>
            </w:pPr>
          </w:p>
        </w:tc>
        <w:tc>
          <w:tcPr>
            <w:tcW w:w="998" w:type="dxa"/>
            <w:shd w:val="clear" w:color="auto" w:fill="auto"/>
            <w:vAlign w:val="center"/>
          </w:tcPr>
          <w:p w14:paraId="634E0FD5">
            <w:pPr>
              <w:jc w:val="center"/>
              <w:rPr>
                <w:rFonts w:ascii="宋体" w:hAnsi="宋体" w:cs="Arial"/>
                <w:b w:val="0"/>
                <w:bCs/>
                <w:szCs w:val="21"/>
              </w:rPr>
            </w:pPr>
            <w:r>
              <w:rPr>
                <w:rFonts w:hint="eastAsia" w:ascii="宋体" w:hAnsi="宋体" w:cs="Arial"/>
                <w:b w:val="0"/>
                <w:bCs/>
                <w:szCs w:val="21"/>
              </w:rPr>
              <w:t>新建</w:t>
            </w:r>
          </w:p>
        </w:tc>
      </w:tr>
      <w:tr w14:paraId="0FE40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D5A86D4">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7</w:t>
            </w:r>
          </w:p>
        </w:tc>
        <w:tc>
          <w:tcPr>
            <w:tcW w:w="2448" w:type="dxa"/>
            <w:shd w:val="clear" w:color="auto" w:fill="auto"/>
            <w:vAlign w:val="center"/>
          </w:tcPr>
          <w:p w14:paraId="44F35DB7">
            <w:pPr>
              <w:jc w:val="center"/>
              <w:rPr>
                <w:rFonts w:ascii="宋体" w:hAnsi="宋体" w:cs="Arial"/>
                <w:b w:val="0"/>
                <w:bCs/>
                <w:szCs w:val="21"/>
              </w:rPr>
            </w:pPr>
            <w:r>
              <w:rPr>
                <w:rFonts w:hint="eastAsia" w:ascii="宋体" w:hAnsi="宋体" w:cs="Arial"/>
                <w:b w:val="0"/>
                <w:bCs/>
                <w:szCs w:val="21"/>
              </w:rPr>
              <w:t>制片中转</w:t>
            </w:r>
          </w:p>
        </w:tc>
        <w:tc>
          <w:tcPr>
            <w:tcW w:w="881" w:type="dxa"/>
            <w:shd w:val="clear" w:color="auto" w:fill="auto"/>
            <w:vAlign w:val="center"/>
          </w:tcPr>
          <w:p w14:paraId="475F022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5.2</w:t>
            </w:r>
          </w:p>
        </w:tc>
        <w:tc>
          <w:tcPr>
            <w:tcW w:w="731" w:type="dxa"/>
            <w:shd w:val="clear" w:color="auto" w:fill="auto"/>
            <w:vAlign w:val="center"/>
          </w:tcPr>
          <w:p w14:paraId="22E1A53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58C5180">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331F7484">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8C5BDB3">
            <w:pPr>
              <w:jc w:val="center"/>
              <w:rPr>
                <w:rFonts w:ascii="宋体" w:hAnsi="宋体" w:cs="Arial"/>
                <w:b w:val="0"/>
                <w:bCs/>
                <w:szCs w:val="21"/>
              </w:rPr>
            </w:pPr>
          </w:p>
        </w:tc>
        <w:tc>
          <w:tcPr>
            <w:tcW w:w="998" w:type="dxa"/>
            <w:shd w:val="clear" w:color="auto" w:fill="auto"/>
            <w:vAlign w:val="center"/>
          </w:tcPr>
          <w:p w14:paraId="350B5C63">
            <w:pPr>
              <w:jc w:val="center"/>
              <w:rPr>
                <w:rFonts w:ascii="宋体" w:hAnsi="宋体" w:cs="Arial"/>
                <w:b w:val="0"/>
                <w:bCs/>
                <w:szCs w:val="21"/>
              </w:rPr>
            </w:pPr>
            <w:r>
              <w:rPr>
                <w:rFonts w:hint="eastAsia" w:ascii="宋体" w:hAnsi="宋体" w:cs="Arial"/>
                <w:b w:val="0"/>
                <w:bCs/>
                <w:szCs w:val="21"/>
              </w:rPr>
              <w:t>新建</w:t>
            </w:r>
          </w:p>
        </w:tc>
      </w:tr>
      <w:tr w14:paraId="610E7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AAFDAAB">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8</w:t>
            </w:r>
          </w:p>
        </w:tc>
        <w:tc>
          <w:tcPr>
            <w:tcW w:w="2448" w:type="dxa"/>
            <w:shd w:val="clear" w:color="auto" w:fill="auto"/>
            <w:vAlign w:val="center"/>
          </w:tcPr>
          <w:p w14:paraId="07649A95">
            <w:pPr>
              <w:jc w:val="center"/>
              <w:rPr>
                <w:rFonts w:ascii="宋体" w:hAnsi="宋体" w:cs="Arial"/>
                <w:b w:val="0"/>
                <w:bCs/>
                <w:szCs w:val="21"/>
              </w:rPr>
            </w:pPr>
            <w:r>
              <w:rPr>
                <w:rFonts w:hint="eastAsia" w:ascii="宋体" w:hAnsi="宋体" w:cs="Arial"/>
                <w:b w:val="0"/>
                <w:bCs/>
                <w:szCs w:val="21"/>
              </w:rPr>
              <w:t>片子中转</w:t>
            </w:r>
          </w:p>
        </w:tc>
        <w:tc>
          <w:tcPr>
            <w:tcW w:w="881" w:type="dxa"/>
            <w:shd w:val="clear" w:color="auto" w:fill="auto"/>
            <w:vAlign w:val="center"/>
          </w:tcPr>
          <w:p w14:paraId="398AEC0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218E386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816185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32B17EE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E5F2D73">
            <w:pPr>
              <w:jc w:val="center"/>
              <w:rPr>
                <w:rFonts w:ascii="宋体" w:hAnsi="宋体" w:cs="Arial"/>
                <w:b w:val="0"/>
                <w:bCs/>
                <w:szCs w:val="21"/>
              </w:rPr>
            </w:pPr>
          </w:p>
        </w:tc>
        <w:tc>
          <w:tcPr>
            <w:tcW w:w="998" w:type="dxa"/>
            <w:shd w:val="clear" w:color="auto" w:fill="auto"/>
            <w:vAlign w:val="center"/>
          </w:tcPr>
          <w:p w14:paraId="045F8F70">
            <w:pPr>
              <w:jc w:val="center"/>
              <w:rPr>
                <w:rFonts w:ascii="宋体" w:hAnsi="宋体" w:cs="Arial"/>
                <w:b w:val="0"/>
                <w:bCs/>
                <w:szCs w:val="21"/>
              </w:rPr>
            </w:pPr>
            <w:r>
              <w:rPr>
                <w:rFonts w:hint="eastAsia" w:ascii="宋体" w:hAnsi="宋体" w:cs="Arial"/>
                <w:b w:val="0"/>
                <w:bCs/>
                <w:szCs w:val="21"/>
              </w:rPr>
              <w:t>新建</w:t>
            </w:r>
          </w:p>
        </w:tc>
      </w:tr>
      <w:tr w14:paraId="6F71E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3C8390B">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9</w:t>
            </w:r>
          </w:p>
        </w:tc>
        <w:tc>
          <w:tcPr>
            <w:tcW w:w="2448" w:type="dxa"/>
            <w:shd w:val="clear" w:color="auto" w:fill="auto"/>
            <w:vAlign w:val="center"/>
          </w:tcPr>
          <w:p w14:paraId="33410D80">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61AFAB4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2B4BDE4D">
            <w:pPr>
              <w:jc w:val="center"/>
              <w:rPr>
                <w:rFonts w:ascii="宋体" w:hAnsi="宋体" w:cs="Arial"/>
                <w:b w:val="0"/>
                <w:bCs/>
                <w:szCs w:val="21"/>
              </w:rPr>
            </w:pPr>
          </w:p>
        </w:tc>
        <w:tc>
          <w:tcPr>
            <w:tcW w:w="1221" w:type="dxa"/>
            <w:shd w:val="clear" w:color="auto" w:fill="auto"/>
            <w:vAlign w:val="center"/>
          </w:tcPr>
          <w:p w14:paraId="189BF955">
            <w:pPr>
              <w:jc w:val="center"/>
              <w:rPr>
                <w:rFonts w:ascii="宋体" w:hAnsi="宋体" w:cs="Arial"/>
                <w:b w:val="0"/>
                <w:bCs/>
                <w:szCs w:val="21"/>
              </w:rPr>
            </w:pPr>
          </w:p>
        </w:tc>
        <w:tc>
          <w:tcPr>
            <w:tcW w:w="771" w:type="dxa"/>
            <w:shd w:val="clear" w:color="auto" w:fill="auto"/>
            <w:vAlign w:val="center"/>
          </w:tcPr>
          <w:p w14:paraId="32B8DEB0">
            <w:pPr>
              <w:jc w:val="center"/>
              <w:rPr>
                <w:rFonts w:ascii="宋体" w:hAnsi="宋体" w:cs="Arial"/>
                <w:b w:val="0"/>
                <w:bCs/>
                <w:szCs w:val="21"/>
              </w:rPr>
            </w:pPr>
          </w:p>
        </w:tc>
        <w:tc>
          <w:tcPr>
            <w:tcW w:w="930" w:type="dxa"/>
            <w:shd w:val="clear" w:color="auto" w:fill="auto"/>
            <w:vAlign w:val="center"/>
          </w:tcPr>
          <w:p w14:paraId="7943D13D">
            <w:pPr>
              <w:jc w:val="center"/>
              <w:rPr>
                <w:rFonts w:ascii="宋体" w:hAnsi="宋体" w:cs="Arial"/>
                <w:b w:val="0"/>
                <w:bCs/>
                <w:szCs w:val="21"/>
              </w:rPr>
            </w:pPr>
          </w:p>
        </w:tc>
        <w:tc>
          <w:tcPr>
            <w:tcW w:w="998" w:type="dxa"/>
            <w:shd w:val="clear" w:color="auto" w:fill="auto"/>
            <w:vAlign w:val="center"/>
          </w:tcPr>
          <w:p w14:paraId="39BF000E">
            <w:pPr>
              <w:jc w:val="center"/>
              <w:rPr>
                <w:rFonts w:ascii="宋体" w:hAnsi="宋体" w:cs="Arial"/>
                <w:b w:val="0"/>
                <w:bCs/>
                <w:szCs w:val="21"/>
              </w:rPr>
            </w:pPr>
            <w:r>
              <w:rPr>
                <w:rFonts w:hint="eastAsia" w:ascii="宋体" w:hAnsi="宋体" w:cs="Arial"/>
                <w:b w:val="0"/>
                <w:bCs/>
                <w:szCs w:val="21"/>
              </w:rPr>
              <w:t>新建</w:t>
            </w:r>
          </w:p>
        </w:tc>
      </w:tr>
      <w:tr w14:paraId="7802F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0844B28">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2448" w:type="dxa"/>
            <w:shd w:val="clear" w:color="auto" w:fill="auto"/>
            <w:vAlign w:val="center"/>
          </w:tcPr>
          <w:p w14:paraId="6E43DBBA">
            <w:pPr>
              <w:jc w:val="center"/>
              <w:rPr>
                <w:rFonts w:ascii="宋体" w:hAnsi="宋体" w:cs="Arial"/>
                <w:b w:val="0"/>
                <w:bCs/>
                <w:szCs w:val="21"/>
              </w:rPr>
            </w:pPr>
            <w:r>
              <w:rPr>
                <w:rFonts w:hint="eastAsia" w:ascii="宋体" w:hAnsi="宋体" w:cs="Arial"/>
                <w:b w:val="0"/>
                <w:bCs/>
                <w:szCs w:val="21"/>
              </w:rPr>
              <w:t>压药</w:t>
            </w:r>
          </w:p>
        </w:tc>
        <w:tc>
          <w:tcPr>
            <w:tcW w:w="881" w:type="dxa"/>
            <w:shd w:val="clear" w:color="auto" w:fill="auto"/>
            <w:vAlign w:val="center"/>
          </w:tcPr>
          <w:p w14:paraId="3C515021">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7.4</w:t>
            </w:r>
          </w:p>
        </w:tc>
        <w:tc>
          <w:tcPr>
            <w:tcW w:w="731" w:type="dxa"/>
            <w:shd w:val="clear" w:color="auto" w:fill="auto"/>
            <w:vAlign w:val="center"/>
          </w:tcPr>
          <w:p w14:paraId="167BD40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782332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771" w:type="dxa"/>
            <w:shd w:val="clear" w:color="auto" w:fill="auto"/>
            <w:vAlign w:val="center"/>
          </w:tcPr>
          <w:p w14:paraId="48F0A5B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31191A7">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640D9466">
            <w:pPr>
              <w:jc w:val="center"/>
              <w:rPr>
                <w:rFonts w:ascii="宋体" w:hAnsi="宋体" w:cs="Arial"/>
                <w:b w:val="0"/>
                <w:bCs/>
                <w:szCs w:val="21"/>
              </w:rPr>
            </w:pPr>
            <w:r>
              <w:rPr>
                <w:rFonts w:hint="eastAsia" w:ascii="宋体" w:hAnsi="宋体" w:cs="Arial"/>
                <w:b w:val="0"/>
                <w:bCs/>
                <w:szCs w:val="21"/>
              </w:rPr>
              <w:t>新建</w:t>
            </w:r>
          </w:p>
        </w:tc>
      </w:tr>
      <w:tr w14:paraId="18386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53DAFE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1</w:t>
            </w:r>
          </w:p>
        </w:tc>
        <w:tc>
          <w:tcPr>
            <w:tcW w:w="2448" w:type="dxa"/>
            <w:shd w:val="clear" w:color="auto" w:fill="auto"/>
            <w:vAlign w:val="center"/>
          </w:tcPr>
          <w:p w14:paraId="4A9161DE">
            <w:pPr>
              <w:jc w:val="center"/>
              <w:rPr>
                <w:rFonts w:ascii="宋体" w:hAnsi="宋体" w:cs="Arial"/>
                <w:b w:val="0"/>
                <w:bCs/>
                <w:szCs w:val="21"/>
              </w:rPr>
            </w:pPr>
            <w:r>
              <w:rPr>
                <w:rFonts w:hint="eastAsia" w:ascii="宋体" w:hAnsi="宋体" w:cs="Arial"/>
                <w:b w:val="0"/>
                <w:bCs/>
                <w:szCs w:val="21"/>
              </w:rPr>
              <w:t>油温机</w:t>
            </w:r>
          </w:p>
        </w:tc>
        <w:tc>
          <w:tcPr>
            <w:tcW w:w="881" w:type="dxa"/>
            <w:shd w:val="clear" w:color="auto" w:fill="auto"/>
            <w:vAlign w:val="center"/>
          </w:tcPr>
          <w:p w14:paraId="466469A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1535E3A4">
            <w:pPr>
              <w:jc w:val="center"/>
              <w:rPr>
                <w:rFonts w:ascii="宋体" w:hAnsi="宋体" w:cs="Arial"/>
                <w:b w:val="0"/>
                <w:bCs/>
                <w:szCs w:val="21"/>
              </w:rPr>
            </w:pPr>
          </w:p>
        </w:tc>
        <w:tc>
          <w:tcPr>
            <w:tcW w:w="1221" w:type="dxa"/>
            <w:shd w:val="clear" w:color="auto" w:fill="auto"/>
            <w:vAlign w:val="center"/>
          </w:tcPr>
          <w:p w14:paraId="4F6AD85A">
            <w:pPr>
              <w:jc w:val="center"/>
              <w:rPr>
                <w:rFonts w:ascii="宋体" w:hAnsi="宋体" w:cs="Arial"/>
                <w:b w:val="0"/>
                <w:bCs/>
                <w:szCs w:val="21"/>
              </w:rPr>
            </w:pPr>
          </w:p>
        </w:tc>
        <w:tc>
          <w:tcPr>
            <w:tcW w:w="771" w:type="dxa"/>
            <w:shd w:val="clear" w:color="auto" w:fill="auto"/>
            <w:vAlign w:val="center"/>
          </w:tcPr>
          <w:p w14:paraId="50FAE35D">
            <w:pPr>
              <w:jc w:val="center"/>
              <w:rPr>
                <w:rFonts w:ascii="宋体" w:hAnsi="宋体" w:cs="Arial"/>
                <w:b w:val="0"/>
                <w:bCs/>
                <w:szCs w:val="21"/>
              </w:rPr>
            </w:pPr>
          </w:p>
        </w:tc>
        <w:tc>
          <w:tcPr>
            <w:tcW w:w="930" w:type="dxa"/>
            <w:shd w:val="clear" w:color="auto" w:fill="auto"/>
            <w:vAlign w:val="center"/>
          </w:tcPr>
          <w:p w14:paraId="43F14B7D">
            <w:pPr>
              <w:jc w:val="center"/>
              <w:rPr>
                <w:rFonts w:ascii="宋体" w:hAnsi="宋体" w:cs="Arial"/>
                <w:b w:val="0"/>
                <w:bCs/>
                <w:szCs w:val="21"/>
              </w:rPr>
            </w:pPr>
          </w:p>
        </w:tc>
        <w:tc>
          <w:tcPr>
            <w:tcW w:w="998" w:type="dxa"/>
            <w:shd w:val="clear" w:color="auto" w:fill="auto"/>
            <w:vAlign w:val="center"/>
          </w:tcPr>
          <w:p w14:paraId="1AE9D90C">
            <w:pPr>
              <w:jc w:val="center"/>
              <w:rPr>
                <w:rFonts w:ascii="宋体" w:hAnsi="宋体" w:cs="Arial"/>
                <w:b w:val="0"/>
                <w:bCs/>
                <w:szCs w:val="21"/>
              </w:rPr>
            </w:pPr>
            <w:r>
              <w:rPr>
                <w:rFonts w:hint="eastAsia" w:ascii="宋体" w:hAnsi="宋体" w:cs="Arial"/>
                <w:b w:val="0"/>
                <w:bCs/>
                <w:szCs w:val="21"/>
              </w:rPr>
              <w:t>新建</w:t>
            </w:r>
          </w:p>
        </w:tc>
      </w:tr>
      <w:tr w14:paraId="7B1C0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679EC20">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2</w:t>
            </w:r>
          </w:p>
        </w:tc>
        <w:tc>
          <w:tcPr>
            <w:tcW w:w="2448" w:type="dxa"/>
            <w:shd w:val="clear" w:color="auto" w:fill="auto"/>
            <w:vAlign w:val="center"/>
          </w:tcPr>
          <w:p w14:paraId="4E646DD4">
            <w:pPr>
              <w:jc w:val="center"/>
              <w:rPr>
                <w:rFonts w:ascii="宋体" w:hAnsi="宋体" w:cs="Arial"/>
                <w:b w:val="0"/>
                <w:bCs/>
                <w:szCs w:val="21"/>
              </w:rPr>
            </w:pPr>
            <w:r>
              <w:rPr>
                <w:rFonts w:hint="eastAsia" w:ascii="宋体" w:hAnsi="宋体" w:cs="Arial"/>
                <w:b w:val="0"/>
                <w:bCs/>
                <w:szCs w:val="21"/>
              </w:rPr>
              <w:t>隐蔽室</w:t>
            </w:r>
          </w:p>
        </w:tc>
        <w:tc>
          <w:tcPr>
            <w:tcW w:w="881" w:type="dxa"/>
            <w:shd w:val="clear" w:color="auto" w:fill="auto"/>
            <w:vAlign w:val="center"/>
          </w:tcPr>
          <w:p w14:paraId="7DD62E8F">
            <w:pPr>
              <w:jc w:val="center"/>
              <w:rPr>
                <w:rFonts w:ascii="宋体" w:hAnsi="宋体" w:cs="Arial"/>
                <w:b w:val="0"/>
                <w:bCs/>
                <w:szCs w:val="21"/>
              </w:rPr>
            </w:pPr>
            <w:r>
              <w:rPr>
                <w:rFonts w:hint="eastAsia" w:ascii="宋体" w:hAnsi="宋体" w:cs="Arial"/>
                <w:b w:val="0"/>
                <w:bCs/>
                <w:szCs w:val="21"/>
              </w:rPr>
              <w:t>3</w:t>
            </w:r>
          </w:p>
        </w:tc>
        <w:tc>
          <w:tcPr>
            <w:tcW w:w="731" w:type="dxa"/>
            <w:shd w:val="clear" w:color="auto" w:fill="auto"/>
            <w:vAlign w:val="center"/>
          </w:tcPr>
          <w:p w14:paraId="1CC52E45">
            <w:pPr>
              <w:jc w:val="center"/>
              <w:rPr>
                <w:rFonts w:ascii="宋体" w:hAnsi="宋体" w:cs="Arial"/>
                <w:b w:val="0"/>
                <w:bCs/>
                <w:szCs w:val="21"/>
              </w:rPr>
            </w:pPr>
          </w:p>
        </w:tc>
        <w:tc>
          <w:tcPr>
            <w:tcW w:w="1221" w:type="dxa"/>
            <w:shd w:val="clear" w:color="auto" w:fill="auto"/>
            <w:vAlign w:val="center"/>
          </w:tcPr>
          <w:p w14:paraId="538CCC88">
            <w:pPr>
              <w:jc w:val="center"/>
              <w:rPr>
                <w:rFonts w:ascii="宋体" w:hAnsi="宋体" w:cs="Arial"/>
                <w:b w:val="0"/>
                <w:bCs/>
                <w:szCs w:val="21"/>
              </w:rPr>
            </w:pPr>
          </w:p>
        </w:tc>
        <w:tc>
          <w:tcPr>
            <w:tcW w:w="771" w:type="dxa"/>
            <w:shd w:val="clear" w:color="auto" w:fill="auto"/>
            <w:vAlign w:val="center"/>
          </w:tcPr>
          <w:p w14:paraId="5B8F5179">
            <w:pPr>
              <w:jc w:val="center"/>
              <w:rPr>
                <w:rFonts w:ascii="宋体" w:hAnsi="宋体" w:cs="Arial"/>
                <w:b w:val="0"/>
                <w:bCs/>
                <w:szCs w:val="21"/>
              </w:rPr>
            </w:pPr>
          </w:p>
        </w:tc>
        <w:tc>
          <w:tcPr>
            <w:tcW w:w="930" w:type="dxa"/>
            <w:shd w:val="clear" w:color="auto" w:fill="auto"/>
            <w:vAlign w:val="center"/>
          </w:tcPr>
          <w:p w14:paraId="24358785">
            <w:pPr>
              <w:jc w:val="center"/>
              <w:rPr>
                <w:rFonts w:ascii="宋体" w:hAnsi="宋体" w:cs="Arial"/>
                <w:b w:val="0"/>
                <w:bCs/>
                <w:szCs w:val="21"/>
              </w:rPr>
            </w:pPr>
          </w:p>
        </w:tc>
        <w:tc>
          <w:tcPr>
            <w:tcW w:w="998" w:type="dxa"/>
            <w:shd w:val="clear" w:color="auto" w:fill="auto"/>
            <w:vAlign w:val="center"/>
          </w:tcPr>
          <w:p w14:paraId="349CB6C2">
            <w:pPr>
              <w:jc w:val="center"/>
              <w:rPr>
                <w:rFonts w:ascii="宋体" w:hAnsi="宋体" w:cs="Arial"/>
                <w:b w:val="0"/>
                <w:bCs/>
                <w:szCs w:val="21"/>
              </w:rPr>
            </w:pPr>
            <w:r>
              <w:rPr>
                <w:rFonts w:hint="eastAsia" w:ascii="宋体" w:hAnsi="宋体" w:cs="Arial"/>
                <w:b w:val="0"/>
                <w:bCs/>
                <w:szCs w:val="21"/>
              </w:rPr>
              <w:t>新建</w:t>
            </w:r>
          </w:p>
        </w:tc>
      </w:tr>
      <w:tr w14:paraId="4D5712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D741AB7">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3</w:t>
            </w:r>
          </w:p>
        </w:tc>
        <w:tc>
          <w:tcPr>
            <w:tcW w:w="2448" w:type="dxa"/>
            <w:shd w:val="clear" w:color="auto" w:fill="auto"/>
            <w:vAlign w:val="center"/>
          </w:tcPr>
          <w:p w14:paraId="6A31DEAE">
            <w:pPr>
              <w:jc w:val="center"/>
              <w:rPr>
                <w:rFonts w:ascii="宋体" w:hAnsi="宋体" w:cs="Arial"/>
                <w:b w:val="0"/>
                <w:bCs/>
                <w:szCs w:val="21"/>
              </w:rPr>
            </w:pPr>
            <w:r>
              <w:rPr>
                <w:rFonts w:hint="eastAsia" w:ascii="宋体" w:hAnsi="宋体" w:cs="Arial"/>
                <w:b w:val="0"/>
                <w:bCs/>
                <w:szCs w:val="21"/>
              </w:rPr>
              <w:t>凉片</w:t>
            </w:r>
          </w:p>
        </w:tc>
        <w:tc>
          <w:tcPr>
            <w:tcW w:w="881" w:type="dxa"/>
            <w:shd w:val="clear" w:color="auto" w:fill="auto"/>
            <w:vAlign w:val="center"/>
          </w:tcPr>
          <w:p w14:paraId="1638B153">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w:t>
            </w:r>
          </w:p>
        </w:tc>
        <w:tc>
          <w:tcPr>
            <w:tcW w:w="731" w:type="dxa"/>
            <w:shd w:val="clear" w:color="auto" w:fill="auto"/>
            <w:vAlign w:val="center"/>
          </w:tcPr>
          <w:p w14:paraId="17F7772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BA2B6EA">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771" w:type="dxa"/>
            <w:shd w:val="clear" w:color="auto" w:fill="auto"/>
            <w:vAlign w:val="center"/>
          </w:tcPr>
          <w:p w14:paraId="7C4FD4C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DA27863">
            <w:pPr>
              <w:jc w:val="center"/>
              <w:rPr>
                <w:rFonts w:ascii="宋体" w:hAnsi="宋体" w:cs="Arial"/>
                <w:b w:val="0"/>
                <w:bCs/>
                <w:szCs w:val="21"/>
              </w:rPr>
            </w:pPr>
          </w:p>
        </w:tc>
        <w:tc>
          <w:tcPr>
            <w:tcW w:w="998" w:type="dxa"/>
            <w:shd w:val="clear" w:color="auto" w:fill="auto"/>
            <w:vAlign w:val="center"/>
          </w:tcPr>
          <w:p w14:paraId="7CF13A50">
            <w:pPr>
              <w:jc w:val="center"/>
              <w:rPr>
                <w:rFonts w:ascii="宋体" w:hAnsi="宋体" w:cs="Arial"/>
                <w:b w:val="0"/>
                <w:bCs/>
                <w:szCs w:val="21"/>
              </w:rPr>
            </w:pPr>
            <w:r>
              <w:rPr>
                <w:rFonts w:hint="eastAsia" w:ascii="宋体" w:hAnsi="宋体" w:cs="Arial"/>
                <w:b w:val="0"/>
                <w:bCs/>
                <w:szCs w:val="21"/>
              </w:rPr>
              <w:t>新建</w:t>
            </w:r>
          </w:p>
        </w:tc>
      </w:tr>
      <w:tr w14:paraId="2AFD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0788F7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4</w:t>
            </w:r>
          </w:p>
        </w:tc>
        <w:tc>
          <w:tcPr>
            <w:tcW w:w="2448" w:type="dxa"/>
            <w:shd w:val="clear" w:color="auto" w:fill="auto"/>
            <w:vAlign w:val="center"/>
          </w:tcPr>
          <w:p w14:paraId="4C23EDDE">
            <w:pPr>
              <w:jc w:val="center"/>
              <w:rPr>
                <w:rFonts w:ascii="宋体" w:hAnsi="宋体" w:cs="Arial"/>
                <w:b w:val="0"/>
                <w:bCs/>
                <w:szCs w:val="21"/>
              </w:rPr>
            </w:pPr>
            <w:r>
              <w:rPr>
                <w:rFonts w:hint="eastAsia" w:ascii="宋体" w:hAnsi="宋体" w:cs="Arial"/>
                <w:b w:val="0"/>
                <w:bCs/>
                <w:szCs w:val="21"/>
              </w:rPr>
              <w:t>凉片</w:t>
            </w:r>
          </w:p>
        </w:tc>
        <w:tc>
          <w:tcPr>
            <w:tcW w:w="881" w:type="dxa"/>
            <w:shd w:val="clear" w:color="auto" w:fill="auto"/>
            <w:vAlign w:val="center"/>
          </w:tcPr>
          <w:p w14:paraId="1969353E">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w:t>
            </w:r>
          </w:p>
        </w:tc>
        <w:tc>
          <w:tcPr>
            <w:tcW w:w="731" w:type="dxa"/>
            <w:shd w:val="clear" w:color="auto" w:fill="auto"/>
            <w:vAlign w:val="center"/>
          </w:tcPr>
          <w:p w14:paraId="742C4BF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26AFE4C">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771" w:type="dxa"/>
            <w:shd w:val="clear" w:color="auto" w:fill="auto"/>
            <w:vAlign w:val="center"/>
          </w:tcPr>
          <w:p w14:paraId="3DAA9309">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3D7898C">
            <w:pPr>
              <w:jc w:val="center"/>
              <w:rPr>
                <w:rFonts w:ascii="宋体" w:hAnsi="宋体" w:cs="Arial"/>
                <w:b w:val="0"/>
                <w:bCs/>
                <w:szCs w:val="21"/>
              </w:rPr>
            </w:pPr>
          </w:p>
        </w:tc>
        <w:tc>
          <w:tcPr>
            <w:tcW w:w="998" w:type="dxa"/>
            <w:shd w:val="clear" w:color="auto" w:fill="auto"/>
            <w:vAlign w:val="center"/>
          </w:tcPr>
          <w:p w14:paraId="0EC4B26E">
            <w:pPr>
              <w:jc w:val="center"/>
              <w:rPr>
                <w:rFonts w:ascii="宋体" w:hAnsi="宋体" w:cs="Arial"/>
                <w:b w:val="0"/>
                <w:bCs/>
                <w:szCs w:val="21"/>
              </w:rPr>
            </w:pPr>
            <w:r>
              <w:rPr>
                <w:rFonts w:hint="eastAsia" w:ascii="宋体" w:hAnsi="宋体" w:cs="Arial"/>
                <w:b w:val="0"/>
                <w:bCs/>
                <w:szCs w:val="21"/>
              </w:rPr>
              <w:t>新建</w:t>
            </w:r>
          </w:p>
        </w:tc>
      </w:tr>
      <w:tr w14:paraId="4A5D1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5FBE155">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5</w:t>
            </w:r>
          </w:p>
        </w:tc>
        <w:tc>
          <w:tcPr>
            <w:tcW w:w="2448" w:type="dxa"/>
            <w:shd w:val="clear" w:color="auto" w:fill="auto"/>
            <w:vAlign w:val="center"/>
          </w:tcPr>
          <w:p w14:paraId="0B007703">
            <w:pPr>
              <w:jc w:val="center"/>
              <w:rPr>
                <w:rFonts w:ascii="宋体" w:hAnsi="宋体" w:cs="Arial"/>
                <w:b w:val="0"/>
                <w:bCs/>
                <w:szCs w:val="21"/>
              </w:rPr>
            </w:pPr>
            <w:r>
              <w:rPr>
                <w:rFonts w:hint="eastAsia" w:ascii="宋体" w:hAnsi="宋体" w:cs="Arial"/>
                <w:b w:val="0"/>
                <w:bCs/>
                <w:szCs w:val="21"/>
              </w:rPr>
              <w:t>凉片中转</w:t>
            </w:r>
          </w:p>
        </w:tc>
        <w:tc>
          <w:tcPr>
            <w:tcW w:w="881" w:type="dxa"/>
            <w:shd w:val="clear" w:color="auto" w:fill="auto"/>
            <w:vAlign w:val="center"/>
          </w:tcPr>
          <w:p w14:paraId="2BE26E9B">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28B9F2D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0A62DB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0233EEB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D59AF49">
            <w:pPr>
              <w:jc w:val="center"/>
              <w:rPr>
                <w:rFonts w:ascii="宋体" w:hAnsi="宋体" w:cs="Arial"/>
                <w:b w:val="0"/>
                <w:bCs/>
                <w:szCs w:val="21"/>
              </w:rPr>
            </w:pPr>
          </w:p>
        </w:tc>
        <w:tc>
          <w:tcPr>
            <w:tcW w:w="998" w:type="dxa"/>
            <w:shd w:val="clear" w:color="auto" w:fill="auto"/>
            <w:vAlign w:val="center"/>
          </w:tcPr>
          <w:p w14:paraId="14A64977">
            <w:pPr>
              <w:jc w:val="center"/>
              <w:rPr>
                <w:rFonts w:ascii="宋体" w:hAnsi="宋体" w:cs="Arial"/>
                <w:b w:val="0"/>
                <w:bCs/>
                <w:szCs w:val="21"/>
              </w:rPr>
            </w:pPr>
            <w:r>
              <w:rPr>
                <w:rFonts w:hint="eastAsia" w:ascii="宋体" w:hAnsi="宋体" w:cs="Arial"/>
                <w:b w:val="0"/>
                <w:bCs/>
                <w:szCs w:val="21"/>
              </w:rPr>
              <w:t>新建</w:t>
            </w:r>
          </w:p>
        </w:tc>
      </w:tr>
      <w:tr w14:paraId="25783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18B7BD6">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6</w:t>
            </w:r>
          </w:p>
        </w:tc>
        <w:tc>
          <w:tcPr>
            <w:tcW w:w="2448" w:type="dxa"/>
            <w:shd w:val="clear" w:color="auto" w:fill="auto"/>
            <w:vAlign w:val="center"/>
          </w:tcPr>
          <w:p w14:paraId="0F1AC42B">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10E4702E">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26B03DEC">
            <w:pPr>
              <w:jc w:val="center"/>
              <w:rPr>
                <w:rFonts w:ascii="宋体" w:hAnsi="宋体" w:cs="Arial"/>
                <w:b w:val="0"/>
                <w:bCs/>
                <w:szCs w:val="21"/>
              </w:rPr>
            </w:pPr>
          </w:p>
        </w:tc>
        <w:tc>
          <w:tcPr>
            <w:tcW w:w="1221" w:type="dxa"/>
            <w:shd w:val="clear" w:color="auto" w:fill="auto"/>
            <w:vAlign w:val="center"/>
          </w:tcPr>
          <w:p w14:paraId="52445CD4">
            <w:pPr>
              <w:jc w:val="center"/>
              <w:rPr>
                <w:rFonts w:ascii="宋体" w:hAnsi="宋体" w:cs="Arial"/>
                <w:b w:val="0"/>
                <w:bCs/>
                <w:szCs w:val="21"/>
              </w:rPr>
            </w:pPr>
          </w:p>
        </w:tc>
        <w:tc>
          <w:tcPr>
            <w:tcW w:w="771" w:type="dxa"/>
            <w:shd w:val="clear" w:color="auto" w:fill="auto"/>
            <w:vAlign w:val="center"/>
          </w:tcPr>
          <w:p w14:paraId="23A9FF8B">
            <w:pPr>
              <w:jc w:val="center"/>
              <w:rPr>
                <w:rFonts w:ascii="宋体" w:hAnsi="宋体" w:cs="Arial"/>
                <w:b w:val="0"/>
                <w:bCs/>
                <w:szCs w:val="21"/>
              </w:rPr>
            </w:pPr>
          </w:p>
        </w:tc>
        <w:tc>
          <w:tcPr>
            <w:tcW w:w="930" w:type="dxa"/>
            <w:shd w:val="clear" w:color="auto" w:fill="auto"/>
            <w:vAlign w:val="center"/>
          </w:tcPr>
          <w:p w14:paraId="4BBD38C2">
            <w:pPr>
              <w:jc w:val="center"/>
              <w:rPr>
                <w:rFonts w:ascii="宋体" w:hAnsi="宋体" w:cs="Arial"/>
                <w:b w:val="0"/>
                <w:bCs/>
                <w:szCs w:val="21"/>
              </w:rPr>
            </w:pPr>
          </w:p>
        </w:tc>
        <w:tc>
          <w:tcPr>
            <w:tcW w:w="998" w:type="dxa"/>
            <w:shd w:val="clear" w:color="auto" w:fill="auto"/>
            <w:vAlign w:val="center"/>
          </w:tcPr>
          <w:p w14:paraId="35374C55">
            <w:pPr>
              <w:jc w:val="center"/>
              <w:rPr>
                <w:rFonts w:ascii="宋体" w:hAnsi="宋体" w:cs="Arial"/>
                <w:b w:val="0"/>
                <w:bCs/>
                <w:szCs w:val="21"/>
              </w:rPr>
            </w:pPr>
            <w:r>
              <w:rPr>
                <w:rFonts w:hint="eastAsia" w:ascii="宋体" w:hAnsi="宋体" w:cs="Arial"/>
                <w:b w:val="0"/>
                <w:bCs/>
                <w:szCs w:val="21"/>
              </w:rPr>
              <w:t>新建</w:t>
            </w:r>
          </w:p>
        </w:tc>
      </w:tr>
      <w:tr w14:paraId="7FB56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0863FC7">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7</w:t>
            </w:r>
          </w:p>
        </w:tc>
        <w:tc>
          <w:tcPr>
            <w:tcW w:w="2448" w:type="dxa"/>
            <w:shd w:val="clear" w:color="auto" w:fill="auto"/>
            <w:vAlign w:val="center"/>
          </w:tcPr>
          <w:p w14:paraId="09495EE2">
            <w:pPr>
              <w:jc w:val="center"/>
              <w:rPr>
                <w:rFonts w:ascii="宋体" w:hAnsi="宋体" w:cs="Arial"/>
                <w:b w:val="0"/>
                <w:bCs/>
                <w:szCs w:val="21"/>
              </w:rPr>
            </w:pPr>
            <w:r>
              <w:rPr>
                <w:rFonts w:hint="eastAsia" w:ascii="宋体" w:hAnsi="宋体" w:cs="Arial"/>
                <w:b w:val="0"/>
                <w:bCs/>
                <w:szCs w:val="21"/>
              </w:rPr>
              <w:t>造粒</w:t>
            </w:r>
          </w:p>
        </w:tc>
        <w:tc>
          <w:tcPr>
            <w:tcW w:w="881" w:type="dxa"/>
            <w:shd w:val="clear" w:color="auto" w:fill="auto"/>
            <w:vAlign w:val="center"/>
          </w:tcPr>
          <w:p w14:paraId="5EC9B04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97</w:t>
            </w:r>
          </w:p>
        </w:tc>
        <w:tc>
          <w:tcPr>
            <w:tcW w:w="731" w:type="dxa"/>
            <w:shd w:val="clear" w:color="auto" w:fill="auto"/>
            <w:vAlign w:val="center"/>
          </w:tcPr>
          <w:p w14:paraId="7A7DA6F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17BD4AF">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469B0DD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56E1FBC">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CC43F19">
            <w:pPr>
              <w:jc w:val="center"/>
              <w:rPr>
                <w:rFonts w:ascii="宋体" w:hAnsi="宋体" w:cs="Arial"/>
                <w:b w:val="0"/>
                <w:bCs/>
                <w:szCs w:val="21"/>
              </w:rPr>
            </w:pPr>
            <w:r>
              <w:rPr>
                <w:rFonts w:hint="eastAsia" w:ascii="宋体" w:hAnsi="宋体" w:cs="Arial"/>
                <w:b w:val="0"/>
                <w:bCs/>
                <w:szCs w:val="21"/>
              </w:rPr>
              <w:t>新建</w:t>
            </w:r>
          </w:p>
        </w:tc>
      </w:tr>
      <w:tr w14:paraId="3D9D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D326301">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8</w:t>
            </w:r>
          </w:p>
        </w:tc>
        <w:tc>
          <w:tcPr>
            <w:tcW w:w="2448" w:type="dxa"/>
            <w:shd w:val="clear" w:color="auto" w:fill="auto"/>
            <w:vAlign w:val="center"/>
          </w:tcPr>
          <w:p w14:paraId="410D0630">
            <w:pPr>
              <w:jc w:val="center"/>
              <w:rPr>
                <w:rFonts w:ascii="宋体" w:hAnsi="宋体" w:cs="Arial"/>
                <w:b w:val="0"/>
                <w:bCs/>
                <w:szCs w:val="21"/>
              </w:rPr>
            </w:pPr>
            <w:r>
              <w:rPr>
                <w:rFonts w:hint="eastAsia" w:ascii="宋体" w:hAnsi="宋体" w:cs="Arial"/>
                <w:b w:val="0"/>
                <w:bCs/>
                <w:szCs w:val="21"/>
              </w:rPr>
              <w:t>隐蔽室</w:t>
            </w:r>
          </w:p>
        </w:tc>
        <w:tc>
          <w:tcPr>
            <w:tcW w:w="881" w:type="dxa"/>
            <w:shd w:val="clear" w:color="auto" w:fill="auto"/>
            <w:vAlign w:val="center"/>
          </w:tcPr>
          <w:p w14:paraId="2BB33DC6">
            <w:pPr>
              <w:jc w:val="center"/>
              <w:rPr>
                <w:rFonts w:ascii="宋体" w:hAnsi="宋体" w:cs="Arial"/>
                <w:b w:val="0"/>
                <w:bCs/>
                <w:szCs w:val="21"/>
              </w:rPr>
            </w:pPr>
            <w:r>
              <w:rPr>
                <w:rFonts w:hint="eastAsia" w:ascii="宋体" w:hAnsi="宋体" w:cs="Arial"/>
                <w:b w:val="0"/>
                <w:bCs/>
                <w:szCs w:val="21"/>
              </w:rPr>
              <w:t>5</w:t>
            </w:r>
          </w:p>
        </w:tc>
        <w:tc>
          <w:tcPr>
            <w:tcW w:w="731" w:type="dxa"/>
            <w:shd w:val="clear" w:color="auto" w:fill="auto"/>
            <w:vAlign w:val="center"/>
          </w:tcPr>
          <w:p w14:paraId="1655A2B5">
            <w:pPr>
              <w:jc w:val="center"/>
              <w:rPr>
                <w:rFonts w:ascii="宋体" w:hAnsi="宋体" w:cs="Arial"/>
                <w:b w:val="0"/>
                <w:bCs/>
                <w:szCs w:val="21"/>
              </w:rPr>
            </w:pPr>
          </w:p>
        </w:tc>
        <w:tc>
          <w:tcPr>
            <w:tcW w:w="1221" w:type="dxa"/>
            <w:shd w:val="clear" w:color="auto" w:fill="auto"/>
            <w:vAlign w:val="center"/>
          </w:tcPr>
          <w:p w14:paraId="6E4FC20F">
            <w:pPr>
              <w:jc w:val="center"/>
              <w:rPr>
                <w:rFonts w:ascii="宋体" w:hAnsi="宋体" w:cs="Arial"/>
                <w:b w:val="0"/>
                <w:bCs/>
                <w:szCs w:val="21"/>
              </w:rPr>
            </w:pPr>
          </w:p>
        </w:tc>
        <w:tc>
          <w:tcPr>
            <w:tcW w:w="771" w:type="dxa"/>
            <w:shd w:val="clear" w:color="auto" w:fill="auto"/>
            <w:vAlign w:val="center"/>
          </w:tcPr>
          <w:p w14:paraId="04D49E28">
            <w:pPr>
              <w:jc w:val="center"/>
              <w:rPr>
                <w:rFonts w:ascii="宋体" w:hAnsi="宋体" w:cs="Arial"/>
                <w:b w:val="0"/>
                <w:bCs/>
                <w:szCs w:val="21"/>
              </w:rPr>
            </w:pPr>
          </w:p>
        </w:tc>
        <w:tc>
          <w:tcPr>
            <w:tcW w:w="930" w:type="dxa"/>
            <w:shd w:val="clear" w:color="auto" w:fill="auto"/>
            <w:vAlign w:val="center"/>
          </w:tcPr>
          <w:p w14:paraId="6BC41CCD">
            <w:pPr>
              <w:jc w:val="center"/>
              <w:rPr>
                <w:rFonts w:ascii="宋体" w:hAnsi="宋体" w:cs="Arial"/>
                <w:b w:val="0"/>
                <w:bCs/>
                <w:szCs w:val="21"/>
              </w:rPr>
            </w:pPr>
          </w:p>
        </w:tc>
        <w:tc>
          <w:tcPr>
            <w:tcW w:w="998" w:type="dxa"/>
            <w:shd w:val="clear" w:color="auto" w:fill="auto"/>
            <w:vAlign w:val="center"/>
          </w:tcPr>
          <w:p w14:paraId="5D91CE1F">
            <w:pPr>
              <w:jc w:val="center"/>
              <w:rPr>
                <w:rFonts w:ascii="宋体" w:hAnsi="宋体" w:cs="Arial"/>
                <w:b w:val="0"/>
                <w:bCs/>
                <w:szCs w:val="21"/>
              </w:rPr>
            </w:pPr>
            <w:r>
              <w:rPr>
                <w:rFonts w:hint="eastAsia" w:ascii="宋体" w:hAnsi="宋体" w:cs="Arial"/>
                <w:b w:val="0"/>
                <w:bCs/>
                <w:szCs w:val="21"/>
              </w:rPr>
              <w:t>新建</w:t>
            </w:r>
          </w:p>
        </w:tc>
      </w:tr>
      <w:tr w14:paraId="5B9A3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883105B">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9</w:t>
            </w:r>
          </w:p>
        </w:tc>
        <w:tc>
          <w:tcPr>
            <w:tcW w:w="2448" w:type="dxa"/>
            <w:shd w:val="clear" w:color="auto" w:fill="auto"/>
            <w:vAlign w:val="center"/>
          </w:tcPr>
          <w:p w14:paraId="371761BB">
            <w:pPr>
              <w:jc w:val="center"/>
              <w:rPr>
                <w:rFonts w:ascii="宋体" w:hAnsi="宋体" w:cs="Arial"/>
                <w:b w:val="0"/>
                <w:bCs/>
                <w:szCs w:val="21"/>
              </w:rPr>
            </w:pPr>
            <w:r>
              <w:rPr>
                <w:rFonts w:hint="eastAsia" w:ascii="宋体" w:hAnsi="宋体" w:cs="Arial"/>
                <w:b w:val="0"/>
                <w:bCs/>
                <w:szCs w:val="21"/>
              </w:rPr>
              <w:t>造粒中转</w:t>
            </w:r>
          </w:p>
        </w:tc>
        <w:tc>
          <w:tcPr>
            <w:tcW w:w="881" w:type="dxa"/>
            <w:shd w:val="clear" w:color="auto" w:fill="auto"/>
            <w:vAlign w:val="center"/>
          </w:tcPr>
          <w:p w14:paraId="170D0147">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31" w:type="dxa"/>
            <w:shd w:val="clear" w:color="auto" w:fill="auto"/>
            <w:vAlign w:val="center"/>
          </w:tcPr>
          <w:p w14:paraId="68F6B91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C26847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CB4810D">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3C7B5ED">
            <w:pPr>
              <w:jc w:val="center"/>
              <w:rPr>
                <w:rFonts w:ascii="宋体" w:hAnsi="宋体" w:cs="Arial"/>
                <w:b w:val="0"/>
                <w:bCs/>
                <w:szCs w:val="21"/>
              </w:rPr>
            </w:pPr>
          </w:p>
        </w:tc>
        <w:tc>
          <w:tcPr>
            <w:tcW w:w="998" w:type="dxa"/>
            <w:shd w:val="clear" w:color="auto" w:fill="auto"/>
            <w:vAlign w:val="center"/>
          </w:tcPr>
          <w:p w14:paraId="5F9B15A5">
            <w:pPr>
              <w:jc w:val="center"/>
              <w:rPr>
                <w:rFonts w:ascii="宋体" w:hAnsi="宋体" w:cs="Arial"/>
                <w:b w:val="0"/>
                <w:bCs/>
                <w:szCs w:val="21"/>
              </w:rPr>
            </w:pPr>
            <w:r>
              <w:rPr>
                <w:rFonts w:hint="eastAsia" w:ascii="宋体" w:hAnsi="宋体" w:cs="Arial"/>
                <w:b w:val="0"/>
                <w:bCs/>
                <w:szCs w:val="21"/>
              </w:rPr>
              <w:t>新建</w:t>
            </w:r>
          </w:p>
        </w:tc>
      </w:tr>
      <w:tr w14:paraId="4341AE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76BBCDE">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0</w:t>
            </w:r>
          </w:p>
        </w:tc>
        <w:tc>
          <w:tcPr>
            <w:tcW w:w="2448" w:type="dxa"/>
            <w:shd w:val="clear" w:color="auto" w:fill="auto"/>
            <w:vAlign w:val="center"/>
          </w:tcPr>
          <w:p w14:paraId="0B397D26">
            <w:pPr>
              <w:jc w:val="center"/>
              <w:rPr>
                <w:rFonts w:ascii="宋体" w:hAnsi="宋体" w:cs="Arial"/>
                <w:b w:val="0"/>
                <w:bCs/>
                <w:szCs w:val="21"/>
              </w:rPr>
            </w:pPr>
            <w:r>
              <w:rPr>
                <w:rFonts w:hint="eastAsia" w:ascii="宋体" w:hAnsi="宋体" w:cs="Arial"/>
                <w:b w:val="0"/>
                <w:bCs/>
                <w:szCs w:val="21"/>
              </w:rPr>
              <w:t>造粒中转</w:t>
            </w:r>
          </w:p>
        </w:tc>
        <w:tc>
          <w:tcPr>
            <w:tcW w:w="881" w:type="dxa"/>
            <w:shd w:val="clear" w:color="auto" w:fill="auto"/>
            <w:vAlign w:val="center"/>
          </w:tcPr>
          <w:p w14:paraId="3782CEE1">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31" w:type="dxa"/>
            <w:shd w:val="clear" w:color="auto" w:fill="auto"/>
            <w:vAlign w:val="center"/>
          </w:tcPr>
          <w:p w14:paraId="304770C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FBEFA8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1C9E04A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5246A6E">
            <w:pPr>
              <w:jc w:val="center"/>
              <w:rPr>
                <w:rFonts w:ascii="宋体" w:hAnsi="宋体" w:cs="Arial"/>
                <w:b w:val="0"/>
                <w:bCs/>
                <w:szCs w:val="21"/>
              </w:rPr>
            </w:pPr>
          </w:p>
        </w:tc>
        <w:tc>
          <w:tcPr>
            <w:tcW w:w="998" w:type="dxa"/>
            <w:shd w:val="clear" w:color="auto" w:fill="auto"/>
            <w:vAlign w:val="center"/>
          </w:tcPr>
          <w:p w14:paraId="1113E4EA">
            <w:pPr>
              <w:jc w:val="center"/>
              <w:rPr>
                <w:rFonts w:ascii="宋体" w:hAnsi="宋体" w:cs="Arial"/>
                <w:b w:val="0"/>
                <w:bCs/>
                <w:szCs w:val="21"/>
              </w:rPr>
            </w:pPr>
            <w:r>
              <w:rPr>
                <w:rFonts w:hint="eastAsia" w:ascii="宋体" w:hAnsi="宋体" w:cs="Arial"/>
                <w:b w:val="0"/>
                <w:bCs/>
                <w:szCs w:val="21"/>
              </w:rPr>
              <w:t>新建</w:t>
            </w:r>
          </w:p>
        </w:tc>
      </w:tr>
      <w:tr w14:paraId="7427D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9D67870">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1</w:t>
            </w:r>
          </w:p>
        </w:tc>
        <w:tc>
          <w:tcPr>
            <w:tcW w:w="2448" w:type="dxa"/>
            <w:shd w:val="clear" w:color="auto" w:fill="auto"/>
            <w:vAlign w:val="center"/>
          </w:tcPr>
          <w:p w14:paraId="43D741DF">
            <w:pPr>
              <w:jc w:val="center"/>
              <w:rPr>
                <w:rFonts w:ascii="宋体" w:hAnsi="宋体" w:cs="Arial"/>
                <w:b w:val="0"/>
                <w:bCs/>
                <w:szCs w:val="21"/>
              </w:rPr>
            </w:pPr>
            <w:r>
              <w:rPr>
                <w:rFonts w:hint="eastAsia" w:ascii="宋体" w:hAnsi="宋体" w:cs="Arial"/>
                <w:b w:val="0"/>
                <w:bCs/>
                <w:szCs w:val="21"/>
              </w:rPr>
              <w:t>造粒中转</w:t>
            </w:r>
          </w:p>
        </w:tc>
        <w:tc>
          <w:tcPr>
            <w:tcW w:w="881" w:type="dxa"/>
            <w:shd w:val="clear" w:color="auto" w:fill="auto"/>
            <w:vAlign w:val="center"/>
          </w:tcPr>
          <w:p w14:paraId="3406D20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31" w:type="dxa"/>
            <w:shd w:val="clear" w:color="auto" w:fill="auto"/>
            <w:vAlign w:val="center"/>
          </w:tcPr>
          <w:p w14:paraId="04B4B52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3968C1C">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6189DA1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07FE4D2">
            <w:pPr>
              <w:jc w:val="center"/>
              <w:rPr>
                <w:rFonts w:ascii="宋体" w:hAnsi="宋体" w:cs="Arial"/>
                <w:b w:val="0"/>
                <w:bCs/>
                <w:szCs w:val="21"/>
              </w:rPr>
            </w:pPr>
          </w:p>
        </w:tc>
        <w:tc>
          <w:tcPr>
            <w:tcW w:w="998" w:type="dxa"/>
            <w:shd w:val="clear" w:color="auto" w:fill="auto"/>
            <w:vAlign w:val="center"/>
          </w:tcPr>
          <w:p w14:paraId="4579FE91">
            <w:pPr>
              <w:jc w:val="center"/>
              <w:rPr>
                <w:rFonts w:ascii="宋体" w:hAnsi="宋体" w:cs="Arial"/>
                <w:b w:val="0"/>
                <w:bCs/>
                <w:szCs w:val="21"/>
              </w:rPr>
            </w:pPr>
            <w:r>
              <w:rPr>
                <w:rFonts w:hint="eastAsia" w:ascii="宋体" w:hAnsi="宋体" w:cs="Arial"/>
                <w:b w:val="0"/>
                <w:bCs/>
                <w:szCs w:val="21"/>
              </w:rPr>
              <w:t>新建</w:t>
            </w:r>
          </w:p>
        </w:tc>
      </w:tr>
      <w:tr w14:paraId="4289C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7477EFB">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2</w:t>
            </w:r>
          </w:p>
        </w:tc>
        <w:tc>
          <w:tcPr>
            <w:tcW w:w="2448" w:type="dxa"/>
            <w:shd w:val="clear" w:color="auto" w:fill="auto"/>
            <w:vAlign w:val="center"/>
          </w:tcPr>
          <w:p w14:paraId="4CDF238C">
            <w:pPr>
              <w:jc w:val="center"/>
              <w:rPr>
                <w:rFonts w:ascii="宋体" w:hAnsi="宋体" w:cs="Arial"/>
                <w:b w:val="0"/>
                <w:bCs/>
                <w:szCs w:val="21"/>
              </w:rPr>
            </w:pPr>
            <w:r>
              <w:rPr>
                <w:rFonts w:hint="eastAsia" w:ascii="宋体" w:hAnsi="宋体" w:cs="Arial"/>
                <w:b w:val="0"/>
                <w:bCs/>
                <w:szCs w:val="21"/>
              </w:rPr>
              <w:t>厕所</w:t>
            </w:r>
          </w:p>
        </w:tc>
        <w:tc>
          <w:tcPr>
            <w:tcW w:w="881" w:type="dxa"/>
            <w:shd w:val="clear" w:color="auto" w:fill="auto"/>
            <w:vAlign w:val="center"/>
          </w:tcPr>
          <w:p w14:paraId="27638CD3">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311E41C3">
            <w:pPr>
              <w:jc w:val="center"/>
              <w:rPr>
                <w:rFonts w:ascii="宋体" w:hAnsi="宋体" w:cs="Arial"/>
                <w:b w:val="0"/>
                <w:bCs/>
                <w:szCs w:val="21"/>
              </w:rPr>
            </w:pPr>
          </w:p>
        </w:tc>
        <w:tc>
          <w:tcPr>
            <w:tcW w:w="1221" w:type="dxa"/>
            <w:shd w:val="clear" w:color="auto" w:fill="auto"/>
            <w:vAlign w:val="center"/>
          </w:tcPr>
          <w:p w14:paraId="70CD97C6">
            <w:pPr>
              <w:jc w:val="center"/>
              <w:rPr>
                <w:rFonts w:ascii="宋体" w:hAnsi="宋体" w:cs="Arial"/>
                <w:b w:val="0"/>
                <w:bCs/>
                <w:szCs w:val="21"/>
              </w:rPr>
            </w:pPr>
          </w:p>
        </w:tc>
        <w:tc>
          <w:tcPr>
            <w:tcW w:w="771" w:type="dxa"/>
            <w:shd w:val="clear" w:color="auto" w:fill="auto"/>
            <w:vAlign w:val="center"/>
          </w:tcPr>
          <w:p w14:paraId="1A448124">
            <w:pPr>
              <w:jc w:val="center"/>
              <w:rPr>
                <w:rFonts w:ascii="宋体" w:hAnsi="宋体" w:cs="Arial"/>
                <w:b w:val="0"/>
                <w:bCs/>
                <w:szCs w:val="21"/>
              </w:rPr>
            </w:pPr>
          </w:p>
        </w:tc>
        <w:tc>
          <w:tcPr>
            <w:tcW w:w="930" w:type="dxa"/>
            <w:shd w:val="clear" w:color="auto" w:fill="auto"/>
            <w:vAlign w:val="center"/>
          </w:tcPr>
          <w:p w14:paraId="511AFF72">
            <w:pPr>
              <w:jc w:val="center"/>
              <w:rPr>
                <w:rFonts w:ascii="宋体" w:hAnsi="宋体" w:cs="Arial"/>
                <w:b w:val="0"/>
                <w:bCs/>
                <w:szCs w:val="21"/>
              </w:rPr>
            </w:pPr>
          </w:p>
        </w:tc>
        <w:tc>
          <w:tcPr>
            <w:tcW w:w="998" w:type="dxa"/>
            <w:shd w:val="clear" w:color="auto" w:fill="auto"/>
            <w:vAlign w:val="center"/>
          </w:tcPr>
          <w:p w14:paraId="13C68931">
            <w:pPr>
              <w:jc w:val="center"/>
              <w:rPr>
                <w:rFonts w:ascii="宋体" w:hAnsi="宋体" w:cs="Arial"/>
                <w:b w:val="0"/>
                <w:bCs/>
                <w:szCs w:val="21"/>
              </w:rPr>
            </w:pPr>
            <w:r>
              <w:rPr>
                <w:rFonts w:hint="eastAsia" w:ascii="宋体" w:hAnsi="宋体" w:cs="Arial"/>
                <w:b w:val="0"/>
                <w:bCs/>
                <w:szCs w:val="21"/>
              </w:rPr>
              <w:t>新建</w:t>
            </w:r>
          </w:p>
        </w:tc>
      </w:tr>
      <w:tr w14:paraId="3C3BE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AEE5224">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3</w:t>
            </w:r>
          </w:p>
        </w:tc>
        <w:tc>
          <w:tcPr>
            <w:tcW w:w="2448" w:type="dxa"/>
            <w:shd w:val="clear" w:color="auto" w:fill="auto"/>
            <w:vAlign w:val="center"/>
          </w:tcPr>
          <w:p w14:paraId="63D1F655">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08E4111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p>
        </w:tc>
        <w:tc>
          <w:tcPr>
            <w:tcW w:w="731" w:type="dxa"/>
            <w:shd w:val="clear" w:color="auto" w:fill="auto"/>
            <w:vAlign w:val="center"/>
          </w:tcPr>
          <w:p w14:paraId="30717781">
            <w:pPr>
              <w:jc w:val="center"/>
              <w:rPr>
                <w:rFonts w:ascii="宋体" w:hAnsi="宋体" w:cs="Arial"/>
                <w:b w:val="0"/>
                <w:bCs/>
                <w:szCs w:val="21"/>
              </w:rPr>
            </w:pPr>
          </w:p>
        </w:tc>
        <w:tc>
          <w:tcPr>
            <w:tcW w:w="1221" w:type="dxa"/>
            <w:shd w:val="clear" w:color="auto" w:fill="auto"/>
            <w:vAlign w:val="center"/>
          </w:tcPr>
          <w:p w14:paraId="0C024DE8">
            <w:pPr>
              <w:jc w:val="center"/>
              <w:rPr>
                <w:rFonts w:ascii="宋体" w:hAnsi="宋体" w:cs="Arial"/>
                <w:b w:val="0"/>
                <w:bCs/>
                <w:szCs w:val="21"/>
              </w:rPr>
            </w:pPr>
          </w:p>
        </w:tc>
        <w:tc>
          <w:tcPr>
            <w:tcW w:w="771" w:type="dxa"/>
            <w:shd w:val="clear" w:color="auto" w:fill="auto"/>
            <w:vAlign w:val="center"/>
          </w:tcPr>
          <w:p w14:paraId="4F73800B">
            <w:pPr>
              <w:jc w:val="center"/>
              <w:rPr>
                <w:rFonts w:ascii="宋体" w:hAnsi="宋体" w:cs="Arial"/>
                <w:b w:val="0"/>
                <w:bCs/>
                <w:szCs w:val="21"/>
              </w:rPr>
            </w:pPr>
          </w:p>
        </w:tc>
        <w:tc>
          <w:tcPr>
            <w:tcW w:w="930" w:type="dxa"/>
            <w:shd w:val="clear" w:color="auto" w:fill="auto"/>
            <w:vAlign w:val="center"/>
          </w:tcPr>
          <w:p w14:paraId="1D03F9C5">
            <w:pPr>
              <w:jc w:val="center"/>
              <w:rPr>
                <w:rFonts w:ascii="宋体" w:hAnsi="宋体" w:cs="Arial"/>
                <w:b w:val="0"/>
                <w:bCs/>
                <w:szCs w:val="21"/>
              </w:rPr>
            </w:pPr>
          </w:p>
        </w:tc>
        <w:tc>
          <w:tcPr>
            <w:tcW w:w="998" w:type="dxa"/>
            <w:shd w:val="clear" w:color="auto" w:fill="auto"/>
            <w:vAlign w:val="center"/>
          </w:tcPr>
          <w:p w14:paraId="3C91B0E4">
            <w:pPr>
              <w:jc w:val="center"/>
              <w:rPr>
                <w:rFonts w:ascii="宋体" w:hAnsi="宋体" w:cs="Arial"/>
                <w:b w:val="0"/>
                <w:bCs/>
                <w:szCs w:val="21"/>
              </w:rPr>
            </w:pPr>
            <w:r>
              <w:rPr>
                <w:rFonts w:hint="eastAsia" w:ascii="宋体" w:hAnsi="宋体" w:cs="Arial"/>
                <w:b w:val="0"/>
                <w:bCs/>
                <w:szCs w:val="21"/>
              </w:rPr>
              <w:t>新建</w:t>
            </w:r>
          </w:p>
        </w:tc>
      </w:tr>
      <w:tr w14:paraId="01BF5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15D0A5B">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4</w:t>
            </w:r>
          </w:p>
        </w:tc>
        <w:tc>
          <w:tcPr>
            <w:tcW w:w="2448" w:type="dxa"/>
            <w:shd w:val="clear" w:color="auto" w:fill="auto"/>
            <w:vAlign w:val="center"/>
          </w:tcPr>
          <w:p w14:paraId="49632185">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7B09CAB2">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p>
        </w:tc>
        <w:tc>
          <w:tcPr>
            <w:tcW w:w="731" w:type="dxa"/>
            <w:shd w:val="clear" w:color="auto" w:fill="auto"/>
            <w:vAlign w:val="center"/>
          </w:tcPr>
          <w:p w14:paraId="41B217A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8417D30">
            <w:pPr>
              <w:jc w:val="center"/>
              <w:rPr>
                <w:rFonts w:ascii="宋体" w:hAnsi="宋体" w:cs="Arial"/>
                <w:b w:val="0"/>
                <w:bCs/>
                <w:szCs w:val="21"/>
              </w:rPr>
            </w:pPr>
            <w:r>
              <w:rPr>
                <w:rFonts w:ascii="宋体" w:hAnsi="宋体" w:cs="Arial"/>
                <w:b w:val="0"/>
                <w:bCs/>
                <w:szCs w:val="21"/>
              </w:rPr>
              <w:t>250</w:t>
            </w:r>
          </w:p>
        </w:tc>
        <w:tc>
          <w:tcPr>
            <w:tcW w:w="771" w:type="dxa"/>
            <w:shd w:val="clear" w:color="auto" w:fill="auto"/>
            <w:vAlign w:val="center"/>
          </w:tcPr>
          <w:p w14:paraId="336C846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51F9DA8">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08F0321E">
            <w:pPr>
              <w:jc w:val="center"/>
              <w:rPr>
                <w:rFonts w:ascii="宋体" w:hAnsi="宋体" w:cs="Arial"/>
                <w:b w:val="0"/>
                <w:bCs/>
                <w:szCs w:val="21"/>
              </w:rPr>
            </w:pPr>
            <w:r>
              <w:rPr>
                <w:rFonts w:hint="eastAsia" w:ascii="宋体" w:hAnsi="宋体" w:cs="Arial"/>
                <w:b w:val="0"/>
                <w:bCs/>
                <w:szCs w:val="21"/>
              </w:rPr>
              <w:t>新建</w:t>
            </w:r>
          </w:p>
        </w:tc>
      </w:tr>
      <w:tr w14:paraId="1A3E4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41CAE00">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5</w:t>
            </w:r>
          </w:p>
        </w:tc>
        <w:tc>
          <w:tcPr>
            <w:tcW w:w="2448" w:type="dxa"/>
            <w:shd w:val="clear" w:color="auto" w:fill="auto"/>
            <w:vAlign w:val="center"/>
          </w:tcPr>
          <w:p w14:paraId="7B4BEF9E">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2B348B64">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p>
        </w:tc>
        <w:tc>
          <w:tcPr>
            <w:tcW w:w="731" w:type="dxa"/>
            <w:shd w:val="clear" w:color="auto" w:fill="auto"/>
            <w:vAlign w:val="center"/>
          </w:tcPr>
          <w:p w14:paraId="19D4531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183A7E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771" w:type="dxa"/>
            <w:shd w:val="clear" w:color="auto" w:fill="auto"/>
            <w:vAlign w:val="center"/>
          </w:tcPr>
          <w:p w14:paraId="32CD95B3">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3F4B7C4">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E3AA0F9">
            <w:pPr>
              <w:jc w:val="center"/>
              <w:rPr>
                <w:rFonts w:ascii="宋体" w:hAnsi="宋体" w:cs="Arial"/>
                <w:b w:val="0"/>
                <w:bCs/>
                <w:szCs w:val="21"/>
              </w:rPr>
            </w:pPr>
            <w:r>
              <w:rPr>
                <w:rFonts w:hint="eastAsia" w:ascii="宋体" w:hAnsi="宋体" w:cs="Arial"/>
                <w:b w:val="0"/>
                <w:bCs/>
                <w:szCs w:val="21"/>
              </w:rPr>
              <w:t>新建</w:t>
            </w:r>
          </w:p>
        </w:tc>
      </w:tr>
      <w:tr w14:paraId="22FC5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30CC356">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2448" w:type="dxa"/>
            <w:shd w:val="clear" w:color="auto" w:fill="auto"/>
            <w:vAlign w:val="center"/>
          </w:tcPr>
          <w:p w14:paraId="7BAE9C35">
            <w:pPr>
              <w:jc w:val="center"/>
              <w:rPr>
                <w:rFonts w:ascii="宋体" w:hAnsi="宋体" w:cs="Arial"/>
                <w:b w:val="0"/>
                <w:bCs/>
                <w:szCs w:val="21"/>
              </w:rPr>
            </w:pPr>
            <w:r>
              <w:rPr>
                <w:rFonts w:hint="eastAsia" w:ascii="宋体" w:hAnsi="宋体" w:cs="Arial"/>
                <w:b w:val="0"/>
                <w:bCs/>
                <w:szCs w:val="21"/>
              </w:rPr>
              <w:t>抛光</w:t>
            </w:r>
          </w:p>
        </w:tc>
        <w:tc>
          <w:tcPr>
            <w:tcW w:w="881" w:type="dxa"/>
            <w:shd w:val="clear" w:color="auto" w:fill="auto"/>
            <w:vAlign w:val="center"/>
          </w:tcPr>
          <w:p w14:paraId="74AB9D3B">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p>
        </w:tc>
        <w:tc>
          <w:tcPr>
            <w:tcW w:w="731" w:type="dxa"/>
            <w:shd w:val="clear" w:color="auto" w:fill="auto"/>
            <w:vAlign w:val="center"/>
          </w:tcPr>
          <w:p w14:paraId="76BBC39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C4A512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771" w:type="dxa"/>
            <w:shd w:val="clear" w:color="auto" w:fill="auto"/>
            <w:vAlign w:val="center"/>
          </w:tcPr>
          <w:p w14:paraId="6A17A63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850B1E0">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3AC497B2">
            <w:pPr>
              <w:jc w:val="center"/>
              <w:rPr>
                <w:rFonts w:ascii="宋体" w:hAnsi="宋体" w:cs="Arial"/>
                <w:b w:val="0"/>
                <w:bCs/>
                <w:szCs w:val="21"/>
              </w:rPr>
            </w:pPr>
            <w:r>
              <w:rPr>
                <w:rFonts w:hint="eastAsia" w:ascii="宋体" w:hAnsi="宋体" w:cs="Arial"/>
                <w:b w:val="0"/>
                <w:bCs/>
                <w:szCs w:val="21"/>
              </w:rPr>
              <w:t>新建</w:t>
            </w:r>
          </w:p>
        </w:tc>
      </w:tr>
      <w:tr w14:paraId="37362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6F34682">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7</w:t>
            </w:r>
          </w:p>
        </w:tc>
        <w:tc>
          <w:tcPr>
            <w:tcW w:w="2448" w:type="dxa"/>
            <w:shd w:val="clear" w:color="auto" w:fill="auto"/>
            <w:vAlign w:val="center"/>
          </w:tcPr>
          <w:p w14:paraId="7DE4D4AC">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4EBFB67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2BC7769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E1DD275">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91F842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91EC2F6">
            <w:pPr>
              <w:jc w:val="center"/>
              <w:rPr>
                <w:rFonts w:ascii="宋体" w:hAnsi="宋体" w:cs="Arial"/>
                <w:b w:val="0"/>
                <w:bCs/>
                <w:szCs w:val="21"/>
              </w:rPr>
            </w:pPr>
          </w:p>
        </w:tc>
        <w:tc>
          <w:tcPr>
            <w:tcW w:w="998" w:type="dxa"/>
            <w:shd w:val="clear" w:color="auto" w:fill="auto"/>
            <w:vAlign w:val="center"/>
          </w:tcPr>
          <w:p w14:paraId="3C2A20B9">
            <w:pPr>
              <w:jc w:val="center"/>
              <w:rPr>
                <w:rFonts w:ascii="宋体" w:hAnsi="宋体" w:cs="Arial"/>
                <w:b w:val="0"/>
                <w:bCs/>
                <w:szCs w:val="21"/>
              </w:rPr>
            </w:pPr>
            <w:r>
              <w:rPr>
                <w:rFonts w:hint="eastAsia" w:ascii="宋体" w:hAnsi="宋体" w:cs="Arial"/>
                <w:b w:val="0"/>
                <w:bCs/>
                <w:szCs w:val="21"/>
              </w:rPr>
              <w:t>新建</w:t>
            </w:r>
          </w:p>
        </w:tc>
      </w:tr>
      <w:tr w14:paraId="00FE4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451508B">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8</w:t>
            </w:r>
          </w:p>
        </w:tc>
        <w:tc>
          <w:tcPr>
            <w:tcW w:w="2448" w:type="dxa"/>
            <w:shd w:val="clear" w:color="auto" w:fill="auto"/>
            <w:vAlign w:val="center"/>
          </w:tcPr>
          <w:p w14:paraId="2E8BAD07">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3F79B8C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3BB2EFA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AA0C471">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649CF6AB">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74AFF33B">
            <w:pPr>
              <w:jc w:val="center"/>
              <w:rPr>
                <w:rFonts w:ascii="宋体" w:hAnsi="宋体" w:cs="Arial"/>
                <w:b w:val="0"/>
                <w:bCs/>
                <w:szCs w:val="21"/>
              </w:rPr>
            </w:pPr>
          </w:p>
        </w:tc>
        <w:tc>
          <w:tcPr>
            <w:tcW w:w="998" w:type="dxa"/>
            <w:shd w:val="clear" w:color="auto" w:fill="auto"/>
            <w:vAlign w:val="center"/>
          </w:tcPr>
          <w:p w14:paraId="1D131AF8">
            <w:pPr>
              <w:jc w:val="center"/>
              <w:rPr>
                <w:rFonts w:ascii="宋体" w:hAnsi="宋体" w:cs="Arial"/>
                <w:b w:val="0"/>
                <w:bCs/>
                <w:szCs w:val="21"/>
              </w:rPr>
            </w:pPr>
            <w:r>
              <w:rPr>
                <w:rFonts w:hint="eastAsia" w:ascii="宋体" w:hAnsi="宋体" w:cs="Arial"/>
                <w:b w:val="0"/>
                <w:bCs/>
                <w:szCs w:val="21"/>
              </w:rPr>
              <w:t>新建</w:t>
            </w:r>
          </w:p>
        </w:tc>
      </w:tr>
      <w:tr w14:paraId="44083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69E6CF4">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9</w:t>
            </w:r>
          </w:p>
        </w:tc>
        <w:tc>
          <w:tcPr>
            <w:tcW w:w="2448" w:type="dxa"/>
            <w:shd w:val="clear" w:color="auto" w:fill="auto"/>
            <w:vAlign w:val="center"/>
          </w:tcPr>
          <w:p w14:paraId="76C6A6A1">
            <w:pPr>
              <w:jc w:val="center"/>
              <w:rPr>
                <w:rFonts w:ascii="宋体" w:hAnsi="宋体" w:cs="Arial"/>
                <w:b w:val="0"/>
                <w:bCs/>
                <w:szCs w:val="21"/>
              </w:rPr>
            </w:pPr>
            <w:r>
              <w:rPr>
                <w:rFonts w:hint="eastAsia" w:ascii="宋体" w:hAnsi="宋体" w:cs="Arial"/>
                <w:b w:val="0"/>
                <w:bCs/>
                <w:szCs w:val="21"/>
              </w:rPr>
              <w:t>抛光中转</w:t>
            </w:r>
          </w:p>
        </w:tc>
        <w:tc>
          <w:tcPr>
            <w:tcW w:w="881" w:type="dxa"/>
            <w:shd w:val="clear" w:color="auto" w:fill="auto"/>
            <w:vAlign w:val="center"/>
          </w:tcPr>
          <w:p w14:paraId="3DF3599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3BBFB28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4305D8D">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0E81BDC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259F65A">
            <w:pPr>
              <w:jc w:val="center"/>
              <w:rPr>
                <w:rFonts w:ascii="宋体" w:hAnsi="宋体" w:cs="Arial"/>
                <w:b w:val="0"/>
                <w:bCs/>
                <w:szCs w:val="21"/>
              </w:rPr>
            </w:pPr>
          </w:p>
        </w:tc>
        <w:tc>
          <w:tcPr>
            <w:tcW w:w="998" w:type="dxa"/>
            <w:shd w:val="clear" w:color="auto" w:fill="auto"/>
            <w:vAlign w:val="center"/>
          </w:tcPr>
          <w:p w14:paraId="704C8E9E">
            <w:pPr>
              <w:jc w:val="center"/>
              <w:rPr>
                <w:rFonts w:ascii="宋体" w:hAnsi="宋体" w:cs="Arial"/>
                <w:b w:val="0"/>
                <w:bCs/>
                <w:szCs w:val="21"/>
              </w:rPr>
            </w:pPr>
            <w:r>
              <w:rPr>
                <w:rFonts w:hint="eastAsia" w:ascii="宋体" w:hAnsi="宋体" w:cs="Arial"/>
                <w:b w:val="0"/>
                <w:bCs/>
                <w:szCs w:val="21"/>
              </w:rPr>
              <w:t>新建</w:t>
            </w:r>
          </w:p>
        </w:tc>
      </w:tr>
      <w:tr w14:paraId="60517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B6124C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w:t>
            </w:r>
          </w:p>
        </w:tc>
        <w:tc>
          <w:tcPr>
            <w:tcW w:w="2448" w:type="dxa"/>
            <w:shd w:val="clear" w:color="auto" w:fill="auto"/>
            <w:vAlign w:val="center"/>
          </w:tcPr>
          <w:p w14:paraId="28CC43AE">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3F4D20D6">
            <w:pPr>
              <w:jc w:val="center"/>
              <w:rPr>
                <w:rFonts w:ascii="宋体" w:hAnsi="宋体" w:cs="Arial"/>
                <w:b w:val="0"/>
                <w:bCs/>
                <w:szCs w:val="21"/>
              </w:rPr>
            </w:pPr>
            <w:r>
              <w:rPr>
                <w:rFonts w:hint="eastAsia" w:ascii="宋体" w:hAnsi="宋体" w:cs="Arial"/>
                <w:b w:val="0"/>
                <w:bCs/>
                <w:szCs w:val="21"/>
              </w:rPr>
              <w:t>4</w:t>
            </w:r>
          </w:p>
        </w:tc>
        <w:tc>
          <w:tcPr>
            <w:tcW w:w="731" w:type="dxa"/>
            <w:shd w:val="clear" w:color="auto" w:fill="auto"/>
            <w:vAlign w:val="center"/>
          </w:tcPr>
          <w:p w14:paraId="0CF1752E">
            <w:pPr>
              <w:jc w:val="center"/>
              <w:rPr>
                <w:rFonts w:ascii="宋体" w:hAnsi="宋体" w:cs="Arial"/>
                <w:b w:val="0"/>
                <w:bCs/>
                <w:szCs w:val="21"/>
              </w:rPr>
            </w:pPr>
          </w:p>
        </w:tc>
        <w:tc>
          <w:tcPr>
            <w:tcW w:w="1221" w:type="dxa"/>
            <w:shd w:val="clear" w:color="auto" w:fill="auto"/>
            <w:vAlign w:val="center"/>
          </w:tcPr>
          <w:p w14:paraId="26292B79">
            <w:pPr>
              <w:jc w:val="center"/>
              <w:rPr>
                <w:rFonts w:ascii="宋体" w:hAnsi="宋体" w:cs="Arial"/>
                <w:b w:val="0"/>
                <w:bCs/>
                <w:szCs w:val="21"/>
              </w:rPr>
            </w:pPr>
          </w:p>
        </w:tc>
        <w:tc>
          <w:tcPr>
            <w:tcW w:w="771" w:type="dxa"/>
            <w:shd w:val="clear" w:color="auto" w:fill="auto"/>
            <w:vAlign w:val="center"/>
          </w:tcPr>
          <w:p w14:paraId="1475788F">
            <w:pPr>
              <w:jc w:val="center"/>
              <w:rPr>
                <w:rFonts w:ascii="宋体" w:hAnsi="宋体" w:cs="Arial"/>
                <w:b w:val="0"/>
                <w:bCs/>
                <w:szCs w:val="21"/>
              </w:rPr>
            </w:pPr>
          </w:p>
        </w:tc>
        <w:tc>
          <w:tcPr>
            <w:tcW w:w="930" w:type="dxa"/>
            <w:shd w:val="clear" w:color="auto" w:fill="auto"/>
            <w:vAlign w:val="center"/>
          </w:tcPr>
          <w:p w14:paraId="799EB0E1">
            <w:pPr>
              <w:jc w:val="center"/>
              <w:rPr>
                <w:rFonts w:ascii="宋体" w:hAnsi="宋体" w:cs="Arial"/>
                <w:b w:val="0"/>
                <w:bCs/>
                <w:szCs w:val="21"/>
              </w:rPr>
            </w:pPr>
          </w:p>
        </w:tc>
        <w:tc>
          <w:tcPr>
            <w:tcW w:w="998" w:type="dxa"/>
            <w:shd w:val="clear" w:color="auto" w:fill="auto"/>
            <w:vAlign w:val="center"/>
          </w:tcPr>
          <w:p w14:paraId="57F4AB03">
            <w:pPr>
              <w:jc w:val="center"/>
              <w:rPr>
                <w:rFonts w:ascii="宋体" w:hAnsi="宋体" w:cs="Arial"/>
                <w:b w:val="0"/>
                <w:bCs/>
                <w:szCs w:val="21"/>
              </w:rPr>
            </w:pPr>
            <w:r>
              <w:rPr>
                <w:rFonts w:hint="eastAsia" w:ascii="宋体" w:hAnsi="宋体" w:cs="Arial"/>
                <w:b w:val="0"/>
                <w:bCs/>
                <w:szCs w:val="21"/>
              </w:rPr>
              <w:t>新建</w:t>
            </w:r>
          </w:p>
        </w:tc>
      </w:tr>
      <w:tr w14:paraId="77580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FFF4B9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01</w:t>
            </w:r>
          </w:p>
        </w:tc>
        <w:tc>
          <w:tcPr>
            <w:tcW w:w="2448" w:type="dxa"/>
            <w:shd w:val="clear" w:color="auto" w:fill="auto"/>
            <w:vAlign w:val="center"/>
          </w:tcPr>
          <w:p w14:paraId="7004A39E">
            <w:pPr>
              <w:jc w:val="center"/>
              <w:rPr>
                <w:rFonts w:ascii="宋体" w:hAnsi="宋体" w:cs="Arial"/>
                <w:b w:val="0"/>
                <w:bCs/>
                <w:szCs w:val="21"/>
              </w:rPr>
            </w:pPr>
            <w:r>
              <w:rPr>
                <w:rFonts w:hint="eastAsia" w:ascii="宋体" w:hAnsi="宋体" w:cs="Arial"/>
                <w:b w:val="0"/>
                <w:bCs/>
                <w:szCs w:val="21"/>
              </w:rPr>
              <w:t>筛选</w:t>
            </w:r>
          </w:p>
        </w:tc>
        <w:tc>
          <w:tcPr>
            <w:tcW w:w="881" w:type="dxa"/>
            <w:shd w:val="clear" w:color="auto" w:fill="auto"/>
            <w:vAlign w:val="center"/>
          </w:tcPr>
          <w:p w14:paraId="7D05DF94">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2.6</w:t>
            </w:r>
          </w:p>
        </w:tc>
        <w:tc>
          <w:tcPr>
            <w:tcW w:w="731" w:type="dxa"/>
            <w:shd w:val="clear" w:color="auto" w:fill="auto"/>
            <w:vAlign w:val="center"/>
          </w:tcPr>
          <w:p w14:paraId="655F224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DB30531">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27DAE4E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138BF298">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7AE67D0B">
            <w:pPr>
              <w:jc w:val="center"/>
              <w:rPr>
                <w:rFonts w:ascii="宋体" w:hAnsi="宋体" w:cs="Arial"/>
                <w:b w:val="0"/>
                <w:bCs/>
                <w:szCs w:val="21"/>
              </w:rPr>
            </w:pPr>
            <w:r>
              <w:rPr>
                <w:rFonts w:hint="eastAsia" w:ascii="宋体" w:hAnsi="宋体" w:cs="Arial"/>
                <w:b w:val="0"/>
                <w:bCs/>
                <w:szCs w:val="21"/>
              </w:rPr>
              <w:t>新建</w:t>
            </w:r>
          </w:p>
        </w:tc>
      </w:tr>
      <w:tr w14:paraId="2609D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743752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02</w:t>
            </w:r>
          </w:p>
        </w:tc>
        <w:tc>
          <w:tcPr>
            <w:tcW w:w="2448" w:type="dxa"/>
            <w:shd w:val="clear" w:color="auto" w:fill="auto"/>
            <w:vAlign w:val="center"/>
          </w:tcPr>
          <w:p w14:paraId="41F2F4EC">
            <w:pPr>
              <w:jc w:val="center"/>
              <w:rPr>
                <w:rFonts w:ascii="宋体" w:hAnsi="宋体" w:cs="Arial"/>
                <w:b w:val="0"/>
                <w:bCs/>
                <w:szCs w:val="21"/>
              </w:rPr>
            </w:pPr>
            <w:r>
              <w:rPr>
                <w:rFonts w:hint="eastAsia" w:ascii="宋体" w:hAnsi="宋体" w:cs="Arial"/>
                <w:b w:val="0"/>
                <w:bCs/>
                <w:szCs w:val="21"/>
              </w:rPr>
              <w:t>筛选中转</w:t>
            </w:r>
          </w:p>
        </w:tc>
        <w:tc>
          <w:tcPr>
            <w:tcW w:w="881" w:type="dxa"/>
            <w:shd w:val="clear" w:color="auto" w:fill="auto"/>
            <w:vAlign w:val="center"/>
          </w:tcPr>
          <w:p w14:paraId="20AAD6B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w:t>
            </w:r>
          </w:p>
        </w:tc>
        <w:tc>
          <w:tcPr>
            <w:tcW w:w="731" w:type="dxa"/>
            <w:shd w:val="clear" w:color="auto" w:fill="auto"/>
            <w:vAlign w:val="center"/>
          </w:tcPr>
          <w:p w14:paraId="54FB907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1E2976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CD7004A">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F3307B9">
            <w:pPr>
              <w:jc w:val="center"/>
              <w:rPr>
                <w:rFonts w:ascii="宋体" w:hAnsi="宋体" w:cs="Arial"/>
                <w:b w:val="0"/>
                <w:bCs/>
                <w:szCs w:val="21"/>
              </w:rPr>
            </w:pPr>
          </w:p>
        </w:tc>
        <w:tc>
          <w:tcPr>
            <w:tcW w:w="998" w:type="dxa"/>
            <w:shd w:val="clear" w:color="auto" w:fill="auto"/>
            <w:vAlign w:val="center"/>
          </w:tcPr>
          <w:p w14:paraId="43BC3353">
            <w:pPr>
              <w:jc w:val="center"/>
              <w:rPr>
                <w:rFonts w:ascii="宋体" w:hAnsi="宋体" w:cs="Arial"/>
                <w:b w:val="0"/>
                <w:bCs/>
                <w:szCs w:val="21"/>
              </w:rPr>
            </w:pPr>
            <w:r>
              <w:rPr>
                <w:rFonts w:hint="eastAsia" w:ascii="宋体" w:hAnsi="宋体" w:cs="Arial"/>
                <w:b w:val="0"/>
                <w:bCs/>
                <w:szCs w:val="21"/>
              </w:rPr>
              <w:t>新建</w:t>
            </w:r>
          </w:p>
        </w:tc>
      </w:tr>
      <w:tr w14:paraId="5BD8B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3C8793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03</w:t>
            </w:r>
          </w:p>
        </w:tc>
        <w:tc>
          <w:tcPr>
            <w:tcW w:w="2448" w:type="dxa"/>
            <w:shd w:val="clear" w:color="auto" w:fill="auto"/>
            <w:vAlign w:val="center"/>
          </w:tcPr>
          <w:p w14:paraId="1CE02B6C">
            <w:pPr>
              <w:jc w:val="center"/>
              <w:rPr>
                <w:rFonts w:ascii="宋体" w:hAnsi="宋体" w:cs="Arial"/>
                <w:b w:val="0"/>
                <w:bCs/>
                <w:szCs w:val="21"/>
              </w:rPr>
            </w:pPr>
            <w:r>
              <w:rPr>
                <w:rFonts w:hint="eastAsia" w:ascii="宋体" w:hAnsi="宋体" w:cs="Arial"/>
                <w:b w:val="0"/>
                <w:bCs/>
                <w:szCs w:val="21"/>
              </w:rPr>
              <w:t>包装</w:t>
            </w:r>
          </w:p>
        </w:tc>
        <w:tc>
          <w:tcPr>
            <w:tcW w:w="881" w:type="dxa"/>
            <w:shd w:val="clear" w:color="auto" w:fill="auto"/>
            <w:vAlign w:val="center"/>
          </w:tcPr>
          <w:p w14:paraId="5EEE974A">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w:t>
            </w:r>
          </w:p>
        </w:tc>
        <w:tc>
          <w:tcPr>
            <w:tcW w:w="731" w:type="dxa"/>
            <w:shd w:val="clear" w:color="auto" w:fill="auto"/>
            <w:vAlign w:val="center"/>
          </w:tcPr>
          <w:p w14:paraId="022ECF8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8DCE348">
            <w:pPr>
              <w:jc w:val="center"/>
              <w:rPr>
                <w:rFonts w:ascii="宋体" w:hAnsi="宋体" w:cs="Arial"/>
                <w:b w:val="0"/>
                <w:bCs/>
                <w:szCs w:val="21"/>
              </w:rPr>
            </w:pPr>
            <w:r>
              <w:rPr>
                <w:rFonts w:ascii="宋体" w:hAnsi="宋体" w:cs="Arial"/>
                <w:b w:val="0"/>
                <w:bCs/>
                <w:szCs w:val="21"/>
              </w:rPr>
              <w:t>80</w:t>
            </w:r>
          </w:p>
        </w:tc>
        <w:tc>
          <w:tcPr>
            <w:tcW w:w="771" w:type="dxa"/>
            <w:shd w:val="clear" w:color="auto" w:fill="auto"/>
            <w:vAlign w:val="center"/>
          </w:tcPr>
          <w:p w14:paraId="2D082E8E">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DEECF8F">
            <w:pPr>
              <w:jc w:val="center"/>
              <w:rPr>
                <w:rFonts w:ascii="宋体" w:hAnsi="宋体" w:cs="Arial"/>
                <w:b w:val="0"/>
                <w:bCs/>
                <w:szCs w:val="21"/>
              </w:rPr>
            </w:pPr>
          </w:p>
        </w:tc>
        <w:tc>
          <w:tcPr>
            <w:tcW w:w="998" w:type="dxa"/>
            <w:shd w:val="clear" w:color="auto" w:fill="auto"/>
            <w:vAlign w:val="center"/>
          </w:tcPr>
          <w:p w14:paraId="3D9D6FD9">
            <w:pPr>
              <w:jc w:val="center"/>
              <w:rPr>
                <w:rFonts w:ascii="宋体" w:hAnsi="宋体" w:cs="Arial"/>
                <w:b w:val="0"/>
                <w:bCs/>
                <w:szCs w:val="21"/>
              </w:rPr>
            </w:pPr>
            <w:r>
              <w:rPr>
                <w:rFonts w:hint="eastAsia" w:ascii="宋体" w:hAnsi="宋体" w:cs="Arial"/>
                <w:b w:val="0"/>
                <w:bCs/>
                <w:szCs w:val="21"/>
              </w:rPr>
              <w:t>新建</w:t>
            </w:r>
          </w:p>
        </w:tc>
      </w:tr>
      <w:tr w14:paraId="4EE09F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4AEB37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04</w:t>
            </w:r>
          </w:p>
        </w:tc>
        <w:tc>
          <w:tcPr>
            <w:tcW w:w="2448" w:type="dxa"/>
            <w:shd w:val="clear" w:color="auto" w:fill="auto"/>
            <w:vAlign w:val="center"/>
          </w:tcPr>
          <w:p w14:paraId="5D26B3F1">
            <w:pPr>
              <w:jc w:val="center"/>
              <w:rPr>
                <w:rFonts w:ascii="宋体" w:hAnsi="宋体" w:cs="Arial"/>
                <w:b w:val="0"/>
                <w:bCs/>
                <w:szCs w:val="21"/>
              </w:rPr>
            </w:pPr>
            <w:r>
              <w:rPr>
                <w:rFonts w:hint="eastAsia" w:ascii="宋体" w:hAnsi="宋体" w:cs="Arial"/>
                <w:b w:val="0"/>
                <w:bCs/>
                <w:szCs w:val="21"/>
              </w:rPr>
              <w:t>包装中转</w:t>
            </w:r>
          </w:p>
        </w:tc>
        <w:tc>
          <w:tcPr>
            <w:tcW w:w="881" w:type="dxa"/>
            <w:shd w:val="clear" w:color="auto" w:fill="auto"/>
            <w:vAlign w:val="center"/>
          </w:tcPr>
          <w:p w14:paraId="30D1FFB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034CD1A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5148F6C">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0CEF734">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EEE75FC">
            <w:pPr>
              <w:jc w:val="center"/>
              <w:rPr>
                <w:rFonts w:ascii="宋体" w:hAnsi="宋体" w:cs="Arial"/>
                <w:b w:val="0"/>
                <w:bCs/>
                <w:szCs w:val="21"/>
              </w:rPr>
            </w:pPr>
          </w:p>
        </w:tc>
        <w:tc>
          <w:tcPr>
            <w:tcW w:w="998" w:type="dxa"/>
            <w:shd w:val="clear" w:color="auto" w:fill="auto"/>
            <w:vAlign w:val="center"/>
          </w:tcPr>
          <w:p w14:paraId="2D311432">
            <w:pPr>
              <w:jc w:val="center"/>
              <w:rPr>
                <w:rFonts w:ascii="宋体" w:hAnsi="宋体" w:cs="Arial"/>
                <w:b w:val="0"/>
                <w:bCs/>
                <w:szCs w:val="21"/>
              </w:rPr>
            </w:pPr>
            <w:r>
              <w:rPr>
                <w:rFonts w:hint="eastAsia" w:ascii="宋体" w:hAnsi="宋体" w:cs="Arial"/>
                <w:b w:val="0"/>
                <w:bCs/>
                <w:szCs w:val="21"/>
              </w:rPr>
              <w:t>新建</w:t>
            </w:r>
          </w:p>
        </w:tc>
      </w:tr>
      <w:tr w14:paraId="02217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A493E7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05</w:t>
            </w:r>
          </w:p>
        </w:tc>
        <w:tc>
          <w:tcPr>
            <w:tcW w:w="2448" w:type="dxa"/>
            <w:shd w:val="clear" w:color="auto" w:fill="auto"/>
            <w:vAlign w:val="center"/>
          </w:tcPr>
          <w:p w14:paraId="06EE8FF6">
            <w:pPr>
              <w:jc w:val="center"/>
              <w:rPr>
                <w:rFonts w:ascii="宋体" w:hAnsi="宋体" w:cs="Arial"/>
                <w:b w:val="0"/>
                <w:bCs/>
                <w:szCs w:val="21"/>
              </w:rPr>
            </w:pPr>
            <w:r>
              <w:rPr>
                <w:rFonts w:hint="eastAsia" w:ascii="宋体" w:hAnsi="宋体" w:cs="Arial"/>
                <w:b w:val="0"/>
                <w:bCs/>
                <w:szCs w:val="21"/>
              </w:rPr>
              <w:t>包装材料间</w:t>
            </w:r>
          </w:p>
        </w:tc>
        <w:tc>
          <w:tcPr>
            <w:tcW w:w="881" w:type="dxa"/>
            <w:shd w:val="clear" w:color="auto" w:fill="auto"/>
            <w:vAlign w:val="center"/>
          </w:tcPr>
          <w:p w14:paraId="09158858">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w:t>
            </w:r>
          </w:p>
        </w:tc>
        <w:tc>
          <w:tcPr>
            <w:tcW w:w="731" w:type="dxa"/>
            <w:shd w:val="clear" w:color="auto" w:fill="auto"/>
            <w:vAlign w:val="center"/>
          </w:tcPr>
          <w:p w14:paraId="1A1C3F62">
            <w:pPr>
              <w:jc w:val="center"/>
              <w:rPr>
                <w:rFonts w:ascii="宋体" w:hAnsi="宋体" w:cs="Arial"/>
                <w:b w:val="0"/>
                <w:bCs/>
                <w:szCs w:val="21"/>
              </w:rPr>
            </w:pPr>
          </w:p>
        </w:tc>
        <w:tc>
          <w:tcPr>
            <w:tcW w:w="1221" w:type="dxa"/>
            <w:shd w:val="clear" w:color="auto" w:fill="auto"/>
            <w:vAlign w:val="center"/>
          </w:tcPr>
          <w:p w14:paraId="48B85AE8">
            <w:pPr>
              <w:jc w:val="center"/>
              <w:rPr>
                <w:rFonts w:ascii="宋体" w:hAnsi="宋体" w:cs="Arial"/>
                <w:b w:val="0"/>
                <w:bCs/>
                <w:szCs w:val="21"/>
              </w:rPr>
            </w:pPr>
          </w:p>
        </w:tc>
        <w:tc>
          <w:tcPr>
            <w:tcW w:w="771" w:type="dxa"/>
            <w:shd w:val="clear" w:color="auto" w:fill="auto"/>
            <w:vAlign w:val="center"/>
          </w:tcPr>
          <w:p w14:paraId="63845AFC">
            <w:pPr>
              <w:jc w:val="center"/>
              <w:rPr>
                <w:rFonts w:ascii="宋体" w:hAnsi="宋体" w:cs="Arial"/>
                <w:b w:val="0"/>
                <w:bCs/>
                <w:szCs w:val="21"/>
              </w:rPr>
            </w:pPr>
          </w:p>
        </w:tc>
        <w:tc>
          <w:tcPr>
            <w:tcW w:w="930" w:type="dxa"/>
            <w:shd w:val="clear" w:color="auto" w:fill="auto"/>
            <w:vAlign w:val="center"/>
          </w:tcPr>
          <w:p w14:paraId="67A3542E">
            <w:pPr>
              <w:jc w:val="center"/>
              <w:rPr>
                <w:rFonts w:ascii="宋体" w:hAnsi="宋体" w:cs="Arial"/>
                <w:b w:val="0"/>
                <w:bCs/>
                <w:szCs w:val="21"/>
              </w:rPr>
            </w:pPr>
          </w:p>
        </w:tc>
        <w:tc>
          <w:tcPr>
            <w:tcW w:w="998" w:type="dxa"/>
            <w:shd w:val="clear" w:color="auto" w:fill="auto"/>
            <w:vAlign w:val="center"/>
          </w:tcPr>
          <w:p w14:paraId="7FE1525B">
            <w:pPr>
              <w:jc w:val="center"/>
              <w:rPr>
                <w:rFonts w:ascii="宋体" w:hAnsi="宋体" w:cs="Arial"/>
                <w:b w:val="0"/>
                <w:bCs/>
                <w:szCs w:val="21"/>
              </w:rPr>
            </w:pPr>
            <w:r>
              <w:rPr>
                <w:rFonts w:hint="eastAsia" w:ascii="宋体" w:hAnsi="宋体" w:cs="Arial"/>
                <w:b w:val="0"/>
                <w:bCs/>
                <w:szCs w:val="21"/>
              </w:rPr>
              <w:t>新建</w:t>
            </w:r>
          </w:p>
        </w:tc>
      </w:tr>
      <w:tr w14:paraId="0349A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8102D9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06</w:t>
            </w:r>
          </w:p>
        </w:tc>
        <w:tc>
          <w:tcPr>
            <w:tcW w:w="2448" w:type="dxa"/>
            <w:shd w:val="clear" w:color="auto" w:fill="auto"/>
            <w:vAlign w:val="center"/>
          </w:tcPr>
          <w:p w14:paraId="7FB1AB02">
            <w:pPr>
              <w:jc w:val="center"/>
              <w:rPr>
                <w:rFonts w:ascii="宋体" w:hAnsi="宋体" w:cs="Arial"/>
                <w:b w:val="0"/>
                <w:bCs/>
                <w:szCs w:val="21"/>
              </w:rPr>
            </w:pPr>
            <w:r>
              <w:rPr>
                <w:rFonts w:hint="eastAsia" w:ascii="宋体" w:hAnsi="宋体" w:cs="Arial"/>
                <w:b w:val="0"/>
                <w:bCs/>
                <w:szCs w:val="21"/>
              </w:rPr>
              <w:t>值班室</w:t>
            </w:r>
          </w:p>
        </w:tc>
        <w:tc>
          <w:tcPr>
            <w:tcW w:w="881" w:type="dxa"/>
            <w:shd w:val="clear" w:color="auto" w:fill="auto"/>
            <w:vAlign w:val="center"/>
          </w:tcPr>
          <w:p w14:paraId="5DFA6290">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69A40B72">
            <w:pPr>
              <w:jc w:val="center"/>
              <w:rPr>
                <w:rFonts w:ascii="宋体" w:hAnsi="宋体" w:cs="Arial"/>
                <w:b w:val="0"/>
                <w:bCs/>
                <w:szCs w:val="21"/>
              </w:rPr>
            </w:pPr>
          </w:p>
        </w:tc>
        <w:tc>
          <w:tcPr>
            <w:tcW w:w="1221" w:type="dxa"/>
            <w:shd w:val="clear" w:color="auto" w:fill="auto"/>
            <w:vAlign w:val="center"/>
          </w:tcPr>
          <w:p w14:paraId="55580C26">
            <w:pPr>
              <w:jc w:val="center"/>
              <w:rPr>
                <w:rFonts w:ascii="宋体" w:hAnsi="宋体" w:cs="Arial"/>
                <w:b w:val="0"/>
                <w:bCs/>
                <w:szCs w:val="21"/>
              </w:rPr>
            </w:pPr>
          </w:p>
        </w:tc>
        <w:tc>
          <w:tcPr>
            <w:tcW w:w="771" w:type="dxa"/>
            <w:shd w:val="clear" w:color="auto" w:fill="auto"/>
            <w:vAlign w:val="center"/>
          </w:tcPr>
          <w:p w14:paraId="2DD6F1AF">
            <w:pPr>
              <w:jc w:val="center"/>
              <w:rPr>
                <w:rFonts w:ascii="宋体" w:hAnsi="宋体" w:cs="Arial"/>
                <w:b w:val="0"/>
                <w:bCs/>
                <w:szCs w:val="21"/>
              </w:rPr>
            </w:pPr>
          </w:p>
        </w:tc>
        <w:tc>
          <w:tcPr>
            <w:tcW w:w="930" w:type="dxa"/>
            <w:shd w:val="clear" w:color="auto" w:fill="auto"/>
            <w:vAlign w:val="center"/>
          </w:tcPr>
          <w:p w14:paraId="2A02A549">
            <w:pPr>
              <w:jc w:val="center"/>
              <w:rPr>
                <w:rFonts w:ascii="宋体" w:hAnsi="宋体" w:cs="Arial"/>
                <w:b w:val="0"/>
                <w:bCs/>
                <w:szCs w:val="21"/>
              </w:rPr>
            </w:pPr>
          </w:p>
        </w:tc>
        <w:tc>
          <w:tcPr>
            <w:tcW w:w="998" w:type="dxa"/>
            <w:shd w:val="clear" w:color="auto" w:fill="auto"/>
            <w:vAlign w:val="center"/>
          </w:tcPr>
          <w:p w14:paraId="428BABC6">
            <w:pPr>
              <w:jc w:val="center"/>
              <w:rPr>
                <w:rFonts w:ascii="宋体" w:hAnsi="宋体" w:cs="Arial"/>
                <w:b w:val="0"/>
                <w:bCs/>
                <w:szCs w:val="21"/>
              </w:rPr>
            </w:pPr>
            <w:r>
              <w:rPr>
                <w:rFonts w:hint="eastAsia" w:ascii="宋体" w:hAnsi="宋体" w:cs="Arial"/>
                <w:b w:val="0"/>
                <w:bCs/>
                <w:szCs w:val="21"/>
              </w:rPr>
              <w:t>新建</w:t>
            </w:r>
          </w:p>
        </w:tc>
      </w:tr>
      <w:tr w14:paraId="0D959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B4B8AD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07</w:t>
            </w:r>
          </w:p>
        </w:tc>
        <w:tc>
          <w:tcPr>
            <w:tcW w:w="2448" w:type="dxa"/>
            <w:shd w:val="clear" w:color="auto" w:fill="auto"/>
            <w:vAlign w:val="center"/>
          </w:tcPr>
          <w:p w14:paraId="5C1A9A39">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039B631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7B3414E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813F08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400</w:t>
            </w:r>
          </w:p>
        </w:tc>
        <w:tc>
          <w:tcPr>
            <w:tcW w:w="771" w:type="dxa"/>
            <w:shd w:val="clear" w:color="auto" w:fill="auto"/>
            <w:vAlign w:val="center"/>
          </w:tcPr>
          <w:p w14:paraId="4FFF9E32">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1C64C99F">
            <w:pPr>
              <w:jc w:val="center"/>
              <w:rPr>
                <w:rFonts w:ascii="宋体" w:hAnsi="宋体" w:cs="Arial"/>
                <w:b w:val="0"/>
                <w:bCs/>
                <w:szCs w:val="21"/>
              </w:rPr>
            </w:pPr>
          </w:p>
        </w:tc>
        <w:tc>
          <w:tcPr>
            <w:tcW w:w="998" w:type="dxa"/>
            <w:shd w:val="clear" w:color="auto" w:fill="auto"/>
            <w:vAlign w:val="center"/>
          </w:tcPr>
          <w:p w14:paraId="619789FD">
            <w:pPr>
              <w:jc w:val="center"/>
              <w:rPr>
                <w:rFonts w:ascii="宋体" w:hAnsi="宋体" w:cs="Arial"/>
                <w:b w:val="0"/>
                <w:bCs/>
                <w:szCs w:val="21"/>
              </w:rPr>
            </w:pPr>
            <w:r>
              <w:rPr>
                <w:rFonts w:hint="eastAsia" w:ascii="宋体" w:hAnsi="宋体" w:cs="Arial"/>
                <w:b w:val="0"/>
                <w:bCs/>
                <w:szCs w:val="21"/>
              </w:rPr>
              <w:t>新建</w:t>
            </w:r>
          </w:p>
        </w:tc>
      </w:tr>
      <w:tr w14:paraId="051D4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E9D490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08</w:t>
            </w:r>
          </w:p>
        </w:tc>
        <w:tc>
          <w:tcPr>
            <w:tcW w:w="2448" w:type="dxa"/>
            <w:shd w:val="clear" w:color="auto" w:fill="auto"/>
            <w:vAlign w:val="center"/>
          </w:tcPr>
          <w:p w14:paraId="33083AB6">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5DC11A6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541FBE4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0D3C591">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000</w:t>
            </w:r>
          </w:p>
        </w:tc>
        <w:tc>
          <w:tcPr>
            <w:tcW w:w="771" w:type="dxa"/>
            <w:shd w:val="clear" w:color="auto" w:fill="auto"/>
            <w:vAlign w:val="center"/>
          </w:tcPr>
          <w:p w14:paraId="374F3DB8">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75FF80DA">
            <w:pPr>
              <w:jc w:val="center"/>
              <w:rPr>
                <w:rFonts w:ascii="宋体" w:hAnsi="宋体" w:cs="Arial"/>
                <w:b w:val="0"/>
                <w:bCs/>
                <w:szCs w:val="21"/>
              </w:rPr>
            </w:pPr>
          </w:p>
        </w:tc>
        <w:tc>
          <w:tcPr>
            <w:tcW w:w="998" w:type="dxa"/>
            <w:shd w:val="clear" w:color="auto" w:fill="auto"/>
            <w:vAlign w:val="center"/>
          </w:tcPr>
          <w:p w14:paraId="65FF1032">
            <w:pPr>
              <w:jc w:val="center"/>
              <w:rPr>
                <w:rFonts w:ascii="宋体" w:hAnsi="宋体" w:cs="Arial"/>
                <w:b w:val="0"/>
                <w:bCs/>
                <w:szCs w:val="21"/>
              </w:rPr>
            </w:pPr>
            <w:r>
              <w:rPr>
                <w:rFonts w:hint="eastAsia" w:ascii="宋体" w:hAnsi="宋体" w:cs="Arial"/>
                <w:b w:val="0"/>
                <w:bCs/>
                <w:szCs w:val="21"/>
              </w:rPr>
              <w:t>新建</w:t>
            </w:r>
          </w:p>
        </w:tc>
      </w:tr>
      <w:tr w14:paraId="07D75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F79C7A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09</w:t>
            </w:r>
          </w:p>
        </w:tc>
        <w:tc>
          <w:tcPr>
            <w:tcW w:w="2448" w:type="dxa"/>
            <w:shd w:val="clear" w:color="auto" w:fill="auto"/>
            <w:vAlign w:val="center"/>
          </w:tcPr>
          <w:p w14:paraId="0DED0AFE">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59CB640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6AC92B6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4292AD24">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771" w:type="dxa"/>
            <w:shd w:val="clear" w:color="auto" w:fill="auto"/>
            <w:vAlign w:val="center"/>
          </w:tcPr>
          <w:p w14:paraId="100903D7">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44E506B4">
            <w:pPr>
              <w:jc w:val="center"/>
              <w:rPr>
                <w:rFonts w:ascii="宋体" w:hAnsi="宋体" w:cs="Arial"/>
                <w:b w:val="0"/>
                <w:bCs/>
                <w:szCs w:val="21"/>
              </w:rPr>
            </w:pPr>
          </w:p>
        </w:tc>
        <w:tc>
          <w:tcPr>
            <w:tcW w:w="998" w:type="dxa"/>
            <w:shd w:val="clear" w:color="auto" w:fill="auto"/>
            <w:vAlign w:val="center"/>
          </w:tcPr>
          <w:p w14:paraId="213EF8B1">
            <w:pPr>
              <w:jc w:val="center"/>
              <w:rPr>
                <w:rFonts w:ascii="宋体" w:hAnsi="宋体" w:cs="Arial"/>
                <w:b w:val="0"/>
                <w:bCs/>
                <w:szCs w:val="21"/>
              </w:rPr>
            </w:pPr>
            <w:r>
              <w:rPr>
                <w:rFonts w:hint="eastAsia" w:ascii="宋体" w:hAnsi="宋体" w:cs="Arial"/>
                <w:b w:val="0"/>
                <w:bCs/>
                <w:szCs w:val="21"/>
              </w:rPr>
              <w:t>新建</w:t>
            </w:r>
          </w:p>
        </w:tc>
      </w:tr>
      <w:tr w14:paraId="4787A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ADEEBA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10</w:t>
            </w:r>
          </w:p>
        </w:tc>
        <w:tc>
          <w:tcPr>
            <w:tcW w:w="2448" w:type="dxa"/>
            <w:shd w:val="clear" w:color="auto" w:fill="auto"/>
            <w:vAlign w:val="center"/>
          </w:tcPr>
          <w:p w14:paraId="0503A2A4">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778324F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7D2D610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0F05954">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771" w:type="dxa"/>
            <w:shd w:val="clear" w:color="auto" w:fill="auto"/>
            <w:vAlign w:val="center"/>
          </w:tcPr>
          <w:p w14:paraId="2F9FDB3C">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22AA5FF8">
            <w:pPr>
              <w:jc w:val="center"/>
              <w:rPr>
                <w:rFonts w:ascii="宋体" w:hAnsi="宋体" w:cs="Arial"/>
                <w:b w:val="0"/>
                <w:bCs/>
                <w:szCs w:val="21"/>
              </w:rPr>
            </w:pPr>
          </w:p>
        </w:tc>
        <w:tc>
          <w:tcPr>
            <w:tcW w:w="998" w:type="dxa"/>
            <w:shd w:val="clear" w:color="auto" w:fill="auto"/>
            <w:vAlign w:val="center"/>
          </w:tcPr>
          <w:p w14:paraId="7D307865">
            <w:pPr>
              <w:jc w:val="center"/>
              <w:rPr>
                <w:rFonts w:ascii="宋体" w:hAnsi="宋体" w:cs="Arial"/>
                <w:b w:val="0"/>
                <w:bCs/>
                <w:szCs w:val="21"/>
              </w:rPr>
            </w:pPr>
            <w:r>
              <w:rPr>
                <w:rFonts w:hint="eastAsia" w:ascii="宋体" w:hAnsi="宋体" w:cs="Arial"/>
                <w:b w:val="0"/>
                <w:bCs/>
                <w:szCs w:val="21"/>
              </w:rPr>
              <w:t>新建</w:t>
            </w:r>
          </w:p>
        </w:tc>
      </w:tr>
      <w:tr w14:paraId="0AF01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A81B2B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11</w:t>
            </w:r>
          </w:p>
        </w:tc>
        <w:tc>
          <w:tcPr>
            <w:tcW w:w="2448" w:type="dxa"/>
            <w:shd w:val="clear" w:color="auto" w:fill="auto"/>
            <w:vAlign w:val="center"/>
          </w:tcPr>
          <w:p w14:paraId="1CB2CEEF">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12B96B3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6E53B06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BA3C7A0">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771" w:type="dxa"/>
            <w:shd w:val="clear" w:color="auto" w:fill="auto"/>
            <w:vAlign w:val="center"/>
          </w:tcPr>
          <w:p w14:paraId="752DF500">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7F1D03D2">
            <w:pPr>
              <w:jc w:val="center"/>
              <w:rPr>
                <w:rFonts w:ascii="宋体" w:hAnsi="宋体" w:cs="Arial"/>
                <w:b w:val="0"/>
                <w:bCs/>
                <w:szCs w:val="21"/>
              </w:rPr>
            </w:pPr>
          </w:p>
        </w:tc>
        <w:tc>
          <w:tcPr>
            <w:tcW w:w="998" w:type="dxa"/>
            <w:shd w:val="clear" w:color="auto" w:fill="auto"/>
            <w:vAlign w:val="center"/>
          </w:tcPr>
          <w:p w14:paraId="17289530">
            <w:pPr>
              <w:jc w:val="center"/>
              <w:rPr>
                <w:rFonts w:ascii="宋体" w:hAnsi="宋体" w:cs="Arial"/>
                <w:b w:val="0"/>
                <w:bCs/>
                <w:szCs w:val="21"/>
              </w:rPr>
            </w:pPr>
            <w:r>
              <w:rPr>
                <w:rFonts w:hint="eastAsia" w:ascii="宋体" w:hAnsi="宋体" w:cs="Arial"/>
                <w:b w:val="0"/>
                <w:bCs/>
                <w:szCs w:val="21"/>
              </w:rPr>
              <w:t>新建</w:t>
            </w:r>
          </w:p>
        </w:tc>
      </w:tr>
      <w:tr w14:paraId="6864F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8898C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p>
        </w:tc>
        <w:tc>
          <w:tcPr>
            <w:tcW w:w="2448" w:type="dxa"/>
            <w:shd w:val="clear" w:color="auto" w:fill="auto"/>
            <w:vAlign w:val="center"/>
          </w:tcPr>
          <w:p w14:paraId="0FDAB25E">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53F966D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21EA08E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A64BA32">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771" w:type="dxa"/>
            <w:shd w:val="clear" w:color="auto" w:fill="auto"/>
            <w:vAlign w:val="center"/>
          </w:tcPr>
          <w:p w14:paraId="7547EB0D">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63113839">
            <w:pPr>
              <w:jc w:val="center"/>
              <w:rPr>
                <w:rFonts w:ascii="宋体" w:hAnsi="宋体" w:cs="Arial"/>
                <w:b w:val="0"/>
                <w:bCs/>
                <w:szCs w:val="21"/>
              </w:rPr>
            </w:pPr>
          </w:p>
        </w:tc>
        <w:tc>
          <w:tcPr>
            <w:tcW w:w="998" w:type="dxa"/>
            <w:shd w:val="clear" w:color="auto" w:fill="auto"/>
            <w:vAlign w:val="center"/>
          </w:tcPr>
          <w:p w14:paraId="26A6CF21">
            <w:pPr>
              <w:jc w:val="center"/>
              <w:rPr>
                <w:rFonts w:ascii="宋体" w:hAnsi="宋体" w:cs="Arial"/>
                <w:b w:val="0"/>
                <w:bCs/>
                <w:szCs w:val="21"/>
              </w:rPr>
            </w:pPr>
            <w:r>
              <w:rPr>
                <w:rFonts w:hint="eastAsia" w:ascii="宋体" w:hAnsi="宋体" w:cs="Arial"/>
                <w:b w:val="0"/>
                <w:bCs/>
                <w:szCs w:val="21"/>
              </w:rPr>
              <w:t>新建</w:t>
            </w:r>
          </w:p>
        </w:tc>
      </w:tr>
      <w:tr w14:paraId="002A0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49C87A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13</w:t>
            </w:r>
          </w:p>
        </w:tc>
        <w:tc>
          <w:tcPr>
            <w:tcW w:w="2448" w:type="dxa"/>
            <w:shd w:val="clear" w:color="auto" w:fill="auto"/>
            <w:vAlign w:val="center"/>
          </w:tcPr>
          <w:p w14:paraId="040DFCA0">
            <w:pPr>
              <w:jc w:val="center"/>
              <w:rPr>
                <w:rFonts w:ascii="宋体" w:hAnsi="宋体" w:cs="Arial"/>
                <w:b w:val="0"/>
                <w:bCs/>
                <w:szCs w:val="21"/>
              </w:rPr>
            </w:pPr>
            <w:r>
              <w:rPr>
                <w:rFonts w:hint="eastAsia" w:ascii="宋体" w:hAnsi="宋体" w:cs="Arial"/>
                <w:b w:val="0"/>
                <w:bCs/>
                <w:szCs w:val="21"/>
              </w:rPr>
              <w:t>黑火药库</w:t>
            </w:r>
          </w:p>
        </w:tc>
        <w:tc>
          <w:tcPr>
            <w:tcW w:w="881" w:type="dxa"/>
            <w:shd w:val="clear" w:color="auto" w:fill="auto"/>
            <w:vAlign w:val="center"/>
          </w:tcPr>
          <w:p w14:paraId="27A1348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6E68236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C235839">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w:t>
            </w:r>
          </w:p>
        </w:tc>
        <w:tc>
          <w:tcPr>
            <w:tcW w:w="771" w:type="dxa"/>
            <w:shd w:val="clear" w:color="auto" w:fill="auto"/>
            <w:vAlign w:val="center"/>
          </w:tcPr>
          <w:p w14:paraId="62FC5DE5">
            <w:pPr>
              <w:jc w:val="center"/>
              <w:rPr>
                <w:rFonts w:ascii="宋体" w:hAnsi="宋体" w:cs="Arial"/>
                <w:b w:val="0"/>
                <w:bCs/>
                <w:szCs w:val="21"/>
              </w:rPr>
            </w:pPr>
            <w:r>
              <w:rPr>
                <w:rFonts w:hint="eastAsia" w:ascii="宋体" w:hAnsi="宋体" w:cs="Arial"/>
                <w:b w:val="0"/>
                <w:bCs/>
                <w:szCs w:val="21"/>
              </w:rPr>
              <w:t>2</w:t>
            </w:r>
          </w:p>
        </w:tc>
        <w:tc>
          <w:tcPr>
            <w:tcW w:w="930" w:type="dxa"/>
            <w:shd w:val="clear" w:color="auto" w:fill="auto"/>
            <w:vAlign w:val="center"/>
          </w:tcPr>
          <w:p w14:paraId="06AAF635">
            <w:pPr>
              <w:jc w:val="center"/>
              <w:rPr>
                <w:rFonts w:ascii="宋体" w:hAnsi="宋体" w:cs="Arial"/>
                <w:b w:val="0"/>
                <w:bCs/>
                <w:szCs w:val="21"/>
              </w:rPr>
            </w:pPr>
          </w:p>
        </w:tc>
        <w:tc>
          <w:tcPr>
            <w:tcW w:w="998" w:type="dxa"/>
            <w:shd w:val="clear" w:color="auto" w:fill="auto"/>
            <w:vAlign w:val="center"/>
          </w:tcPr>
          <w:p w14:paraId="67B404D3">
            <w:pPr>
              <w:jc w:val="center"/>
              <w:rPr>
                <w:rFonts w:ascii="宋体" w:hAnsi="宋体" w:cs="Arial"/>
                <w:b w:val="0"/>
                <w:bCs/>
                <w:szCs w:val="21"/>
              </w:rPr>
            </w:pPr>
            <w:r>
              <w:rPr>
                <w:rFonts w:hint="eastAsia" w:ascii="宋体" w:hAnsi="宋体" w:cs="Arial"/>
                <w:b w:val="0"/>
                <w:bCs/>
                <w:szCs w:val="21"/>
              </w:rPr>
              <w:t>新建</w:t>
            </w:r>
          </w:p>
        </w:tc>
      </w:tr>
      <w:tr w14:paraId="2945C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86755A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14</w:t>
            </w:r>
          </w:p>
        </w:tc>
        <w:tc>
          <w:tcPr>
            <w:tcW w:w="2448" w:type="dxa"/>
            <w:shd w:val="clear" w:color="auto" w:fill="auto"/>
            <w:vAlign w:val="center"/>
          </w:tcPr>
          <w:p w14:paraId="5F4D26EE">
            <w:pPr>
              <w:jc w:val="center"/>
              <w:rPr>
                <w:rFonts w:ascii="宋体" w:hAnsi="宋体" w:cs="Arial"/>
                <w:b w:val="0"/>
                <w:bCs/>
                <w:szCs w:val="21"/>
              </w:rPr>
            </w:pPr>
            <w:r>
              <w:rPr>
                <w:rFonts w:hint="eastAsia" w:ascii="宋体" w:hAnsi="宋体" w:cs="Arial"/>
                <w:b w:val="0"/>
                <w:bCs/>
                <w:szCs w:val="21"/>
              </w:rPr>
              <w:t>值班室</w:t>
            </w:r>
          </w:p>
        </w:tc>
        <w:tc>
          <w:tcPr>
            <w:tcW w:w="881" w:type="dxa"/>
            <w:shd w:val="clear" w:color="auto" w:fill="auto"/>
            <w:vAlign w:val="center"/>
          </w:tcPr>
          <w:p w14:paraId="2DDB6316">
            <w:pPr>
              <w:jc w:val="center"/>
              <w:rPr>
                <w:rFonts w:ascii="宋体" w:hAnsi="宋体" w:cs="Arial"/>
                <w:b w:val="0"/>
                <w:bCs/>
                <w:szCs w:val="21"/>
              </w:rPr>
            </w:pPr>
            <w:r>
              <w:rPr>
                <w:rFonts w:hint="eastAsia" w:ascii="宋体" w:hAnsi="宋体" w:cs="Arial"/>
                <w:b w:val="0"/>
                <w:bCs/>
                <w:szCs w:val="21"/>
              </w:rPr>
              <w:t>9</w:t>
            </w:r>
          </w:p>
        </w:tc>
        <w:tc>
          <w:tcPr>
            <w:tcW w:w="731" w:type="dxa"/>
            <w:shd w:val="clear" w:color="auto" w:fill="auto"/>
            <w:vAlign w:val="center"/>
          </w:tcPr>
          <w:p w14:paraId="547508AD">
            <w:pPr>
              <w:jc w:val="center"/>
              <w:rPr>
                <w:rFonts w:ascii="宋体" w:hAnsi="宋体" w:cs="Arial"/>
                <w:b w:val="0"/>
                <w:bCs/>
                <w:szCs w:val="21"/>
              </w:rPr>
            </w:pPr>
          </w:p>
        </w:tc>
        <w:tc>
          <w:tcPr>
            <w:tcW w:w="1221" w:type="dxa"/>
            <w:shd w:val="clear" w:color="auto" w:fill="auto"/>
            <w:vAlign w:val="center"/>
          </w:tcPr>
          <w:p w14:paraId="28DAABD7">
            <w:pPr>
              <w:jc w:val="center"/>
              <w:rPr>
                <w:rFonts w:ascii="宋体" w:hAnsi="宋体" w:cs="Arial"/>
                <w:b w:val="0"/>
                <w:bCs/>
                <w:szCs w:val="21"/>
              </w:rPr>
            </w:pPr>
          </w:p>
        </w:tc>
        <w:tc>
          <w:tcPr>
            <w:tcW w:w="771" w:type="dxa"/>
            <w:shd w:val="clear" w:color="auto" w:fill="auto"/>
            <w:vAlign w:val="center"/>
          </w:tcPr>
          <w:p w14:paraId="67FF2C86">
            <w:pPr>
              <w:jc w:val="center"/>
              <w:rPr>
                <w:rFonts w:ascii="宋体" w:hAnsi="宋体" w:cs="Arial"/>
                <w:b w:val="0"/>
                <w:bCs/>
                <w:szCs w:val="21"/>
              </w:rPr>
            </w:pPr>
          </w:p>
        </w:tc>
        <w:tc>
          <w:tcPr>
            <w:tcW w:w="930" w:type="dxa"/>
            <w:shd w:val="clear" w:color="auto" w:fill="auto"/>
            <w:vAlign w:val="center"/>
          </w:tcPr>
          <w:p w14:paraId="435BED37">
            <w:pPr>
              <w:jc w:val="center"/>
              <w:rPr>
                <w:rFonts w:ascii="宋体" w:hAnsi="宋体" w:cs="Arial"/>
                <w:b w:val="0"/>
                <w:bCs/>
                <w:szCs w:val="21"/>
              </w:rPr>
            </w:pPr>
          </w:p>
        </w:tc>
        <w:tc>
          <w:tcPr>
            <w:tcW w:w="998" w:type="dxa"/>
            <w:shd w:val="clear" w:color="auto" w:fill="auto"/>
            <w:vAlign w:val="center"/>
          </w:tcPr>
          <w:p w14:paraId="38A83D55">
            <w:pPr>
              <w:jc w:val="center"/>
              <w:rPr>
                <w:rFonts w:ascii="宋体" w:hAnsi="宋体" w:cs="Arial"/>
                <w:b w:val="0"/>
                <w:bCs/>
                <w:szCs w:val="21"/>
              </w:rPr>
            </w:pPr>
            <w:r>
              <w:rPr>
                <w:rFonts w:hint="eastAsia" w:ascii="宋体" w:hAnsi="宋体" w:cs="Arial"/>
                <w:b w:val="0"/>
                <w:bCs/>
                <w:szCs w:val="21"/>
              </w:rPr>
              <w:t>新建</w:t>
            </w:r>
          </w:p>
        </w:tc>
      </w:tr>
      <w:tr w14:paraId="683D5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48AFF7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15</w:t>
            </w:r>
          </w:p>
        </w:tc>
        <w:tc>
          <w:tcPr>
            <w:tcW w:w="2448" w:type="dxa"/>
            <w:shd w:val="clear" w:color="auto" w:fill="auto"/>
            <w:vAlign w:val="center"/>
          </w:tcPr>
          <w:p w14:paraId="13789191">
            <w:pPr>
              <w:jc w:val="center"/>
              <w:rPr>
                <w:rFonts w:ascii="宋体" w:hAnsi="宋体" w:cs="Arial"/>
                <w:b w:val="0"/>
                <w:bCs/>
                <w:szCs w:val="21"/>
              </w:rPr>
            </w:pPr>
            <w:r>
              <w:rPr>
                <w:rFonts w:hint="eastAsia" w:ascii="宋体" w:hAnsi="宋体" w:cs="Arial"/>
                <w:b w:val="0"/>
                <w:bCs/>
                <w:szCs w:val="21"/>
              </w:rPr>
              <w:t>厕所</w:t>
            </w:r>
          </w:p>
        </w:tc>
        <w:tc>
          <w:tcPr>
            <w:tcW w:w="881" w:type="dxa"/>
            <w:shd w:val="clear" w:color="auto" w:fill="auto"/>
            <w:vAlign w:val="center"/>
          </w:tcPr>
          <w:p w14:paraId="137526D8">
            <w:pPr>
              <w:jc w:val="center"/>
              <w:rPr>
                <w:rFonts w:ascii="宋体" w:hAnsi="宋体" w:cs="Arial"/>
                <w:b w:val="0"/>
                <w:bCs/>
                <w:szCs w:val="21"/>
              </w:rPr>
            </w:pPr>
            <w:r>
              <w:rPr>
                <w:rFonts w:hint="eastAsia" w:ascii="宋体" w:hAnsi="宋体" w:cs="Arial"/>
                <w:b w:val="0"/>
                <w:bCs/>
                <w:szCs w:val="21"/>
              </w:rPr>
              <w:t>4</w:t>
            </w:r>
          </w:p>
        </w:tc>
        <w:tc>
          <w:tcPr>
            <w:tcW w:w="731" w:type="dxa"/>
            <w:shd w:val="clear" w:color="auto" w:fill="auto"/>
            <w:vAlign w:val="center"/>
          </w:tcPr>
          <w:p w14:paraId="105FE4AB">
            <w:pPr>
              <w:jc w:val="center"/>
              <w:rPr>
                <w:rFonts w:ascii="宋体" w:hAnsi="宋体" w:cs="Arial"/>
                <w:b w:val="0"/>
                <w:bCs/>
                <w:szCs w:val="21"/>
              </w:rPr>
            </w:pPr>
          </w:p>
        </w:tc>
        <w:tc>
          <w:tcPr>
            <w:tcW w:w="1221" w:type="dxa"/>
            <w:shd w:val="clear" w:color="auto" w:fill="auto"/>
            <w:vAlign w:val="center"/>
          </w:tcPr>
          <w:p w14:paraId="49D43070">
            <w:pPr>
              <w:jc w:val="center"/>
              <w:rPr>
                <w:rFonts w:ascii="宋体" w:hAnsi="宋体" w:cs="Arial"/>
                <w:b w:val="0"/>
                <w:bCs/>
                <w:szCs w:val="21"/>
              </w:rPr>
            </w:pPr>
          </w:p>
        </w:tc>
        <w:tc>
          <w:tcPr>
            <w:tcW w:w="771" w:type="dxa"/>
            <w:shd w:val="clear" w:color="auto" w:fill="auto"/>
            <w:vAlign w:val="center"/>
          </w:tcPr>
          <w:p w14:paraId="6C531AFE">
            <w:pPr>
              <w:jc w:val="center"/>
              <w:rPr>
                <w:rFonts w:ascii="宋体" w:hAnsi="宋体" w:cs="Arial"/>
                <w:b w:val="0"/>
                <w:bCs/>
                <w:szCs w:val="21"/>
              </w:rPr>
            </w:pPr>
          </w:p>
        </w:tc>
        <w:tc>
          <w:tcPr>
            <w:tcW w:w="930" w:type="dxa"/>
            <w:shd w:val="clear" w:color="auto" w:fill="auto"/>
            <w:vAlign w:val="center"/>
          </w:tcPr>
          <w:p w14:paraId="4B3F681A">
            <w:pPr>
              <w:jc w:val="center"/>
              <w:rPr>
                <w:rFonts w:ascii="宋体" w:hAnsi="宋体" w:cs="Arial"/>
                <w:b w:val="0"/>
                <w:bCs/>
                <w:szCs w:val="21"/>
              </w:rPr>
            </w:pPr>
          </w:p>
        </w:tc>
        <w:tc>
          <w:tcPr>
            <w:tcW w:w="998" w:type="dxa"/>
            <w:shd w:val="clear" w:color="auto" w:fill="auto"/>
            <w:vAlign w:val="center"/>
          </w:tcPr>
          <w:p w14:paraId="5A898197">
            <w:pPr>
              <w:jc w:val="center"/>
              <w:rPr>
                <w:rFonts w:ascii="宋体" w:hAnsi="宋体" w:cs="Arial"/>
                <w:b w:val="0"/>
                <w:bCs/>
                <w:szCs w:val="21"/>
              </w:rPr>
            </w:pPr>
            <w:r>
              <w:rPr>
                <w:rFonts w:hint="eastAsia" w:ascii="宋体" w:hAnsi="宋体" w:cs="Arial"/>
                <w:b w:val="0"/>
                <w:bCs/>
                <w:szCs w:val="21"/>
              </w:rPr>
              <w:t>新建</w:t>
            </w:r>
          </w:p>
        </w:tc>
      </w:tr>
      <w:tr w14:paraId="31F5E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4403A8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16</w:t>
            </w:r>
          </w:p>
        </w:tc>
        <w:tc>
          <w:tcPr>
            <w:tcW w:w="2448" w:type="dxa"/>
            <w:shd w:val="clear" w:color="auto" w:fill="auto"/>
            <w:vAlign w:val="center"/>
          </w:tcPr>
          <w:p w14:paraId="7F11189D">
            <w:pPr>
              <w:jc w:val="center"/>
              <w:rPr>
                <w:rFonts w:ascii="宋体" w:hAnsi="宋体" w:cs="Arial"/>
                <w:b w:val="0"/>
                <w:bCs/>
                <w:szCs w:val="21"/>
              </w:rPr>
            </w:pPr>
            <w:r>
              <w:rPr>
                <w:rFonts w:hint="eastAsia" w:ascii="宋体" w:hAnsi="宋体" w:cs="Arial"/>
                <w:b w:val="0"/>
                <w:bCs/>
                <w:szCs w:val="21"/>
              </w:rPr>
              <w:t>高位水池</w:t>
            </w:r>
          </w:p>
        </w:tc>
        <w:tc>
          <w:tcPr>
            <w:tcW w:w="881" w:type="dxa"/>
            <w:shd w:val="clear" w:color="auto" w:fill="auto"/>
            <w:vAlign w:val="center"/>
          </w:tcPr>
          <w:p w14:paraId="4DEA3040">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00m</w:t>
            </w:r>
            <w:r>
              <w:rPr>
                <w:rFonts w:ascii="宋体" w:hAnsi="宋体" w:cs="Arial"/>
                <w:b w:val="0"/>
                <w:bCs/>
                <w:szCs w:val="21"/>
                <w:vertAlign w:val="superscript"/>
              </w:rPr>
              <w:t>3</w:t>
            </w:r>
          </w:p>
        </w:tc>
        <w:tc>
          <w:tcPr>
            <w:tcW w:w="731" w:type="dxa"/>
            <w:shd w:val="clear" w:color="auto" w:fill="auto"/>
            <w:vAlign w:val="center"/>
          </w:tcPr>
          <w:p w14:paraId="2C49F2C6">
            <w:pPr>
              <w:jc w:val="center"/>
              <w:rPr>
                <w:rFonts w:ascii="宋体" w:hAnsi="宋体" w:cs="Arial"/>
                <w:b w:val="0"/>
                <w:bCs/>
                <w:szCs w:val="21"/>
              </w:rPr>
            </w:pPr>
          </w:p>
        </w:tc>
        <w:tc>
          <w:tcPr>
            <w:tcW w:w="1221" w:type="dxa"/>
            <w:shd w:val="clear" w:color="auto" w:fill="auto"/>
            <w:vAlign w:val="center"/>
          </w:tcPr>
          <w:p w14:paraId="2BF36282">
            <w:pPr>
              <w:jc w:val="center"/>
              <w:rPr>
                <w:rFonts w:ascii="宋体" w:hAnsi="宋体" w:cs="Arial"/>
                <w:b w:val="0"/>
                <w:bCs/>
                <w:szCs w:val="21"/>
              </w:rPr>
            </w:pPr>
          </w:p>
        </w:tc>
        <w:tc>
          <w:tcPr>
            <w:tcW w:w="771" w:type="dxa"/>
            <w:shd w:val="clear" w:color="auto" w:fill="auto"/>
            <w:vAlign w:val="center"/>
          </w:tcPr>
          <w:p w14:paraId="3316E121">
            <w:pPr>
              <w:jc w:val="center"/>
              <w:rPr>
                <w:rFonts w:ascii="宋体" w:hAnsi="宋体" w:cs="Arial"/>
                <w:b w:val="0"/>
                <w:bCs/>
                <w:szCs w:val="21"/>
              </w:rPr>
            </w:pPr>
          </w:p>
        </w:tc>
        <w:tc>
          <w:tcPr>
            <w:tcW w:w="930" w:type="dxa"/>
            <w:shd w:val="clear" w:color="auto" w:fill="auto"/>
            <w:vAlign w:val="center"/>
          </w:tcPr>
          <w:p w14:paraId="0FC788E8">
            <w:pPr>
              <w:jc w:val="center"/>
              <w:rPr>
                <w:rFonts w:ascii="宋体" w:hAnsi="宋体" w:cs="Arial"/>
                <w:b w:val="0"/>
                <w:bCs/>
                <w:szCs w:val="21"/>
              </w:rPr>
            </w:pPr>
          </w:p>
        </w:tc>
        <w:tc>
          <w:tcPr>
            <w:tcW w:w="998" w:type="dxa"/>
            <w:shd w:val="clear" w:color="auto" w:fill="auto"/>
            <w:vAlign w:val="center"/>
          </w:tcPr>
          <w:p w14:paraId="74DBDE8E">
            <w:pPr>
              <w:jc w:val="center"/>
              <w:rPr>
                <w:rFonts w:ascii="宋体" w:hAnsi="宋体" w:cs="Arial"/>
                <w:b w:val="0"/>
                <w:bCs/>
                <w:szCs w:val="21"/>
              </w:rPr>
            </w:pPr>
            <w:r>
              <w:rPr>
                <w:rFonts w:hint="eastAsia" w:ascii="宋体" w:hAnsi="宋体" w:cs="Arial"/>
                <w:b w:val="0"/>
                <w:bCs/>
                <w:szCs w:val="21"/>
              </w:rPr>
              <w:t>新建</w:t>
            </w:r>
          </w:p>
        </w:tc>
      </w:tr>
      <w:tr w14:paraId="237846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200D81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17</w:t>
            </w:r>
          </w:p>
        </w:tc>
        <w:tc>
          <w:tcPr>
            <w:tcW w:w="2448" w:type="dxa"/>
            <w:shd w:val="clear" w:color="auto" w:fill="auto"/>
            <w:vAlign w:val="center"/>
          </w:tcPr>
          <w:p w14:paraId="356EE6E3">
            <w:pPr>
              <w:jc w:val="center"/>
              <w:rPr>
                <w:rFonts w:ascii="宋体" w:hAnsi="宋体" w:cs="Arial"/>
                <w:b w:val="0"/>
                <w:bCs/>
                <w:szCs w:val="21"/>
              </w:rPr>
            </w:pPr>
            <w:r>
              <w:rPr>
                <w:rFonts w:hint="eastAsia" w:ascii="宋体" w:hAnsi="宋体" w:cs="Arial"/>
                <w:b w:val="0"/>
                <w:bCs/>
                <w:szCs w:val="21"/>
              </w:rPr>
              <w:t>高位水池</w:t>
            </w:r>
          </w:p>
        </w:tc>
        <w:tc>
          <w:tcPr>
            <w:tcW w:w="881" w:type="dxa"/>
            <w:shd w:val="clear" w:color="auto" w:fill="auto"/>
            <w:vAlign w:val="center"/>
          </w:tcPr>
          <w:p w14:paraId="7A9C67F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00m</w:t>
            </w:r>
            <w:r>
              <w:rPr>
                <w:rFonts w:ascii="宋体" w:hAnsi="宋体" w:cs="Arial"/>
                <w:b w:val="0"/>
                <w:bCs/>
                <w:szCs w:val="21"/>
                <w:vertAlign w:val="superscript"/>
              </w:rPr>
              <w:t>3</w:t>
            </w:r>
          </w:p>
        </w:tc>
        <w:tc>
          <w:tcPr>
            <w:tcW w:w="731" w:type="dxa"/>
            <w:shd w:val="clear" w:color="auto" w:fill="auto"/>
            <w:vAlign w:val="center"/>
          </w:tcPr>
          <w:p w14:paraId="5D4D0582">
            <w:pPr>
              <w:jc w:val="center"/>
              <w:rPr>
                <w:rFonts w:ascii="宋体" w:hAnsi="宋体" w:cs="Arial"/>
                <w:b w:val="0"/>
                <w:bCs/>
                <w:szCs w:val="21"/>
              </w:rPr>
            </w:pPr>
          </w:p>
        </w:tc>
        <w:tc>
          <w:tcPr>
            <w:tcW w:w="1221" w:type="dxa"/>
            <w:shd w:val="clear" w:color="auto" w:fill="auto"/>
            <w:vAlign w:val="center"/>
          </w:tcPr>
          <w:p w14:paraId="6ED92E74">
            <w:pPr>
              <w:jc w:val="center"/>
              <w:rPr>
                <w:rFonts w:ascii="宋体" w:hAnsi="宋体" w:cs="Arial"/>
                <w:b w:val="0"/>
                <w:bCs/>
                <w:szCs w:val="21"/>
              </w:rPr>
            </w:pPr>
          </w:p>
        </w:tc>
        <w:tc>
          <w:tcPr>
            <w:tcW w:w="771" w:type="dxa"/>
            <w:shd w:val="clear" w:color="auto" w:fill="auto"/>
            <w:vAlign w:val="center"/>
          </w:tcPr>
          <w:p w14:paraId="1CD81D5E">
            <w:pPr>
              <w:jc w:val="center"/>
              <w:rPr>
                <w:rFonts w:ascii="宋体" w:hAnsi="宋体" w:cs="Arial"/>
                <w:b w:val="0"/>
                <w:bCs/>
                <w:szCs w:val="21"/>
              </w:rPr>
            </w:pPr>
          </w:p>
        </w:tc>
        <w:tc>
          <w:tcPr>
            <w:tcW w:w="930" w:type="dxa"/>
            <w:shd w:val="clear" w:color="auto" w:fill="auto"/>
            <w:vAlign w:val="center"/>
          </w:tcPr>
          <w:p w14:paraId="29EB5121">
            <w:pPr>
              <w:jc w:val="center"/>
              <w:rPr>
                <w:rFonts w:ascii="宋体" w:hAnsi="宋体" w:cs="Arial"/>
                <w:b w:val="0"/>
                <w:bCs/>
                <w:szCs w:val="21"/>
              </w:rPr>
            </w:pPr>
          </w:p>
        </w:tc>
        <w:tc>
          <w:tcPr>
            <w:tcW w:w="998" w:type="dxa"/>
            <w:shd w:val="clear" w:color="auto" w:fill="auto"/>
            <w:vAlign w:val="center"/>
          </w:tcPr>
          <w:p w14:paraId="43941862">
            <w:pPr>
              <w:jc w:val="center"/>
              <w:rPr>
                <w:rFonts w:ascii="宋体" w:hAnsi="宋体" w:cs="Arial"/>
                <w:b w:val="0"/>
                <w:bCs/>
                <w:szCs w:val="21"/>
              </w:rPr>
            </w:pPr>
            <w:r>
              <w:rPr>
                <w:rFonts w:hint="eastAsia" w:ascii="宋体" w:hAnsi="宋体" w:cs="Arial"/>
                <w:b w:val="0"/>
                <w:bCs/>
                <w:szCs w:val="21"/>
              </w:rPr>
              <w:t>新建</w:t>
            </w:r>
          </w:p>
        </w:tc>
      </w:tr>
      <w:tr w14:paraId="30ACB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83C94A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18</w:t>
            </w:r>
          </w:p>
        </w:tc>
        <w:tc>
          <w:tcPr>
            <w:tcW w:w="2448" w:type="dxa"/>
            <w:shd w:val="clear" w:color="auto" w:fill="auto"/>
            <w:vAlign w:val="center"/>
          </w:tcPr>
          <w:p w14:paraId="27204FF2">
            <w:pPr>
              <w:jc w:val="center"/>
              <w:rPr>
                <w:rFonts w:ascii="宋体" w:hAnsi="宋体" w:cs="Arial"/>
                <w:b w:val="0"/>
                <w:bCs/>
                <w:szCs w:val="21"/>
              </w:rPr>
            </w:pPr>
            <w:r>
              <w:rPr>
                <w:rFonts w:hint="eastAsia" w:ascii="宋体" w:hAnsi="宋体" w:cs="Arial"/>
                <w:b w:val="0"/>
                <w:bCs/>
                <w:szCs w:val="21"/>
              </w:rPr>
              <w:t>配电间</w:t>
            </w:r>
          </w:p>
        </w:tc>
        <w:tc>
          <w:tcPr>
            <w:tcW w:w="881" w:type="dxa"/>
            <w:shd w:val="clear" w:color="auto" w:fill="auto"/>
            <w:vAlign w:val="center"/>
          </w:tcPr>
          <w:p w14:paraId="1DA7B901">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p>
        </w:tc>
        <w:tc>
          <w:tcPr>
            <w:tcW w:w="731" w:type="dxa"/>
            <w:shd w:val="clear" w:color="auto" w:fill="auto"/>
            <w:vAlign w:val="center"/>
          </w:tcPr>
          <w:p w14:paraId="467116C8">
            <w:pPr>
              <w:jc w:val="center"/>
              <w:rPr>
                <w:rFonts w:ascii="宋体" w:hAnsi="宋体" w:cs="Arial"/>
                <w:b w:val="0"/>
                <w:bCs/>
                <w:szCs w:val="21"/>
              </w:rPr>
            </w:pPr>
          </w:p>
        </w:tc>
        <w:tc>
          <w:tcPr>
            <w:tcW w:w="1221" w:type="dxa"/>
            <w:shd w:val="clear" w:color="auto" w:fill="auto"/>
            <w:vAlign w:val="center"/>
          </w:tcPr>
          <w:p w14:paraId="7B83D211">
            <w:pPr>
              <w:jc w:val="center"/>
              <w:rPr>
                <w:rFonts w:ascii="宋体" w:hAnsi="宋体" w:cs="Arial"/>
                <w:b w:val="0"/>
                <w:bCs/>
                <w:szCs w:val="21"/>
              </w:rPr>
            </w:pPr>
          </w:p>
        </w:tc>
        <w:tc>
          <w:tcPr>
            <w:tcW w:w="771" w:type="dxa"/>
            <w:shd w:val="clear" w:color="auto" w:fill="auto"/>
            <w:vAlign w:val="center"/>
          </w:tcPr>
          <w:p w14:paraId="0B1EC719">
            <w:pPr>
              <w:jc w:val="center"/>
              <w:rPr>
                <w:rFonts w:ascii="宋体" w:hAnsi="宋体" w:cs="Arial"/>
                <w:b w:val="0"/>
                <w:bCs/>
                <w:szCs w:val="21"/>
              </w:rPr>
            </w:pPr>
          </w:p>
        </w:tc>
        <w:tc>
          <w:tcPr>
            <w:tcW w:w="930" w:type="dxa"/>
            <w:shd w:val="clear" w:color="auto" w:fill="auto"/>
            <w:vAlign w:val="center"/>
          </w:tcPr>
          <w:p w14:paraId="36C8B35E">
            <w:pPr>
              <w:jc w:val="center"/>
              <w:rPr>
                <w:rFonts w:ascii="宋体" w:hAnsi="宋体" w:cs="Arial"/>
                <w:b w:val="0"/>
                <w:bCs/>
                <w:szCs w:val="21"/>
              </w:rPr>
            </w:pPr>
          </w:p>
        </w:tc>
        <w:tc>
          <w:tcPr>
            <w:tcW w:w="998" w:type="dxa"/>
            <w:shd w:val="clear" w:color="auto" w:fill="auto"/>
            <w:vAlign w:val="center"/>
          </w:tcPr>
          <w:p w14:paraId="4C95FA35">
            <w:pPr>
              <w:jc w:val="center"/>
              <w:rPr>
                <w:rFonts w:ascii="宋体" w:hAnsi="宋体" w:cs="Arial"/>
                <w:b w:val="0"/>
                <w:bCs/>
                <w:szCs w:val="21"/>
              </w:rPr>
            </w:pPr>
            <w:r>
              <w:rPr>
                <w:rFonts w:hint="eastAsia" w:ascii="宋体" w:hAnsi="宋体" w:cs="Arial"/>
                <w:b w:val="0"/>
                <w:bCs/>
                <w:szCs w:val="21"/>
              </w:rPr>
              <w:t>新建</w:t>
            </w:r>
          </w:p>
        </w:tc>
      </w:tr>
      <w:tr w14:paraId="79EAB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C830BD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19</w:t>
            </w:r>
          </w:p>
        </w:tc>
        <w:tc>
          <w:tcPr>
            <w:tcW w:w="2448" w:type="dxa"/>
            <w:shd w:val="clear" w:color="auto" w:fill="auto"/>
            <w:vAlign w:val="center"/>
          </w:tcPr>
          <w:p w14:paraId="7A692F42">
            <w:pPr>
              <w:jc w:val="center"/>
              <w:rPr>
                <w:rFonts w:ascii="宋体" w:hAnsi="宋体" w:cs="Arial"/>
                <w:b w:val="0"/>
                <w:bCs/>
                <w:szCs w:val="21"/>
              </w:rPr>
            </w:pPr>
            <w:r>
              <w:rPr>
                <w:rFonts w:hint="eastAsia" w:ascii="宋体" w:hAnsi="宋体" w:cs="Arial"/>
                <w:b w:val="0"/>
                <w:bCs/>
                <w:szCs w:val="21"/>
              </w:rPr>
              <w:t>包装中转</w:t>
            </w:r>
          </w:p>
        </w:tc>
        <w:tc>
          <w:tcPr>
            <w:tcW w:w="881" w:type="dxa"/>
            <w:shd w:val="clear" w:color="auto" w:fill="auto"/>
            <w:vAlign w:val="center"/>
          </w:tcPr>
          <w:p w14:paraId="3046EB3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2BB9862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75C475C">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A2A48F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33D526B">
            <w:pPr>
              <w:jc w:val="center"/>
              <w:rPr>
                <w:rFonts w:ascii="宋体" w:hAnsi="宋体" w:cs="Arial"/>
                <w:b w:val="0"/>
                <w:bCs/>
                <w:szCs w:val="21"/>
              </w:rPr>
            </w:pPr>
          </w:p>
        </w:tc>
        <w:tc>
          <w:tcPr>
            <w:tcW w:w="998" w:type="dxa"/>
            <w:shd w:val="clear" w:color="auto" w:fill="auto"/>
            <w:vAlign w:val="center"/>
          </w:tcPr>
          <w:p w14:paraId="228F98EE">
            <w:pPr>
              <w:jc w:val="center"/>
              <w:rPr>
                <w:rFonts w:ascii="宋体" w:hAnsi="宋体" w:cs="Arial"/>
                <w:b w:val="0"/>
                <w:bCs/>
                <w:szCs w:val="21"/>
              </w:rPr>
            </w:pPr>
            <w:r>
              <w:rPr>
                <w:rFonts w:hint="eastAsia" w:ascii="宋体" w:hAnsi="宋体" w:cs="Arial"/>
                <w:b w:val="0"/>
                <w:bCs/>
                <w:szCs w:val="21"/>
              </w:rPr>
              <w:t>新建</w:t>
            </w:r>
          </w:p>
        </w:tc>
      </w:tr>
      <w:tr w14:paraId="6EADC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C5252A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2448" w:type="dxa"/>
            <w:shd w:val="clear" w:color="auto" w:fill="auto"/>
            <w:vAlign w:val="center"/>
          </w:tcPr>
          <w:p w14:paraId="3D3915B3">
            <w:pPr>
              <w:jc w:val="center"/>
              <w:rPr>
                <w:rFonts w:ascii="宋体" w:hAnsi="宋体" w:cs="Arial"/>
                <w:b w:val="0"/>
                <w:bCs/>
                <w:szCs w:val="21"/>
              </w:rPr>
            </w:pPr>
            <w:r>
              <w:rPr>
                <w:rFonts w:hint="eastAsia" w:ascii="宋体" w:hAnsi="宋体" w:cs="Arial"/>
                <w:b w:val="0"/>
                <w:bCs/>
                <w:szCs w:val="21"/>
              </w:rPr>
              <w:t>包装中转</w:t>
            </w:r>
          </w:p>
        </w:tc>
        <w:tc>
          <w:tcPr>
            <w:tcW w:w="881" w:type="dxa"/>
            <w:shd w:val="clear" w:color="auto" w:fill="auto"/>
            <w:vAlign w:val="center"/>
          </w:tcPr>
          <w:p w14:paraId="52024FB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3DB9EC1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20A2ED7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257C0602">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1FF3B2B">
            <w:pPr>
              <w:jc w:val="center"/>
              <w:rPr>
                <w:rFonts w:ascii="宋体" w:hAnsi="宋体" w:cs="Arial"/>
                <w:b w:val="0"/>
                <w:bCs/>
                <w:szCs w:val="21"/>
              </w:rPr>
            </w:pPr>
          </w:p>
        </w:tc>
        <w:tc>
          <w:tcPr>
            <w:tcW w:w="998" w:type="dxa"/>
            <w:shd w:val="clear" w:color="auto" w:fill="auto"/>
            <w:vAlign w:val="center"/>
          </w:tcPr>
          <w:p w14:paraId="578D9C30">
            <w:pPr>
              <w:jc w:val="center"/>
              <w:rPr>
                <w:rFonts w:ascii="宋体" w:hAnsi="宋体" w:cs="Arial"/>
                <w:b w:val="0"/>
                <w:bCs/>
                <w:szCs w:val="21"/>
              </w:rPr>
            </w:pPr>
            <w:r>
              <w:rPr>
                <w:rFonts w:hint="eastAsia" w:ascii="宋体" w:hAnsi="宋体" w:cs="Arial"/>
                <w:b w:val="0"/>
                <w:bCs/>
                <w:szCs w:val="21"/>
              </w:rPr>
              <w:t>新建</w:t>
            </w:r>
          </w:p>
        </w:tc>
      </w:tr>
      <w:tr w14:paraId="4BD9F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BAFF5B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21</w:t>
            </w:r>
          </w:p>
        </w:tc>
        <w:tc>
          <w:tcPr>
            <w:tcW w:w="2448" w:type="dxa"/>
            <w:shd w:val="clear" w:color="auto" w:fill="auto"/>
            <w:vAlign w:val="center"/>
          </w:tcPr>
          <w:p w14:paraId="48717E10">
            <w:pPr>
              <w:jc w:val="center"/>
              <w:rPr>
                <w:rFonts w:ascii="宋体" w:hAnsi="宋体" w:cs="Arial"/>
                <w:b w:val="0"/>
                <w:bCs/>
                <w:szCs w:val="21"/>
              </w:rPr>
            </w:pPr>
            <w:r>
              <w:rPr>
                <w:rFonts w:hint="eastAsia" w:ascii="宋体" w:hAnsi="宋体" w:cs="Arial"/>
                <w:b w:val="0"/>
                <w:bCs/>
                <w:szCs w:val="21"/>
              </w:rPr>
              <w:t>包装中转</w:t>
            </w:r>
          </w:p>
        </w:tc>
        <w:tc>
          <w:tcPr>
            <w:tcW w:w="881" w:type="dxa"/>
            <w:shd w:val="clear" w:color="auto" w:fill="auto"/>
            <w:vAlign w:val="center"/>
          </w:tcPr>
          <w:p w14:paraId="44FE01D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5F990FE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E052F9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7FED58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06523539">
            <w:pPr>
              <w:jc w:val="center"/>
              <w:rPr>
                <w:rFonts w:ascii="宋体" w:hAnsi="宋体" w:cs="Arial"/>
                <w:b w:val="0"/>
                <w:bCs/>
                <w:szCs w:val="21"/>
              </w:rPr>
            </w:pPr>
          </w:p>
        </w:tc>
        <w:tc>
          <w:tcPr>
            <w:tcW w:w="998" w:type="dxa"/>
            <w:shd w:val="clear" w:color="auto" w:fill="auto"/>
            <w:vAlign w:val="center"/>
          </w:tcPr>
          <w:p w14:paraId="1AD08062">
            <w:pPr>
              <w:jc w:val="center"/>
              <w:rPr>
                <w:rFonts w:ascii="宋体" w:hAnsi="宋体" w:cs="Arial"/>
                <w:b w:val="0"/>
                <w:bCs/>
                <w:szCs w:val="21"/>
              </w:rPr>
            </w:pPr>
            <w:r>
              <w:rPr>
                <w:rFonts w:hint="eastAsia" w:ascii="宋体" w:hAnsi="宋体" w:cs="Arial"/>
                <w:b w:val="0"/>
                <w:bCs/>
                <w:szCs w:val="21"/>
              </w:rPr>
              <w:t>新建</w:t>
            </w:r>
          </w:p>
        </w:tc>
      </w:tr>
      <w:tr w14:paraId="1D64E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04E5BA0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22</w:t>
            </w:r>
          </w:p>
        </w:tc>
        <w:tc>
          <w:tcPr>
            <w:tcW w:w="2448" w:type="dxa"/>
            <w:shd w:val="clear" w:color="auto" w:fill="auto"/>
            <w:vAlign w:val="center"/>
          </w:tcPr>
          <w:p w14:paraId="7C1E72C2">
            <w:pPr>
              <w:jc w:val="center"/>
              <w:rPr>
                <w:rFonts w:ascii="宋体" w:hAnsi="宋体" w:cs="Arial"/>
                <w:b w:val="0"/>
                <w:bCs/>
                <w:szCs w:val="21"/>
              </w:rPr>
            </w:pPr>
            <w:r>
              <w:rPr>
                <w:rFonts w:hint="eastAsia" w:ascii="宋体" w:hAnsi="宋体" w:cs="Arial"/>
                <w:b w:val="0"/>
                <w:bCs/>
                <w:szCs w:val="21"/>
              </w:rPr>
              <w:t>包装</w:t>
            </w:r>
          </w:p>
        </w:tc>
        <w:tc>
          <w:tcPr>
            <w:tcW w:w="881" w:type="dxa"/>
            <w:shd w:val="clear" w:color="auto" w:fill="auto"/>
            <w:vAlign w:val="center"/>
          </w:tcPr>
          <w:p w14:paraId="372582F9">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w:t>
            </w:r>
          </w:p>
        </w:tc>
        <w:tc>
          <w:tcPr>
            <w:tcW w:w="731" w:type="dxa"/>
            <w:shd w:val="clear" w:color="auto" w:fill="auto"/>
            <w:vAlign w:val="center"/>
          </w:tcPr>
          <w:p w14:paraId="351E661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6A3F862D">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771" w:type="dxa"/>
            <w:shd w:val="clear" w:color="auto" w:fill="auto"/>
            <w:vAlign w:val="center"/>
          </w:tcPr>
          <w:p w14:paraId="220B55EC">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7EC15F4">
            <w:pPr>
              <w:jc w:val="center"/>
              <w:rPr>
                <w:rFonts w:ascii="宋体" w:hAnsi="宋体" w:cs="Arial"/>
                <w:b w:val="0"/>
                <w:bCs/>
                <w:szCs w:val="21"/>
              </w:rPr>
            </w:pPr>
          </w:p>
        </w:tc>
        <w:tc>
          <w:tcPr>
            <w:tcW w:w="998" w:type="dxa"/>
            <w:shd w:val="clear" w:color="auto" w:fill="auto"/>
            <w:vAlign w:val="center"/>
          </w:tcPr>
          <w:p w14:paraId="2712F59A">
            <w:pPr>
              <w:jc w:val="center"/>
              <w:rPr>
                <w:rFonts w:ascii="宋体" w:hAnsi="宋体" w:cs="Arial"/>
                <w:b w:val="0"/>
                <w:bCs/>
                <w:szCs w:val="21"/>
              </w:rPr>
            </w:pPr>
            <w:r>
              <w:rPr>
                <w:rFonts w:hint="eastAsia" w:ascii="宋体" w:hAnsi="宋体" w:cs="Arial"/>
                <w:b w:val="0"/>
                <w:bCs/>
                <w:szCs w:val="21"/>
              </w:rPr>
              <w:t>新建</w:t>
            </w:r>
          </w:p>
        </w:tc>
      </w:tr>
      <w:tr w14:paraId="4DCE1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2B6976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23</w:t>
            </w:r>
          </w:p>
        </w:tc>
        <w:tc>
          <w:tcPr>
            <w:tcW w:w="2448" w:type="dxa"/>
            <w:shd w:val="clear" w:color="auto" w:fill="auto"/>
            <w:vAlign w:val="center"/>
          </w:tcPr>
          <w:p w14:paraId="71DA11CB">
            <w:pPr>
              <w:jc w:val="center"/>
              <w:rPr>
                <w:rFonts w:ascii="宋体" w:hAnsi="宋体" w:cs="Arial"/>
                <w:b w:val="0"/>
                <w:bCs/>
                <w:szCs w:val="21"/>
              </w:rPr>
            </w:pPr>
            <w:r>
              <w:rPr>
                <w:rFonts w:hint="eastAsia" w:ascii="宋体" w:hAnsi="宋体" w:cs="Arial"/>
                <w:b w:val="0"/>
                <w:bCs/>
                <w:szCs w:val="21"/>
              </w:rPr>
              <w:t>工具间</w:t>
            </w:r>
          </w:p>
        </w:tc>
        <w:tc>
          <w:tcPr>
            <w:tcW w:w="881" w:type="dxa"/>
            <w:shd w:val="clear" w:color="auto" w:fill="auto"/>
            <w:vAlign w:val="center"/>
          </w:tcPr>
          <w:p w14:paraId="55E9835E">
            <w:pPr>
              <w:jc w:val="center"/>
              <w:rPr>
                <w:rFonts w:ascii="宋体" w:hAnsi="宋体" w:cs="Arial"/>
                <w:b w:val="0"/>
                <w:bCs/>
                <w:szCs w:val="21"/>
              </w:rPr>
            </w:pPr>
            <w:r>
              <w:rPr>
                <w:rFonts w:hint="eastAsia" w:ascii="宋体" w:hAnsi="宋体" w:cs="Arial"/>
                <w:b w:val="0"/>
                <w:bCs/>
                <w:szCs w:val="21"/>
              </w:rPr>
              <w:t>6</w:t>
            </w:r>
          </w:p>
        </w:tc>
        <w:tc>
          <w:tcPr>
            <w:tcW w:w="731" w:type="dxa"/>
            <w:shd w:val="clear" w:color="auto" w:fill="auto"/>
            <w:vAlign w:val="center"/>
          </w:tcPr>
          <w:p w14:paraId="7A619944">
            <w:pPr>
              <w:jc w:val="center"/>
              <w:rPr>
                <w:rFonts w:ascii="宋体" w:hAnsi="宋体" w:cs="Arial"/>
                <w:b w:val="0"/>
                <w:bCs/>
                <w:szCs w:val="21"/>
              </w:rPr>
            </w:pPr>
          </w:p>
        </w:tc>
        <w:tc>
          <w:tcPr>
            <w:tcW w:w="1221" w:type="dxa"/>
            <w:shd w:val="clear" w:color="auto" w:fill="auto"/>
            <w:vAlign w:val="center"/>
          </w:tcPr>
          <w:p w14:paraId="0D41CA08">
            <w:pPr>
              <w:jc w:val="center"/>
              <w:rPr>
                <w:rFonts w:ascii="宋体" w:hAnsi="宋体" w:cs="Arial"/>
                <w:b w:val="0"/>
                <w:bCs/>
                <w:szCs w:val="21"/>
              </w:rPr>
            </w:pPr>
          </w:p>
        </w:tc>
        <w:tc>
          <w:tcPr>
            <w:tcW w:w="771" w:type="dxa"/>
            <w:shd w:val="clear" w:color="auto" w:fill="auto"/>
            <w:vAlign w:val="center"/>
          </w:tcPr>
          <w:p w14:paraId="2FF03FFE">
            <w:pPr>
              <w:jc w:val="center"/>
              <w:rPr>
                <w:rFonts w:ascii="宋体" w:hAnsi="宋体" w:cs="Arial"/>
                <w:b w:val="0"/>
                <w:bCs/>
                <w:szCs w:val="21"/>
              </w:rPr>
            </w:pPr>
          </w:p>
        </w:tc>
        <w:tc>
          <w:tcPr>
            <w:tcW w:w="930" w:type="dxa"/>
            <w:shd w:val="clear" w:color="auto" w:fill="auto"/>
            <w:vAlign w:val="center"/>
          </w:tcPr>
          <w:p w14:paraId="2ED3B7C2">
            <w:pPr>
              <w:jc w:val="center"/>
              <w:rPr>
                <w:rFonts w:ascii="宋体" w:hAnsi="宋体" w:cs="Arial"/>
                <w:b w:val="0"/>
                <w:bCs/>
                <w:szCs w:val="21"/>
              </w:rPr>
            </w:pPr>
          </w:p>
        </w:tc>
        <w:tc>
          <w:tcPr>
            <w:tcW w:w="998" w:type="dxa"/>
            <w:shd w:val="clear" w:color="auto" w:fill="auto"/>
            <w:vAlign w:val="center"/>
          </w:tcPr>
          <w:p w14:paraId="0B3D6812">
            <w:pPr>
              <w:jc w:val="center"/>
              <w:rPr>
                <w:rFonts w:ascii="宋体" w:hAnsi="宋体" w:cs="Arial"/>
                <w:b w:val="0"/>
                <w:bCs/>
                <w:szCs w:val="21"/>
              </w:rPr>
            </w:pPr>
            <w:r>
              <w:rPr>
                <w:rFonts w:hint="eastAsia" w:ascii="宋体" w:hAnsi="宋体" w:cs="Arial"/>
                <w:b w:val="0"/>
                <w:bCs/>
                <w:szCs w:val="21"/>
              </w:rPr>
              <w:t>新建</w:t>
            </w:r>
          </w:p>
        </w:tc>
      </w:tr>
      <w:tr w14:paraId="0FB58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7809B6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24</w:t>
            </w:r>
          </w:p>
        </w:tc>
        <w:tc>
          <w:tcPr>
            <w:tcW w:w="2448" w:type="dxa"/>
            <w:shd w:val="clear" w:color="auto" w:fill="auto"/>
            <w:vAlign w:val="center"/>
          </w:tcPr>
          <w:p w14:paraId="1BD5AA36">
            <w:pPr>
              <w:jc w:val="center"/>
              <w:rPr>
                <w:rFonts w:ascii="宋体" w:hAnsi="宋体" w:cs="Arial"/>
                <w:b w:val="0"/>
                <w:bCs/>
                <w:szCs w:val="21"/>
              </w:rPr>
            </w:pPr>
            <w:r>
              <w:rPr>
                <w:rFonts w:hint="eastAsia" w:ascii="宋体" w:hAnsi="宋体" w:cs="Arial"/>
                <w:b w:val="0"/>
                <w:bCs/>
                <w:szCs w:val="21"/>
              </w:rPr>
              <w:t>筛选中转</w:t>
            </w:r>
          </w:p>
        </w:tc>
        <w:tc>
          <w:tcPr>
            <w:tcW w:w="881" w:type="dxa"/>
            <w:shd w:val="clear" w:color="auto" w:fill="auto"/>
            <w:vAlign w:val="center"/>
          </w:tcPr>
          <w:p w14:paraId="6EEFA8A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7B2673C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0D3544A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4F96C781">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67072BB">
            <w:pPr>
              <w:jc w:val="center"/>
              <w:rPr>
                <w:rFonts w:ascii="宋体" w:hAnsi="宋体" w:cs="Arial"/>
                <w:b w:val="0"/>
                <w:bCs/>
                <w:szCs w:val="21"/>
              </w:rPr>
            </w:pPr>
          </w:p>
        </w:tc>
        <w:tc>
          <w:tcPr>
            <w:tcW w:w="998" w:type="dxa"/>
            <w:shd w:val="clear" w:color="auto" w:fill="auto"/>
            <w:vAlign w:val="center"/>
          </w:tcPr>
          <w:p w14:paraId="02EE6C18">
            <w:pPr>
              <w:jc w:val="center"/>
              <w:rPr>
                <w:rFonts w:ascii="宋体" w:hAnsi="宋体" w:cs="Arial"/>
                <w:b w:val="0"/>
                <w:bCs/>
                <w:szCs w:val="21"/>
              </w:rPr>
            </w:pPr>
            <w:r>
              <w:rPr>
                <w:rFonts w:hint="eastAsia" w:ascii="宋体" w:hAnsi="宋体" w:cs="Arial"/>
                <w:b w:val="0"/>
                <w:bCs/>
                <w:szCs w:val="21"/>
              </w:rPr>
              <w:t>新建</w:t>
            </w:r>
          </w:p>
        </w:tc>
      </w:tr>
      <w:tr w14:paraId="4443D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217194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25</w:t>
            </w:r>
          </w:p>
        </w:tc>
        <w:tc>
          <w:tcPr>
            <w:tcW w:w="2448" w:type="dxa"/>
            <w:shd w:val="clear" w:color="auto" w:fill="auto"/>
            <w:vAlign w:val="center"/>
          </w:tcPr>
          <w:p w14:paraId="0B30F057">
            <w:pPr>
              <w:jc w:val="center"/>
              <w:rPr>
                <w:rFonts w:ascii="宋体" w:hAnsi="宋体" w:cs="Arial"/>
                <w:b w:val="0"/>
                <w:bCs/>
                <w:szCs w:val="21"/>
              </w:rPr>
            </w:pPr>
            <w:r>
              <w:rPr>
                <w:rFonts w:hint="eastAsia" w:ascii="宋体" w:hAnsi="宋体" w:cs="Arial"/>
                <w:b w:val="0"/>
                <w:bCs/>
                <w:szCs w:val="21"/>
              </w:rPr>
              <w:t>筛选中转</w:t>
            </w:r>
          </w:p>
        </w:tc>
        <w:tc>
          <w:tcPr>
            <w:tcW w:w="881" w:type="dxa"/>
            <w:shd w:val="clear" w:color="auto" w:fill="auto"/>
            <w:vAlign w:val="center"/>
          </w:tcPr>
          <w:p w14:paraId="6F80FAA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p>
        </w:tc>
        <w:tc>
          <w:tcPr>
            <w:tcW w:w="731" w:type="dxa"/>
            <w:shd w:val="clear" w:color="auto" w:fill="auto"/>
            <w:vAlign w:val="center"/>
          </w:tcPr>
          <w:p w14:paraId="421C58E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48B11A5">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771" w:type="dxa"/>
            <w:shd w:val="clear" w:color="auto" w:fill="auto"/>
            <w:vAlign w:val="center"/>
          </w:tcPr>
          <w:p w14:paraId="7630D994">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B17FF85">
            <w:pPr>
              <w:jc w:val="center"/>
              <w:rPr>
                <w:rFonts w:ascii="宋体" w:hAnsi="宋体" w:cs="Arial"/>
                <w:b w:val="0"/>
                <w:bCs/>
                <w:szCs w:val="21"/>
              </w:rPr>
            </w:pPr>
          </w:p>
        </w:tc>
        <w:tc>
          <w:tcPr>
            <w:tcW w:w="998" w:type="dxa"/>
            <w:shd w:val="clear" w:color="auto" w:fill="auto"/>
            <w:vAlign w:val="center"/>
          </w:tcPr>
          <w:p w14:paraId="72B27BC9">
            <w:pPr>
              <w:jc w:val="center"/>
              <w:rPr>
                <w:rFonts w:ascii="宋体" w:hAnsi="宋体" w:cs="Arial"/>
                <w:b w:val="0"/>
                <w:bCs/>
                <w:szCs w:val="21"/>
              </w:rPr>
            </w:pPr>
            <w:r>
              <w:rPr>
                <w:rFonts w:hint="eastAsia" w:ascii="宋体" w:hAnsi="宋体" w:cs="Arial"/>
                <w:b w:val="0"/>
                <w:bCs/>
                <w:szCs w:val="21"/>
              </w:rPr>
              <w:t>新建</w:t>
            </w:r>
          </w:p>
        </w:tc>
      </w:tr>
      <w:tr w14:paraId="6FFBC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78EF0B0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26</w:t>
            </w:r>
          </w:p>
        </w:tc>
        <w:tc>
          <w:tcPr>
            <w:tcW w:w="2448" w:type="dxa"/>
            <w:shd w:val="clear" w:color="auto" w:fill="auto"/>
            <w:vAlign w:val="center"/>
          </w:tcPr>
          <w:p w14:paraId="05862066">
            <w:pPr>
              <w:jc w:val="center"/>
              <w:rPr>
                <w:rFonts w:ascii="宋体" w:hAnsi="宋体" w:cs="Arial"/>
                <w:b w:val="0"/>
                <w:bCs/>
                <w:szCs w:val="21"/>
              </w:rPr>
            </w:pPr>
            <w:r>
              <w:rPr>
                <w:rFonts w:hint="eastAsia" w:ascii="宋体" w:hAnsi="宋体" w:cs="Arial"/>
                <w:b w:val="0"/>
                <w:bCs/>
                <w:szCs w:val="21"/>
              </w:rPr>
              <w:t>硝酸钾中转</w:t>
            </w:r>
          </w:p>
        </w:tc>
        <w:tc>
          <w:tcPr>
            <w:tcW w:w="881" w:type="dxa"/>
            <w:shd w:val="clear" w:color="auto" w:fill="auto"/>
            <w:vAlign w:val="center"/>
          </w:tcPr>
          <w:p w14:paraId="0595A66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731" w:type="dxa"/>
            <w:shd w:val="clear" w:color="auto" w:fill="auto"/>
            <w:vAlign w:val="center"/>
          </w:tcPr>
          <w:p w14:paraId="591E4E0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7AA3753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771" w:type="dxa"/>
            <w:shd w:val="clear" w:color="auto" w:fill="auto"/>
            <w:vAlign w:val="center"/>
          </w:tcPr>
          <w:p w14:paraId="6BD4E50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6162DE6F">
            <w:pPr>
              <w:jc w:val="center"/>
              <w:rPr>
                <w:rFonts w:ascii="宋体" w:hAnsi="宋体" w:cs="Arial"/>
                <w:b w:val="0"/>
                <w:bCs/>
                <w:szCs w:val="21"/>
              </w:rPr>
            </w:pPr>
          </w:p>
        </w:tc>
        <w:tc>
          <w:tcPr>
            <w:tcW w:w="998" w:type="dxa"/>
            <w:shd w:val="clear" w:color="auto" w:fill="auto"/>
            <w:vAlign w:val="center"/>
          </w:tcPr>
          <w:p w14:paraId="28FC3EA3">
            <w:pPr>
              <w:jc w:val="center"/>
              <w:rPr>
                <w:rFonts w:ascii="宋体" w:hAnsi="宋体" w:cs="Arial"/>
                <w:b w:val="0"/>
                <w:bCs/>
                <w:szCs w:val="21"/>
              </w:rPr>
            </w:pPr>
            <w:r>
              <w:rPr>
                <w:rFonts w:hint="eastAsia" w:ascii="宋体" w:hAnsi="宋体" w:cs="Arial"/>
                <w:b w:val="0"/>
                <w:bCs/>
                <w:szCs w:val="21"/>
              </w:rPr>
              <w:t>新建</w:t>
            </w:r>
          </w:p>
        </w:tc>
      </w:tr>
      <w:tr w14:paraId="38F961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28DF904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27</w:t>
            </w:r>
          </w:p>
        </w:tc>
        <w:tc>
          <w:tcPr>
            <w:tcW w:w="2448" w:type="dxa"/>
            <w:shd w:val="clear" w:color="auto" w:fill="auto"/>
            <w:vAlign w:val="center"/>
          </w:tcPr>
          <w:p w14:paraId="23AFC38C">
            <w:pPr>
              <w:jc w:val="center"/>
              <w:rPr>
                <w:rFonts w:ascii="宋体" w:hAnsi="宋体" w:cs="Arial"/>
                <w:b w:val="0"/>
                <w:bCs/>
                <w:szCs w:val="21"/>
              </w:rPr>
            </w:pPr>
            <w:r>
              <w:rPr>
                <w:rFonts w:hint="eastAsia" w:ascii="宋体" w:hAnsi="宋体" w:cs="Arial"/>
                <w:b w:val="0"/>
                <w:bCs/>
                <w:szCs w:val="21"/>
              </w:rPr>
              <w:t>二味中转</w:t>
            </w:r>
          </w:p>
        </w:tc>
        <w:tc>
          <w:tcPr>
            <w:tcW w:w="881" w:type="dxa"/>
            <w:shd w:val="clear" w:color="auto" w:fill="auto"/>
            <w:vAlign w:val="center"/>
          </w:tcPr>
          <w:p w14:paraId="28EDA91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w:t>
            </w:r>
          </w:p>
        </w:tc>
        <w:tc>
          <w:tcPr>
            <w:tcW w:w="731" w:type="dxa"/>
            <w:shd w:val="clear" w:color="auto" w:fill="auto"/>
            <w:vAlign w:val="center"/>
          </w:tcPr>
          <w:p w14:paraId="407C283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1221" w:type="dxa"/>
            <w:shd w:val="clear" w:color="auto" w:fill="auto"/>
            <w:vAlign w:val="center"/>
          </w:tcPr>
          <w:p w14:paraId="7620093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771" w:type="dxa"/>
            <w:shd w:val="clear" w:color="auto" w:fill="auto"/>
            <w:vAlign w:val="center"/>
          </w:tcPr>
          <w:p w14:paraId="460F7700">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A550EFE">
            <w:pPr>
              <w:jc w:val="center"/>
              <w:rPr>
                <w:rFonts w:ascii="宋体" w:hAnsi="宋体" w:cs="Arial"/>
                <w:b w:val="0"/>
                <w:bCs/>
                <w:szCs w:val="21"/>
              </w:rPr>
            </w:pPr>
          </w:p>
        </w:tc>
        <w:tc>
          <w:tcPr>
            <w:tcW w:w="998" w:type="dxa"/>
            <w:shd w:val="clear" w:color="auto" w:fill="auto"/>
            <w:vAlign w:val="center"/>
          </w:tcPr>
          <w:p w14:paraId="0C2D17DE">
            <w:pPr>
              <w:jc w:val="center"/>
              <w:rPr>
                <w:rFonts w:ascii="宋体" w:hAnsi="宋体" w:cs="Arial"/>
                <w:b w:val="0"/>
                <w:bCs/>
                <w:szCs w:val="21"/>
              </w:rPr>
            </w:pPr>
            <w:r>
              <w:rPr>
                <w:rFonts w:hint="eastAsia" w:ascii="宋体" w:hAnsi="宋体" w:cs="Arial"/>
                <w:b w:val="0"/>
                <w:bCs/>
                <w:szCs w:val="21"/>
              </w:rPr>
              <w:t>新建</w:t>
            </w:r>
          </w:p>
        </w:tc>
      </w:tr>
      <w:tr w14:paraId="6B0C3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2132BF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28</w:t>
            </w:r>
          </w:p>
        </w:tc>
        <w:tc>
          <w:tcPr>
            <w:tcW w:w="2448" w:type="dxa"/>
            <w:shd w:val="clear" w:color="auto" w:fill="auto"/>
            <w:vAlign w:val="center"/>
          </w:tcPr>
          <w:p w14:paraId="448B3472">
            <w:pPr>
              <w:jc w:val="center"/>
              <w:rPr>
                <w:rFonts w:ascii="宋体" w:hAnsi="宋体" w:cs="Arial"/>
                <w:b w:val="0"/>
                <w:bCs/>
                <w:szCs w:val="21"/>
              </w:rPr>
            </w:pPr>
            <w:r>
              <w:rPr>
                <w:rFonts w:hint="eastAsia" w:ascii="宋体" w:hAnsi="宋体" w:cs="Arial"/>
                <w:b w:val="0"/>
                <w:bCs/>
                <w:szCs w:val="21"/>
              </w:rPr>
              <w:t>电控室</w:t>
            </w:r>
          </w:p>
        </w:tc>
        <w:tc>
          <w:tcPr>
            <w:tcW w:w="881" w:type="dxa"/>
            <w:shd w:val="clear" w:color="auto" w:fill="auto"/>
            <w:vAlign w:val="center"/>
          </w:tcPr>
          <w:p w14:paraId="2B67C15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p>
        </w:tc>
        <w:tc>
          <w:tcPr>
            <w:tcW w:w="731" w:type="dxa"/>
            <w:shd w:val="clear" w:color="auto" w:fill="auto"/>
            <w:vAlign w:val="center"/>
          </w:tcPr>
          <w:p w14:paraId="46713532">
            <w:pPr>
              <w:jc w:val="center"/>
              <w:rPr>
                <w:rFonts w:ascii="宋体" w:hAnsi="宋体" w:cs="Arial"/>
                <w:b w:val="0"/>
                <w:bCs/>
                <w:szCs w:val="21"/>
              </w:rPr>
            </w:pPr>
          </w:p>
        </w:tc>
        <w:tc>
          <w:tcPr>
            <w:tcW w:w="1221" w:type="dxa"/>
            <w:shd w:val="clear" w:color="auto" w:fill="auto"/>
            <w:vAlign w:val="center"/>
          </w:tcPr>
          <w:p w14:paraId="00128C0B">
            <w:pPr>
              <w:jc w:val="center"/>
              <w:rPr>
                <w:rFonts w:ascii="宋体" w:hAnsi="宋体" w:cs="Arial"/>
                <w:b w:val="0"/>
                <w:bCs/>
                <w:szCs w:val="21"/>
              </w:rPr>
            </w:pPr>
          </w:p>
        </w:tc>
        <w:tc>
          <w:tcPr>
            <w:tcW w:w="771" w:type="dxa"/>
            <w:shd w:val="clear" w:color="auto" w:fill="auto"/>
            <w:vAlign w:val="center"/>
          </w:tcPr>
          <w:p w14:paraId="62934368">
            <w:pPr>
              <w:jc w:val="center"/>
              <w:rPr>
                <w:rFonts w:ascii="宋体" w:hAnsi="宋体" w:cs="Arial"/>
                <w:b w:val="0"/>
                <w:bCs/>
                <w:szCs w:val="21"/>
              </w:rPr>
            </w:pPr>
          </w:p>
        </w:tc>
        <w:tc>
          <w:tcPr>
            <w:tcW w:w="930" w:type="dxa"/>
            <w:shd w:val="clear" w:color="auto" w:fill="auto"/>
            <w:vAlign w:val="center"/>
          </w:tcPr>
          <w:p w14:paraId="468DDC93">
            <w:pPr>
              <w:jc w:val="center"/>
              <w:rPr>
                <w:rFonts w:ascii="宋体" w:hAnsi="宋体" w:cs="Arial"/>
                <w:b w:val="0"/>
                <w:bCs/>
                <w:szCs w:val="21"/>
              </w:rPr>
            </w:pPr>
          </w:p>
        </w:tc>
        <w:tc>
          <w:tcPr>
            <w:tcW w:w="998" w:type="dxa"/>
            <w:shd w:val="clear" w:color="auto" w:fill="auto"/>
            <w:vAlign w:val="center"/>
          </w:tcPr>
          <w:p w14:paraId="4B53DB2D">
            <w:pPr>
              <w:jc w:val="center"/>
              <w:rPr>
                <w:rFonts w:ascii="宋体" w:hAnsi="宋体" w:cs="Arial"/>
                <w:b w:val="0"/>
                <w:bCs/>
                <w:szCs w:val="21"/>
              </w:rPr>
            </w:pPr>
            <w:r>
              <w:rPr>
                <w:rFonts w:hint="eastAsia" w:ascii="宋体" w:hAnsi="宋体" w:cs="Arial"/>
                <w:b w:val="0"/>
                <w:bCs/>
                <w:szCs w:val="21"/>
              </w:rPr>
              <w:t>新建</w:t>
            </w:r>
          </w:p>
        </w:tc>
      </w:tr>
      <w:tr w14:paraId="4302B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F92683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29</w:t>
            </w:r>
          </w:p>
        </w:tc>
        <w:tc>
          <w:tcPr>
            <w:tcW w:w="2448" w:type="dxa"/>
            <w:shd w:val="clear" w:color="auto" w:fill="auto"/>
            <w:vAlign w:val="center"/>
          </w:tcPr>
          <w:p w14:paraId="3EB4F39A">
            <w:pPr>
              <w:jc w:val="center"/>
              <w:rPr>
                <w:rFonts w:ascii="宋体" w:hAnsi="宋体" w:cs="Arial"/>
                <w:b w:val="0"/>
                <w:bCs/>
                <w:szCs w:val="21"/>
              </w:rPr>
            </w:pPr>
            <w:r>
              <w:rPr>
                <w:rFonts w:hint="eastAsia" w:ascii="宋体" w:hAnsi="宋体" w:cs="Arial"/>
                <w:b w:val="0"/>
                <w:bCs/>
                <w:szCs w:val="21"/>
              </w:rPr>
              <w:t>三味球磨/筛选</w:t>
            </w:r>
          </w:p>
        </w:tc>
        <w:tc>
          <w:tcPr>
            <w:tcW w:w="881" w:type="dxa"/>
            <w:shd w:val="clear" w:color="auto" w:fill="auto"/>
            <w:vAlign w:val="center"/>
          </w:tcPr>
          <w:p w14:paraId="3EF22AD2">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p>
        </w:tc>
        <w:tc>
          <w:tcPr>
            <w:tcW w:w="731" w:type="dxa"/>
            <w:shd w:val="clear" w:color="auto" w:fill="auto"/>
            <w:vAlign w:val="center"/>
          </w:tcPr>
          <w:p w14:paraId="6B6185E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175A603C">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771" w:type="dxa"/>
            <w:shd w:val="clear" w:color="auto" w:fill="auto"/>
            <w:vAlign w:val="center"/>
          </w:tcPr>
          <w:p w14:paraId="012AA090">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B5E61B8">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4ED7AC88">
            <w:pPr>
              <w:jc w:val="center"/>
              <w:rPr>
                <w:rFonts w:ascii="宋体" w:hAnsi="宋体" w:cs="Arial"/>
                <w:b w:val="0"/>
                <w:bCs/>
                <w:szCs w:val="21"/>
              </w:rPr>
            </w:pPr>
            <w:r>
              <w:rPr>
                <w:rFonts w:hint="eastAsia" w:ascii="宋体" w:hAnsi="宋体" w:cs="Arial"/>
                <w:b w:val="0"/>
                <w:bCs/>
                <w:szCs w:val="21"/>
              </w:rPr>
              <w:t>新建</w:t>
            </w:r>
          </w:p>
        </w:tc>
      </w:tr>
      <w:tr w14:paraId="02132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5A2B7E5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30</w:t>
            </w:r>
          </w:p>
        </w:tc>
        <w:tc>
          <w:tcPr>
            <w:tcW w:w="2448" w:type="dxa"/>
            <w:shd w:val="clear" w:color="auto" w:fill="auto"/>
            <w:vAlign w:val="center"/>
          </w:tcPr>
          <w:p w14:paraId="519A74FE">
            <w:pPr>
              <w:jc w:val="center"/>
              <w:rPr>
                <w:rFonts w:ascii="宋体" w:hAnsi="宋体" w:cs="Arial"/>
                <w:b w:val="0"/>
                <w:bCs/>
                <w:szCs w:val="21"/>
              </w:rPr>
            </w:pPr>
            <w:r>
              <w:rPr>
                <w:rFonts w:hint="eastAsia" w:ascii="宋体" w:hAnsi="宋体" w:cs="Arial"/>
                <w:b w:val="0"/>
                <w:bCs/>
                <w:szCs w:val="21"/>
              </w:rPr>
              <w:t>三味球磨/筛选</w:t>
            </w:r>
          </w:p>
        </w:tc>
        <w:tc>
          <w:tcPr>
            <w:tcW w:w="881" w:type="dxa"/>
            <w:shd w:val="clear" w:color="auto" w:fill="auto"/>
            <w:vAlign w:val="center"/>
          </w:tcPr>
          <w:p w14:paraId="2D87269E">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p>
        </w:tc>
        <w:tc>
          <w:tcPr>
            <w:tcW w:w="731" w:type="dxa"/>
            <w:shd w:val="clear" w:color="auto" w:fill="auto"/>
            <w:vAlign w:val="center"/>
          </w:tcPr>
          <w:p w14:paraId="34E135E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3EDE4CE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771" w:type="dxa"/>
            <w:shd w:val="clear" w:color="auto" w:fill="auto"/>
            <w:vAlign w:val="center"/>
          </w:tcPr>
          <w:p w14:paraId="71389C78">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23D7990A">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116C869">
            <w:pPr>
              <w:jc w:val="center"/>
              <w:rPr>
                <w:rFonts w:ascii="宋体" w:hAnsi="宋体" w:cs="Arial"/>
                <w:b w:val="0"/>
                <w:bCs/>
                <w:szCs w:val="21"/>
              </w:rPr>
            </w:pPr>
            <w:r>
              <w:rPr>
                <w:rFonts w:hint="eastAsia" w:ascii="宋体" w:hAnsi="宋体" w:cs="Arial"/>
                <w:b w:val="0"/>
                <w:bCs/>
                <w:szCs w:val="21"/>
              </w:rPr>
              <w:t>新建</w:t>
            </w:r>
          </w:p>
        </w:tc>
      </w:tr>
      <w:tr w14:paraId="1A3DC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3471FE6C">
            <w:pPr>
              <w:jc w:val="center"/>
              <w:rPr>
                <w:rFonts w:ascii="宋体" w:hAnsi="宋体" w:cs="Arial"/>
                <w:b w:val="0"/>
                <w:bCs/>
                <w:szCs w:val="21"/>
              </w:rPr>
            </w:pPr>
            <w:r>
              <w:rPr>
                <w:rFonts w:ascii="宋体" w:hAnsi="宋体" w:cs="Arial"/>
                <w:b w:val="0"/>
                <w:bCs/>
                <w:szCs w:val="21"/>
              </w:rPr>
              <w:t>1</w:t>
            </w:r>
            <w:r>
              <w:rPr>
                <w:rFonts w:hint="eastAsia" w:ascii="宋体" w:hAnsi="宋体" w:cs="Arial"/>
                <w:b w:val="0"/>
                <w:bCs/>
                <w:szCs w:val="21"/>
              </w:rPr>
              <w:t>3</w:t>
            </w:r>
            <w:r>
              <w:rPr>
                <w:rFonts w:ascii="宋体" w:hAnsi="宋体" w:cs="Arial"/>
                <w:b w:val="0"/>
                <w:bCs/>
                <w:szCs w:val="21"/>
              </w:rPr>
              <w:t>1</w:t>
            </w:r>
          </w:p>
        </w:tc>
        <w:tc>
          <w:tcPr>
            <w:tcW w:w="2448" w:type="dxa"/>
            <w:shd w:val="clear" w:color="auto" w:fill="auto"/>
            <w:vAlign w:val="center"/>
          </w:tcPr>
          <w:p w14:paraId="143A44F7">
            <w:pPr>
              <w:jc w:val="center"/>
              <w:rPr>
                <w:rFonts w:ascii="宋体" w:hAnsi="宋体" w:cs="Arial"/>
                <w:b w:val="0"/>
                <w:bCs/>
                <w:szCs w:val="21"/>
              </w:rPr>
            </w:pPr>
            <w:r>
              <w:rPr>
                <w:rFonts w:hint="eastAsia" w:ascii="宋体" w:hAnsi="宋体" w:cs="Arial"/>
                <w:b w:val="0"/>
                <w:bCs/>
                <w:szCs w:val="21"/>
              </w:rPr>
              <w:t>三味球磨/筛选</w:t>
            </w:r>
          </w:p>
        </w:tc>
        <w:tc>
          <w:tcPr>
            <w:tcW w:w="881" w:type="dxa"/>
            <w:shd w:val="clear" w:color="auto" w:fill="auto"/>
            <w:vAlign w:val="center"/>
          </w:tcPr>
          <w:p w14:paraId="1A74660A">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p>
        </w:tc>
        <w:tc>
          <w:tcPr>
            <w:tcW w:w="731" w:type="dxa"/>
            <w:shd w:val="clear" w:color="auto" w:fill="auto"/>
            <w:vAlign w:val="center"/>
          </w:tcPr>
          <w:p w14:paraId="7E7B4AD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AF35008">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771" w:type="dxa"/>
            <w:shd w:val="clear" w:color="auto" w:fill="auto"/>
            <w:vAlign w:val="center"/>
          </w:tcPr>
          <w:p w14:paraId="43521DA5">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40481B82">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9541887">
            <w:pPr>
              <w:jc w:val="center"/>
              <w:rPr>
                <w:rFonts w:ascii="宋体" w:hAnsi="宋体" w:cs="Arial"/>
                <w:b w:val="0"/>
                <w:bCs/>
                <w:szCs w:val="21"/>
              </w:rPr>
            </w:pPr>
            <w:r>
              <w:rPr>
                <w:rFonts w:hint="eastAsia" w:ascii="宋体" w:hAnsi="宋体" w:cs="Arial"/>
                <w:b w:val="0"/>
                <w:bCs/>
                <w:szCs w:val="21"/>
              </w:rPr>
              <w:t>新建</w:t>
            </w:r>
          </w:p>
        </w:tc>
      </w:tr>
      <w:tr w14:paraId="72FCF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4ED8B80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32</w:t>
            </w:r>
          </w:p>
        </w:tc>
        <w:tc>
          <w:tcPr>
            <w:tcW w:w="2448" w:type="dxa"/>
            <w:shd w:val="clear" w:color="auto" w:fill="auto"/>
            <w:vAlign w:val="center"/>
          </w:tcPr>
          <w:p w14:paraId="6B19F8B4">
            <w:pPr>
              <w:jc w:val="center"/>
              <w:rPr>
                <w:rFonts w:ascii="宋体" w:hAnsi="宋体" w:cs="Arial"/>
                <w:b w:val="0"/>
                <w:bCs/>
                <w:szCs w:val="21"/>
              </w:rPr>
            </w:pPr>
            <w:r>
              <w:rPr>
                <w:rFonts w:hint="eastAsia" w:ascii="宋体" w:hAnsi="宋体" w:cs="Arial"/>
                <w:b w:val="0"/>
                <w:bCs/>
                <w:szCs w:val="21"/>
              </w:rPr>
              <w:t>三味球磨/筛选</w:t>
            </w:r>
          </w:p>
        </w:tc>
        <w:tc>
          <w:tcPr>
            <w:tcW w:w="881" w:type="dxa"/>
            <w:shd w:val="clear" w:color="auto" w:fill="auto"/>
            <w:vAlign w:val="center"/>
          </w:tcPr>
          <w:p w14:paraId="5E6708C0">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p>
        </w:tc>
        <w:tc>
          <w:tcPr>
            <w:tcW w:w="731" w:type="dxa"/>
            <w:shd w:val="clear" w:color="auto" w:fill="auto"/>
            <w:vAlign w:val="center"/>
          </w:tcPr>
          <w:p w14:paraId="31C7953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1221" w:type="dxa"/>
            <w:shd w:val="clear" w:color="auto" w:fill="auto"/>
            <w:vAlign w:val="center"/>
          </w:tcPr>
          <w:p w14:paraId="50B4A5F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771" w:type="dxa"/>
            <w:shd w:val="clear" w:color="auto" w:fill="auto"/>
            <w:vAlign w:val="center"/>
          </w:tcPr>
          <w:p w14:paraId="3D50C589">
            <w:pPr>
              <w:jc w:val="center"/>
              <w:rPr>
                <w:rFonts w:ascii="宋体" w:hAnsi="宋体" w:cs="Arial"/>
                <w:b w:val="0"/>
                <w:bCs/>
                <w:szCs w:val="21"/>
              </w:rPr>
            </w:pPr>
            <w:r>
              <w:rPr>
                <w:rFonts w:hint="eastAsia" w:ascii="宋体" w:hAnsi="宋体" w:cs="Arial"/>
                <w:b w:val="0"/>
                <w:bCs/>
                <w:szCs w:val="21"/>
              </w:rPr>
              <w:t>1</w:t>
            </w:r>
          </w:p>
        </w:tc>
        <w:tc>
          <w:tcPr>
            <w:tcW w:w="930" w:type="dxa"/>
            <w:shd w:val="clear" w:color="auto" w:fill="auto"/>
            <w:vAlign w:val="center"/>
          </w:tcPr>
          <w:p w14:paraId="5EB6DE74">
            <w:pPr>
              <w:jc w:val="center"/>
              <w:rPr>
                <w:rFonts w:ascii="宋体" w:hAnsi="宋体" w:cs="Arial"/>
                <w:b w:val="0"/>
                <w:bCs/>
                <w:szCs w:val="21"/>
              </w:rPr>
            </w:pPr>
            <w:r>
              <w:rPr>
                <w:rFonts w:hint="eastAsia" w:ascii="宋体" w:hAnsi="宋体" w:cs="Arial"/>
                <w:b w:val="0"/>
                <w:bCs/>
                <w:szCs w:val="21"/>
              </w:rPr>
              <w:t>1</w:t>
            </w:r>
          </w:p>
        </w:tc>
        <w:tc>
          <w:tcPr>
            <w:tcW w:w="998" w:type="dxa"/>
            <w:shd w:val="clear" w:color="auto" w:fill="auto"/>
            <w:vAlign w:val="center"/>
          </w:tcPr>
          <w:p w14:paraId="2880DF22">
            <w:pPr>
              <w:jc w:val="center"/>
              <w:rPr>
                <w:rFonts w:ascii="宋体" w:hAnsi="宋体" w:cs="Arial"/>
                <w:b w:val="0"/>
                <w:bCs/>
                <w:szCs w:val="21"/>
              </w:rPr>
            </w:pPr>
            <w:r>
              <w:rPr>
                <w:rFonts w:hint="eastAsia" w:ascii="宋体" w:hAnsi="宋体" w:cs="Arial"/>
                <w:b w:val="0"/>
                <w:bCs/>
                <w:szCs w:val="21"/>
              </w:rPr>
              <w:t>新建</w:t>
            </w:r>
          </w:p>
        </w:tc>
      </w:tr>
      <w:tr w14:paraId="5E8E7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6CAD921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33</w:t>
            </w:r>
          </w:p>
        </w:tc>
        <w:tc>
          <w:tcPr>
            <w:tcW w:w="2448" w:type="dxa"/>
            <w:shd w:val="clear" w:color="auto" w:fill="auto"/>
            <w:vAlign w:val="center"/>
          </w:tcPr>
          <w:p w14:paraId="59CAD5DF">
            <w:pPr>
              <w:jc w:val="center"/>
              <w:rPr>
                <w:rFonts w:ascii="宋体" w:hAnsi="宋体" w:cs="Arial"/>
                <w:b w:val="0"/>
                <w:bCs/>
                <w:szCs w:val="21"/>
              </w:rPr>
            </w:pPr>
            <w:r>
              <w:rPr>
                <w:rFonts w:hint="eastAsia" w:ascii="宋体" w:hAnsi="宋体" w:cs="Arial"/>
                <w:b w:val="0"/>
                <w:bCs/>
                <w:szCs w:val="21"/>
              </w:rPr>
              <w:t>包装材料间/更衣室</w:t>
            </w:r>
          </w:p>
        </w:tc>
        <w:tc>
          <w:tcPr>
            <w:tcW w:w="881" w:type="dxa"/>
            <w:shd w:val="clear" w:color="auto" w:fill="auto"/>
            <w:vAlign w:val="center"/>
          </w:tcPr>
          <w:p w14:paraId="557BB18A">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5</w:t>
            </w:r>
          </w:p>
        </w:tc>
        <w:tc>
          <w:tcPr>
            <w:tcW w:w="731" w:type="dxa"/>
            <w:shd w:val="clear" w:color="auto" w:fill="auto"/>
            <w:vAlign w:val="center"/>
          </w:tcPr>
          <w:p w14:paraId="0556D9B2">
            <w:pPr>
              <w:jc w:val="center"/>
              <w:rPr>
                <w:rFonts w:ascii="宋体" w:hAnsi="宋体" w:cs="Arial"/>
                <w:b w:val="0"/>
                <w:bCs/>
                <w:szCs w:val="21"/>
              </w:rPr>
            </w:pPr>
          </w:p>
        </w:tc>
        <w:tc>
          <w:tcPr>
            <w:tcW w:w="1221" w:type="dxa"/>
            <w:shd w:val="clear" w:color="auto" w:fill="auto"/>
            <w:vAlign w:val="center"/>
          </w:tcPr>
          <w:p w14:paraId="6FEA3DFB">
            <w:pPr>
              <w:jc w:val="center"/>
              <w:rPr>
                <w:rFonts w:ascii="宋体" w:hAnsi="宋体" w:cs="Arial"/>
                <w:b w:val="0"/>
                <w:bCs/>
                <w:szCs w:val="21"/>
              </w:rPr>
            </w:pPr>
          </w:p>
        </w:tc>
        <w:tc>
          <w:tcPr>
            <w:tcW w:w="771" w:type="dxa"/>
            <w:shd w:val="clear" w:color="auto" w:fill="auto"/>
            <w:vAlign w:val="center"/>
          </w:tcPr>
          <w:p w14:paraId="0858A87E">
            <w:pPr>
              <w:jc w:val="center"/>
              <w:rPr>
                <w:rFonts w:ascii="宋体" w:hAnsi="宋体" w:cs="Arial"/>
                <w:b w:val="0"/>
                <w:bCs/>
                <w:szCs w:val="21"/>
              </w:rPr>
            </w:pPr>
          </w:p>
        </w:tc>
        <w:tc>
          <w:tcPr>
            <w:tcW w:w="930" w:type="dxa"/>
            <w:shd w:val="clear" w:color="auto" w:fill="auto"/>
            <w:vAlign w:val="center"/>
          </w:tcPr>
          <w:p w14:paraId="4C44A93D">
            <w:pPr>
              <w:jc w:val="center"/>
              <w:rPr>
                <w:rFonts w:ascii="宋体" w:hAnsi="宋体" w:cs="Arial"/>
                <w:b w:val="0"/>
                <w:bCs/>
                <w:szCs w:val="21"/>
              </w:rPr>
            </w:pPr>
          </w:p>
        </w:tc>
        <w:tc>
          <w:tcPr>
            <w:tcW w:w="998" w:type="dxa"/>
            <w:shd w:val="clear" w:color="auto" w:fill="auto"/>
            <w:vAlign w:val="center"/>
          </w:tcPr>
          <w:p w14:paraId="011D5D3C">
            <w:pPr>
              <w:jc w:val="center"/>
              <w:rPr>
                <w:rFonts w:ascii="宋体" w:hAnsi="宋体" w:cs="Arial"/>
                <w:b w:val="0"/>
                <w:bCs/>
                <w:szCs w:val="21"/>
              </w:rPr>
            </w:pPr>
            <w:r>
              <w:rPr>
                <w:rFonts w:hint="eastAsia" w:ascii="宋体" w:hAnsi="宋体" w:cs="Arial"/>
                <w:b w:val="0"/>
                <w:bCs/>
                <w:szCs w:val="21"/>
              </w:rPr>
              <w:t>新建</w:t>
            </w:r>
          </w:p>
        </w:tc>
      </w:tr>
      <w:tr w14:paraId="58FCB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97" w:type="dxa"/>
            <w:shd w:val="clear" w:color="auto" w:fill="auto"/>
            <w:vAlign w:val="center"/>
          </w:tcPr>
          <w:p w14:paraId="19D06E4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34</w:t>
            </w:r>
          </w:p>
        </w:tc>
        <w:tc>
          <w:tcPr>
            <w:tcW w:w="2448" w:type="dxa"/>
            <w:shd w:val="clear" w:color="auto" w:fill="auto"/>
            <w:vAlign w:val="center"/>
          </w:tcPr>
          <w:p w14:paraId="6C241673">
            <w:pPr>
              <w:jc w:val="center"/>
              <w:rPr>
                <w:rFonts w:ascii="宋体" w:hAnsi="宋体" w:cs="Arial"/>
                <w:b w:val="0"/>
                <w:bCs/>
                <w:szCs w:val="21"/>
              </w:rPr>
            </w:pPr>
          </w:p>
        </w:tc>
        <w:tc>
          <w:tcPr>
            <w:tcW w:w="881" w:type="dxa"/>
            <w:shd w:val="clear" w:color="auto" w:fill="auto"/>
            <w:vAlign w:val="center"/>
          </w:tcPr>
          <w:p w14:paraId="3F7E2680">
            <w:pPr>
              <w:jc w:val="center"/>
              <w:rPr>
                <w:rFonts w:ascii="宋体" w:hAnsi="宋体" w:cs="Arial"/>
                <w:b w:val="0"/>
                <w:bCs/>
                <w:szCs w:val="21"/>
              </w:rPr>
            </w:pPr>
          </w:p>
        </w:tc>
        <w:tc>
          <w:tcPr>
            <w:tcW w:w="731" w:type="dxa"/>
            <w:shd w:val="clear" w:color="auto" w:fill="auto"/>
            <w:vAlign w:val="center"/>
          </w:tcPr>
          <w:p w14:paraId="6597C58E">
            <w:pPr>
              <w:jc w:val="center"/>
              <w:rPr>
                <w:rFonts w:ascii="宋体" w:hAnsi="宋体" w:cs="Arial"/>
                <w:b w:val="0"/>
                <w:bCs/>
                <w:szCs w:val="21"/>
              </w:rPr>
            </w:pPr>
          </w:p>
        </w:tc>
        <w:tc>
          <w:tcPr>
            <w:tcW w:w="1221" w:type="dxa"/>
            <w:shd w:val="clear" w:color="auto" w:fill="auto"/>
            <w:vAlign w:val="center"/>
          </w:tcPr>
          <w:p w14:paraId="0A82B640">
            <w:pPr>
              <w:jc w:val="center"/>
              <w:rPr>
                <w:rFonts w:ascii="宋体" w:hAnsi="宋体" w:cs="Arial"/>
                <w:b w:val="0"/>
                <w:bCs/>
                <w:szCs w:val="21"/>
              </w:rPr>
            </w:pPr>
          </w:p>
        </w:tc>
        <w:tc>
          <w:tcPr>
            <w:tcW w:w="771" w:type="dxa"/>
            <w:shd w:val="clear" w:color="auto" w:fill="auto"/>
            <w:vAlign w:val="center"/>
          </w:tcPr>
          <w:p w14:paraId="53966AAC">
            <w:pPr>
              <w:jc w:val="center"/>
              <w:rPr>
                <w:rFonts w:ascii="宋体" w:hAnsi="宋体" w:cs="Arial"/>
                <w:b w:val="0"/>
                <w:bCs/>
                <w:szCs w:val="21"/>
              </w:rPr>
            </w:pPr>
          </w:p>
        </w:tc>
        <w:tc>
          <w:tcPr>
            <w:tcW w:w="930" w:type="dxa"/>
            <w:shd w:val="clear" w:color="auto" w:fill="auto"/>
            <w:vAlign w:val="center"/>
          </w:tcPr>
          <w:p w14:paraId="4C8735E1">
            <w:pPr>
              <w:jc w:val="center"/>
              <w:rPr>
                <w:rFonts w:ascii="宋体" w:hAnsi="宋体" w:cs="Arial"/>
                <w:b w:val="0"/>
                <w:bCs/>
                <w:szCs w:val="21"/>
              </w:rPr>
            </w:pPr>
          </w:p>
        </w:tc>
        <w:tc>
          <w:tcPr>
            <w:tcW w:w="998" w:type="dxa"/>
            <w:shd w:val="clear" w:color="auto" w:fill="auto"/>
            <w:vAlign w:val="center"/>
          </w:tcPr>
          <w:p w14:paraId="7A2ADA11">
            <w:pPr>
              <w:jc w:val="center"/>
              <w:rPr>
                <w:rFonts w:ascii="宋体" w:hAnsi="宋体" w:cs="Arial"/>
                <w:b w:val="0"/>
                <w:bCs/>
                <w:szCs w:val="21"/>
              </w:rPr>
            </w:pPr>
            <w:r>
              <w:rPr>
                <w:rFonts w:hint="eastAsia" w:ascii="宋体" w:hAnsi="宋体" w:cs="Arial"/>
                <w:b w:val="0"/>
                <w:bCs/>
                <w:szCs w:val="21"/>
              </w:rPr>
              <w:t>新建</w:t>
            </w:r>
          </w:p>
        </w:tc>
      </w:tr>
      <w:tr w14:paraId="37ECD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697" w:type="dxa"/>
            <w:shd w:val="clear" w:color="auto" w:fill="auto"/>
            <w:vAlign w:val="center"/>
          </w:tcPr>
          <w:p w14:paraId="72D8844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35</w:t>
            </w:r>
          </w:p>
        </w:tc>
        <w:tc>
          <w:tcPr>
            <w:tcW w:w="2448" w:type="dxa"/>
            <w:shd w:val="clear" w:color="auto" w:fill="auto"/>
            <w:vAlign w:val="center"/>
          </w:tcPr>
          <w:p w14:paraId="77580C81">
            <w:pPr>
              <w:jc w:val="center"/>
              <w:rPr>
                <w:rFonts w:ascii="宋体" w:hAnsi="宋体" w:cs="Arial"/>
                <w:b w:val="0"/>
                <w:bCs/>
                <w:szCs w:val="21"/>
              </w:rPr>
            </w:pPr>
            <w:r>
              <w:rPr>
                <w:rFonts w:hint="eastAsia" w:ascii="宋体" w:hAnsi="宋体" w:cs="Arial"/>
                <w:b w:val="0"/>
                <w:bCs/>
                <w:szCs w:val="21"/>
              </w:rPr>
              <w:t>浴室</w:t>
            </w:r>
          </w:p>
        </w:tc>
        <w:tc>
          <w:tcPr>
            <w:tcW w:w="881" w:type="dxa"/>
            <w:shd w:val="clear" w:color="auto" w:fill="auto"/>
            <w:vAlign w:val="center"/>
          </w:tcPr>
          <w:p w14:paraId="07E4BA5C">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3.3</w:t>
            </w:r>
          </w:p>
        </w:tc>
        <w:tc>
          <w:tcPr>
            <w:tcW w:w="731" w:type="dxa"/>
            <w:shd w:val="clear" w:color="auto" w:fill="auto"/>
            <w:vAlign w:val="center"/>
          </w:tcPr>
          <w:p w14:paraId="6CCE1AE2">
            <w:pPr>
              <w:jc w:val="center"/>
              <w:rPr>
                <w:rFonts w:ascii="宋体" w:hAnsi="宋体" w:cs="Arial"/>
                <w:b w:val="0"/>
                <w:bCs/>
                <w:szCs w:val="21"/>
              </w:rPr>
            </w:pPr>
          </w:p>
        </w:tc>
        <w:tc>
          <w:tcPr>
            <w:tcW w:w="1221" w:type="dxa"/>
            <w:shd w:val="clear" w:color="auto" w:fill="auto"/>
            <w:vAlign w:val="center"/>
          </w:tcPr>
          <w:p w14:paraId="39EA4A89">
            <w:pPr>
              <w:jc w:val="center"/>
              <w:rPr>
                <w:rFonts w:ascii="宋体" w:hAnsi="宋体" w:cs="Arial"/>
                <w:b w:val="0"/>
                <w:bCs/>
                <w:szCs w:val="21"/>
              </w:rPr>
            </w:pPr>
          </w:p>
        </w:tc>
        <w:tc>
          <w:tcPr>
            <w:tcW w:w="771" w:type="dxa"/>
            <w:shd w:val="clear" w:color="auto" w:fill="auto"/>
            <w:vAlign w:val="center"/>
          </w:tcPr>
          <w:p w14:paraId="6C3A3C1D">
            <w:pPr>
              <w:jc w:val="center"/>
              <w:rPr>
                <w:rFonts w:ascii="宋体" w:hAnsi="宋体" w:cs="Arial"/>
                <w:b w:val="0"/>
                <w:bCs/>
                <w:szCs w:val="21"/>
              </w:rPr>
            </w:pPr>
          </w:p>
        </w:tc>
        <w:tc>
          <w:tcPr>
            <w:tcW w:w="930" w:type="dxa"/>
            <w:shd w:val="clear" w:color="auto" w:fill="auto"/>
            <w:vAlign w:val="center"/>
          </w:tcPr>
          <w:p w14:paraId="11211648">
            <w:pPr>
              <w:jc w:val="center"/>
              <w:rPr>
                <w:rFonts w:ascii="宋体" w:hAnsi="宋体" w:cs="Arial"/>
                <w:b w:val="0"/>
                <w:bCs/>
                <w:szCs w:val="21"/>
              </w:rPr>
            </w:pPr>
          </w:p>
        </w:tc>
        <w:tc>
          <w:tcPr>
            <w:tcW w:w="998" w:type="dxa"/>
            <w:shd w:val="clear" w:color="auto" w:fill="auto"/>
            <w:vAlign w:val="center"/>
          </w:tcPr>
          <w:p w14:paraId="3D607171">
            <w:pPr>
              <w:jc w:val="center"/>
              <w:rPr>
                <w:rFonts w:ascii="宋体" w:hAnsi="宋体" w:cs="Arial"/>
                <w:b w:val="0"/>
                <w:bCs/>
                <w:szCs w:val="21"/>
              </w:rPr>
            </w:pPr>
            <w:r>
              <w:rPr>
                <w:rFonts w:hint="eastAsia" w:ascii="宋体" w:hAnsi="宋体" w:cs="Arial"/>
                <w:b w:val="0"/>
                <w:bCs/>
                <w:szCs w:val="21"/>
              </w:rPr>
              <w:t>新建</w:t>
            </w:r>
          </w:p>
        </w:tc>
      </w:tr>
    </w:tbl>
    <w:p w14:paraId="1451F7F1">
      <w:pPr>
        <w:pStyle w:val="7"/>
        <w:spacing w:before="120" w:beforeLines="50"/>
        <w:rPr>
          <w:rFonts w:ascii="黑体" w:hAnsi="宋体" w:eastAsia="黑体"/>
          <w:b w:val="0"/>
          <w:bCs w:val="0"/>
          <w:snapToGrid w:val="0"/>
          <w:sz w:val="30"/>
          <w:szCs w:val="30"/>
        </w:rPr>
      </w:pPr>
      <w:r>
        <w:rPr>
          <w:rFonts w:hint="eastAsia" w:ascii="黑体" w:hAnsi="宋体" w:eastAsia="黑体"/>
          <w:b w:val="0"/>
          <w:bCs w:val="0"/>
          <w:snapToGrid w:val="0"/>
          <w:sz w:val="30"/>
          <w:szCs w:val="30"/>
        </w:rPr>
        <w:t>2.2.2产品生产方案</w:t>
      </w:r>
      <w:bookmarkEnd w:id="102"/>
      <w:bookmarkEnd w:id="103"/>
      <w:bookmarkEnd w:id="104"/>
      <w:bookmarkEnd w:id="105"/>
      <w:bookmarkEnd w:id="106"/>
    </w:p>
    <w:p w14:paraId="27A19A31">
      <w:pPr>
        <w:spacing w:line="360" w:lineRule="auto"/>
        <w:ind w:firstLine="536" w:firstLineChars="200"/>
        <w:rPr>
          <w:rFonts w:ascii="宋体" w:hAnsi="宋体"/>
          <w:b w:val="0"/>
          <w:sz w:val="28"/>
          <w:szCs w:val="28"/>
        </w:rPr>
      </w:pPr>
      <w:r>
        <w:rPr>
          <w:rFonts w:hint="eastAsia" w:ascii="宋体" w:hAnsi="宋体"/>
          <w:b w:val="0"/>
          <w:spacing w:val="-6"/>
          <w:sz w:val="28"/>
          <w:szCs w:val="28"/>
        </w:rPr>
        <w:t>该项目</w:t>
      </w:r>
      <w:r>
        <w:rPr>
          <w:rFonts w:hint="eastAsia" w:ascii="宋体" w:hAnsi="宋体"/>
          <w:b w:val="0"/>
          <w:spacing w:val="-6"/>
          <w:sz w:val="28"/>
          <w:szCs w:val="28"/>
          <w:lang w:val="en-GB"/>
        </w:rPr>
        <w:t>建成投入使用后，</w:t>
      </w:r>
      <w:r>
        <w:rPr>
          <w:rFonts w:hint="eastAsia" w:ascii="宋体" w:hAnsi="宋体"/>
          <w:b w:val="0"/>
          <w:spacing w:val="-6"/>
          <w:sz w:val="28"/>
          <w:szCs w:val="28"/>
        </w:rPr>
        <w:t>申请生产范围：黑火药（粒状）、黑火药（粉状）。</w:t>
      </w:r>
    </w:p>
    <w:p w14:paraId="7DA501C5">
      <w:pPr>
        <w:spacing w:line="360" w:lineRule="auto"/>
        <w:ind w:firstLine="560" w:firstLineChars="200"/>
        <w:rPr>
          <w:rFonts w:ascii="宋体" w:hAnsi="宋体" w:cs="宋体"/>
          <w:b w:val="0"/>
          <w:sz w:val="28"/>
          <w:szCs w:val="28"/>
        </w:rPr>
      </w:pPr>
      <w:r>
        <w:rPr>
          <w:rFonts w:hint="eastAsia" w:ascii="宋体" w:hAnsi="宋体" w:cs="宋体"/>
          <w:b w:val="0"/>
          <w:sz w:val="28"/>
        </w:rPr>
        <w:t>生产规模：黑火药（粒状）年产1</w:t>
      </w:r>
      <w:r>
        <w:rPr>
          <w:rFonts w:ascii="宋体" w:hAnsi="宋体" w:cs="宋体"/>
          <w:b w:val="0"/>
          <w:sz w:val="28"/>
        </w:rPr>
        <w:t>800</w:t>
      </w:r>
      <w:r>
        <w:rPr>
          <w:rFonts w:hint="eastAsia" w:ascii="宋体" w:hAnsi="宋体" w:cs="宋体"/>
          <w:b w:val="0"/>
          <w:sz w:val="28"/>
        </w:rPr>
        <w:t>吨，黑火药（粉状）年产7</w:t>
      </w:r>
      <w:r>
        <w:rPr>
          <w:rFonts w:ascii="宋体" w:hAnsi="宋体" w:cs="宋体"/>
          <w:b w:val="0"/>
          <w:sz w:val="28"/>
        </w:rPr>
        <w:t>60</w:t>
      </w:r>
      <w:r>
        <w:rPr>
          <w:rFonts w:hint="eastAsia" w:ascii="宋体" w:hAnsi="宋体" w:cs="宋体"/>
          <w:b w:val="0"/>
          <w:sz w:val="28"/>
        </w:rPr>
        <w:t>吨。</w:t>
      </w:r>
    </w:p>
    <w:p w14:paraId="3E41D6B5">
      <w:pPr>
        <w:pStyle w:val="7"/>
        <w:rPr>
          <w:rFonts w:ascii="黑体" w:hAnsi="宋体" w:eastAsia="黑体"/>
          <w:b w:val="0"/>
          <w:bCs w:val="0"/>
          <w:snapToGrid w:val="0"/>
          <w:sz w:val="30"/>
          <w:szCs w:val="30"/>
        </w:rPr>
      </w:pPr>
      <w:bookmarkStart w:id="107" w:name="_Toc278054169"/>
      <w:bookmarkStart w:id="108" w:name="_Toc300344377"/>
      <w:bookmarkStart w:id="109" w:name="_Toc300256180"/>
      <w:bookmarkStart w:id="110" w:name="_Toc300329555"/>
      <w:bookmarkStart w:id="111" w:name="_Toc165038767"/>
      <w:r>
        <w:rPr>
          <w:rFonts w:hint="eastAsia" w:ascii="黑体" w:hAnsi="宋体" w:eastAsia="黑体"/>
          <w:b w:val="0"/>
          <w:bCs w:val="0"/>
          <w:snapToGrid w:val="0"/>
          <w:sz w:val="30"/>
          <w:szCs w:val="30"/>
        </w:rPr>
        <w:t>2.2.3地理位置及周边环境</w:t>
      </w:r>
      <w:bookmarkEnd w:id="107"/>
      <w:bookmarkEnd w:id="108"/>
      <w:bookmarkEnd w:id="109"/>
      <w:bookmarkEnd w:id="110"/>
      <w:bookmarkEnd w:id="111"/>
    </w:p>
    <w:p w14:paraId="7ED6A635">
      <w:pPr>
        <w:adjustRightInd w:val="0"/>
        <w:snapToGrid w:val="0"/>
        <w:spacing w:line="360" w:lineRule="auto"/>
        <w:ind w:firstLine="560" w:firstLineChars="200"/>
        <w:rPr>
          <w:rFonts w:ascii="Arial" w:hAnsi="Arial" w:cs="Arial"/>
          <w:b w:val="0"/>
          <w:sz w:val="28"/>
        </w:rPr>
      </w:pPr>
      <w:r>
        <w:rPr>
          <w:rFonts w:hint="eastAsia" w:ascii="宋体" w:hAnsi="宋体"/>
          <w:b w:val="0"/>
          <w:sz w:val="28"/>
          <w:szCs w:val="28"/>
          <w:lang w:val="en-GB"/>
        </w:rPr>
        <w:t>该项目位于湖南省醴陵市沩山镇泉水村。</w:t>
      </w:r>
      <w:r>
        <w:rPr>
          <w:rFonts w:hint="eastAsia" w:asciiTheme="minorEastAsia" w:hAnsiTheme="minorEastAsia" w:eastAsiaTheme="minorEastAsia"/>
          <w:b w:val="0"/>
          <w:sz w:val="28"/>
          <w:szCs w:val="28"/>
        </w:rPr>
        <w:t>厂区周边分布有零散民房及其他烟花爆竹企业（醴陵市楚丰出口烟花鞭炮制造有限公司）</w:t>
      </w:r>
      <w:r>
        <w:rPr>
          <w:rFonts w:hint="eastAsia" w:ascii="宋体" w:hAnsi="宋体"/>
          <w:b w:val="0"/>
          <w:sz w:val="28"/>
          <w:szCs w:val="28"/>
        </w:rPr>
        <w:t>。项目选址地远离</w:t>
      </w:r>
      <w:r>
        <w:rPr>
          <w:rFonts w:hint="eastAsia" w:ascii="宋体" w:hAnsi="宋体"/>
          <w:b w:val="0"/>
          <w:sz w:val="28"/>
          <w:szCs w:val="28"/>
          <w:lang w:val="en-GB"/>
        </w:rPr>
        <w:t>城镇规划区、工业区、旅游区；生产厂区</w:t>
      </w:r>
      <w:r>
        <w:rPr>
          <w:rFonts w:hint="eastAsia" w:ascii="宋体" w:hAnsi="宋体"/>
          <w:b w:val="0"/>
          <w:sz w:val="28"/>
          <w:szCs w:val="28"/>
        </w:rPr>
        <w:t>已修建专用道路与厂外公路相连，交通较为便利。项目位置图见图2.2-</w:t>
      </w:r>
      <w:r>
        <w:rPr>
          <w:rFonts w:ascii="宋体" w:hAnsi="宋体"/>
          <w:b w:val="0"/>
          <w:sz w:val="28"/>
          <w:szCs w:val="28"/>
        </w:rPr>
        <w:t>1</w:t>
      </w:r>
      <w:r>
        <w:rPr>
          <w:rFonts w:hint="eastAsia" w:ascii="Arial" w:hAnsi="Arial" w:cs="Arial"/>
          <w:b w:val="0"/>
          <w:sz w:val="28"/>
        </w:rPr>
        <w:t>。</w:t>
      </w:r>
    </w:p>
    <w:p w14:paraId="0BB331E6">
      <w:pPr>
        <w:pStyle w:val="2"/>
        <w:spacing w:line="240" w:lineRule="auto"/>
        <w:ind w:firstLine="0" w:firstLineChars="0"/>
        <w:jc w:val="center"/>
      </w:pPr>
      <w:r>
        <w:drawing>
          <wp:inline distT="0" distB="0" distL="0" distR="0">
            <wp:extent cx="4319905" cy="3160395"/>
            <wp:effectExtent l="0" t="0" r="444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a:extLst>
                        <a:ext uri="{28A0092B-C50C-407E-A947-70E740481C1C}">
                          <a14:useLocalDpi xmlns:a14="http://schemas.microsoft.com/office/drawing/2010/main" val="0"/>
                        </a:ext>
                      </a:extLst>
                    </a:blip>
                    <a:srcRect l="7110" t="3456" b="7762"/>
                    <a:stretch>
                      <a:fillRect/>
                    </a:stretch>
                  </pic:blipFill>
                  <pic:spPr>
                    <a:xfrm>
                      <a:off x="0" y="0"/>
                      <a:ext cx="4320000" cy="3160412"/>
                    </a:xfrm>
                    <a:prstGeom prst="rect">
                      <a:avLst/>
                    </a:prstGeom>
                    <a:noFill/>
                    <a:ln>
                      <a:noFill/>
                    </a:ln>
                  </pic:spPr>
                </pic:pic>
              </a:graphicData>
            </a:graphic>
          </wp:inline>
        </w:drawing>
      </w:r>
    </w:p>
    <w:p w14:paraId="748DF4BB">
      <w:pPr>
        <w:adjustRightInd w:val="0"/>
        <w:snapToGrid w:val="0"/>
        <w:jc w:val="center"/>
        <w:rPr>
          <w:rFonts w:ascii="黑体" w:hAnsi="黑体" w:eastAsia="黑体" w:cs="Arial"/>
          <w:b w:val="0"/>
          <w:sz w:val="24"/>
        </w:rPr>
      </w:pPr>
      <w:r>
        <w:rPr>
          <w:rFonts w:hint="eastAsia" w:ascii="黑体" w:hAnsi="黑体" w:eastAsia="黑体" w:cs="Arial"/>
          <w:b w:val="0"/>
          <w:sz w:val="24"/>
        </w:rPr>
        <w:t>图2</w:t>
      </w:r>
      <w:r>
        <w:rPr>
          <w:rFonts w:ascii="黑体" w:hAnsi="黑体" w:eastAsia="黑体" w:cs="Arial"/>
          <w:b w:val="0"/>
          <w:sz w:val="24"/>
        </w:rPr>
        <w:t xml:space="preserve">.2-1 </w:t>
      </w:r>
      <w:r>
        <w:rPr>
          <w:rFonts w:hint="eastAsia" w:ascii="黑体" w:hAnsi="黑体" w:eastAsia="黑体" w:cs="Arial"/>
          <w:b w:val="0"/>
          <w:sz w:val="24"/>
        </w:rPr>
        <w:t>建设项目区域位置图</w:t>
      </w:r>
    </w:p>
    <w:p w14:paraId="04F2A246">
      <w:pPr>
        <w:pStyle w:val="2"/>
        <w:spacing w:before="120" w:beforeLines="50"/>
        <w:ind w:firstLine="560"/>
        <w:rPr>
          <w:rFonts w:asciiTheme="minorEastAsia" w:hAnsiTheme="minorEastAsia" w:eastAsiaTheme="minorEastAsia"/>
          <w:b w:val="0"/>
          <w:bCs/>
        </w:rPr>
      </w:pPr>
      <w:r>
        <w:rPr>
          <w:rFonts w:hint="eastAsia" w:asciiTheme="minorEastAsia" w:hAnsiTheme="minorEastAsia" w:eastAsiaTheme="minorEastAsia"/>
          <w:b w:val="0"/>
          <w:bCs/>
        </w:rPr>
        <w:t>建设项目周边环境相对简单，周边安全距离内无城镇规划区、工业区、旅游区等建（构）筑物。</w:t>
      </w:r>
      <w:r>
        <w:rPr>
          <w:rFonts w:hint="eastAsia" w:ascii="宋体" w:hAnsi="宋体" w:eastAsia="宋体"/>
          <w:b w:val="0"/>
          <w:szCs w:val="28"/>
          <w:lang w:val="en-GB"/>
        </w:rPr>
        <w:t>该项目周边分布有零散民房及其他烟花爆竹企业（醴陵市楚丰出口烟花鞭炮制造有限公司）</w:t>
      </w:r>
      <w:r>
        <w:rPr>
          <w:rFonts w:hint="eastAsia" w:ascii="宋体" w:hAnsi="宋体" w:eastAsia="宋体"/>
          <w:b w:val="0"/>
          <w:szCs w:val="28"/>
        </w:rPr>
        <w:t>，与厂内工库房均保持有安全距离</w:t>
      </w:r>
      <w:r>
        <w:rPr>
          <w:rFonts w:hint="eastAsia" w:ascii="宋体" w:hAnsi="宋体" w:eastAsia="宋体"/>
          <w:b w:val="0"/>
          <w:szCs w:val="28"/>
          <w:lang w:val="en-GB"/>
        </w:rPr>
        <w:t>。项目周边环境图见图2</w:t>
      </w:r>
      <w:r>
        <w:rPr>
          <w:rFonts w:ascii="宋体" w:hAnsi="宋体" w:eastAsia="宋体"/>
          <w:b w:val="0"/>
          <w:szCs w:val="28"/>
          <w:lang w:val="en-GB"/>
        </w:rPr>
        <w:t>.2-2</w:t>
      </w:r>
      <w:r>
        <w:rPr>
          <w:rFonts w:hint="eastAsia" w:ascii="宋体" w:hAnsi="宋体" w:eastAsia="宋体"/>
          <w:b w:val="0"/>
          <w:szCs w:val="28"/>
          <w:lang w:val="en-GB"/>
        </w:rPr>
        <w:t>。</w:t>
      </w:r>
      <w:r>
        <w:rPr>
          <w:rFonts w:hint="eastAsia" w:ascii="宋体" w:hAnsi="宋体" w:eastAsia="宋体" w:cs="宋体"/>
          <w:b w:val="0"/>
          <w:szCs w:val="28"/>
        </w:rPr>
        <w:t>该项目具体的周边距离及其与相关规范的符合性详</w:t>
      </w:r>
      <w:r>
        <w:rPr>
          <w:rFonts w:hint="eastAsia" w:ascii="宋体" w:hAnsi="宋体" w:eastAsia="宋体"/>
          <w:b w:val="0"/>
          <w:szCs w:val="28"/>
          <w:lang w:val="en-GB"/>
        </w:rPr>
        <w:t>见2.</w:t>
      </w:r>
      <w:r>
        <w:rPr>
          <w:rFonts w:hint="eastAsia" w:ascii="宋体" w:hAnsi="宋体" w:eastAsia="宋体"/>
          <w:b w:val="0"/>
          <w:szCs w:val="28"/>
        </w:rPr>
        <w:t>7</w:t>
      </w:r>
      <w:r>
        <w:rPr>
          <w:rFonts w:hint="eastAsia" w:ascii="宋体" w:hAnsi="宋体" w:eastAsia="宋体"/>
          <w:b w:val="0"/>
          <w:szCs w:val="28"/>
          <w:lang w:val="en-GB"/>
        </w:rPr>
        <w:t>.1章节列表</w:t>
      </w:r>
      <w:r>
        <w:rPr>
          <w:rFonts w:hint="eastAsia" w:asciiTheme="minorEastAsia" w:hAnsiTheme="minorEastAsia" w:eastAsiaTheme="minorEastAsia"/>
          <w:b w:val="0"/>
          <w:bCs/>
        </w:rPr>
        <w:t>。</w:t>
      </w:r>
    </w:p>
    <w:p w14:paraId="6B48001D">
      <w:pPr>
        <w:pStyle w:val="2"/>
        <w:spacing w:line="240" w:lineRule="auto"/>
        <w:ind w:firstLine="0" w:firstLineChars="0"/>
        <w:jc w:val="center"/>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4220210" cy="3131820"/>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220663" cy="3132000"/>
                    </a:xfrm>
                    <a:prstGeom prst="rect">
                      <a:avLst/>
                    </a:prstGeom>
                    <a:noFill/>
                    <a:ln>
                      <a:noFill/>
                    </a:ln>
                  </pic:spPr>
                </pic:pic>
              </a:graphicData>
            </a:graphic>
          </wp:inline>
        </w:drawing>
      </w:r>
    </w:p>
    <w:p w14:paraId="44394A93">
      <w:pPr>
        <w:adjustRightInd w:val="0"/>
        <w:snapToGrid w:val="0"/>
        <w:jc w:val="center"/>
        <w:rPr>
          <w:rFonts w:ascii="黑体" w:hAnsi="黑体" w:eastAsia="黑体" w:cs="Arial"/>
          <w:b w:val="0"/>
          <w:sz w:val="24"/>
        </w:rPr>
      </w:pPr>
      <w:r>
        <w:rPr>
          <w:rFonts w:hint="eastAsia" w:ascii="黑体" w:hAnsi="黑体" w:eastAsia="黑体" w:cs="Arial"/>
          <w:b w:val="0"/>
          <w:sz w:val="24"/>
        </w:rPr>
        <w:t>图2</w:t>
      </w:r>
      <w:r>
        <w:rPr>
          <w:rFonts w:ascii="黑体" w:hAnsi="黑体" w:eastAsia="黑体" w:cs="Arial"/>
          <w:b w:val="0"/>
          <w:sz w:val="24"/>
        </w:rPr>
        <w:t xml:space="preserve">.2-2 </w:t>
      </w:r>
      <w:r>
        <w:rPr>
          <w:rFonts w:hint="eastAsia" w:ascii="黑体" w:hAnsi="黑体" w:eastAsia="黑体" w:cs="Arial"/>
          <w:b w:val="0"/>
          <w:sz w:val="24"/>
        </w:rPr>
        <w:t>建设项目周边环境图</w:t>
      </w:r>
      <w:r>
        <w:rPr>
          <w:rFonts w:ascii="黑体" w:hAnsi="黑体" w:eastAsia="黑体" w:cs="Arial"/>
          <w:b w:val="0"/>
          <w:sz w:val="24"/>
        </w:rPr>
        <w:t xml:space="preserve"> </w:t>
      </w:r>
    </w:p>
    <w:p w14:paraId="64EED4EC">
      <w:pPr>
        <w:pStyle w:val="7"/>
        <w:spacing w:before="120" w:beforeLines="50"/>
        <w:rPr>
          <w:rFonts w:ascii="黑体" w:hAnsi="宋体" w:eastAsia="黑体"/>
          <w:b w:val="0"/>
          <w:bCs w:val="0"/>
          <w:snapToGrid w:val="0"/>
          <w:sz w:val="30"/>
          <w:szCs w:val="30"/>
        </w:rPr>
      </w:pPr>
      <w:bookmarkStart w:id="112" w:name="_Toc278054170"/>
      <w:bookmarkStart w:id="113" w:name="_Toc300256181"/>
      <w:bookmarkStart w:id="114" w:name="_Toc300329556"/>
      <w:bookmarkStart w:id="115" w:name="_Toc300344378"/>
      <w:bookmarkStart w:id="116" w:name="_Toc165038768"/>
      <w:r>
        <w:rPr>
          <w:rFonts w:hint="eastAsia" w:ascii="黑体" w:hAnsi="宋体" w:eastAsia="黑体"/>
          <w:b w:val="0"/>
          <w:bCs w:val="0"/>
          <w:snapToGrid w:val="0"/>
          <w:sz w:val="30"/>
          <w:szCs w:val="30"/>
        </w:rPr>
        <w:t>2.2.4总平面布置</w:t>
      </w:r>
      <w:bookmarkEnd w:id="112"/>
      <w:bookmarkEnd w:id="113"/>
      <w:bookmarkEnd w:id="114"/>
      <w:bookmarkEnd w:id="115"/>
      <w:bookmarkEnd w:id="116"/>
    </w:p>
    <w:p w14:paraId="396B54AD">
      <w:pPr>
        <w:spacing w:line="360" w:lineRule="auto"/>
        <w:ind w:firstLine="560" w:firstLineChars="200"/>
        <w:rPr>
          <w:rFonts w:ascii="宋体" w:hAnsi="宋体"/>
          <w:b w:val="0"/>
          <w:sz w:val="28"/>
          <w:szCs w:val="28"/>
        </w:rPr>
      </w:pPr>
      <w:r>
        <w:rPr>
          <w:rFonts w:hint="eastAsia" w:ascii="宋体" w:hAnsi="宋体"/>
          <w:b w:val="0"/>
          <w:sz w:val="28"/>
          <w:szCs w:val="28"/>
          <w:lang w:val="en-GB"/>
        </w:rPr>
        <w:t>该项目拟建工库房依据《湖南金帝烟花爆竹制造有限公司泉水工区扩建项目安全设施设计平面布置图》（初步设计方案图）（大连市化工设计院有限公司提供）按功能分区，</w:t>
      </w:r>
      <w:r>
        <w:rPr>
          <w:rFonts w:hint="eastAsia" w:ascii="宋体" w:hAnsi="宋体"/>
          <w:b w:val="0"/>
          <w:sz w:val="28"/>
          <w:szCs w:val="28"/>
        </w:rPr>
        <w:t>该项目生产区布置在丘陵山地地带，生产线依山形设置呈不规则状。出入口设置在厂区西面，由西向东依次布置办公生活区、化工原材料库等公用设施。本次扩建黑火药（粉状）生产线布置在厂区东南面，厂内黑火药库布置在项目西侧。</w:t>
      </w:r>
    </w:p>
    <w:p w14:paraId="659C3CC0">
      <w:pPr>
        <w:spacing w:line="360" w:lineRule="auto"/>
        <w:ind w:firstLine="560" w:firstLineChars="200"/>
        <w:rPr>
          <w:rFonts w:ascii="宋体" w:hAnsi="宋体"/>
          <w:b w:val="0"/>
          <w:sz w:val="28"/>
          <w:szCs w:val="28"/>
          <w:lang w:val="en-GB"/>
        </w:rPr>
      </w:pPr>
      <w:r>
        <w:rPr>
          <w:rFonts w:hint="eastAsia" w:ascii="宋体" w:hAnsi="宋体"/>
          <w:b w:val="0"/>
          <w:sz w:val="28"/>
          <w:szCs w:val="28"/>
          <w:lang w:val="en-GB"/>
        </w:rPr>
        <w:t>该项目1.1级危险品生产工房采用掘进式建设，按产品生产流程顺序呈带状布置，以避免药物往返及交叉的情况。1.1级工房小型、分散，设天然凹形防护屏障；1.3级工房部分危险性大的工房亦小型、分散。</w:t>
      </w:r>
    </w:p>
    <w:p w14:paraId="35D36BAA">
      <w:pPr>
        <w:spacing w:line="360" w:lineRule="auto"/>
        <w:ind w:firstLine="560" w:firstLineChars="200"/>
        <w:rPr>
          <w:rFonts w:ascii="宋体" w:hAnsi="宋体"/>
          <w:b w:val="0"/>
          <w:sz w:val="28"/>
          <w:szCs w:val="28"/>
          <w:lang w:val="en-GB"/>
        </w:rPr>
      </w:pPr>
      <w:r>
        <w:rPr>
          <w:rFonts w:hint="eastAsia" w:ascii="宋体" w:hAnsi="宋体"/>
          <w:b w:val="0"/>
          <w:sz w:val="28"/>
          <w:szCs w:val="28"/>
          <w:lang w:val="en-GB"/>
        </w:rPr>
        <w:t>该项目危险品生产区内主要运输道路宽度与各生产工库房的次要道路相连通；路面硬化，建筑物之间的通道宽度能满足运输、通行和安全疏散要求。</w:t>
      </w:r>
    </w:p>
    <w:p w14:paraId="0AD63167">
      <w:pPr>
        <w:spacing w:line="360" w:lineRule="auto"/>
        <w:ind w:firstLine="560" w:firstLineChars="200"/>
        <w:rPr>
          <w:rFonts w:ascii="宋体" w:hAnsi="宋体"/>
          <w:b w:val="0"/>
          <w:sz w:val="28"/>
          <w:szCs w:val="28"/>
          <w:lang w:val="en-GB"/>
        </w:rPr>
      </w:pPr>
      <w:r>
        <w:rPr>
          <w:rFonts w:hint="eastAsia" w:ascii="宋体" w:hAnsi="宋体"/>
          <w:b w:val="0"/>
          <w:sz w:val="28"/>
          <w:szCs w:val="28"/>
          <w:lang w:val="en-GB"/>
        </w:rPr>
        <w:t>厂区为不规则形状，厂区内有黑火药生产工、库房，以及值班室等辅助设施。</w:t>
      </w:r>
    </w:p>
    <w:p w14:paraId="7D42CF17">
      <w:pPr>
        <w:keepNext/>
        <w:keepLines/>
        <w:spacing w:before="120" w:beforeLines="50" w:line="360" w:lineRule="auto"/>
        <w:outlineLvl w:val="1"/>
        <w:rPr>
          <w:rFonts w:ascii="黑体" w:hAnsi="宋体" w:eastAsia="黑体"/>
          <w:b w:val="0"/>
          <w:bCs/>
          <w:snapToGrid w:val="0"/>
          <w:sz w:val="30"/>
          <w:szCs w:val="30"/>
        </w:rPr>
      </w:pPr>
      <w:bookmarkStart w:id="117" w:name="_Toc278054172"/>
      <w:bookmarkStart w:id="118" w:name="_Toc300344380"/>
      <w:bookmarkStart w:id="119" w:name="_Toc239191492"/>
      <w:bookmarkStart w:id="120" w:name="_Toc300329558"/>
      <w:bookmarkStart w:id="121" w:name="_Toc297251643"/>
      <w:bookmarkStart w:id="122" w:name="_Toc300256183"/>
      <w:r>
        <w:rPr>
          <w:rFonts w:hint="eastAsia" w:ascii="黑体" w:hAnsi="宋体" w:eastAsia="黑体"/>
          <w:b w:val="0"/>
          <w:bCs/>
          <w:snapToGrid w:val="0"/>
          <w:sz w:val="30"/>
          <w:szCs w:val="30"/>
        </w:rPr>
        <w:t>2.3地区气象、水文、地质情况</w:t>
      </w:r>
      <w:bookmarkEnd w:id="117"/>
      <w:bookmarkEnd w:id="118"/>
      <w:bookmarkEnd w:id="119"/>
      <w:bookmarkEnd w:id="120"/>
      <w:bookmarkEnd w:id="121"/>
      <w:bookmarkEnd w:id="122"/>
    </w:p>
    <w:p w14:paraId="070FB06D">
      <w:pPr>
        <w:pStyle w:val="7"/>
        <w:rPr>
          <w:rFonts w:ascii="黑体" w:hAnsi="宋体" w:eastAsia="黑体"/>
          <w:b w:val="0"/>
          <w:bCs w:val="0"/>
          <w:snapToGrid w:val="0"/>
          <w:sz w:val="30"/>
          <w:szCs w:val="30"/>
        </w:rPr>
      </w:pPr>
      <w:bookmarkStart w:id="123" w:name="_Toc165038770"/>
      <w:r>
        <w:rPr>
          <w:rFonts w:hint="eastAsia" w:ascii="黑体" w:hAnsi="宋体" w:eastAsia="黑体"/>
          <w:b w:val="0"/>
          <w:bCs w:val="0"/>
          <w:snapToGrid w:val="0"/>
          <w:sz w:val="30"/>
          <w:szCs w:val="30"/>
        </w:rPr>
        <w:t>2.3.1气象条件</w:t>
      </w:r>
      <w:bookmarkEnd w:id="123"/>
      <w:bookmarkStart w:id="124" w:name="_Toc171001539"/>
    </w:p>
    <w:bookmarkEnd w:id="124"/>
    <w:p w14:paraId="7FEFFDDD">
      <w:pPr>
        <w:pStyle w:val="36"/>
        <w:spacing w:line="360" w:lineRule="auto"/>
        <w:ind w:firstLine="632" w:firstLineChars="226"/>
        <w:rPr>
          <w:rFonts w:asciiTheme="minorEastAsia" w:hAnsiTheme="minorEastAsia" w:eastAsiaTheme="minorEastAsia"/>
          <w:spacing w:val="-12"/>
        </w:rPr>
      </w:pPr>
      <w:bookmarkStart w:id="125" w:name="OLE_LINK81"/>
      <w:bookmarkStart w:id="126" w:name="OLE_LINK82"/>
      <w:bookmarkStart w:id="127" w:name="_Toc165038771"/>
      <w:r>
        <w:rPr>
          <w:rFonts w:hint="eastAsia" w:ascii="宋体" w:hAnsi="宋体"/>
        </w:rPr>
        <w:t>醴陵市属中亚热带季风湿润气候，大陆性气候较强，四季分明，热量充足，雨水充沛；冬季盛行西北风，夏季盛行西南偏南风，春季气温多变，盛夏高温期长，冬季严寒时间短</w:t>
      </w:r>
      <w:r>
        <w:rPr>
          <w:rFonts w:hint="eastAsia" w:asciiTheme="minorEastAsia" w:hAnsiTheme="minorEastAsia" w:eastAsiaTheme="minorEastAsia"/>
          <w:spacing w:val="-12"/>
        </w:rPr>
        <w:t>。</w:t>
      </w:r>
      <w:bookmarkEnd w:id="125"/>
      <w:bookmarkEnd w:id="126"/>
      <w:r>
        <w:rPr>
          <w:rFonts w:hint="eastAsia" w:asciiTheme="minorEastAsia" w:hAnsiTheme="minorEastAsia" w:eastAsiaTheme="minorEastAsia"/>
          <w:spacing w:val="-12"/>
        </w:rPr>
        <w:t>多年平均气温</w:t>
      </w:r>
      <w:r>
        <w:rPr>
          <w:rFonts w:asciiTheme="minorEastAsia" w:hAnsiTheme="minorEastAsia" w:eastAsiaTheme="minorEastAsia"/>
          <w:spacing w:val="-12"/>
        </w:rPr>
        <w:t>18</w:t>
      </w:r>
      <w:r>
        <w:rPr>
          <w:rFonts w:hint="eastAsia" w:asciiTheme="minorEastAsia" w:hAnsiTheme="minorEastAsia" w:eastAsiaTheme="minorEastAsia"/>
          <w:spacing w:val="-12"/>
        </w:rPr>
        <w:t>℃，极端最高气温</w:t>
      </w:r>
      <w:r>
        <w:rPr>
          <w:rFonts w:asciiTheme="minorEastAsia" w:hAnsiTheme="minorEastAsia" w:eastAsiaTheme="minorEastAsia"/>
          <w:spacing w:val="-12"/>
        </w:rPr>
        <w:t>40.7</w:t>
      </w:r>
      <w:r>
        <w:rPr>
          <w:rFonts w:hint="eastAsia" w:asciiTheme="minorEastAsia" w:hAnsiTheme="minorEastAsia" w:eastAsiaTheme="minorEastAsia"/>
          <w:spacing w:val="-12"/>
        </w:rPr>
        <w:t>℃，极端最低气温</w:t>
      </w:r>
      <w:r>
        <w:rPr>
          <w:rFonts w:hint="eastAsia" w:ascii="MS Mincho" w:hAnsi="MS Mincho" w:eastAsia="MS Mincho" w:cs="MS Mincho"/>
          <w:spacing w:val="-12"/>
        </w:rPr>
        <w:t>‑</w:t>
      </w:r>
      <w:r>
        <w:rPr>
          <w:rFonts w:asciiTheme="minorEastAsia" w:hAnsiTheme="minorEastAsia" w:eastAsiaTheme="minorEastAsia"/>
          <w:spacing w:val="-12"/>
        </w:rPr>
        <w:t>5.1</w:t>
      </w:r>
      <w:r>
        <w:rPr>
          <w:rFonts w:hint="eastAsia" w:asciiTheme="minorEastAsia" w:hAnsiTheme="minorEastAsia" w:eastAsiaTheme="minorEastAsia"/>
          <w:spacing w:val="-12"/>
        </w:rPr>
        <w:t>℃；多年平均降雨量</w:t>
      </w:r>
      <w:r>
        <w:rPr>
          <w:rFonts w:asciiTheme="minorEastAsia" w:hAnsiTheme="minorEastAsia" w:eastAsiaTheme="minorEastAsia"/>
          <w:spacing w:val="-12"/>
        </w:rPr>
        <w:t>1300</w:t>
      </w:r>
      <w:r>
        <w:rPr>
          <w:rFonts w:hint="eastAsia" w:asciiTheme="minorEastAsia" w:hAnsiTheme="minorEastAsia" w:eastAsiaTheme="minorEastAsia"/>
          <w:spacing w:val="-12"/>
        </w:rPr>
        <w:t>～</w:t>
      </w:r>
      <w:r>
        <w:rPr>
          <w:rFonts w:asciiTheme="minorEastAsia" w:hAnsiTheme="minorEastAsia" w:eastAsiaTheme="minorEastAsia"/>
          <w:spacing w:val="-12"/>
        </w:rPr>
        <w:t>1600mm</w:t>
      </w:r>
      <w:r>
        <w:rPr>
          <w:rFonts w:hint="eastAsia" w:asciiTheme="minorEastAsia" w:hAnsiTheme="minorEastAsia" w:eastAsiaTheme="minorEastAsia"/>
          <w:spacing w:val="-12"/>
        </w:rPr>
        <w:t>，降雨主要集中在</w:t>
      </w:r>
      <w:r>
        <w:rPr>
          <w:rFonts w:asciiTheme="minorEastAsia" w:hAnsiTheme="minorEastAsia" w:eastAsiaTheme="minorEastAsia"/>
          <w:spacing w:val="-12"/>
        </w:rPr>
        <w:t>4</w:t>
      </w:r>
      <w:r>
        <w:rPr>
          <w:rFonts w:hint="eastAsia" w:ascii="MS Mincho" w:hAnsi="MS Mincho" w:eastAsia="MS Mincho" w:cs="MS Mincho"/>
          <w:spacing w:val="-12"/>
        </w:rPr>
        <w:t>‑</w:t>
      </w:r>
      <w:r>
        <w:rPr>
          <w:rFonts w:asciiTheme="minorEastAsia" w:hAnsiTheme="minorEastAsia" w:eastAsiaTheme="minorEastAsia"/>
          <w:spacing w:val="-12"/>
        </w:rPr>
        <w:t>6</w:t>
      </w:r>
      <w:r>
        <w:rPr>
          <w:rFonts w:hint="eastAsia" w:asciiTheme="minorEastAsia" w:hAnsiTheme="minorEastAsia" w:eastAsiaTheme="minorEastAsia"/>
          <w:spacing w:val="-12"/>
        </w:rPr>
        <w:t>月份；多年平均风速</w:t>
      </w:r>
      <w:r>
        <w:rPr>
          <w:rFonts w:asciiTheme="minorEastAsia" w:hAnsiTheme="minorEastAsia" w:eastAsiaTheme="minorEastAsia"/>
          <w:spacing w:val="-12"/>
        </w:rPr>
        <w:t>1.9m/s</w:t>
      </w:r>
      <w:r>
        <w:rPr>
          <w:rFonts w:hint="eastAsia" w:asciiTheme="minorEastAsia" w:hAnsiTheme="minorEastAsia" w:eastAsiaTheme="minorEastAsia"/>
          <w:spacing w:val="-12"/>
        </w:rPr>
        <w:t>，最大风速</w:t>
      </w:r>
      <w:r>
        <w:rPr>
          <w:rFonts w:asciiTheme="minorEastAsia" w:hAnsiTheme="minorEastAsia" w:eastAsiaTheme="minorEastAsia"/>
          <w:spacing w:val="-12"/>
        </w:rPr>
        <w:t>11.0m/s</w:t>
      </w:r>
      <w:r>
        <w:rPr>
          <w:rFonts w:hint="eastAsia" w:asciiTheme="minorEastAsia" w:hAnsiTheme="minorEastAsia" w:eastAsiaTheme="minorEastAsia"/>
          <w:spacing w:val="-12"/>
        </w:rPr>
        <w:t>；冬季主导风向为西北偏北风，夏季主导风向为西南偏南风，全年无霜期约</w:t>
      </w:r>
      <w:r>
        <w:rPr>
          <w:rFonts w:asciiTheme="minorEastAsia" w:hAnsiTheme="minorEastAsia" w:eastAsiaTheme="minorEastAsia"/>
          <w:spacing w:val="-12"/>
        </w:rPr>
        <w:t>288</w:t>
      </w:r>
      <w:r>
        <w:rPr>
          <w:rFonts w:hint="eastAsia" w:asciiTheme="minorEastAsia" w:hAnsiTheme="minorEastAsia" w:eastAsiaTheme="minorEastAsia"/>
          <w:spacing w:val="-12"/>
        </w:rPr>
        <w:t>天，年平均日照时数1</w:t>
      </w:r>
      <w:r>
        <w:rPr>
          <w:rFonts w:asciiTheme="minorEastAsia" w:hAnsiTheme="minorEastAsia" w:eastAsiaTheme="minorEastAsia"/>
          <w:spacing w:val="-12"/>
        </w:rPr>
        <w:t>500-1910h</w:t>
      </w:r>
      <w:r>
        <w:rPr>
          <w:rFonts w:hint="eastAsia" w:asciiTheme="minorEastAsia" w:hAnsiTheme="minorEastAsia" w:eastAsiaTheme="minorEastAsia"/>
          <w:spacing w:val="-12"/>
        </w:rPr>
        <w:t>。</w:t>
      </w:r>
    </w:p>
    <w:p w14:paraId="34EB174C">
      <w:pPr>
        <w:pStyle w:val="7"/>
        <w:rPr>
          <w:rFonts w:ascii="黑体" w:hAnsi="宋体" w:eastAsia="黑体"/>
          <w:b w:val="0"/>
          <w:bCs w:val="0"/>
          <w:snapToGrid w:val="0"/>
          <w:sz w:val="30"/>
          <w:szCs w:val="30"/>
        </w:rPr>
      </w:pPr>
      <w:r>
        <w:rPr>
          <w:rFonts w:hint="eastAsia" w:ascii="黑体" w:hAnsi="宋体" w:eastAsia="黑体"/>
          <w:b w:val="0"/>
          <w:bCs w:val="0"/>
          <w:snapToGrid w:val="0"/>
          <w:sz w:val="30"/>
          <w:szCs w:val="30"/>
        </w:rPr>
        <w:t>2.3.2</w:t>
      </w:r>
      <w:bookmarkEnd w:id="127"/>
      <w:r>
        <w:rPr>
          <w:rFonts w:hint="eastAsia" w:ascii="黑体" w:hAnsi="宋体" w:eastAsia="黑体"/>
          <w:b w:val="0"/>
          <w:bCs w:val="0"/>
          <w:snapToGrid w:val="0"/>
          <w:sz w:val="30"/>
          <w:szCs w:val="30"/>
        </w:rPr>
        <w:t>水文地质条件</w:t>
      </w:r>
    </w:p>
    <w:p w14:paraId="5236BDB0">
      <w:pPr>
        <w:spacing w:line="360" w:lineRule="auto"/>
        <w:ind w:firstLine="560" w:firstLineChars="200"/>
        <w:rPr>
          <w:rFonts w:ascii="宋体" w:hAnsi="宋体" w:cs="宋体"/>
          <w:b w:val="0"/>
          <w:sz w:val="28"/>
          <w:szCs w:val="28"/>
        </w:rPr>
      </w:pPr>
      <w:r>
        <w:rPr>
          <w:rFonts w:hint="eastAsia" w:ascii="宋体" w:hAnsi="宋体"/>
          <w:b w:val="0"/>
          <w:sz w:val="28"/>
          <w:szCs w:val="28"/>
        </w:rPr>
        <w:t>醴陵市位于湖南东部，罗霄山脉北段西沿，湘江支流渌水流域，紧邻</w:t>
      </w:r>
      <w:r>
        <w:rPr>
          <w:rFonts w:hint="eastAsia" w:ascii="宋体" w:hAnsi="宋体"/>
          <w:b w:val="0"/>
          <w:spacing w:val="-6"/>
          <w:sz w:val="28"/>
          <w:szCs w:val="28"/>
        </w:rPr>
        <w:t>长沙、株洲、湘潭“金三角”经济区。地貌以山地、丘陵和岗地为主，平原占1</w:t>
      </w:r>
      <w:r>
        <w:rPr>
          <w:rFonts w:ascii="宋体" w:hAnsi="宋体"/>
          <w:b w:val="0"/>
          <w:spacing w:val="-6"/>
          <w:sz w:val="28"/>
          <w:szCs w:val="28"/>
        </w:rPr>
        <w:t>6%</w:t>
      </w:r>
      <w:r>
        <w:rPr>
          <w:rFonts w:hint="eastAsia" w:ascii="宋体" w:hAnsi="宋体"/>
          <w:b w:val="0"/>
          <w:spacing w:val="-6"/>
          <w:sz w:val="28"/>
          <w:szCs w:val="28"/>
        </w:rPr>
        <w:t>，水域占5</w:t>
      </w:r>
      <w:r>
        <w:rPr>
          <w:rFonts w:ascii="宋体" w:hAnsi="宋体"/>
          <w:b w:val="0"/>
          <w:spacing w:val="-6"/>
          <w:sz w:val="28"/>
          <w:szCs w:val="28"/>
        </w:rPr>
        <w:t>%</w:t>
      </w:r>
      <w:r>
        <w:rPr>
          <w:rFonts w:hint="eastAsia" w:ascii="宋体" w:hAnsi="宋体"/>
          <w:b w:val="0"/>
          <w:spacing w:val="-6"/>
          <w:sz w:val="28"/>
          <w:szCs w:val="28"/>
        </w:rPr>
        <w:t>。境内江河交织，均属湘江水系。地表水系主要为渌江及其支流，区内冲沟发育，溪沟水位受降雨影响显著，汛期易出现短时汇水。地下水主要分为松散岩类孔隙潜水与基岩裂隙水，地下水以大气降水补给为主，丘陵地段地下水埋深较大，整体富水性弱。场地地层上部为第四系残坡积粉质黏土，下伏板岩、花岗岩等基岩。本区域抗震设防烈度为Ⅵ度，地震峰值加速度0</w:t>
      </w:r>
      <w:r>
        <w:rPr>
          <w:rFonts w:ascii="宋体" w:hAnsi="宋体"/>
          <w:b w:val="0"/>
          <w:spacing w:val="-6"/>
          <w:sz w:val="28"/>
          <w:szCs w:val="28"/>
        </w:rPr>
        <w:t>.05g</w:t>
      </w:r>
      <w:r>
        <w:rPr>
          <w:rFonts w:hint="eastAsia" w:ascii="宋体" w:hAnsi="宋体"/>
          <w:b w:val="0"/>
          <w:spacing w:val="-6"/>
          <w:sz w:val="28"/>
          <w:szCs w:val="28"/>
        </w:rPr>
        <w:t>，区域地壳稳定性较好，适宜进行黑火药生产。</w:t>
      </w:r>
    </w:p>
    <w:p w14:paraId="1917F79C">
      <w:pPr>
        <w:keepNext/>
        <w:keepLines/>
        <w:spacing w:before="120" w:beforeLines="50" w:line="360" w:lineRule="auto"/>
        <w:outlineLvl w:val="1"/>
        <w:rPr>
          <w:rFonts w:ascii="黑体" w:hAnsi="宋体" w:eastAsia="黑体"/>
          <w:b w:val="0"/>
          <w:bCs/>
          <w:snapToGrid w:val="0"/>
          <w:sz w:val="30"/>
          <w:szCs w:val="30"/>
        </w:rPr>
      </w:pPr>
      <w:bookmarkStart w:id="128" w:name="_Toc372793487"/>
      <w:bookmarkStart w:id="129" w:name="_Toc239191493"/>
      <w:r>
        <w:rPr>
          <w:rFonts w:hint="eastAsia" w:ascii="黑体" w:hAnsi="宋体" w:eastAsia="黑体"/>
          <w:b w:val="0"/>
          <w:bCs/>
          <w:snapToGrid w:val="0"/>
          <w:sz w:val="30"/>
          <w:szCs w:val="30"/>
        </w:rPr>
        <w:t>2.4企业生产工艺</w:t>
      </w:r>
      <w:bookmarkEnd w:id="128"/>
      <w:r>
        <w:rPr>
          <w:rFonts w:hint="eastAsia" w:ascii="黑体" w:hAnsi="宋体" w:eastAsia="黑体"/>
          <w:b w:val="0"/>
          <w:bCs/>
          <w:snapToGrid w:val="0"/>
          <w:sz w:val="30"/>
          <w:szCs w:val="30"/>
        </w:rPr>
        <w:t>流程</w:t>
      </w:r>
      <w:bookmarkEnd w:id="129"/>
    </w:p>
    <w:p w14:paraId="4782DA03">
      <w:pPr>
        <w:spacing w:line="360" w:lineRule="auto"/>
        <w:ind w:firstLine="536" w:firstLineChars="200"/>
        <w:rPr>
          <w:rFonts w:ascii="宋体" w:hAnsi="宋体"/>
          <w:b w:val="0"/>
          <w:bCs/>
          <w:spacing w:val="-6"/>
          <w:sz w:val="28"/>
        </w:rPr>
      </w:pPr>
      <w:r>
        <w:rPr>
          <w:rFonts w:hint="eastAsia" w:ascii="宋体" w:hAnsi="宋体"/>
          <w:b w:val="0"/>
          <w:bCs/>
          <w:spacing w:val="-6"/>
          <w:sz w:val="28"/>
        </w:rPr>
        <w:t>湖南金帝烟花爆竹制造有限公司泉水工区申请生产：黑火药（粒状）、黑火药（粉状）产品，生产工艺流程简单示意图如图2.4-1至图2.4-</w:t>
      </w:r>
      <w:r>
        <w:rPr>
          <w:rFonts w:ascii="宋体" w:hAnsi="宋体"/>
          <w:b w:val="0"/>
          <w:bCs/>
          <w:spacing w:val="-6"/>
          <w:sz w:val="28"/>
        </w:rPr>
        <w:t>2</w:t>
      </w:r>
      <w:r>
        <w:rPr>
          <w:rFonts w:hint="eastAsia" w:ascii="宋体" w:hAnsi="宋体"/>
          <w:b w:val="0"/>
          <w:bCs/>
          <w:spacing w:val="-6"/>
          <w:sz w:val="28"/>
        </w:rPr>
        <w:t>：</w:t>
      </w:r>
    </w:p>
    <w:p w14:paraId="01F283BA">
      <w:pPr>
        <w:pStyle w:val="2"/>
        <w:spacing w:line="240" w:lineRule="auto"/>
        <w:ind w:firstLine="0" w:firstLineChars="0"/>
      </w:pPr>
      <w:r>
        <w:rPr>
          <w:rFonts w:ascii="黑体" w:hAnsi="宋体" w:eastAsia="黑体"/>
          <w:b w:val="0"/>
          <w:sz w:val="24"/>
        </w:rPr>
        <mc:AlternateContent>
          <mc:Choice Requires="wpc">
            <w:drawing>
              <wp:inline distT="0" distB="0" distL="0" distR="0">
                <wp:extent cx="5765165" cy="8540750"/>
                <wp:effectExtent l="0" t="0" r="0" b="0"/>
                <wp:docPr id="45" name="画布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Text Box 5"/>
                        <wps:cNvSpPr txBox="1">
                          <a:spLocks noChangeArrowheads="1"/>
                        </wps:cNvSpPr>
                        <wps:spPr bwMode="auto">
                          <a:xfrm>
                            <a:off x="670035" y="35168"/>
                            <a:ext cx="1108710" cy="256104"/>
                          </a:xfrm>
                          <a:prstGeom prst="rect">
                            <a:avLst/>
                          </a:prstGeom>
                          <a:solidFill>
                            <a:srgbClr val="FFFFFF"/>
                          </a:solidFill>
                          <a:ln w="9525">
                            <a:solidFill>
                              <a:srgbClr val="000000"/>
                            </a:solidFill>
                            <a:miter lim="800000"/>
                          </a:ln>
                        </wps:spPr>
                        <wps:txbx>
                          <w:txbxContent>
                            <w:p w14:paraId="5F368204">
                              <w:pPr>
                                <w:jc w:val="center"/>
                                <w:rPr>
                                  <w:rFonts w:ascii="宋体" w:hAnsi="宋体"/>
                                  <w:b w:val="0"/>
                                  <w:bCs/>
                                </w:rPr>
                              </w:pPr>
                              <w:r>
                                <w:rPr>
                                  <w:rFonts w:hint="eastAsia" w:ascii="宋体" w:hAnsi="宋体"/>
                                  <w:b w:val="0"/>
                                  <w:bCs/>
                                </w:rPr>
                                <w:t>硝酸钾</w:t>
                              </w:r>
                            </w:p>
                          </w:txbxContent>
                        </wps:txbx>
                        <wps:bodyPr rot="0" vert="horz" wrap="square" lIns="91440" tIns="45720" rIns="91440" bIns="45720" anchor="t" anchorCtr="0" upright="1">
                          <a:noAutofit/>
                        </wps:bodyPr>
                      </wps:wsp>
                      <wps:wsp>
                        <wps:cNvPr id="15" name="AutoShape 6"/>
                        <wps:cNvCnPr>
                          <a:cxnSpLocks noChangeShapeType="1"/>
                        </wps:cNvCnPr>
                        <wps:spPr bwMode="auto">
                          <a:xfrm>
                            <a:off x="1241169" y="291636"/>
                            <a:ext cx="0" cy="224205"/>
                          </a:xfrm>
                          <a:prstGeom prst="straightConnector1">
                            <a:avLst/>
                          </a:prstGeom>
                          <a:noFill/>
                          <a:ln w="9525">
                            <a:solidFill>
                              <a:srgbClr val="000000"/>
                            </a:solidFill>
                            <a:round/>
                            <a:tailEnd type="triangle" w="med" len="med"/>
                          </a:ln>
                        </wps:spPr>
                        <wps:bodyPr/>
                      </wps:wsp>
                      <wps:wsp>
                        <wps:cNvPr id="24" name="AutoShape 15"/>
                        <wps:cNvCnPr>
                          <a:cxnSpLocks noChangeShapeType="1"/>
                        </wps:cNvCnPr>
                        <wps:spPr bwMode="auto">
                          <a:xfrm>
                            <a:off x="1778785" y="1137119"/>
                            <a:ext cx="306807" cy="0"/>
                          </a:xfrm>
                          <a:prstGeom prst="straightConnector1">
                            <a:avLst/>
                          </a:prstGeom>
                          <a:noFill/>
                          <a:ln w="9525">
                            <a:solidFill>
                              <a:srgbClr val="000000"/>
                            </a:solidFill>
                            <a:round/>
                            <a:tailEnd type="triangle" w="med" len="med"/>
                          </a:ln>
                        </wps:spPr>
                        <wps:bodyPr/>
                      </wps:wsp>
                      <wps:wsp>
                        <wps:cNvPr id="187" name="Text Box 5"/>
                        <wps:cNvSpPr txBox="1">
                          <a:spLocks noChangeArrowheads="1"/>
                        </wps:cNvSpPr>
                        <wps:spPr bwMode="auto">
                          <a:xfrm>
                            <a:off x="672826" y="520180"/>
                            <a:ext cx="1108075" cy="255905"/>
                          </a:xfrm>
                          <a:prstGeom prst="rect">
                            <a:avLst/>
                          </a:prstGeom>
                          <a:solidFill>
                            <a:srgbClr val="FFFFFF"/>
                          </a:solidFill>
                          <a:ln w="9525">
                            <a:solidFill>
                              <a:srgbClr val="000000"/>
                            </a:solidFill>
                            <a:miter lim="800000"/>
                          </a:ln>
                        </wps:spPr>
                        <wps:txbx>
                          <w:txbxContent>
                            <w:p w14:paraId="6E81E902">
                              <w:pPr>
                                <w:jc w:val="center"/>
                                <w:rPr>
                                  <w:b w:val="0"/>
                                  <w:bCs/>
                                  <w:kern w:val="0"/>
                                  <w:sz w:val="24"/>
                                </w:rPr>
                              </w:pPr>
                              <w:r>
                                <w:rPr>
                                  <w:rFonts w:hint="eastAsia"/>
                                  <w:b w:val="0"/>
                                  <w:bCs/>
                                  <w:szCs w:val="21"/>
                                </w:rPr>
                                <w:t>硝酸钾粉碎</w:t>
                              </w:r>
                            </w:p>
                          </w:txbxContent>
                        </wps:txbx>
                        <wps:bodyPr rot="0" vert="horz" wrap="square" lIns="91440" tIns="45720" rIns="91440" bIns="45720" anchor="t" anchorCtr="0" upright="1">
                          <a:noAutofit/>
                        </wps:bodyPr>
                      </wps:wsp>
                      <wps:wsp>
                        <wps:cNvPr id="188" name="AutoShape 6"/>
                        <wps:cNvCnPr>
                          <a:cxnSpLocks noChangeShapeType="1"/>
                        </wps:cNvCnPr>
                        <wps:spPr bwMode="auto">
                          <a:xfrm>
                            <a:off x="1238360" y="784379"/>
                            <a:ext cx="0" cy="224155"/>
                          </a:xfrm>
                          <a:prstGeom prst="straightConnector1">
                            <a:avLst/>
                          </a:prstGeom>
                          <a:noFill/>
                          <a:ln w="9525">
                            <a:solidFill>
                              <a:srgbClr val="000000"/>
                            </a:solidFill>
                            <a:round/>
                            <a:tailEnd type="triangle" w="med" len="med"/>
                          </a:ln>
                        </wps:spPr>
                        <wps:bodyPr/>
                      </wps:wsp>
                      <wps:wsp>
                        <wps:cNvPr id="192" name="Text Box 5"/>
                        <wps:cNvSpPr txBox="1">
                          <a:spLocks noChangeArrowheads="1"/>
                        </wps:cNvSpPr>
                        <wps:spPr bwMode="auto">
                          <a:xfrm>
                            <a:off x="670035" y="1012979"/>
                            <a:ext cx="1107440" cy="255905"/>
                          </a:xfrm>
                          <a:prstGeom prst="rect">
                            <a:avLst/>
                          </a:prstGeom>
                          <a:solidFill>
                            <a:srgbClr val="FFFFFF"/>
                          </a:solidFill>
                          <a:ln w="9525">
                            <a:solidFill>
                              <a:srgbClr val="000000"/>
                            </a:solidFill>
                            <a:miter lim="800000"/>
                          </a:ln>
                        </wps:spPr>
                        <wps:txbx>
                          <w:txbxContent>
                            <w:p w14:paraId="68611686">
                              <w:pPr>
                                <w:jc w:val="center"/>
                                <w:rPr>
                                  <w:b w:val="0"/>
                                  <w:bCs/>
                                  <w:kern w:val="0"/>
                                  <w:sz w:val="24"/>
                                </w:rPr>
                              </w:pPr>
                              <w:r>
                                <w:rPr>
                                  <w:rFonts w:hint="eastAsia"/>
                                  <w:b w:val="0"/>
                                  <w:bCs/>
                                  <w:szCs w:val="21"/>
                                </w:rPr>
                                <w:t>粉碎中转</w:t>
                              </w:r>
                            </w:p>
                          </w:txbxContent>
                        </wps:txbx>
                        <wps:bodyPr rot="0" vert="horz" wrap="square" lIns="91440" tIns="45720" rIns="91440" bIns="45720" anchor="t" anchorCtr="0" upright="1">
                          <a:noAutofit/>
                        </wps:bodyPr>
                      </wps:wsp>
                      <wps:wsp>
                        <wps:cNvPr id="193" name="Text Box 5"/>
                        <wps:cNvSpPr txBox="1">
                          <a:spLocks noChangeArrowheads="1"/>
                        </wps:cNvSpPr>
                        <wps:spPr bwMode="auto">
                          <a:xfrm>
                            <a:off x="2085592" y="1015613"/>
                            <a:ext cx="1106805" cy="255905"/>
                          </a:xfrm>
                          <a:prstGeom prst="rect">
                            <a:avLst/>
                          </a:prstGeom>
                          <a:solidFill>
                            <a:srgbClr val="FFFFFF"/>
                          </a:solidFill>
                          <a:ln w="9525">
                            <a:solidFill>
                              <a:srgbClr val="000000"/>
                            </a:solidFill>
                            <a:miter lim="800000"/>
                          </a:ln>
                        </wps:spPr>
                        <wps:txbx>
                          <w:txbxContent>
                            <w:p w14:paraId="68DFEE13">
                              <w:pPr>
                                <w:jc w:val="center"/>
                                <w:rPr>
                                  <w:b w:val="0"/>
                                  <w:bCs/>
                                  <w:kern w:val="0"/>
                                  <w:sz w:val="24"/>
                                </w:rPr>
                              </w:pPr>
                              <w:r>
                                <w:rPr>
                                  <w:rFonts w:hint="eastAsia"/>
                                  <w:b w:val="0"/>
                                  <w:bCs/>
                                  <w:szCs w:val="21"/>
                                </w:rPr>
                                <w:t>原材料中转</w:t>
                              </w:r>
                            </w:p>
                          </w:txbxContent>
                        </wps:txbx>
                        <wps:bodyPr rot="0" vert="horz" wrap="square" lIns="91440" tIns="45720" rIns="91440" bIns="45720" anchor="t" anchorCtr="0" upright="1">
                          <a:noAutofit/>
                        </wps:bodyPr>
                      </wps:wsp>
                      <wps:wsp>
                        <wps:cNvPr id="194" name="Text Box 5"/>
                        <wps:cNvSpPr txBox="1">
                          <a:spLocks noChangeArrowheads="1"/>
                        </wps:cNvSpPr>
                        <wps:spPr bwMode="auto">
                          <a:xfrm>
                            <a:off x="3833390" y="1495660"/>
                            <a:ext cx="1106805" cy="255270"/>
                          </a:xfrm>
                          <a:prstGeom prst="rect">
                            <a:avLst/>
                          </a:prstGeom>
                          <a:solidFill>
                            <a:srgbClr val="FFFFFF"/>
                          </a:solidFill>
                          <a:ln w="9525">
                            <a:solidFill>
                              <a:srgbClr val="000000"/>
                            </a:solidFill>
                            <a:miter lim="800000"/>
                          </a:ln>
                        </wps:spPr>
                        <wps:txbx>
                          <w:txbxContent>
                            <w:p w14:paraId="05BBDA0E">
                              <w:pPr>
                                <w:jc w:val="center"/>
                                <w:rPr>
                                  <w:b w:val="0"/>
                                  <w:bCs/>
                                  <w:kern w:val="0"/>
                                  <w:sz w:val="24"/>
                                </w:rPr>
                              </w:pPr>
                              <w:r>
                                <w:rPr>
                                  <w:rFonts w:hint="eastAsia"/>
                                  <w:b w:val="0"/>
                                  <w:bCs/>
                                  <w:szCs w:val="21"/>
                                </w:rPr>
                                <w:t>二味中转</w:t>
                              </w:r>
                            </w:p>
                          </w:txbxContent>
                        </wps:txbx>
                        <wps:bodyPr rot="0" vert="horz" wrap="square" lIns="91440" tIns="45720" rIns="91440" bIns="45720" anchor="t" anchorCtr="0" upright="1">
                          <a:noAutofit/>
                        </wps:bodyPr>
                      </wps:wsp>
                      <wps:wsp>
                        <wps:cNvPr id="196" name="Text Box 5"/>
                        <wps:cNvSpPr txBox="1">
                          <a:spLocks noChangeArrowheads="1"/>
                        </wps:cNvSpPr>
                        <wps:spPr bwMode="auto">
                          <a:xfrm>
                            <a:off x="2113997" y="1978958"/>
                            <a:ext cx="1106805" cy="254635"/>
                          </a:xfrm>
                          <a:prstGeom prst="rect">
                            <a:avLst/>
                          </a:prstGeom>
                          <a:solidFill>
                            <a:srgbClr val="FFFFFF"/>
                          </a:solidFill>
                          <a:ln w="9525">
                            <a:solidFill>
                              <a:srgbClr val="000000"/>
                            </a:solidFill>
                            <a:miter lim="800000"/>
                          </a:ln>
                        </wps:spPr>
                        <wps:txbx>
                          <w:txbxContent>
                            <w:p w14:paraId="77DEB01F">
                              <w:pPr>
                                <w:jc w:val="center"/>
                                <w:rPr>
                                  <w:kern w:val="0"/>
                                  <w:sz w:val="24"/>
                                </w:rPr>
                              </w:pPr>
                              <w:r>
                                <w:rPr>
                                  <w:rFonts w:hint="eastAsia"/>
                                  <w:b w:val="0"/>
                                  <w:bCs/>
                                  <w:szCs w:val="21"/>
                                </w:rPr>
                                <w:t>制片中转</w:t>
                              </w:r>
                            </w:p>
                          </w:txbxContent>
                        </wps:txbx>
                        <wps:bodyPr rot="0" vert="horz" wrap="square" lIns="91440" tIns="45720" rIns="91440" bIns="45720" anchor="t" anchorCtr="0" upright="1">
                          <a:noAutofit/>
                        </wps:bodyPr>
                      </wps:wsp>
                      <wps:wsp>
                        <wps:cNvPr id="197" name="AutoShape 15"/>
                        <wps:cNvCnPr>
                          <a:cxnSpLocks noChangeShapeType="1"/>
                        </wps:cNvCnPr>
                        <wps:spPr bwMode="auto">
                          <a:xfrm flipH="1">
                            <a:off x="3554542" y="1620158"/>
                            <a:ext cx="278848" cy="0"/>
                          </a:xfrm>
                          <a:prstGeom prst="straightConnector1">
                            <a:avLst/>
                          </a:prstGeom>
                          <a:noFill/>
                          <a:ln w="9525">
                            <a:solidFill>
                              <a:srgbClr val="000000"/>
                            </a:solidFill>
                            <a:round/>
                            <a:tailEnd type="triangle" w="med" len="med"/>
                          </a:ln>
                        </wps:spPr>
                        <wps:bodyPr/>
                      </wps:wsp>
                      <wps:wsp>
                        <wps:cNvPr id="198" name="Text Box 5"/>
                        <wps:cNvSpPr txBox="1">
                          <a:spLocks noChangeArrowheads="1"/>
                        </wps:cNvSpPr>
                        <wps:spPr bwMode="auto">
                          <a:xfrm>
                            <a:off x="3505586" y="515865"/>
                            <a:ext cx="1106805" cy="255270"/>
                          </a:xfrm>
                          <a:prstGeom prst="rect">
                            <a:avLst/>
                          </a:prstGeom>
                          <a:solidFill>
                            <a:srgbClr val="FFFFFF"/>
                          </a:solidFill>
                          <a:ln w="9525">
                            <a:solidFill>
                              <a:srgbClr val="000000"/>
                            </a:solidFill>
                            <a:miter lim="800000"/>
                          </a:ln>
                        </wps:spPr>
                        <wps:txbx>
                          <w:txbxContent>
                            <w:p w14:paraId="6180ADFF">
                              <w:pPr>
                                <w:jc w:val="center"/>
                                <w:rPr>
                                  <w:b w:val="0"/>
                                  <w:bCs/>
                                  <w:kern w:val="0"/>
                                  <w:sz w:val="24"/>
                                </w:rPr>
                              </w:pPr>
                              <w:r>
                                <w:rPr>
                                  <w:rFonts w:hint="eastAsia"/>
                                  <w:b w:val="0"/>
                                  <w:bCs/>
                                  <w:szCs w:val="21"/>
                                </w:rPr>
                                <w:t>二味球磨</w:t>
                              </w:r>
                            </w:p>
                          </w:txbxContent>
                        </wps:txbx>
                        <wps:bodyPr rot="0" vert="horz" wrap="square" lIns="91440" tIns="45720" rIns="91440" bIns="45720" anchor="t" anchorCtr="0" upright="1">
                          <a:noAutofit/>
                        </wps:bodyPr>
                      </wps:wsp>
                      <wps:wsp>
                        <wps:cNvPr id="200" name="Text Box 5"/>
                        <wps:cNvSpPr txBox="1">
                          <a:spLocks noChangeArrowheads="1"/>
                        </wps:cNvSpPr>
                        <wps:spPr bwMode="auto">
                          <a:xfrm>
                            <a:off x="4214143" y="35201"/>
                            <a:ext cx="1106805" cy="254635"/>
                          </a:xfrm>
                          <a:prstGeom prst="rect">
                            <a:avLst/>
                          </a:prstGeom>
                          <a:solidFill>
                            <a:srgbClr val="FFFFFF"/>
                          </a:solidFill>
                          <a:ln w="9525">
                            <a:solidFill>
                              <a:srgbClr val="000000"/>
                            </a:solidFill>
                            <a:miter lim="800000"/>
                          </a:ln>
                        </wps:spPr>
                        <wps:txbx>
                          <w:txbxContent>
                            <w:p w14:paraId="361F6D34">
                              <w:pPr>
                                <w:jc w:val="center"/>
                                <w:rPr>
                                  <w:b w:val="0"/>
                                  <w:bCs/>
                                  <w:kern w:val="0"/>
                                  <w:sz w:val="24"/>
                                </w:rPr>
                              </w:pPr>
                              <w:r>
                                <w:rPr>
                                  <w:rFonts w:hint="eastAsia"/>
                                  <w:b w:val="0"/>
                                  <w:bCs/>
                                  <w:szCs w:val="21"/>
                                </w:rPr>
                                <w:t>木炭</w:t>
                              </w:r>
                            </w:p>
                          </w:txbxContent>
                        </wps:txbx>
                        <wps:bodyPr rot="0" vert="horz" wrap="square" lIns="91440" tIns="45720" rIns="91440" bIns="45720" anchor="t" anchorCtr="0" upright="1">
                          <a:noAutofit/>
                        </wps:bodyPr>
                      </wps:wsp>
                      <wps:wsp>
                        <wps:cNvPr id="201" name="Text Box 5"/>
                        <wps:cNvSpPr txBox="1">
                          <a:spLocks noChangeArrowheads="1"/>
                        </wps:cNvSpPr>
                        <wps:spPr bwMode="auto">
                          <a:xfrm>
                            <a:off x="2906195" y="35170"/>
                            <a:ext cx="1106805" cy="254635"/>
                          </a:xfrm>
                          <a:prstGeom prst="rect">
                            <a:avLst/>
                          </a:prstGeom>
                          <a:solidFill>
                            <a:srgbClr val="FFFFFF"/>
                          </a:solidFill>
                          <a:ln w="9525">
                            <a:solidFill>
                              <a:srgbClr val="000000"/>
                            </a:solidFill>
                            <a:miter lim="800000"/>
                          </a:ln>
                        </wps:spPr>
                        <wps:txbx>
                          <w:txbxContent>
                            <w:p w14:paraId="0506B90D">
                              <w:pPr>
                                <w:jc w:val="center"/>
                                <w:rPr>
                                  <w:kern w:val="0"/>
                                  <w:sz w:val="24"/>
                                </w:rPr>
                              </w:pPr>
                              <w:r>
                                <w:rPr>
                                  <w:rFonts w:hint="eastAsia"/>
                                  <w:b w:val="0"/>
                                  <w:bCs/>
                                  <w:szCs w:val="21"/>
                                </w:rPr>
                                <w:t>硫磺</w:t>
                              </w:r>
                            </w:p>
                          </w:txbxContent>
                        </wps:txbx>
                        <wps:bodyPr rot="0" vert="horz" wrap="square" lIns="91440" tIns="45720" rIns="91440" bIns="45720" anchor="t" anchorCtr="0" upright="1">
                          <a:noAutofit/>
                        </wps:bodyPr>
                      </wps:wsp>
                      <wps:wsp>
                        <wps:cNvPr id="202" name="AutoShape 6"/>
                        <wps:cNvCnPr>
                          <a:cxnSpLocks noChangeShapeType="1"/>
                        </wps:cNvCnPr>
                        <wps:spPr bwMode="auto">
                          <a:xfrm>
                            <a:off x="3698928" y="296029"/>
                            <a:ext cx="0" cy="224155"/>
                          </a:xfrm>
                          <a:prstGeom prst="straightConnector1">
                            <a:avLst/>
                          </a:prstGeom>
                          <a:noFill/>
                          <a:ln w="9525">
                            <a:solidFill>
                              <a:srgbClr val="000000"/>
                            </a:solidFill>
                            <a:round/>
                            <a:tailEnd type="triangle" w="med" len="med"/>
                          </a:ln>
                        </wps:spPr>
                        <wps:bodyPr/>
                      </wps:wsp>
                      <wps:wsp>
                        <wps:cNvPr id="203" name="AutoShape 6"/>
                        <wps:cNvCnPr>
                          <a:cxnSpLocks noChangeShapeType="1"/>
                        </wps:cNvCnPr>
                        <wps:spPr bwMode="auto">
                          <a:xfrm>
                            <a:off x="4396290" y="296668"/>
                            <a:ext cx="0" cy="223520"/>
                          </a:xfrm>
                          <a:prstGeom prst="straightConnector1">
                            <a:avLst/>
                          </a:prstGeom>
                          <a:noFill/>
                          <a:ln w="9525">
                            <a:solidFill>
                              <a:srgbClr val="000000"/>
                            </a:solidFill>
                            <a:round/>
                            <a:tailEnd type="triangle" w="med" len="med"/>
                          </a:ln>
                        </wps:spPr>
                        <wps:bodyPr/>
                      </wps:wsp>
                      <wps:wsp>
                        <wps:cNvPr id="205" name="AutoShape 6"/>
                        <wps:cNvCnPr>
                          <a:cxnSpLocks noChangeShapeType="1"/>
                        </wps:cNvCnPr>
                        <wps:spPr bwMode="auto">
                          <a:xfrm>
                            <a:off x="4095013" y="789430"/>
                            <a:ext cx="1" cy="706187"/>
                          </a:xfrm>
                          <a:prstGeom prst="straightConnector1">
                            <a:avLst/>
                          </a:prstGeom>
                          <a:noFill/>
                          <a:ln w="9525">
                            <a:solidFill>
                              <a:srgbClr val="000000"/>
                            </a:solidFill>
                            <a:round/>
                            <a:tailEnd type="triangle" w="med" len="med"/>
                          </a:ln>
                        </wps:spPr>
                        <wps:bodyPr/>
                      </wps:wsp>
                      <wps:wsp>
                        <wps:cNvPr id="206" name="Text Box 5"/>
                        <wps:cNvSpPr txBox="1">
                          <a:spLocks noChangeArrowheads="1"/>
                        </wps:cNvSpPr>
                        <wps:spPr bwMode="auto">
                          <a:xfrm>
                            <a:off x="1706880" y="1495673"/>
                            <a:ext cx="1847662" cy="255270"/>
                          </a:xfrm>
                          <a:prstGeom prst="rect">
                            <a:avLst/>
                          </a:prstGeom>
                          <a:solidFill>
                            <a:srgbClr val="FFFFFF"/>
                          </a:solidFill>
                          <a:ln w="9525">
                            <a:solidFill>
                              <a:srgbClr val="000000"/>
                            </a:solidFill>
                            <a:miter lim="800000"/>
                          </a:ln>
                        </wps:spPr>
                        <wps:txbx>
                          <w:txbxContent>
                            <w:p w14:paraId="0D9631CE">
                              <w:pPr>
                                <w:jc w:val="center"/>
                                <w:rPr>
                                  <w:kern w:val="0"/>
                                  <w:sz w:val="24"/>
                                </w:rPr>
                              </w:pPr>
                              <w:r>
                                <w:rPr>
                                  <w:rFonts w:hint="eastAsia"/>
                                  <w:b w:val="0"/>
                                  <w:bCs/>
                                  <w:szCs w:val="21"/>
                                </w:rPr>
                                <w:t>自动混合/上潮/装模制片</w:t>
                              </w:r>
                            </w:p>
                          </w:txbxContent>
                        </wps:txbx>
                        <wps:bodyPr rot="0" vert="horz" wrap="square" lIns="91440" tIns="45720" rIns="91440" bIns="45720" anchor="t" anchorCtr="0" upright="1">
                          <a:noAutofit/>
                        </wps:bodyPr>
                      </wps:wsp>
                      <wps:wsp>
                        <wps:cNvPr id="229" name="AutoShape 6"/>
                        <wps:cNvCnPr>
                          <a:cxnSpLocks noChangeShapeType="1"/>
                        </wps:cNvCnPr>
                        <wps:spPr bwMode="auto">
                          <a:xfrm>
                            <a:off x="2665159" y="1271518"/>
                            <a:ext cx="0" cy="224155"/>
                          </a:xfrm>
                          <a:prstGeom prst="straightConnector1">
                            <a:avLst/>
                          </a:prstGeom>
                          <a:noFill/>
                          <a:ln w="9525">
                            <a:solidFill>
                              <a:srgbClr val="000000"/>
                            </a:solidFill>
                            <a:round/>
                            <a:tailEnd type="triangle" w="med" len="med"/>
                          </a:ln>
                        </wps:spPr>
                        <wps:bodyPr/>
                      </wps:wsp>
                      <wps:wsp>
                        <wps:cNvPr id="230" name="AutoShape 6"/>
                        <wps:cNvCnPr>
                          <a:cxnSpLocks noChangeShapeType="1"/>
                        </wps:cNvCnPr>
                        <wps:spPr bwMode="auto">
                          <a:xfrm>
                            <a:off x="2665168" y="1750943"/>
                            <a:ext cx="0" cy="224155"/>
                          </a:xfrm>
                          <a:prstGeom prst="straightConnector1">
                            <a:avLst/>
                          </a:prstGeom>
                          <a:noFill/>
                          <a:ln w="9525">
                            <a:solidFill>
                              <a:srgbClr val="000000"/>
                            </a:solidFill>
                            <a:round/>
                            <a:tailEnd type="triangle" w="med" len="med"/>
                          </a:ln>
                        </wps:spPr>
                        <wps:bodyPr/>
                      </wps:wsp>
                      <wps:wsp>
                        <wps:cNvPr id="231" name="Text Box 5"/>
                        <wps:cNvSpPr txBox="1">
                          <a:spLocks noChangeArrowheads="1"/>
                        </wps:cNvSpPr>
                        <wps:spPr bwMode="auto">
                          <a:xfrm>
                            <a:off x="2113895" y="2456339"/>
                            <a:ext cx="1106170" cy="254635"/>
                          </a:xfrm>
                          <a:prstGeom prst="rect">
                            <a:avLst/>
                          </a:prstGeom>
                          <a:solidFill>
                            <a:srgbClr val="FFFFFF"/>
                          </a:solidFill>
                          <a:ln w="9525">
                            <a:solidFill>
                              <a:srgbClr val="000000"/>
                            </a:solidFill>
                            <a:miter lim="800000"/>
                          </a:ln>
                        </wps:spPr>
                        <wps:txbx>
                          <w:txbxContent>
                            <w:p w14:paraId="0CFA5A04">
                              <w:pPr>
                                <w:jc w:val="center"/>
                                <w:rPr>
                                  <w:b w:val="0"/>
                                  <w:bCs/>
                                  <w:kern w:val="0"/>
                                  <w:sz w:val="24"/>
                                </w:rPr>
                              </w:pPr>
                              <w:r>
                                <w:rPr>
                                  <w:rFonts w:hint="eastAsia"/>
                                  <w:b w:val="0"/>
                                  <w:bCs/>
                                  <w:szCs w:val="21"/>
                                </w:rPr>
                                <w:t>压药</w:t>
                              </w:r>
                            </w:p>
                          </w:txbxContent>
                        </wps:txbx>
                        <wps:bodyPr rot="0" vert="horz" wrap="square" lIns="91440" tIns="45720" rIns="91440" bIns="45720" anchor="t" anchorCtr="0" upright="1">
                          <a:noAutofit/>
                        </wps:bodyPr>
                      </wps:wsp>
                      <wps:wsp>
                        <wps:cNvPr id="232" name="AutoShape 6"/>
                        <wps:cNvCnPr>
                          <a:cxnSpLocks noChangeShapeType="1"/>
                        </wps:cNvCnPr>
                        <wps:spPr bwMode="auto">
                          <a:xfrm>
                            <a:off x="2665075" y="2228374"/>
                            <a:ext cx="0" cy="224155"/>
                          </a:xfrm>
                          <a:prstGeom prst="straightConnector1">
                            <a:avLst/>
                          </a:prstGeom>
                          <a:noFill/>
                          <a:ln w="9525">
                            <a:solidFill>
                              <a:srgbClr val="000000"/>
                            </a:solidFill>
                            <a:round/>
                            <a:tailEnd type="triangle" w="med" len="med"/>
                          </a:ln>
                        </wps:spPr>
                        <wps:bodyPr/>
                      </wps:wsp>
                      <wps:wsp>
                        <wps:cNvPr id="233" name="Text Box 5"/>
                        <wps:cNvSpPr txBox="1">
                          <a:spLocks noChangeArrowheads="1"/>
                        </wps:cNvSpPr>
                        <wps:spPr bwMode="auto">
                          <a:xfrm>
                            <a:off x="2115164" y="2937351"/>
                            <a:ext cx="1105535" cy="254635"/>
                          </a:xfrm>
                          <a:prstGeom prst="rect">
                            <a:avLst/>
                          </a:prstGeom>
                          <a:solidFill>
                            <a:srgbClr val="FFFFFF"/>
                          </a:solidFill>
                          <a:ln w="9525">
                            <a:solidFill>
                              <a:srgbClr val="000000"/>
                            </a:solidFill>
                            <a:miter lim="800000"/>
                          </a:ln>
                        </wps:spPr>
                        <wps:txbx>
                          <w:txbxContent>
                            <w:p w14:paraId="12868B30">
                              <w:pPr>
                                <w:jc w:val="center"/>
                                <w:rPr>
                                  <w:kern w:val="0"/>
                                  <w:sz w:val="24"/>
                                </w:rPr>
                              </w:pPr>
                              <w:r>
                                <w:rPr>
                                  <w:rFonts w:hint="eastAsia"/>
                                  <w:b w:val="0"/>
                                  <w:bCs/>
                                  <w:szCs w:val="21"/>
                                </w:rPr>
                                <w:t>凉片</w:t>
                              </w:r>
                            </w:p>
                          </w:txbxContent>
                        </wps:txbx>
                        <wps:bodyPr rot="0" vert="horz" wrap="square" lIns="91440" tIns="45720" rIns="91440" bIns="45720" anchor="t" anchorCtr="0" upright="1">
                          <a:noAutofit/>
                        </wps:bodyPr>
                      </wps:wsp>
                      <wps:wsp>
                        <wps:cNvPr id="234" name="AutoShape 6"/>
                        <wps:cNvCnPr>
                          <a:cxnSpLocks noChangeShapeType="1"/>
                        </wps:cNvCnPr>
                        <wps:spPr bwMode="auto">
                          <a:xfrm>
                            <a:off x="2666344" y="2709386"/>
                            <a:ext cx="0" cy="224155"/>
                          </a:xfrm>
                          <a:prstGeom prst="straightConnector1">
                            <a:avLst/>
                          </a:prstGeom>
                          <a:noFill/>
                          <a:ln w="9525">
                            <a:solidFill>
                              <a:srgbClr val="000000"/>
                            </a:solidFill>
                            <a:round/>
                            <a:tailEnd type="triangle" w="med" len="med"/>
                          </a:ln>
                        </wps:spPr>
                        <wps:bodyPr/>
                      </wps:wsp>
                      <wps:wsp>
                        <wps:cNvPr id="235" name="Text Box 5"/>
                        <wps:cNvSpPr txBox="1">
                          <a:spLocks noChangeArrowheads="1"/>
                        </wps:cNvSpPr>
                        <wps:spPr bwMode="auto">
                          <a:xfrm>
                            <a:off x="2115062" y="3423127"/>
                            <a:ext cx="1106170" cy="254635"/>
                          </a:xfrm>
                          <a:prstGeom prst="rect">
                            <a:avLst/>
                          </a:prstGeom>
                          <a:solidFill>
                            <a:srgbClr val="FFFFFF"/>
                          </a:solidFill>
                          <a:ln w="9525">
                            <a:solidFill>
                              <a:srgbClr val="000000"/>
                            </a:solidFill>
                            <a:miter lim="800000"/>
                          </a:ln>
                        </wps:spPr>
                        <wps:txbx>
                          <w:txbxContent>
                            <w:p w14:paraId="7D6F380D">
                              <w:pPr>
                                <w:jc w:val="center"/>
                                <w:rPr>
                                  <w:b w:val="0"/>
                                  <w:bCs/>
                                  <w:kern w:val="0"/>
                                  <w:sz w:val="24"/>
                                </w:rPr>
                              </w:pPr>
                              <w:r>
                                <w:rPr>
                                  <w:rFonts w:hint="eastAsia"/>
                                  <w:b w:val="0"/>
                                  <w:bCs/>
                                  <w:szCs w:val="21"/>
                                </w:rPr>
                                <w:t>凉片中转</w:t>
                              </w:r>
                            </w:p>
                            <w:p w14:paraId="2EC64D2D"/>
                          </w:txbxContent>
                        </wps:txbx>
                        <wps:bodyPr rot="0" vert="horz" wrap="square" lIns="91440" tIns="45720" rIns="91440" bIns="45720" anchor="t" anchorCtr="0" upright="1">
                          <a:noAutofit/>
                        </wps:bodyPr>
                      </wps:wsp>
                      <wps:wsp>
                        <wps:cNvPr id="236" name="AutoShape 6"/>
                        <wps:cNvCnPr>
                          <a:cxnSpLocks noChangeShapeType="1"/>
                        </wps:cNvCnPr>
                        <wps:spPr bwMode="auto">
                          <a:xfrm>
                            <a:off x="2666242" y="3195162"/>
                            <a:ext cx="0" cy="224155"/>
                          </a:xfrm>
                          <a:prstGeom prst="straightConnector1">
                            <a:avLst/>
                          </a:prstGeom>
                          <a:noFill/>
                          <a:ln w="9525">
                            <a:solidFill>
                              <a:srgbClr val="000000"/>
                            </a:solidFill>
                            <a:round/>
                            <a:tailEnd type="triangle" w="med" len="med"/>
                          </a:ln>
                        </wps:spPr>
                        <wps:bodyPr/>
                      </wps:wsp>
                      <wps:wsp>
                        <wps:cNvPr id="237" name="Text Box 5"/>
                        <wps:cNvSpPr txBox="1">
                          <a:spLocks noChangeArrowheads="1"/>
                        </wps:cNvSpPr>
                        <wps:spPr bwMode="auto">
                          <a:xfrm>
                            <a:off x="2115062" y="3900647"/>
                            <a:ext cx="1105535" cy="254635"/>
                          </a:xfrm>
                          <a:prstGeom prst="rect">
                            <a:avLst/>
                          </a:prstGeom>
                          <a:solidFill>
                            <a:srgbClr val="FFFFFF"/>
                          </a:solidFill>
                          <a:ln w="9525">
                            <a:solidFill>
                              <a:srgbClr val="000000"/>
                            </a:solidFill>
                            <a:miter lim="800000"/>
                          </a:ln>
                        </wps:spPr>
                        <wps:txbx>
                          <w:txbxContent>
                            <w:p w14:paraId="68ECA28B">
                              <w:pPr>
                                <w:jc w:val="center"/>
                                <w:rPr>
                                  <w:kern w:val="0"/>
                                  <w:sz w:val="24"/>
                                </w:rPr>
                              </w:pPr>
                              <w:r>
                                <w:rPr>
                                  <w:rFonts w:hint="eastAsia"/>
                                  <w:b w:val="0"/>
                                  <w:bCs/>
                                  <w:szCs w:val="21"/>
                                </w:rPr>
                                <w:t>片子中转</w:t>
                              </w:r>
                            </w:p>
                          </w:txbxContent>
                        </wps:txbx>
                        <wps:bodyPr rot="0" vert="horz" wrap="square" lIns="91440" tIns="45720" rIns="91440" bIns="45720" anchor="t" anchorCtr="0" upright="1">
                          <a:noAutofit/>
                        </wps:bodyPr>
                      </wps:wsp>
                      <wps:wsp>
                        <wps:cNvPr id="238" name="AutoShape 6"/>
                        <wps:cNvCnPr>
                          <a:cxnSpLocks noChangeShapeType="1"/>
                        </wps:cNvCnPr>
                        <wps:spPr bwMode="auto">
                          <a:xfrm>
                            <a:off x="2666242" y="3672682"/>
                            <a:ext cx="0" cy="224155"/>
                          </a:xfrm>
                          <a:prstGeom prst="straightConnector1">
                            <a:avLst/>
                          </a:prstGeom>
                          <a:noFill/>
                          <a:ln w="9525">
                            <a:solidFill>
                              <a:srgbClr val="000000"/>
                            </a:solidFill>
                            <a:round/>
                            <a:tailEnd type="triangle" w="med" len="med"/>
                          </a:ln>
                        </wps:spPr>
                        <wps:bodyPr/>
                      </wps:wsp>
                      <wps:wsp>
                        <wps:cNvPr id="239" name="Text Box 5"/>
                        <wps:cNvSpPr txBox="1">
                          <a:spLocks noChangeArrowheads="1"/>
                        </wps:cNvSpPr>
                        <wps:spPr bwMode="auto">
                          <a:xfrm>
                            <a:off x="2116332" y="4381342"/>
                            <a:ext cx="1104900" cy="254635"/>
                          </a:xfrm>
                          <a:prstGeom prst="rect">
                            <a:avLst/>
                          </a:prstGeom>
                          <a:solidFill>
                            <a:srgbClr val="FFFFFF"/>
                          </a:solidFill>
                          <a:ln w="9525">
                            <a:solidFill>
                              <a:srgbClr val="000000"/>
                            </a:solidFill>
                            <a:miter lim="800000"/>
                          </a:ln>
                        </wps:spPr>
                        <wps:txbx>
                          <w:txbxContent>
                            <w:p w14:paraId="6EA26275">
                              <w:pPr>
                                <w:jc w:val="center"/>
                                <w:rPr>
                                  <w:b w:val="0"/>
                                  <w:bCs/>
                                  <w:kern w:val="0"/>
                                  <w:sz w:val="24"/>
                                </w:rPr>
                              </w:pPr>
                              <w:r>
                                <w:rPr>
                                  <w:rFonts w:hint="eastAsia"/>
                                  <w:b w:val="0"/>
                                  <w:bCs/>
                                  <w:szCs w:val="21"/>
                                </w:rPr>
                                <w:t>造粒</w:t>
                              </w:r>
                            </w:p>
                          </w:txbxContent>
                        </wps:txbx>
                        <wps:bodyPr rot="0" vert="horz" wrap="square" lIns="91440" tIns="45720" rIns="91440" bIns="45720" anchor="t" anchorCtr="0" upright="1">
                          <a:noAutofit/>
                        </wps:bodyPr>
                      </wps:wsp>
                      <wps:wsp>
                        <wps:cNvPr id="240" name="AutoShape 6"/>
                        <wps:cNvCnPr>
                          <a:cxnSpLocks noChangeShapeType="1"/>
                        </wps:cNvCnPr>
                        <wps:spPr bwMode="auto">
                          <a:xfrm>
                            <a:off x="2667512" y="4153377"/>
                            <a:ext cx="0" cy="224155"/>
                          </a:xfrm>
                          <a:prstGeom prst="straightConnector1">
                            <a:avLst/>
                          </a:prstGeom>
                          <a:noFill/>
                          <a:ln w="9525">
                            <a:solidFill>
                              <a:srgbClr val="000000"/>
                            </a:solidFill>
                            <a:round/>
                            <a:tailEnd type="triangle" w="med" len="med"/>
                          </a:ln>
                        </wps:spPr>
                        <wps:bodyPr/>
                      </wps:wsp>
                      <wps:wsp>
                        <wps:cNvPr id="241" name="Text Box 5"/>
                        <wps:cNvSpPr txBox="1">
                          <a:spLocks noChangeArrowheads="1"/>
                        </wps:cNvSpPr>
                        <wps:spPr bwMode="auto">
                          <a:xfrm>
                            <a:off x="2116230" y="4864032"/>
                            <a:ext cx="1106170" cy="254635"/>
                          </a:xfrm>
                          <a:prstGeom prst="rect">
                            <a:avLst/>
                          </a:prstGeom>
                          <a:solidFill>
                            <a:srgbClr val="FFFFFF"/>
                          </a:solidFill>
                          <a:ln w="9525">
                            <a:solidFill>
                              <a:srgbClr val="000000"/>
                            </a:solidFill>
                            <a:miter lim="800000"/>
                          </a:ln>
                        </wps:spPr>
                        <wps:txbx>
                          <w:txbxContent>
                            <w:p w14:paraId="5806B101">
                              <w:pPr>
                                <w:jc w:val="center"/>
                                <w:rPr>
                                  <w:b w:val="0"/>
                                  <w:bCs/>
                                  <w:kern w:val="0"/>
                                  <w:sz w:val="24"/>
                                </w:rPr>
                              </w:pPr>
                              <w:r>
                                <w:rPr>
                                  <w:rFonts w:hint="eastAsia"/>
                                  <w:b w:val="0"/>
                                  <w:bCs/>
                                  <w:szCs w:val="21"/>
                                </w:rPr>
                                <w:t>造粒中转</w:t>
                              </w:r>
                            </w:p>
                          </w:txbxContent>
                        </wps:txbx>
                        <wps:bodyPr rot="0" vert="horz" wrap="square" lIns="91440" tIns="45720" rIns="91440" bIns="45720" anchor="t" anchorCtr="0" upright="1">
                          <a:noAutofit/>
                        </wps:bodyPr>
                      </wps:wsp>
                      <wps:wsp>
                        <wps:cNvPr id="242" name="AutoShape 6"/>
                        <wps:cNvCnPr>
                          <a:cxnSpLocks noChangeShapeType="1"/>
                        </wps:cNvCnPr>
                        <wps:spPr bwMode="auto">
                          <a:xfrm>
                            <a:off x="2667410" y="4636067"/>
                            <a:ext cx="0" cy="224155"/>
                          </a:xfrm>
                          <a:prstGeom prst="straightConnector1">
                            <a:avLst/>
                          </a:prstGeom>
                          <a:noFill/>
                          <a:ln w="9525">
                            <a:solidFill>
                              <a:srgbClr val="000000"/>
                            </a:solidFill>
                            <a:round/>
                            <a:tailEnd type="triangle" w="med" len="med"/>
                          </a:ln>
                        </wps:spPr>
                        <wps:bodyPr/>
                      </wps:wsp>
                      <wps:wsp>
                        <wps:cNvPr id="243" name="Text Box 5"/>
                        <wps:cNvSpPr txBox="1">
                          <a:spLocks noChangeArrowheads="1"/>
                        </wps:cNvSpPr>
                        <wps:spPr bwMode="auto">
                          <a:xfrm>
                            <a:off x="2116230" y="5341552"/>
                            <a:ext cx="1105535" cy="254635"/>
                          </a:xfrm>
                          <a:prstGeom prst="rect">
                            <a:avLst/>
                          </a:prstGeom>
                          <a:solidFill>
                            <a:srgbClr val="FFFFFF"/>
                          </a:solidFill>
                          <a:ln w="9525">
                            <a:solidFill>
                              <a:srgbClr val="000000"/>
                            </a:solidFill>
                            <a:miter lim="800000"/>
                          </a:ln>
                        </wps:spPr>
                        <wps:txbx>
                          <w:txbxContent>
                            <w:p w14:paraId="7B95E038">
                              <w:pPr>
                                <w:jc w:val="center"/>
                                <w:rPr>
                                  <w:kern w:val="0"/>
                                  <w:sz w:val="24"/>
                                </w:rPr>
                              </w:pPr>
                              <w:r>
                                <w:rPr>
                                  <w:rFonts w:hint="eastAsia"/>
                                  <w:b w:val="0"/>
                                  <w:bCs/>
                                  <w:szCs w:val="21"/>
                                </w:rPr>
                                <w:t>抛光</w:t>
                              </w:r>
                            </w:p>
                          </w:txbxContent>
                        </wps:txbx>
                        <wps:bodyPr rot="0" vert="horz" wrap="square" lIns="91440" tIns="45720" rIns="91440" bIns="45720" anchor="t" anchorCtr="0" upright="1">
                          <a:noAutofit/>
                        </wps:bodyPr>
                      </wps:wsp>
                      <wps:wsp>
                        <wps:cNvPr id="244" name="AutoShape 6"/>
                        <wps:cNvCnPr>
                          <a:cxnSpLocks noChangeShapeType="1"/>
                        </wps:cNvCnPr>
                        <wps:spPr bwMode="auto">
                          <a:xfrm>
                            <a:off x="2667410" y="5113587"/>
                            <a:ext cx="0" cy="224155"/>
                          </a:xfrm>
                          <a:prstGeom prst="straightConnector1">
                            <a:avLst/>
                          </a:prstGeom>
                          <a:noFill/>
                          <a:ln w="9525">
                            <a:solidFill>
                              <a:srgbClr val="000000"/>
                            </a:solidFill>
                            <a:round/>
                            <a:tailEnd type="triangle" w="med" len="med"/>
                          </a:ln>
                        </wps:spPr>
                        <wps:bodyPr/>
                      </wps:wsp>
                      <wps:wsp>
                        <wps:cNvPr id="245" name="Text Box 5"/>
                        <wps:cNvSpPr txBox="1">
                          <a:spLocks noChangeArrowheads="1"/>
                        </wps:cNvSpPr>
                        <wps:spPr bwMode="auto">
                          <a:xfrm>
                            <a:off x="2117500" y="5822247"/>
                            <a:ext cx="1104900" cy="254635"/>
                          </a:xfrm>
                          <a:prstGeom prst="rect">
                            <a:avLst/>
                          </a:prstGeom>
                          <a:solidFill>
                            <a:srgbClr val="FFFFFF"/>
                          </a:solidFill>
                          <a:ln w="9525">
                            <a:solidFill>
                              <a:srgbClr val="000000"/>
                            </a:solidFill>
                            <a:miter lim="800000"/>
                          </a:ln>
                        </wps:spPr>
                        <wps:txbx>
                          <w:txbxContent>
                            <w:p w14:paraId="6F500F38">
                              <w:pPr>
                                <w:jc w:val="center"/>
                                <w:rPr>
                                  <w:b w:val="0"/>
                                  <w:bCs/>
                                  <w:kern w:val="0"/>
                                  <w:sz w:val="24"/>
                                </w:rPr>
                              </w:pPr>
                              <w:r>
                                <w:rPr>
                                  <w:rFonts w:hint="eastAsia"/>
                                  <w:b w:val="0"/>
                                  <w:bCs/>
                                  <w:szCs w:val="21"/>
                                </w:rPr>
                                <w:t>抛光中转</w:t>
                              </w:r>
                            </w:p>
                          </w:txbxContent>
                        </wps:txbx>
                        <wps:bodyPr rot="0" vert="horz" wrap="square" lIns="91440" tIns="45720" rIns="91440" bIns="45720" anchor="t" anchorCtr="0" upright="1">
                          <a:noAutofit/>
                        </wps:bodyPr>
                      </wps:wsp>
                      <wps:wsp>
                        <wps:cNvPr id="246" name="AutoShape 6"/>
                        <wps:cNvCnPr>
                          <a:cxnSpLocks noChangeShapeType="1"/>
                        </wps:cNvCnPr>
                        <wps:spPr bwMode="auto">
                          <a:xfrm>
                            <a:off x="2668680" y="5594282"/>
                            <a:ext cx="0" cy="224155"/>
                          </a:xfrm>
                          <a:prstGeom prst="straightConnector1">
                            <a:avLst/>
                          </a:prstGeom>
                          <a:noFill/>
                          <a:ln w="9525">
                            <a:solidFill>
                              <a:srgbClr val="000000"/>
                            </a:solidFill>
                            <a:round/>
                            <a:tailEnd type="triangle" w="med" len="med"/>
                          </a:ln>
                        </wps:spPr>
                        <wps:bodyPr/>
                      </wps:wsp>
                      <wps:wsp>
                        <wps:cNvPr id="247" name="Text Box 5"/>
                        <wps:cNvSpPr txBox="1">
                          <a:spLocks noChangeArrowheads="1"/>
                        </wps:cNvSpPr>
                        <wps:spPr bwMode="auto">
                          <a:xfrm>
                            <a:off x="2117398" y="6313784"/>
                            <a:ext cx="1106170" cy="254635"/>
                          </a:xfrm>
                          <a:prstGeom prst="rect">
                            <a:avLst/>
                          </a:prstGeom>
                          <a:solidFill>
                            <a:srgbClr val="FFFFFF"/>
                          </a:solidFill>
                          <a:ln w="9525">
                            <a:solidFill>
                              <a:srgbClr val="000000"/>
                            </a:solidFill>
                            <a:miter lim="800000"/>
                          </a:ln>
                        </wps:spPr>
                        <wps:txbx>
                          <w:txbxContent>
                            <w:p w14:paraId="4FD091A3">
                              <w:pPr>
                                <w:jc w:val="center"/>
                                <w:rPr>
                                  <w:b w:val="0"/>
                                  <w:bCs/>
                                  <w:kern w:val="0"/>
                                  <w:sz w:val="24"/>
                                </w:rPr>
                              </w:pPr>
                              <w:r>
                                <w:rPr>
                                  <w:rFonts w:hint="eastAsia"/>
                                  <w:b w:val="0"/>
                                  <w:bCs/>
                                  <w:szCs w:val="21"/>
                                </w:rPr>
                                <w:t>筛选</w:t>
                              </w:r>
                            </w:p>
                          </w:txbxContent>
                        </wps:txbx>
                        <wps:bodyPr rot="0" vert="horz" wrap="square" lIns="91440" tIns="45720" rIns="91440" bIns="45720" anchor="t" anchorCtr="0" upright="1">
                          <a:noAutofit/>
                        </wps:bodyPr>
                      </wps:wsp>
                      <wps:wsp>
                        <wps:cNvPr id="248" name="AutoShape 6"/>
                        <wps:cNvCnPr>
                          <a:cxnSpLocks noChangeShapeType="1"/>
                        </wps:cNvCnPr>
                        <wps:spPr bwMode="auto">
                          <a:xfrm>
                            <a:off x="2668578" y="6085819"/>
                            <a:ext cx="0" cy="224155"/>
                          </a:xfrm>
                          <a:prstGeom prst="straightConnector1">
                            <a:avLst/>
                          </a:prstGeom>
                          <a:noFill/>
                          <a:ln w="9525">
                            <a:solidFill>
                              <a:srgbClr val="000000"/>
                            </a:solidFill>
                            <a:round/>
                            <a:tailEnd type="triangle" w="med" len="med"/>
                          </a:ln>
                        </wps:spPr>
                        <wps:bodyPr/>
                      </wps:wsp>
                      <wps:wsp>
                        <wps:cNvPr id="249" name="Text Box 5"/>
                        <wps:cNvSpPr txBox="1">
                          <a:spLocks noChangeArrowheads="1"/>
                        </wps:cNvSpPr>
                        <wps:spPr bwMode="auto">
                          <a:xfrm>
                            <a:off x="2117398" y="6791304"/>
                            <a:ext cx="1105535" cy="254635"/>
                          </a:xfrm>
                          <a:prstGeom prst="rect">
                            <a:avLst/>
                          </a:prstGeom>
                          <a:solidFill>
                            <a:srgbClr val="FFFFFF"/>
                          </a:solidFill>
                          <a:ln w="9525">
                            <a:solidFill>
                              <a:srgbClr val="000000"/>
                            </a:solidFill>
                            <a:miter lim="800000"/>
                          </a:ln>
                        </wps:spPr>
                        <wps:txbx>
                          <w:txbxContent>
                            <w:p w14:paraId="588A655F">
                              <w:pPr>
                                <w:jc w:val="center"/>
                                <w:rPr>
                                  <w:kern w:val="0"/>
                                  <w:sz w:val="24"/>
                                </w:rPr>
                              </w:pPr>
                              <w:r>
                                <w:rPr>
                                  <w:rFonts w:hint="eastAsia"/>
                                  <w:b w:val="0"/>
                                  <w:bCs/>
                                  <w:szCs w:val="21"/>
                                </w:rPr>
                                <w:t>筛选中转</w:t>
                              </w:r>
                            </w:p>
                          </w:txbxContent>
                        </wps:txbx>
                        <wps:bodyPr rot="0" vert="horz" wrap="square" lIns="91440" tIns="45720" rIns="91440" bIns="45720" anchor="t" anchorCtr="0" upright="1">
                          <a:noAutofit/>
                        </wps:bodyPr>
                      </wps:wsp>
                      <wps:wsp>
                        <wps:cNvPr id="250" name="AutoShape 6"/>
                        <wps:cNvCnPr>
                          <a:cxnSpLocks noChangeShapeType="1"/>
                        </wps:cNvCnPr>
                        <wps:spPr bwMode="auto">
                          <a:xfrm>
                            <a:off x="2668578" y="6563339"/>
                            <a:ext cx="0" cy="224155"/>
                          </a:xfrm>
                          <a:prstGeom prst="straightConnector1">
                            <a:avLst/>
                          </a:prstGeom>
                          <a:noFill/>
                          <a:ln w="9525">
                            <a:solidFill>
                              <a:srgbClr val="000000"/>
                            </a:solidFill>
                            <a:round/>
                            <a:tailEnd type="triangle" w="med" len="med"/>
                          </a:ln>
                        </wps:spPr>
                        <wps:bodyPr/>
                      </wps:wsp>
                      <wps:wsp>
                        <wps:cNvPr id="251" name="Text Box 5"/>
                        <wps:cNvSpPr txBox="1">
                          <a:spLocks noChangeArrowheads="1"/>
                        </wps:cNvSpPr>
                        <wps:spPr bwMode="auto">
                          <a:xfrm>
                            <a:off x="2118668" y="7271999"/>
                            <a:ext cx="1104900" cy="254635"/>
                          </a:xfrm>
                          <a:prstGeom prst="rect">
                            <a:avLst/>
                          </a:prstGeom>
                          <a:solidFill>
                            <a:srgbClr val="FFFFFF"/>
                          </a:solidFill>
                          <a:ln w="9525">
                            <a:solidFill>
                              <a:srgbClr val="000000"/>
                            </a:solidFill>
                            <a:miter lim="800000"/>
                          </a:ln>
                        </wps:spPr>
                        <wps:txbx>
                          <w:txbxContent>
                            <w:p w14:paraId="08F630C3">
                              <w:pPr>
                                <w:jc w:val="center"/>
                                <w:rPr>
                                  <w:b w:val="0"/>
                                  <w:bCs/>
                                  <w:kern w:val="0"/>
                                  <w:sz w:val="24"/>
                                </w:rPr>
                              </w:pPr>
                              <w:r>
                                <w:rPr>
                                  <w:rFonts w:hint="eastAsia"/>
                                  <w:b w:val="0"/>
                                  <w:bCs/>
                                  <w:szCs w:val="21"/>
                                </w:rPr>
                                <w:t>包装</w:t>
                              </w:r>
                            </w:p>
                          </w:txbxContent>
                        </wps:txbx>
                        <wps:bodyPr rot="0" vert="horz" wrap="square" lIns="91440" tIns="45720" rIns="91440" bIns="45720" anchor="t" anchorCtr="0" upright="1">
                          <a:noAutofit/>
                        </wps:bodyPr>
                      </wps:wsp>
                      <wps:wsp>
                        <wps:cNvPr id="252" name="AutoShape 6"/>
                        <wps:cNvCnPr>
                          <a:cxnSpLocks noChangeShapeType="1"/>
                        </wps:cNvCnPr>
                        <wps:spPr bwMode="auto">
                          <a:xfrm>
                            <a:off x="2669848" y="7044034"/>
                            <a:ext cx="0" cy="224155"/>
                          </a:xfrm>
                          <a:prstGeom prst="straightConnector1">
                            <a:avLst/>
                          </a:prstGeom>
                          <a:noFill/>
                          <a:ln w="9525">
                            <a:solidFill>
                              <a:srgbClr val="000000"/>
                            </a:solidFill>
                            <a:round/>
                            <a:tailEnd type="triangle" w="med" len="med"/>
                          </a:ln>
                        </wps:spPr>
                        <wps:bodyPr/>
                      </wps:wsp>
                      <wps:wsp>
                        <wps:cNvPr id="253" name="Text Box 5"/>
                        <wps:cNvSpPr txBox="1">
                          <a:spLocks noChangeArrowheads="1"/>
                        </wps:cNvSpPr>
                        <wps:spPr bwMode="auto">
                          <a:xfrm>
                            <a:off x="2112625" y="7748595"/>
                            <a:ext cx="1105535" cy="254000"/>
                          </a:xfrm>
                          <a:prstGeom prst="rect">
                            <a:avLst/>
                          </a:prstGeom>
                          <a:solidFill>
                            <a:srgbClr val="FFFFFF"/>
                          </a:solidFill>
                          <a:ln w="9525">
                            <a:solidFill>
                              <a:srgbClr val="000000"/>
                            </a:solidFill>
                            <a:miter lim="800000"/>
                          </a:ln>
                        </wps:spPr>
                        <wps:txbx>
                          <w:txbxContent>
                            <w:p w14:paraId="4E92D007">
                              <w:pPr>
                                <w:jc w:val="center"/>
                                <w:rPr>
                                  <w:b w:val="0"/>
                                  <w:bCs/>
                                  <w:kern w:val="0"/>
                                  <w:sz w:val="24"/>
                                </w:rPr>
                              </w:pPr>
                              <w:r>
                                <w:rPr>
                                  <w:rFonts w:hint="eastAsia"/>
                                  <w:b w:val="0"/>
                                  <w:bCs/>
                                  <w:szCs w:val="21"/>
                                </w:rPr>
                                <w:t>包装中转</w:t>
                              </w:r>
                            </w:p>
                          </w:txbxContent>
                        </wps:txbx>
                        <wps:bodyPr rot="0" vert="horz" wrap="square" lIns="91440" tIns="45720" rIns="91440" bIns="45720" anchor="t" anchorCtr="0" upright="1">
                          <a:noAutofit/>
                        </wps:bodyPr>
                      </wps:wsp>
                      <wps:wsp>
                        <wps:cNvPr id="254" name="AutoShape 6"/>
                        <wps:cNvCnPr>
                          <a:cxnSpLocks noChangeShapeType="1"/>
                        </wps:cNvCnPr>
                        <wps:spPr bwMode="auto">
                          <a:xfrm>
                            <a:off x="2663805" y="7520630"/>
                            <a:ext cx="0" cy="223520"/>
                          </a:xfrm>
                          <a:prstGeom prst="straightConnector1">
                            <a:avLst/>
                          </a:prstGeom>
                          <a:noFill/>
                          <a:ln w="9525">
                            <a:solidFill>
                              <a:srgbClr val="000000"/>
                            </a:solidFill>
                            <a:round/>
                            <a:tailEnd type="triangle" w="med" len="med"/>
                          </a:ln>
                        </wps:spPr>
                        <wps:bodyPr/>
                      </wps:wsp>
                      <wps:wsp>
                        <wps:cNvPr id="255" name="Text Box 5"/>
                        <wps:cNvSpPr txBox="1">
                          <a:spLocks noChangeArrowheads="1"/>
                        </wps:cNvSpPr>
                        <wps:spPr bwMode="auto">
                          <a:xfrm>
                            <a:off x="2113895" y="8229290"/>
                            <a:ext cx="1104900" cy="254000"/>
                          </a:xfrm>
                          <a:prstGeom prst="rect">
                            <a:avLst/>
                          </a:prstGeom>
                          <a:solidFill>
                            <a:srgbClr val="FFFFFF"/>
                          </a:solidFill>
                          <a:ln w="9525">
                            <a:solidFill>
                              <a:srgbClr val="000000"/>
                            </a:solidFill>
                            <a:miter lim="800000"/>
                          </a:ln>
                        </wps:spPr>
                        <wps:txbx>
                          <w:txbxContent>
                            <w:p w14:paraId="4307ABF3">
                              <w:pPr>
                                <w:jc w:val="center"/>
                                <w:rPr>
                                  <w:b w:val="0"/>
                                  <w:bCs/>
                                  <w:kern w:val="0"/>
                                  <w:sz w:val="24"/>
                                </w:rPr>
                              </w:pPr>
                              <w:r>
                                <w:rPr>
                                  <w:rFonts w:hint="eastAsia"/>
                                  <w:b w:val="0"/>
                                  <w:bCs/>
                                  <w:szCs w:val="21"/>
                                </w:rPr>
                                <w:t>入库（粒状）</w:t>
                              </w:r>
                            </w:p>
                          </w:txbxContent>
                        </wps:txbx>
                        <wps:bodyPr rot="0" vert="horz" wrap="square" lIns="91440" tIns="45720" rIns="91440" bIns="45720" anchor="t" anchorCtr="0" upright="1">
                          <a:noAutofit/>
                        </wps:bodyPr>
                      </wps:wsp>
                      <wps:wsp>
                        <wps:cNvPr id="256" name="AutoShape 6"/>
                        <wps:cNvCnPr>
                          <a:cxnSpLocks noChangeShapeType="1"/>
                        </wps:cNvCnPr>
                        <wps:spPr bwMode="auto">
                          <a:xfrm>
                            <a:off x="2665075" y="8001325"/>
                            <a:ext cx="0" cy="223520"/>
                          </a:xfrm>
                          <a:prstGeom prst="straightConnector1">
                            <a:avLst/>
                          </a:prstGeom>
                          <a:noFill/>
                          <a:ln w="9525">
                            <a:solidFill>
                              <a:srgbClr val="000000"/>
                            </a:solidFill>
                            <a:round/>
                            <a:tailEnd type="triangle" w="med" len="med"/>
                          </a:ln>
                        </wps:spPr>
                        <wps:bodyPr/>
                      </wps:wsp>
                      <wps:wsp>
                        <wps:cNvPr id="257" name="AutoShape 15"/>
                        <wps:cNvCnPr>
                          <a:cxnSpLocks noChangeShapeType="1"/>
                        </wps:cNvCnPr>
                        <wps:spPr bwMode="auto">
                          <a:xfrm>
                            <a:off x="1813914" y="7396459"/>
                            <a:ext cx="306705" cy="0"/>
                          </a:xfrm>
                          <a:prstGeom prst="straightConnector1">
                            <a:avLst/>
                          </a:prstGeom>
                          <a:noFill/>
                          <a:ln w="9525">
                            <a:solidFill>
                              <a:srgbClr val="000000"/>
                            </a:solidFill>
                            <a:round/>
                            <a:tailEnd type="triangle" w="med" len="med"/>
                          </a:ln>
                        </wps:spPr>
                        <wps:bodyPr/>
                      </wps:wsp>
                      <wps:wsp>
                        <wps:cNvPr id="258" name="Text Box 5"/>
                        <wps:cNvSpPr txBox="1">
                          <a:spLocks noChangeArrowheads="1"/>
                        </wps:cNvSpPr>
                        <wps:spPr bwMode="auto">
                          <a:xfrm>
                            <a:off x="705204" y="7271999"/>
                            <a:ext cx="1107440" cy="255270"/>
                          </a:xfrm>
                          <a:prstGeom prst="rect">
                            <a:avLst/>
                          </a:prstGeom>
                          <a:solidFill>
                            <a:srgbClr val="FFFFFF"/>
                          </a:solidFill>
                          <a:ln w="9525">
                            <a:solidFill>
                              <a:srgbClr val="000000"/>
                            </a:solidFill>
                            <a:miter lim="800000"/>
                          </a:ln>
                        </wps:spPr>
                        <wps:txbx>
                          <w:txbxContent>
                            <w:p w14:paraId="288A67A5">
                              <w:pPr>
                                <w:jc w:val="center"/>
                                <w:rPr>
                                  <w:b w:val="0"/>
                                  <w:bCs/>
                                  <w:kern w:val="0"/>
                                  <w:sz w:val="24"/>
                                </w:rPr>
                              </w:pPr>
                              <w:r>
                                <w:rPr>
                                  <w:rFonts w:hint="eastAsia"/>
                                  <w:b w:val="0"/>
                                  <w:bCs/>
                                  <w:szCs w:val="21"/>
                                </w:rPr>
                                <w:t>包装材料</w:t>
                              </w:r>
                            </w:p>
                          </w:txbxContent>
                        </wps:txbx>
                        <wps:bodyPr rot="0" vert="horz" wrap="square" lIns="91440" tIns="45720" rIns="91440" bIns="45720" anchor="t" anchorCtr="0" upright="1">
                          <a:noAutofit/>
                        </wps:bodyPr>
                      </wps:wsp>
                      <wps:wsp>
                        <wps:cNvPr id="6" name="直接连接符 6"/>
                        <wps:cNvCnPr>
                          <a:stCxn id="247" idx="3"/>
                        </wps:cNvCnPr>
                        <wps:spPr>
                          <a:xfrm flipV="1">
                            <a:off x="3223568" y="6440735"/>
                            <a:ext cx="871445" cy="18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0" name="直接连接符 260"/>
                        <wps:cNvCnPr/>
                        <wps:spPr>
                          <a:xfrm>
                            <a:off x="3223695" y="4519915"/>
                            <a:ext cx="85087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 name="直接箭头连接符 11"/>
                        <wps:cNvCnPr/>
                        <wps:spPr>
                          <a:xfrm flipH="1" flipV="1">
                            <a:off x="4074566" y="1750893"/>
                            <a:ext cx="20448" cy="46914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62" name="直接连接符 262"/>
                        <wps:cNvCnPr/>
                        <wps:spPr>
                          <a:xfrm>
                            <a:off x="3216025" y="2593279"/>
                            <a:ext cx="850265" cy="0"/>
                          </a:xfrm>
                          <a:prstGeom prst="line">
                            <a:avLst/>
                          </a:prstGeom>
                          <a:ln w="12700"/>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_x0000_s1026" o:spid="_x0000_s1026" o:spt="203" style="height:672.5pt;width:453.95pt;" coordsize="5765165,8540993" editas="canvas" o:gfxdata="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">
                <o:lock v:ext="edit" aspectratio="f"/>
                <v:shape id="_x0000_s1026" o:spid="_x0000_s1026" style="position:absolute;left:0;top:0;height:8540993;width:5765165;" filled="f" stroked="f" coordsize="21600,21600" o:gfxdata="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">
                  <v:fill on="f" focussize="0,0"/>
                  <v:stroke on="f"/>
                  <v:imagedata o:title=""/>
                  <o:lock v:ext="edit" aspectratio="t"/>
                </v:shape>
                <v:shape id="Text Box 5" o:spid="_x0000_s1026" o:spt="202" type="#_x0000_t202" style="position:absolute;left:670035;top:35168;height:256104;width:110871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YsByc1gAAAAYBAAAPAAAAAAAAAAEAIAAAACIAAABkcnMvZG93&#10;bnJldi54bWxQSwECFAAUAAAACACHTuJAd6zjqjsCAACQBAAADgAAAAAAAAABACAAAAAlAQAAZHJz&#10;L2Uyb0RvYy54bWxQSwUGAAAAAAYABgBZAQAA0gUAAAAA&#10;">
                  <v:fill on="t" focussize="0,0"/>
                  <v:stroke color="#000000" miterlimit="8" joinstyle="miter"/>
                  <v:imagedata o:title=""/>
                  <o:lock v:ext="edit" aspectratio="f"/>
                  <v:textbox>
                    <w:txbxContent>
                      <w:p w14:paraId="5F368204">
                        <w:pPr>
                          <w:jc w:val="center"/>
                          <w:rPr>
                            <w:rFonts w:ascii="宋体" w:hAnsi="宋体"/>
                            <w:b w:val="0"/>
                            <w:bCs/>
                          </w:rPr>
                        </w:pPr>
                        <w:r>
                          <w:rPr>
                            <w:rFonts w:hint="eastAsia" w:ascii="宋体" w:hAnsi="宋体"/>
                            <w:b w:val="0"/>
                            <w:bCs/>
                          </w:rPr>
                          <w:t>硝酸钾</w:t>
                        </w:r>
                      </w:p>
                    </w:txbxContent>
                  </v:textbox>
                </v:shape>
                <v:shape id="AutoShape 6" o:spid="_x0000_s1026" o:spt="32" type="#_x0000_t32" style="position:absolute;left:1241169;top:291636;height:22420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2rOp1wAAAAYBAAAPAAAAAAAAAAEAIAAAACIAAABkcnMvZG93bnJldi54&#10;bWxQSwECFAAUAAAACACHTuJAl4XL+fsBAADrAwAADgAAAAAAAAABACAAAAAmAQAAZHJzL2Uyb0Rv&#10;Yy54bWxQSwUGAAAAAAYABgBZAQAAkwUAAAAA&#10;">
                  <v:fill on="f" focussize="0,0"/>
                  <v:stroke color="#000000" joinstyle="round" endarrow="block"/>
                  <v:imagedata o:title=""/>
                  <o:lock v:ext="edit" aspectratio="f"/>
                </v:shape>
                <v:shape id="AutoShape 15" o:spid="_x0000_s1026" o:spt="32" type="#_x0000_t32" style="position:absolute;left:1778785;top:1137119;height:0;width:306807;"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tqzqdcAAAAGAQAADwAAAAAAAAABACAAAAAiAAAAZHJzL2Rvd25y&#10;ZXYueG1sUEsBAhQAFAAAAAgAh07iQFLML7H/AQAA7QMAAA4AAAAAAAAAAQAgAAAAJgEAAGRycy9l&#10;Mm9Eb2MueG1sUEsFBgAAAAAGAAYAWQEAAJcFAAAAAA==&#10;">
                  <v:fill on="f" focussize="0,0"/>
                  <v:stroke color="#000000" joinstyle="round" endarrow="block"/>
                  <v:imagedata o:title=""/>
                  <o:lock v:ext="edit" aspectratio="f"/>
                </v:shape>
                <v:shape id="Text Box 5" o:spid="_x0000_s1026" o:spt="202" type="#_x0000_t202" style="position:absolute;left:672826;top:520180;height:255905;width:110807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YsByc1gAAAAYBAAAPAAAAAAAAAAEAIAAAACIAAABkcnMvZG93&#10;bnJldi54bWxQSwECFAAUAAAACACHTuJA8JksVDsCAACSBAAADgAAAAAAAAABACAAAAAlAQAAZHJz&#10;L2Uyb0RvYy54bWxQSwUGAAAAAAYABgBZAQAA0gUAAAAA&#10;">
                  <v:fill on="t" focussize="0,0"/>
                  <v:stroke color="#000000" miterlimit="8" joinstyle="miter"/>
                  <v:imagedata o:title=""/>
                  <o:lock v:ext="edit" aspectratio="f"/>
                  <v:textbox>
                    <w:txbxContent>
                      <w:p w14:paraId="6E81E902">
                        <w:pPr>
                          <w:jc w:val="center"/>
                          <w:rPr>
                            <w:b w:val="0"/>
                            <w:bCs/>
                            <w:kern w:val="0"/>
                            <w:sz w:val="24"/>
                          </w:rPr>
                        </w:pPr>
                        <w:r>
                          <w:rPr>
                            <w:rFonts w:hint="eastAsia"/>
                            <w:b w:val="0"/>
                            <w:bCs/>
                            <w:szCs w:val="21"/>
                          </w:rPr>
                          <w:t>硝酸钾粉碎</w:t>
                        </w:r>
                      </w:p>
                    </w:txbxContent>
                  </v:textbox>
                </v:shape>
                <v:shape id="AutoShape 6" o:spid="_x0000_s1026" o:spt="32" type="#_x0000_t32" style="position:absolute;left:1238360;top:784379;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ApTYqw/QEAAOw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670035;top:1012979;height:255905;width:110744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YsByc1gAAAAYBAAAPAAAAAAAAAAEAIAAAACIAAABkcnMvZG93&#10;bnJldi54bWxQSwECFAAUAAAACACHTuJAQ/FX6jsCAACTBAAADgAAAAAAAAABACAAAAAlAQAAZHJz&#10;L2Uyb0RvYy54bWxQSwUGAAAAAAYABgBZAQAA0gUAAAAA&#10;">
                  <v:fill on="t" focussize="0,0"/>
                  <v:stroke color="#000000" miterlimit="8" joinstyle="miter"/>
                  <v:imagedata o:title=""/>
                  <o:lock v:ext="edit" aspectratio="f"/>
                  <v:textbox>
                    <w:txbxContent>
                      <w:p w14:paraId="68611686">
                        <w:pPr>
                          <w:jc w:val="center"/>
                          <w:rPr>
                            <w:b w:val="0"/>
                            <w:bCs/>
                            <w:kern w:val="0"/>
                            <w:sz w:val="24"/>
                          </w:rPr>
                        </w:pPr>
                        <w:r>
                          <w:rPr>
                            <w:rFonts w:hint="eastAsia"/>
                            <w:b w:val="0"/>
                            <w:bCs/>
                            <w:szCs w:val="21"/>
                          </w:rPr>
                          <w:t>粉碎中转</w:t>
                        </w:r>
                      </w:p>
                    </w:txbxContent>
                  </v:textbox>
                </v:shape>
                <v:shape id="Text Box 5" o:spid="_x0000_s1026" o:spt="202" type="#_x0000_t202" style="position:absolute;left:2085592;top:1015613;height:255905;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iwHJzWAAAABgEAAA8AAAAAAAAAAQAgAAAAIgAAAGRycy9kb3du&#10;cmV2LnhtbFBLAQIUABQAAAAIAIdO4kDs3sBOOgIAAJQEAAAOAAAAAAAAAAEAIAAAACUBAABkcnMv&#10;ZTJvRG9jLnhtbFBLBQYAAAAABgAGAFkBAADRBQAAAAA=&#10;">
                  <v:fill on="t" focussize="0,0"/>
                  <v:stroke color="#000000" miterlimit="8" joinstyle="miter"/>
                  <v:imagedata o:title=""/>
                  <o:lock v:ext="edit" aspectratio="f"/>
                  <v:textbox>
                    <w:txbxContent>
                      <w:p w14:paraId="68DFEE13">
                        <w:pPr>
                          <w:jc w:val="center"/>
                          <w:rPr>
                            <w:b w:val="0"/>
                            <w:bCs/>
                            <w:kern w:val="0"/>
                            <w:sz w:val="24"/>
                          </w:rPr>
                        </w:pPr>
                        <w:r>
                          <w:rPr>
                            <w:rFonts w:hint="eastAsia"/>
                            <w:b w:val="0"/>
                            <w:bCs/>
                            <w:szCs w:val="21"/>
                          </w:rPr>
                          <w:t>原材料中转</w:t>
                        </w:r>
                      </w:p>
                    </w:txbxContent>
                  </v:textbox>
                </v:shape>
                <v:shape id="Text Box 5" o:spid="_x0000_s1026" o:spt="202" type="#_x0000_t202" style="position:absolute;left:3833390;top:1495660;height:255270;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CdUuPdPQIAAJQEAAAOAAAAAAAAAAEAIAAAACUBAABk&#10;cnMvZTJvRG9jLnhtbFBLBQYAAAAABgAGAFkBAADUBQAAAAA=&#10;">
                  <v:fill on="t" focussize="0,0"/>
                  <v:stroke color="#000000" miterlimit="8" joinstyle="miter"/>
                  <v:imagedata o:title=""/>
                  <o:lock v:ext="edit" aspectratio="f"/>
                  <v:textbox>
                    <w:txbxContent>
                      <w:p w14:paraId="05BBDA0E">
                        <w:pPr>
                          <w:jc w:val="center"/>
                          <w:rPr>
                            <w:b w:val="0"/>
                            <w:bCs/>
                            <w:kern w:val="0"/>
                            <w:sz w:val="24"/>
                          </w:rPr>
                        </w:pPr>
                        <w:r>
                          <w:rPr>
                            <w:rFonts w:hint="eastAsia"/>
                            <w:b w:val="0"/>
                            <w:bCs/>
                            <w:szCs w:val="21"/>
                          </w:rPr>
                          <w:t>二味中转</w:t>
                        </w:r>
                      </w:p>
                    </w:txbxContent>
                  </v:textbox>
                </v:shape>
                <v:shape id="Text Box 5" o:spid="_x0000_s1026" o:spt="202" type="#_x0000_t202" style="position:absolute;left:2113997;top:1978958;height:254635;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YsByc1gAAAAYBAAAPAAAAAAAAAAEAIAAAACIAAABkcnMv&#10;ZG93bnJldi54bWxQSwECFAAUAAAACACHTuJAAFwfxz4CAACUBAAADgAAAAAAAAABACAAAAAlAQAA&#10;ZHJzL2Uyb0RvYy54bWxQSwUGAAAAAAYABgBZAQAA1QUAAAAA&#10;">
                  <v:fill on="t" focussize="0,0"/>
                  <v:stroke color="#000000" miterlimit="8" joinstyle="miter"/>
                  <v:imagedata o:title=""/>
                  <o:lock v:ext="edit" aspectratio="f"/>
                  <v:textbox>
                    <w:txbxContent>
                      <w:p w14:paraId="77DEB01F">
                        <w:pPr>
                          <w:jc w:val="center"/>
                          <w:rPr>
                            <w:kern w:val="0"/>
                            <w:sz w:val="24"/>
                          </w:rPr>
                        </w:pPr>
                        <w:r>
                          <w:rPr>
                            <w:rFonts w:hint="eastAsia"/>
                            <w:b w:val="0"/>
                            <w:bCs/>
                            <w:szCs w:val="21"/>
                          </w:rPr>
                          <w:t>制片中转</w:t>
                        </w:r>
                      </w:p>
                    </w:txbxContent>
                  </v:textbox>
                </v:shape>
                <v:shape id="AutoShape 15" o:spid="_x0000_s1026" o:spt="32" type="#_x0000_t32" style="position:absolute;left:3554542;top:1620158;flip:x;height:0;width:278848;" filled="f" stroked="t" coordsize="21600,21600" o:gfxdata="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&#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LCFI/XAAAABgEAAA8AAAAAAAAAAQAgAAAAIgAAAGRy&#10;cy9kb3ducmV2LnhtbFBLAQIUABQAAAAIAIdO4kDbA6vaBgIAAPgDAAAOAAAAAAAAAAEAIAAAACYB&#10;AABkcnMvZTJvRG9jLnhtbFBLBQYAAAAABgAGAFkBAACeBQAAAAA=&#10;">
                  <v:fill on="f" focussize="0,0"/>
                  <v:stroke color="#000000" joinstyle="round" endarrow="block"/>
                  <v:imagedata o:title=""/>
                  <o:lock v:ext="edit" aspectratio="f"/>
                </v:shape>
                <v:shape id="Text Box 5" o:spid="_x0000_s1026" o:spt="202" type="#_x0000_t202" style="position:absolute;left:3505586;top:515865;height:255270;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LAcnNYAAAAGAQAADwAAAAAAAAABACAAAAAiAAAAZHJzL2Rv&#10;d25yZXYueG1sUEsBAhQAFAAAAAgAh07iQEr4Dmg8AgAAkwQAAA4AAAAAAAAAAQAgAAAAJQEAAGRy&#10;cy9lMm9Eb2MueG1sUEsFBgAAAAAGAAYAWQEAANMFAAAAAA==&#10;">
                  <v:fill on="t" focussize="0,0"/>
                  <v:stroke color="#000000" miterlimit="8" joinstyle="miter"/>
                  <v:imagedata o:title=""/>
                  <o:lock v:ext="edit" aspectratio="f"/>
                  <v:textbox>
                    <w:txbxContent>
                      <w:p w14:paraId="6180ADFF">
                        <w:pPr>
                          <w:jc w:val="center"/>
                          <w:rPr>
                            <w:b w:val="0"/>
                            <w:bCs/>
                            <w:kern w:val="0"/>
                            <w:sz w:val="24"/>
                          </w:rPr>
                        </w:pPr>
                        <w:r>
                          <w:rPr>
                            <w:rFonts w:hint="eastAsia"/>
                            <w:b w:val="0"/>
                            <w:bCs/>
                            <w:szCs w:val="21"/>
                          </w:rPr>
                          <w:t>二味球磨</w:t>
                        </w:r>
                      </w:p>
                    </w:txbxContent>
                  </v:textbox>
                </v:shape>
                <v:shape id="Text Box 5" o:spid="_x0000_s1026" o:spt="202" type="#_x0000_t202" style="position:absolute;left:4214143;top:35201;height:254635;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LAcnNYAAAAGAQAADwAAAAAAAAABACAAAAAiAAAAZHJzL2Rv&#10;d25yZXYueG1sUEsBAhQAFAAAAAgAh07iQJYB0BE8AgAAkgQAAA4AAAAAAAAAAQAgAAAAJQEAAGRy&#10;cy9lMm9Eb2MueG1sUEsFBgAAAAAGAAYAWQEAANMFAAAAAA==&#10;">
                  <v:fill on="t" focussize="0,0"/>
                  <v:stroke color="#000000" miterlimit="8" joinstyle="miter"/>
                  <v:imagedata o:title=""/>
                  <o:lock v:ext="edit" aspectratio="f"/>
                  <v:textbox>
                    <w:txbxContent>
                      <w:p w14:paraId="361F6D34">
                        <w:pPr>
                          <w:jc w:val="center"/>
                          <w:rPr>
                            <w:b w:val="0"/>
                            <w:bCs/>
                            <w:kern w:val="0"/>
                            <w:sz w:val="24"/>
                          </w:rPr>
                        </w:pPr>
                        <w:r>
                          <w:rPr>
                            <w:rFonts w:hint="eastAsia"/>
                            <w:b w:val="0"/>
                            <w:bCs/>
                            <w:szCs w:val="21"/>
                          </w:rPr>
                          <w:t>木炭</w:t>
                        </w:r>
                      </w:p>
                    </w:txbxContent>
                  </v:textbox>
                </v:shape>
                <v:shape id="Text Box 5" o:spid="_x0000_s1026" o:spt="202" type="#_x0000_t202" style="position:absolute;left:2906195;top:35170;height:254635;width:110680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YsByc1gAAAAYBAAAPAAAAAAAAAAEAIAAAACIAAABkcnMvZG93&#10;bnJldi54bWxQSwECFAAUAAAACACHTuJAixWU5TsCAACSBAAADgAAAAAAAAABACAAAAAlAQAAZHJz&#10;L2Uyb0RvYy54bWxQSwUGAAAAAAYABgBZAQAA0gUAAAAA&#10;">
                  <v:fill on="t" focussize="0,0"/>
                  <v:stroke color="#000000" miterlimit="8" joinstyle="miter"/>
                  <v:imagedata o:title=""/>
                  <o:lock v:ext="edit" aspectratio="f"/>
                  <v:textbox>
                    <w:txbxContent>
                      <w:p w14:paraId="0506B90D">
                        <w:pPr>
                          <w:jc w:val="center"/>
                          <w:rPr>
                            <w:kern w:val="0"/>
                            <w:sz w:val="24"/>
                          </w:rPr>
                        </w:pPr>
                        <w:r>
                          <w:rPr>
                            <w:rFonts w:hint="eastAsia"/>
                            <w:b w:val="0"/>
                            <w:bCs/>
                            <w:szCs w:val="21"/>
                          </w:rPr>
                          <w:t>硫磺</w:t>
                        </w:r>
                      </w:p>
                    </w:txbxContent>
                  </v:textbox>
                </v:shape>
                <v:shape id="AutoShape 6" o:spid="_x0000_s1026" o:spt="32" type="#_x0000_t32" style="position:absolute;left:3698928;top:296029;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tqzqdcAAAAGAQAADwAAAAAAAAABACAAAAAiAAAAZHJzL2Rvd25yZXYu&#10;eG1sUEsBAhQAFAAAAAgAh07iQKRDzPf8AQAA7AMAAA4AAAAAAAAAAQAgAAAAJgEAAGRycy9lMm9E&#10;b2MueG1sUEsFBgAAAAAGAAYAWQEAAJQFAAAAAA==&#10;">
                  <v:fill on="f" focussize="0,0"/>
                  <v:stroke color="#000000" joinstyle="round" endarrow="block"/>
                  <v:imagedata o:title=""/>
                  <o:lock v:ext="edit" aspectratio="f"/>
                </v:shape>
                <v:shape id="AutoShape 6" o:spid="_x0000_s1026" o:spt="32" type="#_x0000_t32" style="position:absolute;left:4396290;top:296668;height:223520;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D0gXid/QEAAOwDAAAOAAAAAAAAAAEAIAAAACYBAABkcnMvZTJv&#10;RG9jLnhtbFBLBQYAAAAABgAGAFkBAACVBQAAAAA=&#10;">
                  <v:fill on="f" focussize="0,0"/>
                  <v:stroke color="#000000" joinstyle="round" endarrow="block"/>
                  <v:imagedata o:title=""/>
                  <o:lock v:ext="edit" aspectratio="f"/>
                </v:shape>
                <v:shape id="AutoShape 6" o:spid="_x0000_s1026" o:spt="32" type="#_x0000_t32" style="position:absolute;left:4095013;top:789430;height:706187;width:1;"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DekaSg/QEAAOw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1706880;top:1495673;height:255270;width:1847662;"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YsByc1gAAAAYBAAAPAAAAAAAAAAEAIAAAACIAAABkcnMv&#10;ZG93bnJldi54bWxQSwECFAAUAAAACACHTuJA8+74Tj4CAACUBAAADgAAAAAAAAABACAAAAAlAQAA&#10;ZHJzL2Uyb0RvYy54bWxQSwUGAAAAAAYABgBZAQAA1QUAAAAA&#10;">
                  <v:fill on="t" focussize="0,0"/>
                  <v:stroke color="#000000" miterlimit="8" joinstyle="miter"/>
                  <v:imagedata o:title=""/>
                  <o:lock v:ext="edit" aspectratio="f"/>
                  <v:textbox>
                    <w:txbxContent>
                      <w:p w14:paraId="0D9631CE">
                        <w:pPr>
                          <w:jc w:val="center"/>
                          <w:rPr>
                            <w:kern w:val="0"/>
                            <w:sz w:val="24"/>
                          </w:rPr>
                        </w:pPr>
                        <w:r>
                          <w:rPr>
                            <w:rFonts w:hint="eastAsia"/>
                            <w:b w:val="0"/>
                            <w:bCs/>
                            <w:szCs w:val="21"/>
                          </w:rPr>
                          <w:t>自动混合/上潮/装模制片</w:t>
                        </w:r>
                      </w:p>
                    </w:txbxContent>
                  </v:textbox>
                </v:shape>
                <v:shape id="AutoShape 6" o:spid="_x0000_s1026" o:spt="32" type="#_x0000_t32" style="position:absolute;left:2665159;top:1271518;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DGq8Qo/QEAAO0DAAAOAAAAAAAAAAEAIAAAACYBAABkcnMvZTJv&#10;RG9jLnhtbFBLBQYAAAAABgAGAFkBAACVBQAAAAA=&#10;">
                  <v:fill on="f" focussize="0,0"/>
                  <v:stroke color="#000000" joinstyle="round" endarrow="block"/>
                  <v:imagedata o:title=""/>
                  <o:lock v:ext="edit" aspectratio="f"/>
                </v:shape>
                <v:shape id="AutoShape 6" o:spid="_x0000_s1026" o:spt="32" type="#_x0000_t32" style="position:absolute;left:2665168;top:1750943;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BmuW2k/QEAAO0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2113895;top:2456339;height:254635;width:110617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YsByc1gAAAAYBAAAPAAAAAAAAAAEAIAAAACIAAABkcnMv&#10;ZG93bnJldi54bWxQSwECFAAUAAAACACHTuJAFSo9oD4CAACUBAAADgAAAAAAAAABACAAAAAlAQAA&#10;ZHJzL2Uyb0RvYy54bWxQSwUGAAAAAAYABgBZAQAA1QUAAAAA&#10;">
                  <v:fill on="t" focussize="0,0"/>
                  <v:stroke color="#000000" miterlimit="8" joinstyle="miter"/>
                  <v:imagedata o:title=""/>
                  <o:lock v:ext="edit" aspectratio="f"/>
                  <v:textbox>
                    <w:txbxContent>
                      <w:p w14:paraId="0CFA5A04">
                        <w:pPr>
                          <w:jc w:val="center"/>
                          <w:rPr>
                            <w:b w:val="0"/>
                            <w:bCs/>
                            <w:kern w:val="0"/>
                            <w:sz w:val="24"/>
                          </w:rPr>
                        </w:pPr>
                        <w:r>
                          <w:rPr>
                            <w:rFonts w:hint="eastAsia"/>
                            <w:b w:val="0"/>
                            <w:bCs/>
                            <w:szCs w:val="21"/>
                          </w:rPr>
                          <w:t>压药</w:t>
                        </w:r>
                      </w:p>
                    </w:txbxContent>
                  </v:textbox>
                </v:shape>
                <v:shape id="AutoShape 6" o:spid="_x0000_s1026" o:spt="32" type="#_x0000_t32" style="position:absolute;left:2665075;top:2228374;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tqzqdcAAAAGAQAADwAAAAAAAAABACAAAAAiAAAAZHJzL2Rvd25yZXYu&#10;eG1sUEsBAhQAFAAAAAgAh07iQJjihO78AQAA7QMAAA4AAAAAAAAAAQAgAAAAJgEAAGRycy9lMm9E&#10;b2MueG1sUEsFBgAAAAAGAAYAWQEAAJQFAAAAAA==&#10;">
                  <v:fill on="f" focussize="0,0"/>
                  <v:stroke color="#000000" joinstyle="round" endarrow="block"/>
                  <v:imagedata o:title=""/>
                  <o:lock v:ext="edit" aspectratio="f"/>
                </v:shape>
                <v:shape id="Text Box 5" o:spid="_x0000_s1026" o:spt="202" type="#_x0000_t202" style="position:absolute;left:2115164;top:2937351;height:254635;width:110553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LAcnNYAAAAGAQAADwAAAAAAAAABACAAAAAiAAAAZHJzL2Rv&#10;d25yZXYueG1sUEsBAhQAFAAAAAgAh07iQIKE0/I8AgAAlAQAAA4AAAAAAAAAAQAgAAAAJQEAAGRy&#10;cy9lMm9Eb2MueG1sUEsFBgAAAAAGAAYAWQEAANMFAAAAAA==&#10;">
                  <v:fill on="t" focussize="0,0"/>
                  <v:stroke color="#000000" miterlimit="8" joinstyle="miter"/>
                  <v:imagedata o:title=""/>
                  <o:lock v:ext="edit" aspectratio="f"/>
                  <v:textbox>
                    <w:txbxContent>
                      <w:p w14:paraId="12868B30">
                        <w:pPr>
                          <w:jc w:val="center"/>
                          <w:rPr>
                            <w:kern w:val="0"/>
                            <w:sz w:val="24"/>
                          </w:rPr>
                        </w:pPr>
                        <w:r>
                          <w:rPr>
                            <w:rFonts w:hint="eastAsia"/>
                            <w:b w:val="0"/>
                            <w:bCs/>
                            <w:szCs w:val="21"/>
                          </w:rPr>
                          <w:t>凉片</w:t>
                        </w:r>
                      </w:p>
                    </w:txbxContent>
                  </v:textbox>
                </v:shape>
                <v:shape id="AutoShape 6" o:spid="_x0000_s1026" o:spt="32" type="#_x0000_t32" style="position:absolute;left:2666344;top:2709386;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tqzqdcAAAAGAQAADwAAAAAAAAABACAAAAAiAAAAZHJzL2Rvd25yZXYu&#10;eG1sUEsBAhQAFAAAAAgAh07iQNjfmdz8AQAA7QMAAA4AAAAAAAAAAQAgAAAAJgEAAGRycy9lMm9E&#10;b2MueG1sUEsFBgAAAAAGAAYAWQEAAJQFAAAAAA==&#10;">
                  <v:fill on="f" focussize="0,0"/>
                  <v:stroke color="#000000" joinstyle="round" endarrow="block"/>
                  <v:imagedata o:title=""/>
                  <o:lock v:ext="edit" aspectratio="f"/>
                </v:shape>
                <v:shape id="Text Box 5" o:spid="_x0000_s1026" o:spt="202" type="#_x0000_t202" style="position:absolute;left:2115062;top:3423127;height:254635;width:110617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CUy25ePQIAAJQEAAAOAAAAAAAAAAEAIAAAACUBAABk&#10;cnMvZTJvRG9jLnhtbFBLBQYAAAAABgAGAFkBAADUBQAAAAA=&#10;">
                  <v:fill on="t" focussize="0,0"/>
                  <v:stroke color="#000000" miterlimit="8" joinstyle="miter"/>
                  <v:imagedata o:title=""/>
                  <o:lock v:ext="edit" aspectratio="f"/>
                  <v:textbox>
                    <w:txbxContent>
                      <w:p w14:paraId="7D6F380D">
                        <w:pPr>
                          <w:jc w:val="center"/>
                          <w:rPr>
                            <w:b w:val="0"/>
                            <w:bCs/>
                            <w:kern w:val="0"/>
                            <w:sz w:val="24"/>
                          </w:rPr>
                        </w:pPr>
                        <w:r>
                          <w:rPr>
                            <w:rFonts w:hint="eastAsia"/>
                            <w:b w:val="0"/>
                            <w:bCs/>
                            <w:szCs w:val="21"/>
                          </w:rPr>
                          <w:t>凉片中转</w:t>
                        </w:r>
                      </w:p>
                      <w:p w14:paraId="2EC64D2D"/>
                    </w:txbxContent>
                  </v:textbox>
                </v:shape>
                <v:shape id="AutoShape 6" o:spid="_x0000_s1026" o:spt="32" type="#_x0000_t32" style="position:absolute;left:2666242;top:3195162;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fY13Qv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5062;top:3900647;height:254635;width:110553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CqXFJpPQIAAJQEAAAOAAAAAAAAAAEAIAAAACUBAABk&#10;cnMvZTJvRG9jLnhtbFBLBQYAAAAABgAGAFkBAADUBQAAAAA=&#10;">
                  <v:fill on="t" focussize="0,0"/>
                  <v:stroke color="#000000" miterlimit="8" joinstyle="miter"/>
                  <v:imagedata o:title=""/>
                  <o:lock v:ext="edit" aspectratio="f"/>
                  <v:textbox>
                    <w:txbxContent>
                      <w:p w14:paraId="68ECA28B">
                        <w:pPr>
                          <w:jc w:val="center"/>
                          <w:rPr>
                            <w:kern w:val="0"/>
                            <w:sz w:val="24"/>
                          </w:rPr>
                        </w:pPr>
                        <w:r>
                          <w:rPr>
                            <w:rFonts w:hint="eastAsia"/>
                            <w:b w:val="0"/>
                            <w:bCs/>
                            <w:szCs w:val="21"/>
                          </w:rPr>
                          <w:t>片子中转</w:t>
                        </w:r>
                      </w:p>
                    </w:txbxContent>
                  </v:textbox>
                </v:shape>
                <v:shape id="AutoShape 6" o:spid="_x0000_s1026" o:spt="32" type="#_x0000_t32" style="position:absolute;left:2666242;top:3672682;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7Ftw5f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6332;top:4381342;height:254635;width:110490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LAcnNYAAAAGAQAADwAAAAAAAAABACAAAAAiAAAAZHJz&#10;L2Rvd25yZXYueG1sUEsBAhQAFAAAAAgAh07iQMc8+ys/AgAAlAQAAA4AAAAAAAAAAQAgAAAAJQEA&#10;AGRycy9lMm9Eb2MueG1sUEsFBgAAAAAGAAYAWQEAANYFAAAAAA==&#10;">
                  <v:fill on="t" focussize="0,0"/>
                  <v:stroke color="#000000" miterlimit="8" joinstyle="miter"/>
                  <v:imagedata o:title=""/>
                  <o:lock v:ext="edit" aspectratio="f"/>
                  <v:textbox>
                    <w:txbxContent>
                      <w:p w14:paraId="6EA26275">
                        <w:pPr>
                          <w:jc w:val="center"/>
                          <w:rPr>
                            <w:b w:val="0"/>
                            <w:bCs/>
                            <w:kern w:val="0"/>
                            <w:sz w:val="24"/>
                          </w:rPr>
                        </w:pPr>
                        <w:r>
                          <w:rPr>
                            <w:rFonts w:hint="eastAsia"/>
                            <w:b w:val="0"/>
                            <w:bCs/>
                            <w:szCs w:val="21"/>
                          </w:rPr>
                          <w:t>造粒</w:t>
                        </w:r>
                      </w:p>
                    </w:txbxContent>
                  </v:textbox>
                </v:shape>
                <v:shape id="AutoShape 6" o:spid="_x0000_s1026" o:spt="32" type="#_x0000_t32" style="position:absolute;left:2667512;top:4153377;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AHQFJ3/QEAAO0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2116230;top:4864032;height:254635;width:110617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YsByc1gAAAAYBAAAPAAAAAAAAAAEAIAAAACIAAABkcnMv&#10;ZG93bnJldi54bWxQSwECFAAUAAAACACHTuJAUWhitD4CAACUBAAADgAAAAAAAAABACAAAAAlAQAA&#10;ZHJzL2Uyb0RvYy54bWxQSwUGAAAAAAYABgBZAQAA1QUAAAAA&#10;">
                  <v:fill on="t" focussize="0,0"/>
                  <v:stroke color="#000000" miterlimit="8" joinstyle="miter"/>
                  <v:imagedata o:title=""/>
                  <o:lock v:ext="edit" aspectratio="f"/>
                  <v:textbox>
                    <w:txbxContent>
                      <w:p w14:paraId="5806B101">
                        <w:pPr>
                          <w:jc w:val="center"/>
                          <w:rPr>
                            <w:b w:val="0"/>
                            <w:bCs/>
                            <w:kern w:val="0"/>
                            <w:sz w:val="24"/>
                          </w:rPr>
                        </w:pPr>
                        <w:r>
                          <w:rPr>
                            <w:rFonts w:hint="eastAsia"/>
                            <w:b w:val="0"/>
                            <w:bCs/>
                            <w:szCs w:val="21"/>
                          </w:rPr>
                          <w:t>造粒中转</w:t>
                        </w:r>
                      </w:p>
                    </w:txbxContent>
                  </v:textbox>
                </v:shape>
                <v:shape id="AutoShape 6" o:spid="_x0000_s1026" o:spt="32" type="#_x0000_t32" style="position:absolute;left:2667410;top:4636067;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azYXf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6230;top:5341552;height:254635;width:110553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CPTer4PQIAAJQEAAAOAAAAAAAAAAEAIAAAACUBAABk&#10;cnMvZTJvRG9jLnhtbFBLBQYAAAAABgAGAFkBAADUBQAAAAA=&#10;">
                  <v:fill on="t" focussize="0,0"/>
                  <v:stroke color="#000000" miterlimit="8" joinstyle="miter"/>
                  <v:imagedata o:title=""/>
                  <o:lock v:ext="edit" aspectratio="f"/>
                  <v:textbox>
                    <w:txbxContent>
                      <w:p w14:paraId="7B95E038">
                        <w:pPr>
                          <w:jc w:val="center"/>
                          <w:rPr>
                            <w:kern w:val="0"/>
                            <w:sz w:val="24"/>
                          </w:rPr>
                        </w:pPr>
                        <w:r>
                          <w:rPr>
                            <w:rFonts w:hint="eastAsia"/>
                            <w:b w:val="0"/>
                            <w:bCs/>
                            <w:szCs w:val="21"/>
                          </w:rPr>
                          <w:t>抛光</w:t>
                        </w:r>
                      </w:p>
                    </w:txbxContent>
                  </v:textbox>
                </v:shape>
                <v:shape id="AutoShape 6" o:spid="_x0000_s1026" o:spt="32" type="#_x0000_t32" style="position:absolute;left:2667410;top:5113587;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XHHLjv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7500;top:5822247;height:254635;width:110490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CTQ05OPQIAAJQEAAAOAAAAAAAAAAEAIAAAACUBAABk&#10;cnMvZTJvRG9jLnhtbFBLBQYAAAAABgAGAFkBAADUBQAAAAA=&#10;">
                  <v:fill on="t" focussize="0,0"/>
                  <v:stroke color="#000000" miterlimit="8" joinstyle="miter"/>
                  <v:imagedata o:title=""/>
                  <o:lock v:ext="edit" aspectratio="f"/>
                  <v:textbox>
                    <w:txbxContent>
                      <w:p w14:paraId="6F500F38">
                        <w:pPr>
                          <w:jc w:val="center"/>
                          <w:rPr>
                            <w:b w:val="0"/>
                            <w:bCs/>
                            <w:kern w:val="0"/>
                            <w:sz w:val="24"/>
                          </w:rPr>
                        </w:pPr>
                        <w:r>
                          <w:rPr>
                            <w:rFonts w:hint="eastAsia"/>
                            <w:b w:val="0"/>
                            <w:bCs/>
                            <w:szCs w:val="21"/>
                          </w:rPr>
                          <w:t>抛光中转</w:t>
                        </w:r>
                      </w:p>
                    </w:txbxContent>
                  </v:textbox>
                </v:shape>
                <v:shape id="AutoShape 6" o:spid="_x0000_s1026" o:spt="32" type="#_x0000_t32" style="position:absolute;left:2668680;top:5594282;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AezeWV/QEAAO0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2117398;top:6313784;height:254635;width:110617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YsByc1gAAAAYBAAAPAAAAAAAAAAEAIAAAACIAAABkcnMv&#10;ZG93bnJldi54bWxQSwECFAAUAAAACACHTuJAV/Ccej4CAACUBAAADgAAAAAAAAABACAAAAAlAQAA&#10;ZHJzL2Uyb0RvYy54bWxQSwUGAAAAAAYABgBZAQAA1QUAAAAA&#10;">
                  <v:fill on="t" focussize="0,0"/>
                  <v:stroke color="#000000" miterlimit="8" joinstyle="miter"/>
                  <v:imagedata o:title=""/>
                  <o:lock v:ext="edit" aspectratio="f"/>
                  <v:textbox>
                    <w:txbxContent>
                      <w:p w14:paraId="4FD091A3">
                        <w:pPr>
                          <w:jc w:val="center"/>
                          <w:rPr>
                            <w:b w:val="0"/>
                            <w:bCs/>
                            <w:kern w:val="0"/>
                            <w:sz w:val="24"/>
                          </w:rPr>
                        </w:pPr>
                        <w:r>
                          <w:rPr>
                            <w:rFonts w:hint="eastAsia"/>
                            <w:b w:val="0"/>
                            <w:bCs/>
                            <w:szCs w:val="21"/>
                          </w:rPr>
                          <w:t>筛选</w:t>
                        </w:r>
                      </w:p>
                    </w:txbxContent>
                  </v:textbox>
                </v:shape>
                <v:shape id="AutoShape 6" o:spid="_x0000_s1026" o:spt="32" type="#_x0000_t32" style="position:absolute;left:2668578;top:6085819;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lLXBCv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7398;top:6791304;height:254635;width:110553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iwHJzWAAAABgEAAA8AAAAAAAAAAQAgAAAAIgAAAGRycy9k&#10;b3ducmV2LnhtbFBLAQIUABQAAAAIAIdO4kA6aJxsPQIAAJQEAAAOAAAAAAAAAAEAIAAAACUBAABk&#10;cnMvZTJvRG9jLnhtbFBLBQYAAAAABgAGAFkBAADUBQAAAAA=&#10;">
                  <v:fill on="t" focussize="0,0"/>
                  <v:stroke color="#000000" miterlimit="8" joinstyle="miter"/>
                  <v:imagedata o:title=""/>
                  <o:lock v:ext="edit" aspectratio="f"/>
                  <v:textbox>
                    <w:txbxContent>
                      <w:p w14:paraId="588A655F">
                        <w:pPr>
                          <w:jc w:val="center"/>
                          <w:rPr>
                            <w:kern w:val="0"/>
                            <w:sz w:val="24"/>
                          </w:rPr>
                        </w:pPr>
                        <w:r>
                          <w:rPr>
                            <w:rFonts w:hint="eastAsia"/>
                            <w:b w:val="0"/>
                            <w:bCs/>
                            <w:szCs w:val="21"/>
                          </w:rPr>
                          <w:t>筛选中转</w:t>
                        </w:r>
                      </w:p>
                    </w:txbxContent>
                  </v:textbox>
                </v:shape>
                <v:shape id="AutoShape 6" o:spid="_x0000_s1026" o:spt="32" type="#_x0000_t32" style="position:absolute;left:2668578;top:6563339;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2rOp1wAAAAYBAAAPAAAAAAAAAAEAIAAAACIAAABkcnMvZG93bnJl&#10;di54bWxQSwECFAAUAAAACACHTuJAA/H0lv4BAADtAwAADgAAAAAAAAABACAAAAAmAQAAZHJzL2Uy&#10;b0RvYy54bWxQSwUGAAAAAAYABgBZAQAAlgUAAAAA&#10;">
                  <v:fill on="f" focussize="0,0"/>
                  <v:stroke color="#000000" joinstyle="round" endarrow="block"/>
                  <v:imagedata o:title=""/>
                  <o:lock v:ext="edit" aspectratio="f"/>
                </v:shape>
                <v:shape id="Text Box 5" o:spid="_x0000_s1026" o:spt="202" type="#_x0000_t202" style="position:absolute;left:2118668;top:7271999;height:254635;width:110490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LAcnNYAAAAGAQAADwAAAAAAAAABACAAAAAiAAAAZHJz&#10;L2Rvd25yZXYueG1sUEsBAhQAFAAAAAgAh07iQORzZlw/AgAAlAQAAA4AAAAAAAAAAQAgAAAAJQEA&#10;AGRycy9lMm9Eb2MueG1sUEsFBgAAAAAGAAYAWQEAANYFAAAAAA==&#10;">
                  <v:fill on="t" focussize="0,0"/>
                  <v:stroke color="#000000" miterlimit="8" joinstyle="miter"/>
                  <v:imagedata o:title=""/>
                  <o:lock v:ext="edit" aspectratio="f"/>
                  <v:textbox>
                    <w:txbxContent>
                      <w:p w14:paraId="08F630C3">
                        <w:pPr>
                          <w:jc w:val="center"/>
                          <w:rPr>
                            <w:b w:val="0"/>
                            <w:bCs/>
                            <w:kern w:val="0"/>
                            <w:sz w:val="24"/>
                          </w:rPr>
                        </w:pPr>
                        <w:r>
                          <w:rPr>
                            <w:rFonts w:hint="eastAsia"/>
                            <w:b w:val="0"/>
                            <w:bCs/>
                            <w:szCs w:val="21"/>
                          </w:rPr>
                          <w:t>包装</w:t>
                        </w:r>
                      </w:p>
                    </w:txbxContent>
                  </v:textbox>
                </v:shape>
                <v:shape id="AutoShape 6" o:spid="_x0000_s1026" o:spt="32" type="#_x0000_t32" style="position:absolute;left:2669848;top:7044034;height:224155;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tqzqdcAAAAGAQAADwAAAAAAAAABACAAAAAiAAAAZHJzL2Rvd25y&#10;ZXYueG1sUEsBAhQAFAAAAAgAh07iQOcyIUj/AQAA7QMAAA4AAAAAAAAAAQAgAAAAJgEAAGRycy9l&#10;Mm9Eb2MueG1sUEsFBgAAAAAGAAYAWQEAAJcFAAAAAA==&#10;">
                  <v:fill on="f" focussize="0,0"/>
                  <v:stroke color="#000000" joinstyle="round" endarrow="block"/>
                  <v:imagedata o:title=""/>
                  <o:lock v:ext="edit" aspectratio="f"/>
                </v:shape>
                <v:shape id="Text Box 5" o:spid="_x0000_s1026" o:spt="202" type="#_x0000_t202" style="position:absolute;left:2112625;top:7748595;height:254000;width:1105535;"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LAcnNYAAAAGAQAADwAAAAAAAAABACAAAAAiAAAAZHJz&#10;L2Rvd25yZXYueG1sUEsBAhQAFAAAAAgAh07iQD6ezbs/AgAAlAQAAA4AAAAAAAAAAQAgAAAAJQEA&#10;AGRycy9lMm9Eb2MueG1sUEsFBgAAAAAGAAYAWQEAANYFAAAAAA==&#10;">
                  <v:fill on="t" focussize="0,0"/>
                  <v:stroke color="#000000" miterlimit="8" joinstyle="miter"/>
                  <v:imagedata o:title=""/>
                  <o:lock v:ext="edit" aspectratio="f"/>
                  <v:textbox>
                    <w:txbxContent>
                      <w:p w14:paraId="4E92D007">
                        <w:pPr>
                          <w:jc w:val="center"/>
                          <w:rPr>
                            <w:b w:val="0"/>
                            <w:bCs/>
                            <w:kern w:val="0"/>
                            <w:sz w:val="24"/>
                          </w:rPr>
                        </w:pPr>
                        <w:r>
                          <w:rPr>
                            <w:rFonts w:hint="eastAsia"/>
                            <w:b w:val="0"/>
                            <w:bCs/>
                            <w:szCs w:val="21"/>
                          </w:rPr>
                          <w:t>包装中转</w:t>
                        </w:r>
                      </w:p>
                    </w:txbxContent>
                  </v:textbox>
                </v:shape>
                <v:shape id="AutoShape 6" o:spid="_x0000_s1026" o:spt="32" type="#_x0000_t32" style="position:absolute;left:2663805;top:7520630;height:223520;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DE8qFh/QEAAO0DAAAOAAAAAAAAAAEAIAAAACYBAABkcnMvZTJv&#10;RG9jLnhtbFBLBQYAAAAABgAGAFkBAACVBQAAAAA=&#10;">
                  <v:fill on="f" focussize="0,0"/>
                  <v:stroke color="#000000" joinstyle="round" endarrow="block"/>
                  <v:imagedata o:title=""/>
                  <o:lock v:ext="edit" aspectratio="f"/>
                </v:shape>
                <v:shape id="Text Box 5" o:spid="_x0000_s1026" o:spt="202" type="#_x0000_t202" style="position:absolute;left:2113895;top:8229290;height:254000;width:110490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LAcnNYAAAAGAQAADwAAAAAAAAABACAAAAAiAAAAZHJzL2Rv&#10;d25yZXYueG1sUEsBAhQAFAAAAAgAh07iQD6GVHA8AgAAlAQAAA4AAAAAAAAAAQAgAAAAJQEAAGRy&#10;cy9lMm9Eb2MueG1sUEsFBgAAAAAGAAYAWQEAANMFAAAAAA==&#10;">
                  <v:fill on="t" focussize="0,0"/>
                  <v:stroke color="#000000" miterlimit="8" joinstyle="miter"/>
                  <v:imagedata o:title=""/>
                  <o:lock v:ext="edit" aspectratio="f"/>
                  <v:textbox>
                    <w:txbxContent>
                      <w:p w14:paraId="4307ABF3">
                        <w:pPr>
                          <w:jc w:val="center"/>
                          <w:rPr>
                            <w:b w:val="0"/>
                            <w:bCs/>
                            <w:kern w:val="0"/>
                            <w:sz w:val="24"/>
                          </w:rPr>
                        </w:pPr>
                        <w:r>
                          <w:rPr>
                            <w:rFonts w:hint="eastAsia"/>
                            <w:b w:val="0"/>
                            <w:bCs/>
                            <w:szCs w:val="21"/>
                          </w:rPr>
                          <w:t>入库（粒状）</w:t>
                        </w:r>
                      </w:p>
                    </w:txbxContent>
                  </v:textbox>
                </v:shape>
                <v:shape id="AutoShape 6" o:spid="_x0000_s1026" o:spt="32" type="#_x0000_t32" style="position:absolute;left:2665075;top:8001325;height:223520;width:0;"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Las6nXAAAABgEAAA8AAAAAAAAAAQAgAAAAIgAAAGRycy9kb3ducmV2&#10;LnhtbFBLAQIUABQAAAAIAIdO4kBl+dfp/QEAAO0DAAAOAAAAAAAAAAEAIAAAACYBAABkcnMvZTJv&#10;RG9jLnhtbFBLBQYAAAAABgAGAFkBAACVBQAAAAA=&#10;">
                  <v:fill on="f" focussize="0,0"/>
                  <v:stroke color="#000000" joinstyle="round" endarrow="block"/>
                  <v:imagedata o:title=""/>
                  <o:lock v:ext="edit" aspectratio="f"/>
                </v:shape>
                <v:shape id="AutoShape 15" o:spid="_x0000_s1026" o:spt="32" type="#_x0000_t32" style="position:absolute;left:1813914;top:7396459;height:0;width:306705;" filled="f" stroked="t" coordsize="21600,21600" o:gfxdata="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tqzqdcAAAAGAQAADwAAAAAAAAABACAAAAAiAAAAZHJzL2Rv&#10;d25yZXYueG1sUEsBAhQAFAAAAAgAh07iQExaviUCAgAA7gMAAA4AAAAAAAAAAQAgAAAAJgEAAGRy&#10;cy9lMm9Eb2MueG1sUEsFBgAAAAAGAAYAWQEAAJoFAAAAAA==&#10;">
                  <v:fill on="f" focussize="0,0"/>
                  <v:stroke color="#000000" joinstyle="round" endarrow="block"/>
                  <v:imagedata o:title=""/>
                  <o:lock v:ext="edit" aspectratio="f"/>
                </v:shape>
                <v:shape id="Text Box 5" o:spid="_x0000_s1026" o:spt="202" type="#_x0000_t202" style="position:absolute;left:705204;top:7271999;height:255270;width:1107440;" fillcolor="#FFFFFF" filled="t" stroked="t" coordsize="21600,21600" o:gfxdata="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YsByc1gAAAAYBAAAPAAAAAAAAAAEAIAAAACIAAABkcnMvZG93&#10;bnJldi54bWxQSwECFAAUAAAACACHTuJAthv0CzsCAACTBAAADgAAAAAAAAABACAAAAAlAQAAZHJz&#10;L2Uyb0RvYy54bWxQSwUGAAAAAAYABgBZAQAA0gUAAAAA&#10;">
                  <v:fill on="t" focussize="0,0"/>
                  <v:stroke color="#000000" miterlimit="8" joinstyle="miter"/>
                  <v:imagedata o:title=""/>
                  <o:lock v:ext="edit" aspectratio="f"/>
                  <v:textbox>
                    <w:txbxContent>
                      <w:p w14:paraId="288A67A5">
                        <w:pPr>
                          <w:jc w:val="center"/>
                          <w:rPr>
                            <w:b w:val="0"/>
                            <w:bCs/>
                            <w:kern w:val="0"/>
                            <w:sz w:val="24"/>
                          </w:rPr>
                        </w:pPr>
                        <w:r>
                          <w:rPr>
                            <w:rFonts w:hint="eastAsia"/>
                            <w:b w:val="0"/>
                            <w:bCs/>
                            <w:szCs w:val="21"/>
                          </w:rPr>
                          <w:t>包装材料</w:t>
                        </w:r>
                      </w:p>
                    </w:txbxContent>
                  </v:textbox>
                </v:shape>
                <v:line id="_x0000_s1026" o:spid="_x0000_s1026" o:spt="20" style="position:absolute;left:3223568;top:6440735;flip:y;height:183;width:871445;" filled="f" stroked="t" coordsize="21600,21600" o:gfxdata="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&#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WaMW21QAAAAYBAAAPAAAAAAAAAAEAIAAAACIAAABk&#10;cnMvZG93bnJldi54bWxQSwECFAAUAAAACACHTuJAhOBmlAkCAADxAwAADgAAAAAAAAABACAAAAAk&#10;AQAAZHJzL2Uyb0RvYy54bWxQSwUGAAAAAAYABgBZAQAAnwUAAAAA&#10;">
                  <v:fill on="f" focussize="0,0"/>
                  <v:stroke weight="1pt" color="#000000 [3200]" miterlimit="8" joinstyle="miter"/>
                  <v:imagedata o:title=""/>
                  <o:lock v:ext="edit" aspectratio="f"/>
                </v:line>
                <v:line id="_x0000_s1026" o:spid="_x0000_s1026" o:spt="20" style="position:absolute;left:3223695;top:4519915;height:0;width:850871;" filled="f" stroked="t" coordsize="21600,21600" o:gfxdata="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WgR+dcAAAAGAQAADwAAAAAAAAABACAAAAAiAAAAZHJzL2Rvd25yZXYueG1sUEsBAhQA&#10;FAAAAAgAh07iQB9hXyTzAQAAwQMAAA4AAAAAAAAAAQAgAAAAJgEAAGRycy9lMm9Eb2MueG1sUEsF&#10;BgAAAAAGAAYAWQEAAIsFAAAAAA==&#10;">
                  <v:fill on="f" focussize="0,0"/>
                  <v:stroke weight="1pt" color="#000000 [3200]" miterlimit="8" joinstyle="miter"/>
                  <v:imagedata o:title=""/>
                  <o:lock v:ext="edit" aspectratio="f"/>
                </v:line>
                <v:shape id="_x0000_s1026" o:spid="_x0000_s1026" o:spt="32" type="#_x0000_t32" style="position:absolute;left:4074566;top:1750893;flip:x y;height:4691460;width:20448;" filled="f" stroked="t" coordsize="21600,21600" o:gfxdata="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F&#10;kI1G1wAAAAYBAAAPAAAAAAAAAAEAIAAAACIAAABkcnMvZG93bnJldi54bWxQSwECFAAUAAAACACH&#10;TuJACcBRPCUCAAAIBAAADgAAAAAAAAABACAAAAAmAQAAZHJzL2Uyb0RvYy54bWxQSwUGAAAAAAYA&#10;BgBZAQAAvQUAAAAA&#10;">
                  <v:fill on="f" focussize="0,0"/>
                  <v:stroke weight="1pt" color="#000000 [3200]" miterlimit="8" joinstyle="miter" endarrow="block"/>
                  <v:imagedata o:title=""/>
                  <o:lock v:ext="edit" aspectratio="f"/>
                </v:shape>
                <v:line id="_x0000_s1026" o:spid="_x0000_s1026" o:spt="20" style="position:absolute;left:3216025;top:2593279;height:0;width:850265;" filled="f" stroked="t" coordsize="21600,21600" o:gfxdata="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WgR+dcAAAAGAQAADwAAAAAAAAABACAAAAAiAAAAZHJzL2Rvd25yZXYueG1sUEsBAhQA&#10;FAAAAAgAh07iQGvFSyzzAQAAwQMAAA4AAAAAAAAAAQAgAAAAJgEAAGRycy9lMm9Eb2MueG1sUEsF&#10;BgAAAAAGAAYAWQEAAIsFAAAAAA==&#10;">
                  <v:fill on="f" focussize="0,0"/>
                  <v:stroke weight="1pt" color="#000000 [3200]" miterlimit="8" joinstyle="miter"/>
                  <v:imagedata o:title=""/>
                  <o:lock v:ext="edit" aspectratio="f"/>
                </v:line>
                <w10:wrap type="none"/>
                <w10:anchorlock/>
              </v:group>
            </w:pict>
          </mc:Fallback>
        </mc:AlternateContent>
      </w:r>
    </w:p>
    <w:p w14:paraId="4FB439DB">
      <w:pPr>
        <w:widowControl/>
        <w:jc w:val="center"/>
      </w:pPr>
      <w:r>
        <w:rPr>
          <w:rFonts w:ascii="黑体" w:hAnsi="黑体" w:eastAsia="黑体"/>
          <w:b w:val="0"/>
          <w:kern w:val="0"/>
          <w:sz w:val="24"/>
        </w:rPr>
        <w:t>图</w:t>
      </w:r>
      <w:r>
        <w:rPr>
          <w:rFonts w:hint="eastAsia" w:ascii="黑体" w:hAnsi="黑体" w:eastAsia="黑体"/>
          <w:b w:val="0"/>
          <w:kern w:val="0"/>
          <w:sz w:val="24"/>
        </w:rPr>
        <w:t>2.4-</w:t>
      </w:r>
      <w:r>
        <w:rPr>
          <w:rFonts w:ascii="黑体" w:hAnsi="黑体" w:eastAsia="黑体"/>
          <w:b w:val="0"/>
          <w:kern w:val="0"/>
          <w:sz w:val="24"/>
        </w:rPr>
        <w:t xml:space="preserve">1 </w:t>
      </w:r>
      <w:r>
        <w:rPr>
          <w:rFonts w:hint="eastAsia" w:ascii="黑体" w:hAnsi="黑体" w:eastAsia="黑体"/>
          <w:b w:val="0"/>
          <w:kern w:val="0"/>
          <w:sz w:val="24"/>
        </w:rPr>
        <w:t>黑火药（粒状，自动混合/上潮/装模制片）生产</w:t>
      </w:r>
      <w:r>
        <w:rPr>
          <w:rFonts w:ascii="黑体" w:hAnsi="黑体" w:eastAsia="黑体"/>
          <w:b w:val="0"/>
          <w:kern w:val="0"/>
          <w:sz w:val="24"/>
        </w:rPr>
        <w:t>工艺流程图</w:t>
      </w:r>
    </w:p>
    <w:p w14:paraId="501C64BF">
      <w:pPr>
        <w:pStyle w:val="2"/>
        <w:spacing w:line="240" w:lineRule="auto"/>
        <w:ind w:firstLine="0" w:firstLineChars="0"/>
      </w:pPr>
      <w:r>
        <w:rPr>
          <w:rFonts w:ascii="黑体" w:hAnsi="宋体" w:eastAsia="黑体"/>
          <w:b w:val="0"/>
          <w:sz w:val="24"/>
        </w:rPr>
        <mc:AlternateContent>
          <mc:Choice Requires="wpc">
            <w:drawing>
              <wp:inline distT="0" distB="0" distL="0" distR="0">
                <wp:extent cx="5760720" cy="3401060"/>
                <wp:effectExtent l="0" t="0" r="0" b="0"/>
                <wp:docPr id="536" name="画布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Text Box 5"/>
                        <wps:cNvSpPr txBox="1">
                          <a:spLocks noChangeArrowheads="1"/>
                        </wps:cNvSpPr>
                        <wps:spPr bwMode="auto">
                          <a:xfrm>
                            <a:off x="670035" y="93309"/>
                            <a:ext cx="1108710" cy="256104"/>
                          </a:xfrm>
                          <a:prstGeom prst="rect">
                            <a:avLst/>
                          </a:prstGeom>
                          <a:solidFill>
                            <a:srgbClr val="FFFFFF"/>
                          </a:solidFill>
                          <a:ln w="9525">
                            <a:solidFill>
                              <a:srgbClr val="000000"/>
                            </a:solidFill>
                            <a:miter lim="800000"/>
                          </a:ln>
                        </wps:spPr>
                        <wps:txbx>
                          <w:txbxContent>
                            <w:p w14:paraId="6536E8E6">
                              <w:pPr>
                                <w:jc w:val="center"/>
                                <w:rPr>
                                  <w:rFonts w:ascii="宋体" w:hAnsi="宋体"/>
                                  <w:b w:val="0"/>
                                  <w:bCs/>
                                </w:rPr>
                              </w:pPr>
                              <w:r>
                                <w:rPr>
                                  <w:rFonts w:hint="eastAsia" w:ascii="宋体" w:hAnsi="宋体"/>
                                  <w:b w:val="0"/>
                                  <w:bCs/>
                                </w:rPr>
                                <w:t>硝酸钾</w:t>
                              </w:r>
                            </w:p>
                          </w:txbxContent>
                        </wps:txbx>
                        <wps:bodyPr rot="0" vert="horz" wrap="square" lIns="91440" tIns="45720" rIns="91440" bIns="45720" anchor="t" anchorCtr="0" upright="1">
                          <a:noAutofit/>
                        </wps:bodyPr>
                      </wps:wsp>
                      <wps:wsp>
                        <wps:cNvPr id="13" name="AutoShape 6"/>
                        <wps:cNvCnPr>
                          <a:cxnSpLocks noChangeShapeType="1"/>
                        </wps:cNvCnPr>
                        <wps:spPr bwMode="auto">
                          <a:xfrm>
                            <a:off x="1241169" y="349777"/>
                            <a:ext cx="0" cy="224205"/>
                          </a:xfrm>
                          <a:prstGeom prst="straightConnector1">
                            <a:avLst/>
                          </a:prstGeom>
                          <a:noFill/>
                          <a:ln w="9525">
                            <a:solidFill>
                              <a:srgbClr val="000000"/>
                            </a:solidFill>
                            <a:round/>
                            <a:tailEnd type="triangle" w="med" len="med"/>
                          </a:ln>
                        </wps:spPr>
                        <wps:bodyPr/>
                      </wps:wsp>
                      <wps:wsp>
                        <wps:cNvPr id="46" name="AutoShape 15"/>
                        <wps:cNvCnPr>
                          <a:cxnSpLocks noChangeShapeType="1"/>
                        </wps:cNvCnPr>
                        <wps:spPr bwMode="auto">
                          <a:xfrm>
                            <a:off x="1778785" y="1195260"/>
                            <a:ext cx="306807" cy="0"/>
                          </a:xfrm>
                          <a:prstGeom prst="straightConnector1">
                            <a:avLst/>
                          </a:prstGeom>
                          <a:noFill/>
                          <a:ln w="9525">
                            <a:solidFill>
                              <a:srgbClr val="000000"/>
                            </a:solidFill>
                            <a:round/>
                            <a:tailEnd type="triangle" w="med" len="med"/>
                          </a:ln>
                        </wps:spPr>
                        <wps:bodyPr/>
                      </wps:wsp>
                      <wps:wsp>
                        <wps:cNvPr id="47" name="Text Box 5"/>
                        <wps:cNvSpPr txBox="1">
                          <a:spLocks noChangeArrowheads="1"/>
                        </wps:cNvSpPr>
                        <wps:spPr bwMode="auto">
                          <a:xfrm>
                            <a:off x="672826" y="578321"/>
                            <a:ext cx="1108075" cy="255905"/>
                          </a:xfrm>
                          <a:prstGeom prst="rect">
                            <a:avLst/>
                          </a:prstGeom>
                          <a:solidFill>
                            <a:srgbClr val="FFFFFF"/>
                          </a:solidFill>
                          <a:ln w="9525">
                            <a:solidFill>
                              <a:srgbClr val="000000"/>
                            </a:solidFill>
                            <a:miter lim="800000"/>
                          </a:ln>
                        </wps:spPr>
                        <wps:txbx>
                          <w:txbxContent>
                            <w:p w14:paraId="1D00EEFC">
                              <w:pPr>
                                <w:jc w:val="center"/>
                                <w:rPr>
                                  <w:b w:val="0"/>
                                  <w:bCs/>
                                  <w:kern w:val="0"/>
                                  <w:sz w:val="24"/>
                                </w:rPr>
                              </w:pPr>
                              <w:r>
                                <w:rPr>
                                  <w:rFonts w:hint="eastAsia"/>
                                  <w:b w:val="0"/>
                                  <w:bCs/>
                                  <w:szCs w:val="21"/>
                                </w:rPr>
                                <w:t>硝酸钾粉碎</w:t>
                              </w:r>
                            </w:p>
                          </w:txbxContent>
                        </wps:txbx>
                        <wps:bodyPr rot="0" vert="horz" wrap="square" lIns="91440" tIns="45720" rIns="91440" bIns="45720" anchor="t" anchorCtr="0" upright="1">
                          <a:noAutofit/>
                        </wps:bodyPr>
                      </wps:wsp>
                      <wps:wsp>
                        <wps:cNvPr id="48" name="AutoShape 6"/>
                        <wps:cNvCnPr>
                          <a:cxnSpLocks noChangeShapeType="1"/>
                        </wps:cNvCnPr>
                        <wps:spPr bwMode="auto">
                          <a:xfrm>
                            <a:off x="1238360" y="842520"/>
                            <a:ext cx="0" cy="224155"/>
                          </a:xfrm>
                          <a:prstGeom prst="straightConnector1">
                            <a:avLst/>
                          </a:prstGeom>
                          <a:noFill/>
                          <a:ln w="9525">
                            <a:solidFill>
                              <a:srgbClr val="000000"/>
                            </a:solidFill>
                            <a:round/>
                            <a:tailEnd type="triangle" w="med" len="med"/>
                          </a:ln>
                        </wps:spPr>
                        <wps:bodyPr/>
                      </wps:wsp>
                      <wps:wsp>
                        <wps:cNvPr id="49" name="Text Box 5"/>
                        <wps:cNvSpPr txBox="1">
                          <a:spLocks noChangeArrowheads="1"/>
                        </wps:cNvSpPr>
                        <wps:spPr bwMode="auto">
                          <a:xfrm>
                            <a:off x="670035" y="1071120"/>
                            <a:ext cx="1107440" cy="255905"/>
                          </a:xfrm>
                          <a:prstGeom prst="rect">
                            <a:avLst/>
                          </a:prstGeom>
                          <a:solidFill>
                            <a:srgbClr val="FFFFFF"/>
                          </a:solidFill>
                          <a:ln w="9525">
                            <a:solidFill>
                              <a:srgbClr val="000000"/>
                            </a:solidFill>
                            <a:miter lim="800000"/>
                          </a:ln>
                        </wps:spPr>
                        <wps:txbx>
                          <w:txbxContent>
                            <w:p w14:paraId="01EB0BF1">
                              <w:pPr>
                                <w:jc w:val="center"/>
                                <w:rPr>
                                  <w:b w:val="0"/>
                                  <w:bCs/>
                                  <w:kern w:val="0"/>
                                  <w:sz w:val="24"/>
                                </w:rPr>
                              </w:pPr>
                              <w:r>
                                <w:rPr>
                                  <w:rFonts w:hint="eastAsia"/>
                                  <w:b w:val="0"/>
                                  <w:bCs/>
                                  <w:szCs w:val="21"/>
                                </w:rPr>
                                <w:t>粉碎中转</w:t>
                              </w:r>
                            </w:p>
                          </w:txbxContent>
                        </wps:txbx>
                        <wps:bodyPr rot="0" vert="horz" wrap="square" lIns="91440" tIns="45720" rIns="91440" bIns="45720" anchor="t" anchorCtr="0" upright="1">
                          <a:noAutofit/>
                        </wps:bodyPr>
                      </wps:wsp>
                      <wps:wsp>
                        <wps:cNvPr id="50" name="Text Box 5"/>
                        <wps:cNvSpPr txBox="1">
                          <a:spLocks noChangeArrowheads="1"/>
                        </wps:cNvSpPr>
                        <wps:spPr bwMode="auto">
                          <a:xfrm>
                            <a:off x="2085592" y="1073754"/>
                            <a:ext cx="1106805" cy="255905"/>
                          </a:xfrm>
                          <a:prstGeom prst="rect">
                            <a:avLst/>
                          </a:prstGeom>
                          <a:solidFill>
                            <a:srgbClr val="FFFFFF"/>
                          </a:solidFill>
                          <a:ln w="9525">
                            <a:solidFill>
                              <a:srgbClr val="000000"/>
                            </a:solidFill>
                            <a:miter lim="800000"/>
                          </a:ln>
                        </wps:spPr>
                        <wps:txbx>
                          <w:txbxContent>
                            <w:p w14:paraId="77F0746C">
                              <w:pPr>
                                <w:jc w:val="center"/>
                                <w:rPr>
                                  <w:b w:val="0"/>
                                  <w:bCs/>
                                  <w:kern w:val="0"/>
                                  <w:sz w:val="24"/>
                                </w:rPr>
                              </w:pPr>
                              <w:r>
                                <w:rPr>
                                  <w:rFonts w:hint="eastAsia"/>
                                  <w:b w:val="0"/>
                                  <w:bCs/>
                                  <w:szCs w:val="21"/>
                                </w:rPr>
                                <w:t>三味球磨/筛选</w:t>
                              </w:r>
                            </w:p>
                          </w:txbxContent>
                        </wps:txbx>
                        <wps:bodyPr rot="0" vert="horz" wrap="square" lIns="91440" tIns="45720" rIns="91440" bIns="45720" anchor="t" anchorCtr="0" upright="1">
                          <a:noAutofit/>
                        </wps:bodyPr>
                      </wps:wsp>
                      <wps:wsp>
                        <wps:cNvPr id="51" name="Text Box 5"/>
                        <wps:cNvSpPr txBox="1">
                          <a:spLocks noChangeArrowheads="1"/>
                        </wps:cNvSpPr>
                        <wps:spPr bwMode="auto">
                          <a:xfrm>
                            <a:off x="3505586" y="1071774"/>
                            <a:ext cx="1106805" cy="255270"/>
                          </a:xfrm>
                          <a:prstGeom prst="rect">
                            <a:avLst/>
                          </a:prstGeom>
                          <a:solidFill>
                            <a:srgbClr val="FFFFFF"/>
                          </a:solidFill>
                          <a:ln w="9525">
                            <a:solidFill>
                              <a:srgbClr val="000000"/>
                            </a:solidFill>
                            <a:miter lim="800000"/>
                          </a:ln>
                        </wps:spPr>
                        <wps:txbx>
                          <w:txbxContent>
                            <w:p w14:paraId="05A8324E">
                              <w:pPr>
                                <w:jc w:val="center"/>
                                <w:rPr>
                                  <w:b w:val="0"/>
                                  <w:bCs/>
                                  <w:kern w:val="0"/>
                                  <w:sz w:val="24"/>
                                </w:rPr>
                              </w:pPr>
                              <w:r>
                                <w:rPr>
                                  <w:rFonts w:hint="eastAsia"/>
                                  <w:b w:val="0"/>
                                  <w:bCs/>
                                  <w:szCs w:val="21"/>
                                </w:rPr>
                                <w:t>二味中转</w:t>
                              </w:r>
                            </w:p>
                          </w:txbxContent>
                        </wps:txbx>
                        <wps:bodyPr rot="0" vert="horz" wrap="square" lIns="91440" tIns="45720" rIns="91440" bIns="45720" anchor="t" anchorCtr="0" upright="1">
                          <a:noAutofit/>
                        </wps:bodyPr>
                      </wps:wsp>
                      <wps:wsp>
                        <wps:cNvPr id="53" name="AutoShape 15"/>
                        <wps:cNvCnPr>
                          <a:cxnSpLocks noChangeShapeType="1"/>
                        </wps:cNvCnPr>
                        <wps:spPr bwMode="auto">
                          <a:xfrm flipH="1">
                            <a:off x="3192397" y="1195266"/>
                            <a:ext cx="313190" cy="0"/>
                          </a:xfrm>
                          <a:prstGeom prst="straightConnector1">
                            <a:avLst/>
                          </a:prstGeom>
                          <a:noFill/>
                          <a:ln w="9525">
                            <a:solidFill>
                              <a:srgbClr val="000000"/>
                            </a:solidFill>
                            <a:round/>
                            <a:tailEnd type="triangle" w="med" len="med"/>
                          </a:ln>
                        </wps:spPr>
                        <wps:bodyPr/>
                      </wps:wsp>
                      <wps:wsp>
                        <wps:cNvPr id="54" name="Text Box 5"/>
                        <wps:cNvSpPr txBox="1">
                          <a:spLocks noChangeArrowheads="1"/>
                        </wps:cNvSpPr>
                        <wps:spPr bwMode="auto">
                          <a:xfrm>
                            <a:off x="3505586" y="574006"/>
                            <a:ext cx="1106805" cy="255270"/>
                          </a:xfrm>
                          <a:prstGeom prst="rect">
                            <a:avLst/>
                          </a:prstGeom>
                          <a:solidFill>
                            <a:srgbClr val="FFFFFF"/>
                          </a:solidFill>
                          <a:ln w="9525">
                            <a:solidFill>
                              <a:srgbClr val="000000"/>
                            </a:solidFill>
                            <a:miter lim="800000"/>
                          </a:ln>
                        </wps:spPr>
                        <wps:txbx>
                          <w:txbxContent>
                            <w:p w14:paraId="7E0C5239">
                              <w:pPr>
                                <w:jc w:val="center"/>
                                <w:rPr>
                                  <w:b w:val="0"/>
                                  <w:bCs/>
                                  <w:kern w:val="0"/>
                                  <w:sz w:val="24"/>
                                </w:rPr>
                              </w:pPr>
                              <w:r>
                                <w:rPr>
                                  <w:rFonts w:hint="eastAsia"/>
                                  <w:b w:val="0"/>
                                  <w:bCs/>
                                  <w:szCs w:val="21"/>
                                </w:rPr>
                                <w:t>二味球磨</w:t>
                              </w:r>
                            </w:p>
                          </w:txbxContent>
                        </wps:txbx>
                        <wps:bodyPr rot="0" vert="horz" wrap="square" lIns="91440" tIns="45720" rIns="91440" bIns="45720" anchor="t" anchorCtr="0" upright="1">
                          <a:noAutofit/>
                        </wps:bodyPr>
                      </wps:wsp>
                      <wps:wsp>
                        <wps:cNvPr id="1008" name="Text Box 5"/>
                        <wps:cNvSpPr txBox="1">
                          <a:spLocks noChangeArrowheads="1"/>
                        </wps:cNvSpPr>
                        <wps:spPr bwMode="auto">
                          <a:xfrm>
                            <a:off x="4214143" y="93342"/>
                            <a:ext cx="1106805" cy="254635"/>
                          </a:xfrm>
                          <a:prstGeom prst="rect">
                            <a:avLst/>
                          </a:prstGeom>
                          <a:solidFill>
                            <a:srgbClr val="FFFFFF"/>
                          </a:solidFill>
                          <a:ln w="9525">
                            <a:solidFill>
                              <a:srgbClr val="000000"/>
                            </a:solidFill>
                            <a:miter lim="800000"/>
                          </a:ln>
                        </wps:spPr>
                        <wps:txbx>
                          <w:txbxContent>
                            <w:p w14:paraId="60BE36F2">
                              <w:pPr>
                                <w:jc w:val="center"/>
                                <w:rPr>
                                  <w:b w:val="0"/>
                                  <w:bCs/>
                                  <w:kern w:val="0"/>
                                  <w:sz w:val="24"/>
                                </w:rPr>
                              </w:pPr>
                              <w:r>
                                <w:rPr>
                                  <w:rFonts w:hint="eastAsia"/>
                                  <w:b w:val="0"/>
                                  <w:bCs/>
                                  <w:szCs w:val="21"/>
                                </w:rPr>
                                <w:t>木炭</w:t>
                              </w:r>
                            </w:p>
                          </w:txbxContent>
                        </wps:txbx>
                        <wps:bodyPr rot="0" vert="horz" wrap="square" lIns="91440" tIns="45720" rIns="91440" bIns="45720" anchor="t" anchorCtr="0" upright="1">
                          <a:noAutofit/>
                        </wps:bodyPr>
                      </wps:wsp>
                      <wps:wsp>
                        <wps:cNvPr id="1009" name="Text Box 5"/>
                        <wps:cNvSpPr txBox="1">
                          <a:spLocks noChangeArrowheads="1"/>
                        </wps:cNvSpPr>
                        <wps:spPr bwMode="auto">
                          <a:xfrm>
                            <a:off x="2906195" y="93311"/>
                            <a:ext cx="1106805" cy="254635"/>
                          </a:xfrm>
                          <a:prstGeom prst="rect">
                            <a:avLst/>
                          </a:prstGeom>
                          <a:solidFill>
                            <a:srgbClr val="FFFFFF"/>
                          </a:solidFill>
                          <a:ln w="9525">
                            <a:solidFill>
                              <a:srgbClr val="000000"/>
                            </a:solidFill>
                            <a:miter lim="800000"/>
                          </a:ln>
                        </wps:spPr>
                        <wps:txbx>
                          <w:txbxContent>
                            <w:p w14:paraId="780C18AA">
                              <w:pPr>
                                <w:jc w:val="center"/>
                                <w:rPr>
                                  <w:kern w:val="0"/>
                                  <w:sz w:val="24"/>
                                </w:rPr>
                              </w:pPr>
                              <w:r>
                                <w:rPr>
                                  <w:rFonts w:hint="eastAsia"/>
                                  <w:b w:val="0"/>
                                  <w:bCs/>
                                  <w:szCs w:val="21"/>
                                </w:rPr>
                                <w:t>硫磺</w:t>
                              </w:r>
                            </w:p>
                          </w:txbxContent>
                        </wps:txbx>
                        <wps:bodyPr rot="0" vert="horz" wrap="square" lIns="91440" tIns="45720" rIns="91440" bIns="45720" anchor="t" anchorCtr="0" upright="1">
                          <a:noAutofit/>
                        </wps:bodyPr>
                      </wps:wsp>
                      <wps:wsp>
                        <wps:cNvPr id="1010" name="AutoShape 6"/>
                        <wps:cNvCnPr>
                          <a:cxnSpLocks noChangeShapeType="1"/>
                        </wps:cNvCnPr>
                        <wps:spPr bwMode="auto">
                          <a:xfrm>
                            <a:off x="3698928" y="354170"/>
                            <a:ext cx="0" cy="224155"/>
                          </a:xfrm>
                          <a:prstGeom prst="straightConnector1">
                            <a:avLst/>
                          </a:prstGeom>
                          <a:noFill/>
                          <a:ln w="9525">
                            <a:solidFill>
                              <a:srgbClr val="000000"/>
                            </a:solidFill>
                            <a:round/>
                            <a:tailEnd type="triangle" w="med" len="med"/>
                          </a:ln>
                        </wps:spPr>
                        <wps:bodyPr/>
                      </wps:wsp>
                      <wps:wsp>
                        <wps:cNvPr id="1011" name="AutoShape 6"/>
                        <wps:cNvCnPr>
                          <a:cxnSpLocks noChangeShapeType="1"/>
                        </wps:cNvCnPr>
                        <wps:spPr bwMode="auto">
                          <a:xfrm>
                            <a:off x="4396290" y="354809"/>
                            <a:ext cx="0" cy="223520"/>
                          </a:xfrm>
                          <a:prstGeom prst="straightConnector1">
                            <a:avLst/>
                          </a:prstGeom>
                          <a:noFill/>
                          <a:ln w="9525">
                            <a:solidFill>
                              <a:srgbClr val="000000"/>
                            </a:solidFill>
                            <a:round/>
                            <a:tailEnd type="triangle" w="med" len="med"/>
                          </a:ln>
                        </wps:spPr>
                        <wps:bodyPr/>
                      </wps:wsp>
                      <wps:wsp>
                        <wps:cNvPr id="1012" name="AutoShape 6"/>
                        <wps:cNvCnPr>
                          <a:cxnSpLocks noChangeShapeType="1"/>
                        </wps:cNvCnPr>
                        <wps:spPr bwMode="auto">
                          <a:xfrm>
                            <a:off x="4095013" y="847593"/>
                            <a:ext cx="0" cy="223520"/>
                          </a:xfrm>
                          <a:prstGeom prst="straightConnector1">
                            <a:avLst/>
                          </a:prstGeom>
                          <a:noFill/>
                          <a:ln w="9525">
                            <a:solidFill>
                              <a:srgbClr val="000000"/>
                            </a:solidFill>
                            <a:round/>
                            <a:tailEnd type="triangle" w="med" len="med"/>
                          </a:ln>
                        </wps:spPr>
                        <wps:bodyPr/>
                      </wps:wsp>
                      <wps:wsp>
                        <wps:cNvPr id="1014" name="AutoShape 6"/>
                        <wps:cNvCnPr>
                          <a:cxnSpLocks noChangeShapeType="1"/>
                        </wps:cNvCnPr>
                        <wps:spPr bwMode="auto">
                          <a:xfrm>
                            <a:off x="2665159" y="1329659"/>
                            <a:ext cx="0" cy="224155"/>
                          </a:xfrm>
                          <a:prstGeom prst="straightConnector1">
                            <a:avLst/>
                          </a:prstGeom>
                          <a:noFill/>
                          <a:ln w="9525">
                            <a:solidFill>
                              <a:srgbClr val="000000"/>
                            </a:solidFill>
                            <a:round/>
                            <a:tailEnd type="triangle" w="med" len="med"/>
                          </a:ln>
                        </wps:spPr>
                        <wps:bodyPr/>
                      </wps:wsp>
                      <wps:wsp>
                        <wps:cNvPr id="522" name="Text Box 5"/>
                        <wps:cNvSpPr txBox="1">
                          <a:spLocks noChangeArrowheads="1"/>
                        </wps:cNvSpPr>
                        <wps:spPr bwMode="auto">
                          <a:xfrm>
                            <a:off x="2099925" y="1553844"/>
                            <a:ext cx="1105535" cy="254635"/>
                          </a:xfrm>
                          <a:prstGeom prst="rect">
                            <a:avLst/>
                          </a:prstGeom>
                          <a:solidFill>
                            <a:srgbClr val="FFFFFF"/>
                          </a:solidFill>
                          <a:ln w="9525">
                            <a:solidFill>
                              <a:srgbClr val="000000"/>
                            </a:solidFill>
                            <a:miter lim="800000"/>
                          </a:ln>
                        </wps:spPr>
                        <wps:txbx>
                          <w:txbxContent>
                            <w:p w14:paraId="439DD008">
                              <w:pPr>
                                <w:jc w:val="center"/>
                                <w:rPr>
                                  <w:kern w:val="0"/>
                                  <w:sz w:val="24"/>
                                </w:rPr>
                              </w:pPr>
                              <w:r>
                                <w:rPr>
                                  <w:rFonts w:hint="eastAsia"/>
                                  <w:b w:val="0"/>
                                  <w:bCs/>
                                  <w:szCs w:val="21"/>
                                </w:rPr>
                                <w:t>筛选中转</w:t>
                              </w:r>
                            </w:p>
                          </w:txbxContent>
                        </wps:txbx>
                        <wps:bodyPr rot="0" vert="horz" wrap="square" lIns="91440" tIns="45720" rIns="91440" bIns="45720" anchor="t" anchorCtr="0" upright="1">
                          <a:noAutofit/>
                        </wps:bodyPr>
                      </wps:wsp>
                      <wps:wsp>
                        <wps:cNvPr id="524" name="Text Box 5"/>
                        <wps:cNvSpPr txBox="1">
                          <a:spLocks noChangeArrowheads="1"/>
                        </wps:cNvSpPr>
                        <wps:spPr bwMode="auto">
                          <a:xfrm>
                            <a:off x="2101195" y="2034539"/>
                            <a:ext cx="1104900" cy="254635"/>
                          </a:xfrm>
                          <a:prstGeom prst="rect">
                            <a:avLst/>
                          </a:prstGeom>
                          <a:solidFill>
                            <a:srgbClr val="FFFFFF"/>
                          </a:solidFill>
                          <a:ln w="9525">
                            <a:solidFill>
                              <a:srgbClr val="000000"/>
                            </a:solidFill>
                            <a:miter lim="800000"/>
                          </a:ln>
                        </wps:spPr>
                        <wps:txbx>
                          <w:txbxContent>
                            <w:p w14:paraId="4CDDA712">
                              <w:pPr>
                                <w:jc w:val="center"/>
                                <w:rPr>
                                  <w:b w:val="0"/>
                                  <w:bCs/>
                                  <w:kern w:val="0"/>
                                  <w:sz w:val="24"/>
                                </w:rPr>
                              </w:pPr>
                              <w:r>
                                <w:rPr>
                                  <w:rFonts w:hint="eastAsia"/>
                                  <w:b w:val="0"/>
                                  <w:bCs/>
                                  <w:szCs w:val="21"/>
                                </w:rPr>
                                <w:t>包装</w:t>
                              </w:r>
                            </w:p>
                          </w:txbxContent>
                        </wps:txbx>
                        <wps:bodyPr rot="0" vert="horz" wrap="square" lIns="91440" tIns="45720" rIns="91440" bIns="45720" anchor="t" anchorCtr="0" upright="1">
                          <a:noAutofit/>
                        </wps:bodyPr>
                      </wps:wsp>
                      <wps:wsp>
                        <wps:cNvPr id="525" name="AutoShape 6"/>
                        <wps:cNvCnPr>
                          <a:cxnSpLocks noChangeShapeType="1"/>
                        </wps:cNvCnPr>
                        <wps:spPr bwMode="auto">
                          <a:xfrm>
                            <a:off x="2652375" y="1806574"/>
                            <a:ext cx="0" cy="224155"/>
                          </a:xfrm>
                          <a:prstGeom prst="straightConnector1">
                            <a:avLst/>
                          </a:prstGeom>
                          <a:noFill/>
                          <a:ln w="9525">
                            <a:solidFill>
                              <a:srgbClr val="000000"/>
                            </a:solidFill>
                            <a:round/>
                            <a:tailEnd type="triangle" w="med" len="med"/>
                          </a:ln>
                        </wps:spPr>
                        <wps:bodyPr/>
                      </wps:wsp>
                      <wps:wsp>
                        <wps:cNvPr id="526" name="Text Box 5"/>
                        <wps:cNvSpPr txBox="1">
                          <a:spLocks noChangeArrowheads="1"/>
                        </wps:cNvSpPr>
                        <wps:spPr bwMode="auto">
                          <a:xfrm>
                            <a:off x="2095152" y="2511135"/>
                            <a:ext cx="1105535" cy="254000"/>
                          </a:xfrm>
                          <a:prstGeom prst="rect">
                            <a:avLst/>
                          </a:prstGeom>
                          <a:solidFill>
                            <a:srgbClr val="FFFFFF"/>
                          </a:solidFill>
                          <a:ln w="9525">
                            <a:solidFill>
                              <a:srgbClr val="000000"/>
                            </a:solidFill>
                            <a:miter lim="800000"/>
                          </a:ln>
                        </wps:spPr>
                        <wps:txbx>
                          <w:txbxContent>
                            <w:p w14:paraId="58FB71F5">
                              <w:pPr>
                                <w:jc w:val="center"/>
                                <w:rPr>
                                  <w:b w:val="0"/>
                                  <w:bCs/>
                                  <w:kern w:val="0"/>
                                  <w:sz w:val="24"/>
                                </w:rPr>
                              </w:pPr>
                              <w:r>
                                <w:rPr>
                                  <w:rFonts w:hint="eastAsia"/>
                                  <w:b w:val="0"/>
                                  <w:bCs/>
                                  <w:szCs w:val="21"/>
                                </w:rPr>
                                <w:t>包装中转</w:t>
                              </w:r>
                            </w:p>
                          </w:txbxContent>
                        </wps:txbx>
                        <wps:bodyPr rot="0" vert="horz" wrap="square" lIns="91440" tIns="45720" rIns="91440" bIns="45720" anchor="t" anchorCtr="0" upright="1">
                          <a:noAutofit/>
                        </wps:bodyPr>
                      </wps:wsp>
                      <wps:wsp>
                        <wps:cNvPr id="527" name="AutoShape 6"/>
                        <wps:cNvCnPr>
                          <a:cxnSpLocks noChangeShapeType="1"/>
                        </wps:cNvCnPr>
                        <wps:spPr bwMode="auto">
                          <a:xfrm>
                            <a:off x="2646332" y="2283170"/>
                            <a:ext cx="0" cy="223520"/>
                          </a:xfrm>
                          <a:prstGeom prst="straightConnector1">
                            <a:avLst/>
                          </a:prstGeom>
                          <a:noFill/>
                          <a:ln w="9525">
                            <a:solidFill>
                              <a:srgbClr val="000000"/>
                            </a:solidFill>
                            <a:round/>
                            <a:tailEnd type="triangle" w="med" len="med"/>
                          </a:ln>
                        </wps:spPr>
                        <wps:bodyPr/>
                      </wps:wsp>
                      <wps:wsp>
                        <wps:cNvPr id="528" name="Text Box 5"/>
                        <wps:cNvSpPr txBox="1">
                          <a:spLocks noChangeArrowheads="1"/>
                        </wps:cNvSpPr>
                        <wps:spPr bwMode="auto">
                          <a:xfrm>
                            <a:off x="2096422" y="2991830"/>
                            <a:ext cx="1104900" cy="254000"/>
                          </a:xfrm>
                          <a:prstGeom prst="rect">
                            <a:avLst/>
                          </a:prstGeom>
                          <a:solidFill>
                            <a:srgbClr val="FFFFFF"/>
                          </a:solidFill>
                          <a:ln w="9525">
                            <a:solidFill>
                              <a:srgbClr val="000000"/>
                            </a:solidFill>
                            <a:miter lim="800000"/>
                          </a:ln>
                        </wps:spPr>
                        <wps:txbx>
                          <w:txbxContent>
                            <w:p w14:paraId="271F30DE">
                              <w:pPr>
                                <w:jc w:val="center"/>
                                <w:rPr>
                                  <w:b w:val="0"/>
                                  <w:bCs/>
                                  <w:kern w:val="0"/>
                                  <w:sz w:val="24"/>
                                </w:rPr>
                              </w:pPr>
                              <w:r>
                                <w:rPr>
                                  <w:rFonts w:hint="eastAsia"/>
                                  <w:b w:val="0"/>
                                  <w:bCs/>
                                  <w:szCs w:val="21"/>
                                </w:rPr>
                                <w:t>入库（粉状）</w:t>
                              </w:r>
                            </w:p>
                          </w:txbxContent>
                        </wps:txbx>
                        <wps:bodyPr rot="0" vert="horz" wrap="square" lIns="91440" tIns="45720" rIns="91440" bIns="45720" anchor="t" anchorCtr="0" upright="1">
                          <a:noAutofit/>
                        </wps:bodyPr>
                      </wps:wsp>
                      <wps:wsp>
                        <wps:cNvPr id="529" name="AutoShape 6"/>
                        <wps:cNvCnPr>
                          <a:cxnSpLocks noChangeShapeType="1"/>
                        </wps:cNvCnPr>
                        <wps:spPr bwMode="auto">
                          <a:xfrm>
                            <a:off x="2647602" y="2763865"/>
                            <a:ext cx="0" cy="223520"/>
                          </a:xfrm>
                          <a:prstGeom prst="straightConnector1">
                            <a:avLst/>
                          </a:prstGeom>
                          <a:noFill/>
                          <a:ln w="9525">
                            <a:solidFill>
                              <a:srgbClr val="000000"/>
                            </a:solidFill>
                            <a:round/>
                            <a:tailEnd type="triangle" w="med" len="med"/>
                          </a:ln>
                        </wps:spPr>
                        <wps:bodyPr/>
                      </wps:wsp>
                      <wps:wsp>
                        <wps:cNvPr id="530" name="AutoShape 15"/>
                        <wps:cNvCnPr>
                          <a:cxnSpLocks noChangeShapeType="1"/>
                        </wps:cNvCnPr>
                        <wps:spPr bwMode="auto">
                          <a:xfrm>
                            <a:off x="1796441" y="2158999"/>
                            <a:ext cx="306705" cy="0"/>
                          </a:xfrm>
                          <a:prstGeom prst="straightConnector1">
                            <a:avLst/>
                          </a:prstGeom>
                          <a:noFill/>
                          <a:ln w="9525">
                            <a:solidFill>
                              <a:srgbClr val="000000"/>
                            </a:solidFill>
                            <a:round/>
                            <a:tailEnd type="triangle" w="med" len="med"/>
                          </a:ln>
                        </wps:spPr>
                        <wps:bodyPr/>
                      </wps:wsp>
                      <wps:wsp>
                        <wps:cNvPr id="531" name="Text Box 5"/>
                        <wps:cNvSpPr txBox="1">
                          <a:spLocks noChangeArrowheads="1"/>
                        </wps:cNvSpPr>
                        <wps:spPr bwMode="auto">
                          <a:xfrm>
                            <a:off x="687731" y="2034539"/>
                            <a:ext cx="1107440" cy="255270"/>
                          </a:xfrm>
                          <a:prstGeom prst="rect">
                            <a:avLst/>
                          </a:prstGeom>
                          <a:solidFill>
                            <a:srgbClr val="FFFFFF"/>
                          </a:solidFill>
                          <a:ln w="9525">
                            <a:solidFill>
                              <a:srgbClr val="000000"/>
                            </a:solidFill>
                            <a:miter lim="800000"/>
                          </a:ln>
                        </wps:spPr>
                        <wps:txbx>
                          <w:txbxContent>
                            <w:p w14:paraId="5C281DCB">
                              <w:pPr>
                                <w:jc w:val="center"/>
                                <w:rPr>
                                  <w:b w:val="0"/>
                                  <w:bCs/>
                                  <w:kern w:val="0"/>
                                  <w:sz w:val="24"/>
                                </w:rPr>
                              </w:pPr>
                              <w:r>
                                <w:rPr>
                                  <w:rFonts w:hint="eastAsia"/>
                                  <w:b w:val="0"/>
                                  <w:bCs/>
                                  <w:szCs w:val="21"/>
                                </w:rPr>
                                <w:t>包装材料</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267.8pt;width:453.6pt;" coordsize="5760720,3401568" editas="canvas" o:gfxdata="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">
                <o:lock v:ext="edit" aspectratio="f"/>
                <v:shape id="_x0000_s1026" o:spid="_x0000_s1026" style="position:absolute;left:0;top:0;height:3401568;width:5760720;" filled="f" stroked="f" coordsize="21600,21600" o:gfxdata="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">
                  <v:fill on="f" focussize="0,0"/>
                  <v:stroke on="f"/>
                  <v:imagedata o:title=""/>
                  <o:lock v:ext="edit" aspectratio="t"/>
                </v:shape>
                <v:shape id="Text Box 5" o:spid="_x0000_s1026" o:spt="202" type="#_x0000_t202" style="position:absolute;left:670035;top:93309;height:256104;width:1108710;"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zxeJo1wAAAAUBAAAPAAAAAAAAAAEAIAAAACIAAABkcnMvZG93&#10;bnJldi54bWxQSwECFAAUAAAACACHTuJAvTUeWDoCAACQBAAADgAAAAAAAAABACAAAAAmAQAAZHJz&#10;L2Uyb0RvYy54bWxQSwUGAAAAAAYABgBZAQAA0gUAAAAA&#10;">
                  <v:fill on="t" focussize="0,0"/>
                  <v:stroke color="#000000" miterlimit="8" joinstyle="miter"/>
                  <v:imagedata o:title=""/>
                  <o:lock v:ext="edit" aspectratio="f"/>
                  <v:textbox>
                    <w:txbxContent>
                      <w:p w14:paraId="6536E8E6">
                        <w:pPr>
                          <w:jc w:val="center"/>
                          <w:rPr>
                            <w:rFonts w:ascii="宋体" w:hAnsi="宋体"/>
                            <w:b w:val="0"/>
                            <w:bCs/>
                          </w:rPr>
                        </w:pPr>
                        <w:r>
                          <w:rPr>
                            <w:rFonts w:hint="eastAsia" w:ascii="宋体" w:hAnsi="宋体"/>
                            <w:b w:val="0"/>
                            <w:bCs/>
                          </w:rPr>
                          <w:t>硝酸钾</w:t>
                        </w:r>
                      </w:p>
                    </w:txbxContent>
                  </v:textbox>
                </v:shape>
                <v:shape id="AutoShape 6" o:spid="_x0000_s1026" o:spt="32" type="#_x0000_t32" style="position:absolute;left:1241169;top:349777;height:224205;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bNSBy2AAAAAUBAAAPAAAAAAAAAAEAIAAAACIAAABkcnMvZG93bnJl&#10;di54bWxQSwECFAAUAAAACACHTuJAdi1/0v0BAADrAwAADgAAAAAAAAABACAAAAAnAQAAZHJzL2Uy&#10;b0RvYy54bWxQSwUGAAAAAAYABgBZAQAAlgUAAAAA&#10;">
                  <v:fill on="f" focussize="0,0"/>
                  <v:stroke color="#000000" joinstyle="round" endarrow="block"/>
                  <v:imagedata o:title=""/>
                  <o:lock v:ext="edit" aspectratio="f"/>
                </v:shape>
                <v:shape id="AutoShape 15" o:spid="_x0000_s1026" o:spt="32" type="#_x0000_t32" style="position:absolute;left:1778785;top:1195260;height:0;width:306807;"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zUgctgAAAAFAQAADwAAAAAAAAABACAAAAAiAAAAZHJzL2Rvd25y&#10;ZXYueG1sUEsBAhQAFAAAAAgAh07iQPne8xD+AQAA7QMAAA4AAAAAAAAAAQAgAAAAJwEAAGRycy9l&#10;Mm9Eb2MueG1sUEsFBgAAAAAGAAYAWQEAAJcFAAAAAA==&#10;">
                  <v:fill on="f" focussize="0,0"/>
                  <v:stroke color="#000000" joinstyle="round" endarrow="block"/>
                  <v:imagedata o:title=""/>
                  <o:lock v:ext="edit" aspectratio="f"/>
                </v:shape>
                <v:shape id="Text Box 5" o:spid="_x0000_s1026" o:spt="202" type="#_x0000_t202" style="position:absolute;left:672826;top:578321;height:255905;width:110807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xeJo1wAAAAUBAAAPAAAAAAAAAAEAIAAAACIAAABkcnMv&#10;ZG93bnJldi54bWxQSwECFAAUAAAACACHTuJAeTG7uT0CAACRBAAADgAAAAAAAAABACAAAAAmAQAA&#10;ZHJzL2Uyb0RvYy54bWxQSwUGAAAAAAYABgBZAQAA1QUAAAAA&#10;">
                  <v:fill on="t" focussize="0,0"/>
                  <v:stroke color="#000000" miterlimit="8" joinstyle="miter"/>
                  <v:imagedata o:title=""/>
                  <o:lock v:ext="edit" aspectratio="f"/>
                  <v:textbox>
                    <w:txbxContent>
                      <w:p w14:paraId="1D00EEFC">
                        <w:pPr>
                          <w:jc w:val="center"/>
                          <w:rPr>
                            <w:b w:val="0"/>
                            <w:bCs/>
                            <w:kern w:val="0"/>
                            <w:sz w:val="24"/>
                          </w:rPr>
                        </w:pPr>
                        <w:r>
                          <w:rPr>
                            <w:rFonts w:hint="eastAsia"/>
                            <w:b w:val="0"/>
                            <w:bCs/>
                            <w:szCs w:val="21"/>
                          </w:rPr>
                          <w:t>硝酸钾粉碎</w:t>
                        </w:r>
                      </w:p>
                    </w:txbxContent>
                  </v:textbox>
                </v:shape>
                <v:shape id="AutoShape 6" o:spid="_x0000_s1026" o:spt="32" type="#_x0000_t32" style="position:absolute;left:1238360;top:842520;height:224155;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zUgctgAAAAFAQAADwAAAAAAAAABACAAAAAiAAAAZHJzL2Rvd25yZXYu&#10;eG1sUEsBAhQAFAAAAAgAh07iQFlZBez7AQAA6wMAAA4AAAAAAAAAAQAgAAAAJwEAAGRycy9lMm9E&#10;b2MueG1sUEsFBgAAAAAGAAYAWQEAAJQFAAAAAA==&#10;">
                  <v:fill on="f" focussize="0,0"/>
                  <v:stroke color="#000000" joinstyle="round" endarrow="block"/>
                  <v:imagedata o:title=""/>
                  <o:lock v:ext="edit" aspectratio="f"/>
                </v:shape>
                <v:shape id="Text Box 5" o:spid="_x0000_s1026" o:spt="202" type="#_x0000_t202" style="position:absolute;left:670035;top:1071120;height:255905;width:1107440;"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PF4mjXAAAABQEAAA8AAAAAAAAAAQAgAAAAIgAAAGRycy9kb3du&#10;cmV2LnhtbFBLAQIUABQAAAAIAIdO4kBHL/pxOQIAAJIEAAAOAAAAAAAAAAEAIAAAACYBAABkcnMv&#10;ZTJvRG9jLnhtbFBLBQYAAAAABgAGAFkBAADRBQAAAAA=&#10;">
                  <v:fill on="t" focussize="0,0"/>
                  <v:stroke color="#000000" miterlimit="8" joinstyle="miter"/>
                  <v:imagedata o:title=""/>
                  <o:lock v:ext="edit" aspectratio="f"/>
                  <v:textbox>
                    <w:txbxContent>
                      <w:p w14:paraId="01EB0BF1">
                        <w:pPr>
                          <w:jc w:val="center"/>
                          <w:rPr>
                            <w:b w:val="0"/>
                            <w:bCs/>
                            <w:kern w:val="0"/>
                            <w:sz w:val="24"/>
                          </w:rPr>
                        </w:pPr>
                        <w:r>
                          <w:rPr>
                            <w:rFonts w:hint="eastAsia"/>
                            <w:b w:val="0"/>
                            <w:bCs/>
                            <w:szCs w:val="21"/>
                          </w:rPr>
                          <w:t>粉碎中转</w:t>
                        </w:r>
                      </w:p>
                    </w:txbxContent>
                  </v:textbox>
                </v:shape>
                <v:shape id="Text Box 5" o:spid="_x0000_s1026" o:spt="202" type="#_x0000_t202" style="position:absolute;left:2085592;top:1073754;height:255905;width:110680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zxeJo1wAAAAUBAAAPAAAAAAAAAAEAIAAAACIAAABkcnMvZG93&#10;bnJldi54bWxQSwECFAAUAAAACACHTuJA2iA9sjoCAACTBAAADgAAAAAAAAABACAAAAAmAQAAZHJz&#10;L2Uyb0RvYy54bWxQSwUGAAAAAAYABgBZAQAA0gUAAAAA&#10;">
                  <v:fill on="t" focussize="0,0"/>
                  <v:stroke color="#000000" miterlimit="8" joinstyle="miter"/>
                  <v:imagedata o:title=""/>
                  <o:lock v:ext="edit" aspectratio="f"/>
                  <v:textbox>
                    <w:txbxContent>
                      <w:p w14:paraId="77F0746C">
                        <w:pPr>
                          <w:jc w:val="center"/>
                          <w:rPr>
                            <w:b w:val="0"/>
                            <w:bCs/>
                            <w:kern w:val="0"/>
                            <w:sz w:val="24"/>
                          </w:rPr>
                        </w:pPr>
                        <w:r>
                          <w:rPr>
                            <w:rFonts w:hint="eastAsia"/>
                            <w:b w:val="0"/>
                            <w:bCs/>
                            <w:szCs w:val="21"/>
                          </w:rPr>
                          <w:t>三味球磨/筛选</w:t>
                        </w:r>
                      </w:p>
                    </w:txbxContent>
                  </v:textbox>
                </v:shape>
                <v:shape id="Text Box 5" o:spid="_x0000_s1026" o:spt="202" type="#_x0000_t202" style="position:absolute;left:3505586;top:1071774;height:255270;width:110680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xeJo1wAAAAUBAAAPAAAAAAAAAAEAIAAAACIAAABkcnMv&#10;ZG93bnJldi54bWxQSwECFAAUAAAACACHTuJAgIES9j0CAACTBAAADgAAAAAAAAABACAAAAAmAQAA&#10;ZHJzL2Uyb0RvYy54bWxQSwUGAAAAAAYABgBZAQAA1QUAAAAA&#10;">
                  <v:fill on="t" focussize="0,0"/>
                  <v:stroke color="#000000" miterlimit="8" joinstyle="miter"/>
                  <v:imagedata o:title=""/>
                  <o:lock v:ext="edit" aspectratio="f"/>
                  <v:textbox>
                    <w:txbxContent>
                      <w:p w14:paraId="05A8324E">
                        <w:pPr>
                          <w:jc w:val="center"/>
                          <w:rPr>
                            <w:b w:val="0"/>
                            <w:bCs/>
                            <w:kern w:val="0"/>
                            <w:sz w:val="24"/>
                          </w:rPr>
                        </w:pPr>
                        <w:r>
                          <w:rPr>
                            <w:rFonts w:hint="eastAsia"/>
                            <w:b w:val="0"/>
                            <w:bCs/>
                            <w:szCs w:val="21"/>
                          </w:rPr>
                          <w:t>二味中转</w:t>
                        </w:r>
                      </w:p>
                    </w:txbxContent>
                  </v:textbox>
                </v:shape>
                <v:shape id="AutoShape 15" o:spid="_x0000_s1026" o:spt="32" type="#_x0000_t32" style="position:absolute;left:3192397;top:1195266;flip:x;height:0;width:313190;" filled="f" stroked="t" coordsize="21600,21600" o:gfxdata="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qQgM1gAAAAUBAAAPAAAAAAAAAAEAIAAAACIAAABkcnMvZG93&#10;bnJldi54bWxQSwECFAAUAAAACACHTuJAv+bFAAICAAD3AwAADgAAAAAAAAABACAAAAAlAQAAZHJz&#10;L2Uyb0RvYy54bWxQSwUGAAAAAAYABgBZAQAAmQUAAAAA&#10;">
                  <v:fill on="f" focussize="0,0"/>
                  <v:stroke color="#000000" joinstyle="round" endarrow="block"/>
                  <v:imagedata o:title=""/>
                  <o:lock v:ext="edit" aspectratio="f"/>
                </v:shape>
                <v:shape id="Text Box 5" o:spid="_x0000_s1026" o:spt="202" type="#_x0000_t202" style="position:absolute;left:3505586;top:574006;height:255270;width:110680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PF4mjXAAAABQEAAA8AAAAAAAAAAQAgAAAAIgAAAGRycy9k&#10;b3ducmV2LnhtbFBLAQIUABQAAAAIAIdO4kCp+4LSPAIAAJIEAAAOAAAAAAAAAAEAIAAAACYBAABk&#10;cnMvZTJvRG9jLnhtbFBLBQYAAAAABgAGAFkBAADUBQAAAAA=&#10;">
                  <v:fill on="t" focussize="0,0"/>
                  <v:stroke color="#000000" miterlimit="8" joinstyle="miter"/>
                  <v:imagedata o:title=""/>
                  <o:lock v:ext="edit" aspectratio="f"/>
                  <v:textbox>
                    <w:txbxContent>
                      <w:p w14:paraId="7E0C5239">
                        <w:pPr>
                          <w:jc w:val="center"/>
                          <w:rPr>
                            <w:b w:val="0"/>
                            <w:bCs/>
                            <w:kern w:val="0"/>
                            <w:sz w:val="24"/>
                          </w:rPr>
                        </w:pPr>
                        <w:r>
                          <w:rPr>
                            <w:rFonts w:hint="eastAsia"/>
                            <w:b w:val="0"/>
                            <w:bCs/>
                            <w:szCs w:val="21"/>
                          </w:rPr>
                          <w:t>二味球磨</w:t>
                        </w:r>
                      </w:p>
                    </w:txbxContent>
                  </v:textbox>
                </v:shape>
                <v:shape id="Text Box 5" o:spid="_x0000_s1026" o:spt="202" type="#_x0000_t202" style="position:absolute;left:4214143;top:93342;height:254635;width:110680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xeJo1wAAAAUBAAAPAAAAAAAAAAEAIAAAACIAAABkcnMv&#10;ZG93bnJldi54bWxQSwECFAAUAAAACACHTuJA25znoD0CAACTBAAADgAAAAAAAAABACAAAAAmAQAA&#10;ZHJzL2Uyb0RvYy54bWxQSwUGAAAAAAYABgBZAQAA1QUAAAAA&#10;">
                  <v:fill on="t" focussize="0,0"/>
                  <v:stroke color="#000000" miterlimit="8" joinstyle="miter"/>
                  <v:imagedata o:title=""/>
                  <o:lock v:ext="edit" aspectratio="f"/>
                  <v:textbox>
                    <w:txbxContent>
                      <w:p w14:paraId="60BE36F2">
                        <w:pPr>
                          <w:jc w:val="center"/>
                          <w:rPr>
                            <w:b w:val="0"/>
                            <w:bCs/>
                            <w:kern w:val="0"/>
                            <w:sz w:val="24"/>
                          </w:rPr>
                        </w:pPr>
                        <w:r>
                          <w:rPr>
                            <w:rFonts w:hint="eastAsia"/>
                            <w:b w:val="0"/>
                            <w:bCs/>
                            <w:szCs w:val="21"/>
                          </w:rPr>
                          <w:t>木炭</w:t>
                        </w:r>
                      </w:p>
                    </w:txbxContent>
                  </v:textbox>
                </v:shape>
                <v:shape id="Text Box 5" o:spid="_x0000_s1026" o:spt="202" type="#_x0000_t202" style="position:absolute;left:2906195;top:93311;height:254635;width:110680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PF4mjXAAAABQEAAA8AAAAAAAAAAQAgAAAAIgAAAGRycy9k&#10;b3ducmV2LnhtbFBLAQIUABQAAAAIAIdO4kAx+VGyPAIAAJMEAAAOAAAAAAAAAAEAIAAAACYBAABk&#10;cnMvZTJvRG9jLnhtbFBLBQYAAAAABgAGAFkBAADUBQAAAAA=&#10;">
                  <v:fill on="t" focussize="0,0"/>
                  <v:stroke color="#000000" miterlimit="8" joinstyle="miter"/>
                  <v:imagedata o:title=""/>
                  <o:lock v:ext="edit" aspectratio="f"/>
                  <v:textbox>
                    <w:txbxContent>
                      <w:p w14:paraId="780C18AA">
                        <w:pPr>
                          <w:jc w:val="center"/>
                          <w:rPr>
                            <w:kern w:val="0"/>
                            <w:sz w:val="24"/>
                          </w:rPr>
                        </w:pPr>
                        <w:r>
                          <w:rPr>
                            <w:rFonts w:hint="eastAsia"/>
                            <w:b w:val="0"/>
                            <w:bCs/>
                            <w:szCs w:val="21"/>
                          </w:rPr>
                          <w:t>硫磺</w:t>
                        </w:r>
                      </w:p>
                    </w:txbxContent>
                  </v:textbox>
                </v:shape>
                <v:shape id="AutoShape 6" o:spid="_x0000_s1026" o:spt="32" type="#_x0000_t32" style="position:absolute;left:3698928;top:354170;height:224155;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s1IHLYAAAABQEAAA8AAAAAAAAAAQAgAAAAIgAAAGRycy9kb3ducmV2&#10;LnhtbFBLAQIUABQAAAAIAIdO4kCESn2n/AEAAO0DAAAOAAAAAAAAAAEAIAAAACcBAABkcnMvZTJv&#10;RG9jLnhtbFBLBQYAAAAABgAGAFkBAACVBQAAAAA=&#10;">
                  <v:fill on="f" focussize="0,0"/>
                  <v:stroke color="#000000" joinstyle="round" endarrow="block"/>
                  <v:imagedata o:title=""/>
                  <o:lock v:ext="edit" aspectratio="f"/>
                </v:shape>
                <v:shape id="AutoShape 6" o:spid="_x0000_s1026" o:spt="32" type="#_x0000_t32" style="position:absolute;left:4396290;top:354809;height:223520;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s1IHLYAAAABQEAAA8AAAAAAAAAAQAgAAAAIgAAAGRycy9kb3du&#10;cmV2LnhtbFBLAQIUABQAAAAIAIdO4kCd1Sm2/wEAAO0DAAAOAAAAAAAAAAEAIAAAACcBAABkcnMv&#10;ZTJvRG9jLnhtbFBLBQYAAAAABgAGAFkBAACYBQAAAAA=&#10;">
                  <v:fill on="f" focussize="0,0"/>
                  <v:stroke color="#000000" joinstyle="round" endarrow="block"/>
                  <v:imagedata o:title=""/>
                  <o:lock v:ext="edit" aspectratio="f"/>
                </v:shape>
                <v:shape id="AutoShape 6" o:spid="_x0000_s1026" o:spt="32" type="#_x0000_t32" style="position:absolute;left:4095013;top:847593;height:223520;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zUgctgAAAAFAQAADwAAAAAAAAABACAAAAAiAAAAZHJzL2Rv&#10;d25yZXYueG1sUEsBAhQAFAAAAAgAh07iQMPwvxYBAgAA7QMAAA4AAAAAAAAAAQAgAAAAJwEAAGRy&#10;cy9lMm9Eb2MueG1sUEsFBgAAAAAGAAYAWQEAAJoFAAAAAA==&#10;">
                  <v:fill on="f" focussize="0,0"/>
                  <v:stroke color="#000000" joinstyle="round" endarrow="block"/>
                  <v:imagedata o:title=""/>
                  <o:lock v:ext="edit" aspectratio="f"/>
                </v:shape>
                <v:shape id="AutoShape 6" o:spid="_x0000_s1026" o:spt="32" type="#_x0000_t32" style="position:absolute;left:2665159;top:1329659;height:224155;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zUgctgAAAAFAQAADwAAAAAAAAABACAAAAAiAAAAZHJzL2Rvd25y&#10;ZXYueG1sUEsBAhQAFAAAAAgAh07iQChCFWL+AQAA7gMAAA4AAAAAAAAAAQAgAAAAJwEAAGRycy9l&#10;Mm9Eb2MueG1sUEsFBgAAAAAGAAYAWQEAAJcFAAAAAA==&#10;">
                  <v:fill on="f" focussize="0,0"/>
                  <v:stroke color="#000000" joinstyle="round" endarrow="block"/>
                  <v:imagedata o:title=""/>
                  <o:lock v:ext="edit" aspectratio="f"/>
                </v:shape>
                <v:shape id="Text Box 5" o:spid="_x0000_s1026" o:spt="202" type="#_x0000_t202" style="position:absolute;left:2099925;top:1553844;height:254635;width:110553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M8XiaNcAAAAFAQAADwAAAAAAAAABACAAAAAiAAAAZHJzL2Rvd25y&#10;ZXYueG1sUEsBAhQAFAAAAAgAh07iQCYUg744AgAAlAQAAA4AAAAAAAAAAQAgAAAAJgEAAGRycy9l&#10;Mm9Eb2MueG1sUEsFBgAAAAAGAAYAWQEAANAFAAAAAA==&#10;">
                  <v:fill on="t" focussize="0,0"/>
                  <v:stroke color="#000000" miterlimit="8" joinstyle="miter"/>
                  <v:imagedata o:title=""/>
                  <o:lock v:ext="edit" aspectratio="f"/>
                  <v:textbox>
                    <w:txbxContent>
                      <w:p w14:paraId="439DD008">
                        <w:pPr>
                          <w:jc w:val="center"/>
                          <w:rPr>
                            <w:kern w:val="0"/>
                            <w:sz w:val="24"/>
                          </w:rPr>
                        </w:pPr>
                        <w:r>
                          <w:rPr>
                            <w:rFonts w:hint="eastAsia"/>
                            <w:b w:val="0"/>
                            <w:bCs/>
                            <w:szCs w:val="21"/>
                          </w:rPr>
                          <w:t>筛选中转</w:t>
                        </w:r>
                      </w:p>
                    </w:txbxContent>
                  </v:textbox>
                </v:shape>
                <v:shape id="Text Box 5" o:spid="_x0000_s1026" o:spt="202" type="#_x0000_t202" style="position:absolute;left:2101195;top:2034539;height:254635;width:1104900;"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xeJo1wAAAAUBAAAPAAAAAAAAAAEAIAAAACIAAABkcnMv&#10;ZG93bnJldi54bWxQSwECFAAUAAAACACHTuJAI0axFD0CAACUBAAADgAAAAAAAAABACAAAAAmAQAA&#10;ZHJzL2Uyb0RvYy54bWxQSwUGAAAAAAYABgBZAQAA1QUAAAAA&#10;">
                  <v:fill on="t" focussize="0,0"/>
                  <v:stroke color="#000000" miterlimit="8" joinstyle="miter"/>
                  <v:imagedata o:title=""/>
                  <o:lock v:ext="edit" aspectratio="f"/>
                  <v:textbox>
                    <w:txbxContent>
                      <w:p w14:paraId="4CDDA712">
                        <w:pPr>
                          <w:jc w:val="center"/>
                          <w:rPr>
                            <w:b w:val="0"/>
                            <w:bCs/>
                            <w:kern w:val="0"/>
                            <w:sz w:val="24"/>
                          </w:rPr>
                        </w:pPr>
                        <w:r>
                          <w:rPr>
                            <w:rFonts w:hint="eastAsia"/>
                            <w:b w:val="0"/>
                            <w:bCs/>
                            <w:szCs w:val="21"/>
                          </w:rPr>
                          <w:t>包装</w:t>
                        </w:r>
                      </w:p>
                    </w:txbxContent>
                  </v:textbox>
                </v:shape>
                <v:shape id="AutoShape 6" o:spid="_x0000_s1026" o:spt="32" type="#_x0000_t32" style="position:absolute;left:2652375;top:1806574;height:224155;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s1IHLYAAAABQEAAA8AAAAAAAAAAQAgAAAAIgAAAGRycy9kb3ducmV2&#10;LnhtbFBLAQIUABQAAAAIAIdO4kA245VY/AEAAO0DAAAOAAAAAAAAAAEAIAAAACcBAABkcnMvZTJv&#10;RG9jLnhtbFBLBQYAAAAABgAGAFkBAACVBQAAAAA=&#10;">
                  <v:fill on="f" focussize="0,0"/>
                  <v:stroke color="#000000" joinstyle="round" endarrow="block"/>
                  <v:imagedata o:title=""/>
                  <o:lock v:ext="edit" aspectratio="f"/>
                </v:shape>
                <v:shape id="Text Box 5" o:spid="_x0000_s1026" o:spt="202" type="#_x0000_t202" style="position:absolute;left:2095152;top:2511135;height:254000;width:1105535;"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xeJo1wAAAAUBAAAPAAAAAAAAAAEAIAAAACIAAABkcnMv&#10;ZG93bnJldi54bWxQSwECFAAUAAAACACHTuJAC3g00j0CAACUBAAADgAAAAAAAAABACAAAAAmAQAA&#10;ZHJzL2Uyb0RvYy54bWxQSwUGAAAAAAYABgBZAQAA1QUAAAAA&#10;">
                  <v:fill on="t" focussize="0,0"/>
                  <v:stroke color="#000000" miterlimit="8" joinstyle="miter"/>
                  <v:imagedata o:title=""/>
                  <o:lock v:ext="edit" aspectratio="f"/>
                  <v:textbox>
                    <w:txbxContent>
                      <w:p w14:paraId="58FB71F5">
                        <w:pPr>
                          <w:jc w:val="center"/>
                          <w:rPr>
                            <w:b w:val="0"/>
                            <w:bCs/>
                            <w:kern w:val="0"/>
                            <w:sz w:val="24"/>
                          </w:rPr>
                        </w:pPr>
                        <w:r>
                          <w:rPr>
                            <w:rFonts w:hint="eastAsia"/>
                            <w:b w:val="0"/>
                            <w:bCs/>
                            <w:szCs w:val="21"/>
                          </w:rPr>
                          <w:t>包装中转</w:t>
                        </w:r>
                      </w:p>
                    </w:txbxContent>
                  </v:textbox>
                </v:shape>
                <v:shape id="AutoShape 6" o:spid="_x0000_s1026" o:spt="32" type="#_x0000_t32" style="position:absolute;left:2646332;top:2283170;height:223520;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bNSBy2AAAAAUBAAAPAAAAAAAAAAEAIAAAACIAAABkcnMvZG93bnJl&#10;di54bWxQSwECFAAUAAAACACHTuJAiZIL4P0BAADtAwAADgAAAAAAAAABACAAAAAnAQAAZHJzL2Uy&#10;b0RvYy54bWxQSwUGAAAAAAYABgBZAQAAlgUAAAAA&#10;">
                  <v:fill on="f" focussize="0,0"/>
                  <v:stroke color="#000000" joinstyle="round" endarrow="block"/>
                  <v:imagedata o:title=""/>
                  <o:lock v:ext="edit" aspectratio="f"/>
                </v:shape>
                <v:shape id="Text Box 5" o:spid="_x0000_s1026" o:spt="202" type="#_x0000_t202" style="position:absolute;left:2096422;top:2991830;height:254000;width:1104900;"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PF4mjXAAAABQEAAA8AAAAAAAAAAQAgAAAAIgAAAGRycy9k&#10;b3ducmV2LnhtbFBLAQIUABQAAAAIAIdO4kCnPTJLPAIAAJQEAAAOAAAAAAAAAAEAIAAAACYBAABk&#10;cnMvZTJvRG9jLnhtbFBLBQYAAAAABgAGAFkBAADUBQAAAAA=&#10;">
                  <v:fill on="t" focussize="0,0"/>
                  <v:stroke color="#000000" miterlimit="8" joinstyle="miter"/>
                  <v:imagedata o:title=""/>
                  <o:lock v:ext="edit" aspectratio="f"/>
                  <v:textbox>
                    <w:txbxContent>
                      <w:p w14:paraId="271F30DE">
                        <w:pPr>
                          <w:jc w:val="center"/>
                          <w:rPr>
                            <w:b w:val="0"/>
                            <w:bCs/>
                            <w:kern w:val="0"/>
                            <w:sz w:val="24"/>
                          </w:rPr>
                        </w:pPr>
                        <w:r>
                          <w:rPr>
                            <w:rFonts w:hint="eastAsia"/>
                            <w:b w:val="0"/>
                            <w:bCs/>
                            <w:szCs w:val="21"/>
                          </w:rPr>
                          <w:t>入库（粉状）</w:t>
                        </w:r>
                      </w:p>
                    </w:txbxContent>
                  </v:textbox>
                </v:shape>
                <v:shape id="AutoShape 6" o:spid="_x0000_s1026" o:spt="32" type="#_x0000_t32" style="position:absolute;left:2647602;top:2763865;height:223520;width:0;"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s1IHLYAAAABQEAAA8AAAAAAAAAAQAgAAAAIgAAAGRycy9kb3du&#10;cmV2LnhtbFBLAQIUABQAAAAIAIdO4kAHKUz6/wEAAO0DAAAOAAAAAAAAAAEAIAAAACcBAABkcnMv&#10;ZTJvRG9jLnhtbFBLBQYAAAAABgAGAFkBAACYBQAAAAA=&#10;">
                  <v:fill on="f" focussize="0,0"/>
                  <v:stroke color="#000000" joinstyle="round" endarrow="block"/>
                  <v:imagedata o:title=""/>
                  <o:lock v:ext="edit" aspectratio="f"/>
                </v:shape>
                <v:shape id="AutoShape 15" o:spid="_x0000_s1026" o:spt="32" type="#_x0000_t32" style="position:absolute;left:1796441;top:2158999;height:0;width:306705;" filled="f" stroked="t" coordsize="21600,21600" o:gfxdata="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zUgctgAAAAFAQAADwAAAAAAAAABACAAAAAiAAAAZHJzL2Rv&#10;d25yZXYueG1sUEsBAhQAFAAAAAgAh07iQMOuJOkBAgAA7gMAAA4AAAAAAAAAAQAgAAAAJwEAAGRy&#10;cy9lMm9Eb2MueG1sUEsFBgAAAAAGAAYAWQEAAJoFAAAAAA==&#10;">
                  <v:fill on="f" focussize="0,0"/>
                  <v:stroke color="#000000" joinstyle="round" endarrow="block"/>
                  <v:imagedata o:title=""/>
                  <o:lock v:ext="edit" aspectratio="f"/>
                </v:shape>
                <v:shape id="Text Box 5" o:spid="_x0000_s1026" o:spt="202" type="#_x0000_t202" style="position:absolute;left:687731;top:2034539;height:255270;width:1107440;" fillcolor="#FFFFFF" filled="t" stroked="t" coordsize="21600,21600" o:gfxdata="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PF4mjXAAAABQEAAA8AAAAAAAAAAQAgAAAAIgAAAGRycy9k&#10;b3ducmV2LnhtbFBLAQIUABQAAAAIAIdO4kDZ27ClPAIAAJMEAAAOAAAAAAAAAAEAIAAAACYBAABk&#10;cnMvZTJvRG9jLnhtbFBLBQYAAAAABgAGAFkBAADUBQAAAAA=&#10;">
                  <v:fill on="t" focussize="0,0"/>
                  <v:stroke color="#000000" miterlimit="8" joinstyle="miter"/>
                  <v:imagedata o:title=""/>
                  <o:lock v:ext="edit" aspectratio="f"/>
                  <v:textbox>
                    <w:txbxContent>
                      <w:p w14:paraId="5C281DCB">
                        <w:pPr>
                          <w:jc w:val="center"/>
                          <w:rPr>
                            <w:b w:val="0"/>
                            <w:bCs/>
                            <w:kern w:val="0"/>
                            <w:sz w:val="24"/>
                          </w:rPr>
                        </w:pPr>
                        <w:r>
                          <w:rPr>
                            <w:rFonts w:hint="eastAsia"/>
                            <w:b w:val="0"/>
                            <w:bCs/>
                            <w:szCs w:val="21"/>
                          </w:rPr>
                          <w:t>包装材料</w:t>
                        </w:r>
                      </w:p>
                    </w:txbxContent>
                  </v:textbox>
                </v:shape>
                <w10:wrap type="none"/>
                <w10:anchorlock/>
              </v:group>
            </w:pict>
          </mc:Fallback>
        </mc:AlternateContent>
      </w:r>
    </w:p>
    <w:p w14:paraId="6C51CA3A">
      <w:pPr>
        <w:widowControl/>
        <w:jc w:val="center"/>
        <w:rPr>
          <w:rFonts w:ascii="黑体" w:hAnsi="黑体" w:eastAsia="黑体"/>
          <w:b w:val="0"/>
          <w:kern w:val="0"/>
          <w:sz w:val="24"/>
        </w:rPr>
      </w:pPr>
      <w:r>
        <w:rPr>
          <w:rFonts w:ascii="黑体" w:hAnsi="黑体" w:eastAsia="黑体"/>
          <w:b w:val="0"/>
          <w:kern w:val="0"/>
          <w:sz w:val="24"/>
        </w:rPr>
        <w:t>图</w:t>
      </w:r>
      <w:r>
        <w:rPr>
          <w:rFonts w:hint="eastAsia" w:ascii="黑体" w:hAnsi="黑体" w:eastAsia="黑体"/>
          <w:b w:val="0"/>
          <w:kern w:val="0"/>
          <w:sz w:val="24"/>
        </w:rPr>
        <w:t>2.4-</w:t>
      </w:r>
      <w:r>
        <w:rPr>
          <w:rFonts w:ascii="黑体" w:hAnsi="黑体" w:eastAsia="黑体"/>
          <w:b w:val="0"/>
          <w:kern w:val="0"/>
          <w:sz w:val="24"/>
        </w:rPr>
        <w:t>2</w:t>
      </w:r>
      <w:r>
        <w:rPr>
          <w:rFonts w:hint="eastAsia" w:ascii="黑体" w:hAnsi="黑体" w:eastAsia="黑体"/>
          <w:b w:val="0"/>
          <w:kern w:val="0"/>
          <w:sz w:val="24"/>
        </w:rPr>
        <w:t xml:space="preserve"> 黑火药（粉状）生产</w:t>
      </w:r>
      <w:r>
        <w:rPr>
          <w:rFonts w:ascii="黑体" w:hAnsi="黑体" w:eastAsia="黑体"/>
          <w:b w:val="0"/>
          <w:kern w:val="0"/>
          <w:sz w:val="24"/>
        </w:rPr>
        <w:t>工艺流程图</w:t>
      </w:r>
    </w:p>
    <w:p w14:paraId="18C800EB">
      <w:pPr>
        <w:keepNext/>
        <w:keepLines/>
        <w:spacing w:before="240" w:beforeLines="100" w:line="360" w:lineRule="auto"/>
        <w:outlineLvl w:val="1"/>
        <w:rPr>
          <w:rFonts w:ascii="黑体" w:hAnsi="宋体" w:eastAsia="黑体"/>
          <w:b w:val="0"/>
          <w:bCs/>
          <w:snapToGrid w:val="0"/>
          <w:sz w:val="30"/>
          <w:szCs w:val="30"/>
        </w:rPr>
      </w:pPr>
      <w:bookmarkStart w:id="130" w:name="_Toc239191494"/>
      <w:r>
        <w:rPr>
          <w:rFonts w:hint="eastAsia" w:ascii="黑体" w:hAnsi="宋体" w:eastAsia="黑体"/>
          <w:b w:val="0"/>
          <w:bCs/>
          <w:snapToGrid w:val="0"/>
          <w:sz w:val="30"/>
          <w:szCs w:val="30"/>
        </w:rPr>
        <w:t>2.5原材料预计用量</w:t>
      </w:r>
      <w:bookmarkEnd w:id="130"/>
    </w:p>
    <w:p w14:paraId="4BD7F5F0">
      <w:pPr>
        <w:spacing w:line="360" w:lineRule="auto"/>
        <w:ind w:firstLine="560" w:firstLineChars="200"/>
        <w:jc w:val="left"/>
        <w:rPr>
          <w:rFonts w:ascii="黑体" w:hAnsi="黑体" w:eastAsia="黑体"/>
          <w:b w:val="0"/>
          <w:bCs/>
          <w:sz w:val="24"/>
        </w:rPr>
      </w:pPr>
      <w:r>
        <w:rPr>
          <w:rFonts w:hint="eastAsia" w:ascii="宋体" w:hAnsi="宋体"/>
          <w:b w:val="0"/>
          <w:bCs/>
          <w:sz w:val="28"/>
        </w:rPr>
        <w:t>湖南金帝烟花爆竹制造有限公司泉水工区黑火药生产使用的原材料用量情况如表</w:t>
      </w:r>
      <w:r>
        <w:rPr>
          <w:rFonts w:ascii="宋体" w:hAnsi="宋体"/>
          <w:b w:val="0"/>
          <w:bCs/>
          <w:sz w:val="28"/>
        </w:rPr>
        <w:t>2.5-1</w:t>
      </w:r>
      <w:r>
        <w:rPr>
          <w:rFonts w:hint="eastAsia" w:ascii="宋体" w:hAnsi="宋体"/>
          <w:b w:val="0"/>
          <w:bCs/>
          <w:sz w:val="28"/>
        </w:rPr>
        <w:t>所示。</w:t>
      </w:r>
    </w:p>
    <w:p w14:paraId="3702C55D">
      <w:pPr>
        <w:jc w:val="center"/>
        <w:rPr>
          <w:rFonts w:ascii="黑体" w:hAnsi="黑体" w:eastAsia="黑体"/>
          <w:b w:val="0"/>
          <w:bCs/>
          <w:sz w:val="24"/>
        </w:rPr>
      </w:pPr>
      <w:r>
        <w:rPr>
          <w:rFonts w:hint="eastAsia" w:ascii="黑体" w:hAnsi="黑体" w:eastAsia="黑体"/>
          <w:b w:val="0"/>
          <w:bCs/>
          <w:sz w:val="24"/>
        </w:rPr>
        <w:t>表2.5-1  主要原辅材料预计用量一览表</w:t>
      </w:r>
    </w:p>
    <w:tbl>
      <w:tblPr>
        <w:tblStyle w:val="88"/>
        <w:tblW w:w="466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287"/>
        <w:gridCol w:w="1982"/>
        <w:gridCol w:w="1413"/>
        <w:gridCol w:w="2046"/>
      </w:tblGrid>
      <w:tr w14:paraId="7B7EC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blHeader/>
          <w:jc w:val="center"/>
        </w:trPr>
        <w:tc>
          <w:tcPr>
            <w:tcW w:w="536" w:type="pct"/>
            <w:tcBorders>
              <w:top w:val="single" w:color="auto" w:sz="12" w:space="0"/>
            </w:tcBorders>
            <w:vAlign w:val="center"/>
          </w:tcPr>
          <w:p w14:paraId="005A5E13">
            <w:pPr>
              <w:jc w:val="center"/>
              <w:rPr>
                <w:rFonts w:ascii="宋体" w:hAnsi="宋体"/>
                <w:bCs/>
                <w:szCs w:val="21"/>
              </w:rPr>
            </w:pPr>
            <w:r>
              <w:rPr>
                <w:rFonts w:hint="eastAsia" w:ascii="宋体" w:hAnsi="宋体"/>
                <w:bCs/>
                <w:szCs w:val="21"/>
              </w:rPr>
              <w:t>序号</w:t>
            </w:r>
          </w:p>
        </w:tc>
        <w:tc>
          <w:tcPr>
            <w:tcW w:w="1320" w:type="pct"/>
            <w:tcBorders>
              <w:top w:val="single" w:color="auto" w:sz="12" w:space="0"/>
            </w:tcBorders>
            <w:vAlign w:val="center"/>
          </w:tcPr>
          <w:p w14:paraId="25D7B7DA">
            <w:pPr>
              <w:jc w:val="center"/>
              <w:rPr>
                <w:rFonts w:ascii="宋体" w:hAnsi="宋体"/>
                <w:bCs/>
                <w:szCs w:val="21"/>
              </w:rPr>
            </w:pPr>
            <w:r>
              <w:rPr>
                <w:rFonts w:hint="eastAsia" w:ascii="宋体" w:hAnsi="宋体"/>
                <w:bCs/>
                <w:szCs w:val="21"/>
              </w:rPr>
              <w:t>原辅材料名称</w:t>
            </w:r>
          </w:p>
        </w:tc>
        <w:tc>
          <w:tcPr>
            <w:tcW w:w="1144" w:type="pct"/>
            <w:tcBorders>
              <w:top w:val="single" w:color="auto" w:sz="12" w:space="0"/>
            </w:tcBorders>
            <w:vAlign w:val="center"/>
          </w:tcPr>
          <w:p w14:paraId="5FB4DB78">
            <w:pPr>
              <w:jc w:val="center"/>
              <w:rPr>
                <w:rFonts w:ascii="宋体" w:hAnsi="宋体"/>
                <w:bCs/>
                <w:szCs w:val="21"/>
              </w:rPr>
            </w:pPr>
            <w:r>
              <w:rPr>
                <w:rFonts w:hint="eastAsia" w:ascii="宋体" w:hAnsi="宋体"/>
                <w:bCs/>
                <w:szCs w:val="21"/>
              </w:rPr>
              <w:t>用途</w:t>
            </w:r>
          </w:p>
        </w:tc>
        <w:tc>
          <w:tcPr>
            <w:tcW w:w="816" w:type="pct"/>
            <w:tcBorders>
              <w:top w:val="single" w:color="auto" w:sz="12" w:space="0"/>
            </w:tcBorders>
            <w:vAlign w:val="center"/>
          </w:tcPr>
          <w:p w14:paraId="38547870">
            <w:pPr>
              <w:jc w:val="center"/>
              <w:rPr>
                <w:rFonts w:ascii="宋体" w:hAnsi="宋体"/>
                <w:bCs/>
                <w:szCs w:val="21"/>
              </w:rPr>
            </w:pPr>
            <w:r>
              <w:rPr>
                <w:rFonts w:hint="eastAsia" w:ascii="宋体" w:hAnsi="宋体"/>
                <w:bCs/>
                <w:szCs w:val="21"/>
              </w:rPr>
              <w:t>计量单位</w:t>
            </w:r>
          </w:p>
        </w:tc>
        <w:tc>
          <w:tcPr>
            <w:tcW w:w="1181" w:type="pct"/>
            <w:tcBorders>
              <w:top w:val="single" w:color="auto" w:sz="12" w:space="0"/>
            </w:tcBorders>
            <w:vAlign w:val="center"/>
          </w:tcPr>
          <w:p w14:paraId="1B9D4578">
            <w:pPr>
              <w:jc w:val="center"/>
              <w:rPr>
                <w:rFonts w:ascii="宋体" w:hAnsi="宋体"/>
                <w:bCs/>
                <w:szCs w:val="21"/>
              </w:rPr>
            </w:pPr>
            <w:r>
              <w:rPr>
                <w:rFonts w:hint="eastAsia" w:ascii="宋体" w:hAnsi="宋体"/>
                <w:bCs/>
                <w:szCs w:val="21"/>
              </w:rPr>
              <w:t>预计年用量</w:t>
            </w:r>
          </w:p>
        </w:tc>
      </w:tr>
      <w:tr w14:paraId="5AF9F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6" w:type="pct"/>
            <w:vAlign w:val="center"/>
          </w:tcPr>
          <w:p w14:paraId="4A5E8FE8">
            <w:pPr>
              <w:jc w:val="center"/>
              <w:rPr>
                <w:rFonts w:ascii="宋体" w:hAnsi="宋体"/>
                <w:b w:val="0"/>
                <w:szCs w:val="21"/>
              </w:rPr>
            </w:pPr>
            <w:bookmarkStart w:id="131" w:name="_Toc109360860" w:colFirst="4" w:colLast="4"/>
            <w:r>
              <w:rPr>
                <w:rFonts w:hint="eastAsia" w:ascii="宋体" w:hAnsi="宋体" w:cs="宋体"/>
                <w:b w:val="0"/>
                <w:szCs w:val="21"/>
              </w:rPr>
              <w:t>1</w:t>
            </w:r>
          </w:p>
        </w:tc>
        <w:tc>
          <w:tcPr>
            <w:tcW w:w="1320" w:type="pct"/>
            <w:vAlign w:val="center"/>
          </w:tcPr>
          <w:p w14:paraId="28C395EB">
            <w:pPr>
              <w:jc w:val="center"/>
              <w:rPr>
                <w:rFonts w:ascii="宋体" w:hAnsi="宋体"/>
                <w:b w:val="0"/>
                <w:szCs w:val="21"/>
              </w:rPr>
            </w:pPr>
            <w:r>
              <w:rPr>
                <w:rFonts w:hint="eastAsia" w:ascii="宋体" w:hAnsi="宋体"/>
                <w:b w:val="0"/>
                <w:szCs w:val="21"/>
              </w:rPr>
              <w:t>硝酸钾</w:t>
            </w:r>
          </w:p>
        </w:tc>
        <w:tc>
          <w:tcPr>
            <w:tcW w:w="1144" w:type="pct"/>
            <w:vAlign w:val="center"/>
          </w:tcPr>
          <w:p w14:paraId="725B1BA7">
            <w:pPr>
              <w:jc w:val="center"/>
              <w:rPr>
                <w:rFonts w:ascii="宋体" w:hAnsi="宋体"/>
                <w:b w:val="0"/>
                <w:szCs w:val="21"/>
              </w:rPr>
            </w:pPr>
            <w:r>
              <w:rPr>
                <w:rFonts w:hint="eastAsia" w:ascii="宋体" w:hAnsi="宋体"/>
                <w:b w:val="0"/>
                <w:szCs w:val="21"/>
              </w:rPr>
              <w:t>氧化剂</w:t>
            </w:r>
          </w:p>
        </w:tc>
        <w:tc>
          <w:tcPr>
            <w:tcW w:w="816" w:type="pct"/>
            <w:vAlign w:val="center"/>
          </w:tcPr>
          <w:p w14:paraId="2C40DA38">
            <w:pPr>
              <w:jc w:val="center"/>
              <w:rPr>
                <w:rFonts w:ascii="宋体" w:hAnsi="宋体"/>
                <w:b w:val="0"/>
                <w:szCs w:val="21"/>
              </w:rPr>
            </w:pPr>
            <w:r>
              <w:rPr>
                <w:rFonts w:hint="eastAsia" w:ascii="宋体" w:hAnsi="宋体" w:cs="宋体"/>
                <w:b w:val="0"/>
                <w:szCs w:val="21"/>
              </w:rPr>
              <w:t>吨</w:t>
            </w:r>
          </w:p>
        </w:tc>
        <w:tc>
          <w:tcPr>
            <w:tcW w:w="1181" w:type="pct"/>
            <w:vAlign w:val="center"/>
          </w:tcPr>
          <w:p w14:paraId="4F005642">
            <w:pPr>
              <w:jc w:val="center"/>
              <w:rPr>
                <w:rFonts w:ascii="宋体" w:hAnsi="宋体"/>
                <w:b w:val="0"/>
                <w:szCs w:val="21"/>
              </w:rPr>
            </w:pPr>
            <w:r>
              <w:rPr>
                <w:rFonts w:ascii="宋体" w:hAnsi="宋体"/>
                <w:b w:val="0"/>
                <w:szCs w:val="21"/>
              </w:rPr>
              <w:t>1360</w:t>
            </w:r>
          </w:p>
        </w:tc>
      </w:tr>
      <w:tr w14:paraId="112E9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6" w:type="pct"/>
            <w:vAlign w:val="center"/>
          </w:tcPr>
          <w:p w14:paraId="42E5369B">
            <w:pPr>
              <w:jc w:val="center"/>
              <w:rPr>
                <w:rFonts w:ascii="宋体" w:hAnsi="宋体" w:cs="宋体"/>
                <w:b w:val="0"/>
                <w:szCs w:val="21"/>
              </w:rPr>
            </w:pPr>
            <w:r>
              <w:rPr>
                <w:rFonts w:hint="eastAsia" w:ascii="宋体" w:hAnsi="宋体" w:cs="宋体"/>
                <w:b w:val="0"/>
                <w:szCs w:val="21"/>
              </w:rPr>
              <w:t>2</w:t>
            </w:r>
          </w:p>
        </w:tc>
        <w:tc>
          <w:tcPr>
            <w:tcW w:w="1320" w:type="pct"/>
            <w:vAlign w:val="center"/>
          </w:tcPr>
          <w:p w14:paraId="6E6CBE5C">
            <w:pPr>
              <w:jc w:val="center"/>
              <w:rPr>
                <w:rFonts w:ascii="宋体" w:hAnsi="宋体" w:cs="宋体"/>
                <w:b w:val="0"/>
                <w:szCs w:val="21"/>
              </w:rPr>
            </w:pPr>
            <w:r>
              <w:rPr>
                <w:rFonts w:hint="eastAsia" w:ascii="宋体" w:hAnsi="宋体" w:cs="宋体"/>
                <w:b w:val="0"/>
                <w:szCs w:val="21"/>
              </w:rPr>
              <w:t>硫磺</w:t>
            </w:r>
          </w:p>
        </w:tc>
        <w:tc>
          <w:tcPr>
            <w:tcW w:w="1144" w:type="pct"/>
            <w:vAlign w:val="center"/>
          </w:tcPr>
          <w:p w14:paraId="5CCFB865">
            <w:pPr>
              <w:jc w:val="center"/>
              <w:rPr>
                <w:rFonts w:ascii="宋体" w:hAnsi="宋体" w:cs="宋体"/>
                <w:b w:val="0"/>
                <w:szCs w:val="21"/>
              </w:rPr>
            </w:pPr>
            <w:r>
              <w:rPr>
                <w:rFonts w:hint="eastAsia" w:ascii="宋体" w:hAnsi="宋体" w:cs="宋体"/>
                <w:b w:val="0"/>
                <w:szCs w:val="21"/>
              </w:rPr>
              <w:t>还原剂</w:t>
            </w:r>
          </w:p>
        </w:tc>
        <w:tc>
          <w:tcPr>
            <w:tcW w:w="816" w:type="pct"/>
            <w:vAlign w:val="center"/>
          </w:tcPr>
          <w:p w14:paraId="27E1E6F7">
            <w:pPr>
              <w:jc w:val="center"/>
              <w:rPr>
                <w:rFonts w:ascii="宋体" w:hAnsi="宋体" w:cs="宋体"/>
                <w:b w:val="0"/>
                <w:szCs w:val="21"/>
              </w:rPr>
            </w:pPr>
            <w:r>
              <w:rPr>
                <w:rFonts w:hint="eastAsia" w:ascii="宋体" w:hAnsi="宋体" w:cs="宋体"/>
                <w:b w:val="0"/>
                <w:szCs w:val="21"/>
              </w:rPr>
              <w:t>吨</w:t>
            </w:r>
          </w:p>
        </w:tc>
        <w:tc>
          <w:tcPr>
            <w:tcW w:w="1181" w:type="pct"/>
            <w:vAlign w:val="center"/>
          </w:tcPr>
          <w:p w14:paraId="20665744">
            <w:pPr>
              <w:jc w:val="center"/>
              <w:rPr>
                <w:rFonts w:ascii="宋体" w:hAnsi="宋体"/>
                <w:b w:val="0"/>
                <w:szCs w:val="21"/>
              </w:rPr>
            </w:pPr>
            <w:r>
              <w:rPr>
                <w:rFonts w:ascii="宋体" w:hAnsi="宋体"/>
                <w:b w:val="0"/>
                <w:szCs w:val="21"/>
              </w:rPr>
              <w:t>200</w:t>
            </w:r>
          </w:p>
        </w:tc>
      </w:tr>
      <w:bookmarkEnd w:id="131"/>
      <w:tr w14:paraId="52F100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36" w:type="pct"/>
            <w:vAlign w:val="center"/>
          </w:tcPr>
          <w:p w14:paraId="430DB423">
            <w:pPr>
              <w:jc w:val="center"/>
              <w:rPr>
                <w:rFonts w:ascii="宋体" w:hAnsi="宋体" w:cs="宋体"/>
                <w:b w:val="0"/>
                <w:szCs w:val="21"/>
              </w:rPr>
            </w:pPr>
            <w:r>
              <w:rPr>
                <w:rFonts w:hint="eastAsia" w:ascii="宋体" w:hAnsi="宋体" w:cs="宋体"/>
                <w:b w:val="0"/>
                <w:szCs w:val="21"/>
              </w:rPr>
              <w:t>3</w:t>
            </w:r>
          </w:p>
        </w:tc>
        <w:tc>
          <w:tcPr>
            <w:tcW w:w="1320" w:type="pct"/>
            <w:vAlign w:val="center"/>
          </w:tcPr>
          <w:p w14:paraId="7FC47E80">
            <w:pPr>
              <w:jc w:val="center"/>
              <w:rPr>
                <w:rFonts w:ascii="宋体" w:hAnsi="宋体" w:cs="宋体"/>
                <w:b w:val="0"/>
                <w:szCs w:val="21"/>
              </w:rPr>
            </w:pPr>
            <w:r>
              <w:rPr>
                <w:rFonts w:hint="eastAsia" w:ascii="宋体" w:hAnsi="宋体" w:cs="宋体"/>
                <w:b w:val="0"/>
                <w:szCs w:val="21"/>
              </w:rPr>
              <w:t>木炭粉</w:t>
            </w:r>
          </w:p>
        </w:tc>
        <w:tc>
          <w:tcPr>
            <w:tcW w:w="1144" w:type="pct"/>
            <w:vAlign w:val="center"/>
          </w:tcPr>
          <w:p w14:paraId="3035E1E6">
            <w:pPr>
              <w:jc w:val="center"/>
              <w:rPr>
                <w:rFonts w:ascii="宋体" w:hAnsi="宋体" w:cs="宋体"/>
                <w:b w:val="0"/>
                <w:szCs w:val="21"/>
              </w:rPr>
            </w:pPr>
            <w:r>
              <w:rPr>
                <w:rFonts w:hint="eastAsia" w:ascii="宋体" w:hAnsi="宋体" w:cs="宋体"/>
                <w:b w:val="0"/>
                <w:szCs w:val="21"/>
              </w:rPr>
              <w:t>还原剂</w:t>
            </w:r>
          </w:p>
        </w:tc>
        <w:tc>
          <w:tcPr>
            <w:tcW w:w="816" w:type="pct"/>
            <w:vAlign w:val="center"/>
          </w:tcPr>
          <w:p w14:paraId="1E27EF87">
            <w:pPr>
              <w:jc w:val="center"/>
              <w:rPr>
                <w:rFonts w:ascii="宋体" w:hAnsi="宋体" w:cs="宋体"/>
                <w:b w:val="0"/>
                <w:szCs w:val="21"/>
              </w:rPr>
            </w:pPr>
            <w:r>
              <w:rPr>
                <w:rFonts w:hint="eastAsia" w:ascii="宋体" w:hAnsi="宋体" w:cs="宋体"/>
                <w:b w:val="0"/>
                <w:szCs w:val="21"/>
              </w:rPr>
              <w:t>吨</w:t>
            </w:r>
          </w:p>
        </w:tc>
        <w:tc>
          <w:tcPr>
            <w:tcW w:w="1181" w:type="pct"/>
            <w:vAlign w:val="center"/>
          </w:tcPr>
          <w:p w14:paraId="7D1CBFA4">
            <w:pPr>
              <w:jc w:val="center"/>
              <w:rPr>
                <w:rFonts w:ascii="宋体" w:hAnsi="宋体"/>
                <w:b w:val="0"/>
                <w:szCs w:val="21"/>
              </w:rPr>
            </w:pPr>
            <w:r>
              <w:rPr>
                <w:rFonts w:ascii="宋体" w:hAnsi="宋体"/>
                <w:b w:val="0"/>
                <w:szCs w:val="21"/>
              </w:rPr>
              <w:t>280</w:t>
            </w:r>
          </w:p>
        </w:tc>
      </w:tr>
    </w:tbl>
    <w:p w14:paraId="02A2581D">
      <w:pPr>
        <w:keepNext/>
        <w:keepLines/>
        <w:spacing w:before="120" w:beforeLines="50" w:line="360" w:lineRule="auto"/>
        <w:outlineLvl w:val="1"/>
        <w:rPr>
          <w:rFonts w:ascii="黑体" w:hAnsi="宋体" w:eastAsia="黑体"/>
          <w:b w:val="0"/>
          <w:bCs/>
          <w:snapToGrid w:val="0"/>
          <w:sz w:val="30"/>
          <w:szCs w:val="30"/>
        </w:rPr>
      </w:pPr>
      <w:bookmarkStart w:id="132" w:name="_Toc239191495"/>
      <w:r>
        <w:rPr>
          <w:rFonts w:hint="eastAsia" w:ascii="黑体" w:hAnsi="宋体" w:eastAsia="黑体"/>
          <w:b w:val="0"/>
          <w:bCs/>
          <w:snapToGrid w:val="0"/>
          <w:sz w:val="30"/>
          <w:szCs w:val="30"/>
        </w:rPr>
        <w:t>2</w:t>
      </w:r>
      <w:r>
        <w:rPr>
          <w:rFonts w:ascii="黑体" w:hAnsi="宋体" w:eastAsia="黑体"/>
          <w:b w:val="0"/>
          <w:bCs/>
          <w:snapToGrid w:val="0"/>
          <w:sz w:val="30"/>
          <w:szCs w:val="30"/>
        </w:rPr>
        <w:t>.6</w:t>
      </w:r>
      <w:r>
        <w:rPr>
          <w:rFonts w:hint="eastAsia" w:ascii="黑体" w:hAnsi="宋体" w:eastAsia="黑体"/>
          <w:b w:val="0"/>
          <w:bCs/>
          <w:snapToGrid w:val="0"/>
          <w:sz w:val="30"/>
          <w:szCs w:val="30"/>
        </w:rPr>
        <w:t>主要生产设施设备</w:t>
      </w:r>
      <w:bookmarkEnd w:id="132"/>
    </w:p>
    <w:p w14:paraId="291AF600">
      <w:pPr>
        <w:widowControl/>
        <w:spacing w:line="360" w:lineRule="auto"/>
        <w:ind w:firstLine="560" w:firstLineChars="200"/>
        <w:rPr>
          <w:rFonts w:ascii="宋体" w:hAnsi="宋体"/>
          <w:b w:val="0"/>
          <w:bCs/>
          <w:sz w:val="28"/>
        </w:rPr>
      </w:pPr>
      <w:r>
        <w:rPr>
          <w:rFonts w:hint="eastAsia" w:ascii="宋体" w:hAnsi="宋体"/>
          <w:b w:val="0"/>
          <w:bCs/>
          <w:sz w:val="28"/>
        </w:rPr>
        <w:t>湖南金帝烟花爆竹制造有限公司泉水工区扩建项目涉及的主要生产设施设备如表</w:t>
      </w:r>
      <w:r>
        <w:rPr>
          <w:rFonts w:ascii="宋体" w:hAnsi="宋体"/>
          <w:b w:val="0"/>
          <w:bCs/>
          <w:sz w:val="28"/>
        </w:rPr>
        <w:t>2.</w:t>
      </w:r>
      <w:r>
        <w:rPr>
          <w:rFonts w:hint="eastAsia" w:ascii="宋体" w:hAnsi="宋体"/>
          <w:b w:val="0"/>
          <w:bCs/>
          <w:sz w:val="28"/>
        </w:rPr>
        <w:t>6</w:t>
      </w:r>
      <w:r>
        <w:rPr>
          <w:rFonts w:ascii="宋体" w:hAnsi="宋体"/>
          <w:b w:val="0"/>
          <w:bCs/>
          <w:sz w:val="28"/>
        </w:rPr>
        <w:t>-1</w:t>
      </w:r>
      <w:r>
        <w:rPr>
          <w:rFonts w:hint="eastAsia" w:ascii="宋体" w:hAnsi="宋体"/>
          <w:b w:val="0"/>
          <w:bCs/>
          <w:sz w:val="28"/>
        </w:rPr>
        <w:t>所示：</w:t>
      </w:r>
    </w:p>
    <w:p w14:paraId="0A5C30F4">
      <w:pPr>
        <w:widowControl/>
        <w:jc w:val="center"/>
        <w:rPr>
          <w:rFonts w:ascii="宋体" w:hAnsi="宋体"/>
          <w:b w:val="0"/>
          <w:bCs/>
          <w:sz w:val="24"/>
        </w:rPr>
      </w:pPr>
      <w:r>
        <w:rPr>
          <w:rFonts w:hint="eastAsia" w:ascii="黑体" w:hAnsi="黑体" w:eastAsia="黑体"/>
          <w:b w:val="0"/>
          <w:bCs/>
          <w:sz w:val="24"/>
        </w:rPr>
        <w:t>表2.6-1 涉及的主要生产设施设备一览表</w:t>
      </w:r>
    </w:p>
    <w:tbl>
      <w:tblPr>
        <w:tblStyle w:val="88"/>
        <w:tblW w:w="47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793"/>
        <w:gridCol w:w="1549"/>
        <w:gridCol w:w="2517"/>
        <w:gridCol w:w="1123"/>
      </w:tblGrid>
      <w:tr w14:paraId="0A135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896" w:type="dxa"/>
            <w:tcBorders>
              <w:tl2br w:val="nil"/>
              <w:tr2bl w:val="nil"/>
            </w:tcBorders>
            <w:shd w:val="clear" w:color="auto" w:fill="auto"/>
            <w:vAlign w:val="center"/>
          </w:tcPr>
          <w:p w14:paraId="0DCEA7AF">
            <w:pPr>
              <w:jc w:val="center"/>
              <w:rPr>
                <w:rFonts w:cs="宋体" w:asciiTheme="minorEastAsia" w:hAnsiTheme="minorEastAsia" w:eastAsiaTheme="minorEastAsia"/>
                <w:szCs w:val="21"/>
              </w:rPr>
            </w:pPr>
            <w:r>
              <w:rPr>
                <w:rFonts w:hint="eastAsia" w:cs="宋体" w:asciiTheme="minorEastAsia" w:hAnsiTheme="minorEastAsia" w:eastAsiaTheme="minorEastAsia"/>
                <w:szCs w:val="21"/>
                <w:lang w:bidi="ar"/>
              </w:rPr>
              <w:t>序号</w:t>
            </w:r>
          </w:p>
        </w:tc>
        <w:tc>
          <w:tcPr>
            <w:tcW w:w="2793" w:type="dxa"/>
            <w:tcBorders>
              <w:tl2br w:val="nil"/>
              <w:tr2bl w:val="nil"/>
            </w:tcBorders>
            <w:shd w:val="clear" w:color="auto" w:fill="auto"/>
            <w:vAlign w:val="center"/>
          </w:tcPr>
          <w:p w14:paraId="4C038A0A">
            <w:pPr>
              <w:jc w:val="center"/>
              <w:rPr>
                <w:rFonts w:cs="宋体" w:asciiTheme="minorEastAsia" w:hAnsiTheme="minorEastAsia" w:eastAsiaTheme="minorEastAsia"/>
                <w:szCs w:val="21"/>
              </w:rPr>
            </w:pPr>
            <w:r>
              <w:rPr>
                <w:rFonts w:hint="eastAsia" w:cs="宋体" w:asciiTheme="minorEastAsia" w:hAnsiTheme="minorEastAsia" w:eastAsiaTheme="minorEastAsia"/>
                <w:szCs w:val="21"/>
                <w:lang w:bidi="ar"/>
              </w:rPr>
              <w:t>设施、工具名称</w:t>
            </w:r>
          </w:p>
        </w:tc>
        <w:tc>
          <w:tcPr>
            <w:tcW w:w="1549" w:type="dxa"/>
            <w:tcBorders>
              <w:tl2br w:val="nil"/>
              <w:tr2bl w:val="nil"/>
            </w:tcBorders>
            <w:shd w:val="clear" w:color="auto" w:fill="auto"/>
            <w:vAlign w:val="center"/>
          </w:tcPr>
          <w:p w14:paraId="3ED37494">
            <w:pPr>
              <w:jc w:val="center"/>
              <w:rPr>
                <w:rFonts w:cs="宋体" w:asciiTheme="minorEastAsia" w:hAnsiTheme="minorEastAsia" w:eastAsiaTheme="minorEastAsia"/>
                <w:szCs w:val="21"/>
              </w:rPr>
            </w:pPr>
            <w:r>
              <w:rPr>
                <w:rFonts w:hint="eastAsia" w:cs="宋体" w:asciiTheme="minorEastAsia" w:hAnsiTheme="minorEastAsia" w:eastAsiaTheme="minorEastAsia"/>
                <w:szCs w:val="21"/>
                <w:lang w:bidi="ar"/>
              </w:rPr>
              <w:t>数量（台）</w:t>
            </w:r>
          </w:p>
        </w:tc>
        <w:tc>
          <w:tcPr>
            <w:tcW w:w="2517" w:type="dxa"/>
            <w:tcBorders>
              <w:tl2br w:val="nil"/>
              <w:tr2bl w:val="nil"/>
            </w:tcBorders>
            <w:shd w:val="clear" w:color="auto" w:fill="auto"/>
            <w:vAlign w:val="center"/>
          </w:tcPr>
          <w:p w14:paraId="512C2E87">
            <w:pPr>
              <w:jc w:val="center"/>
              <w:rPr>
                <w:rFonts w:cs="宋体" w:asciiTheme="minorEastAsia" w:hAnsiTheme="minorEastAsia" w:eastAsiaTheme="minorEastAsia"/>
                <w:szCs w:val="21"/>
              </w:rPr>
            </w:pPr>
            <w:r>
              <w:rPr>
                <w:rFonts w:hint="eastAsia" w:cs="宋体" w:asciiTheme="minorEastAsia" w:hAnsiTheme="minorEastAsia" w:eastAsiaTheme="minorEastAsia"/>
                <w:szCs w:val="21"/>
                <w:lang w:bidi="ar"/>
              </w:rPr>
              <w:t>所在工序或位置</w:t>
            </w:r>
          </w:p>
        </w:tc>
        <w:tc>
          <w:tcPr>
            <w:tcW w:w="1123" w:type="dxa"/>
            <w:tcBorders>
              <w:tl2br w:val="nil"/>
              <w:tr2bl w:val="nil"/>
            </w:tcBorders>
            <w:shd w:val="clear" w:color="auto" w:fill="auto"/>
            <w:vAlign w:val="center"/>
          </w:tcPr>
          <w:p w14:paraId="2701C5F0">
            <w:pPr>
              <w:jc w:val="center"/>
              <w:rPr>
                <w:rFonts w:cs="宋体" w:asciiTheme="minorEastAsia" w:hAnsiTheme="minorEastAsia" w:eastAsiaTheme="minorEastAsia"/>
                <w:szCs w:val="21"/>
              </w:rPr>
            </w:pPr>
            <w:r>
              <w:rPr>
                <w:rFonts w:hint="eastAsia" w:cs="宋体" w:asciiTheme="minorEastAsia" w:hAnsiTheme="minorEastAsia" w:eastAsiaTheme="minorEastAsia"/>
                <w:szCs w:val="21"/>
                <w:lang w:bidi="ar"/>
              </w:rPr>
              <w:t>备注</w:t>
            </w:r>
          </w:p>
        </w:tc>
      </w:tr>
      <w:tr w14:paraId="51F04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237C658A">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1</w:t>
            </w:r>
          </w:p>
        </w:tc>
        <w:tc>
          <w:tcPr>
            <w:tcW w:w="2793" w:type="dxa"/>
            <w:tcBorders>
              <w:tl2br w:val="nil"/>
              <w:tr2bl w:val="nil"/>
            </w:tcBorders>
            <w:shd w:val="clear" w:color="auto" w:fill="auto"/>
            <w:vAlign w:val="center"/>
          </w:tcPr>
          <w:p w14:paraId="765014A1">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粉碎机</w:t>
            </w:r>
          </w:p>
        </w:tc>
        <w:tc>
          <w:tcPr>
            <w:tcW w:w="1549" w:type="dxa"/>
            <w:tcBorders>
              <w:tl2br w:val="nil"/>
              <w:tr2bl w:val="nil"/>
            </w:tcBorders>
            <w:shd w:val="clear" w:color="auto" w:fill="auto"/>
            <w:vAlign w:val="center"/>
          </w:tcPr>
          <w:p w14:paraId="793458D9">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517" w:type="dxa"/>
            <w:tcBorders>
              <w:tl2br w:val="nil"/>
              <w:tr2bl w:val="nil"/>
            </w:tcBorders>
            <w:shd w:val="clear" w:color="auto" w:fill="auto"/>
            <w:vAlign w:val="center"/>
          </w:tcPr>
          <w:p w14:paraId="6841807B">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9</w:t>
            </w:r>
            <w:r>
              <w:rPr>
                <w:rFonts w:asciiTheme="minorEastAsia" w:hAnsiTheme="minorEastAsia" w:eastAsiaTheme="minorEastAsia"/>
                <w:b w:val="0"/>
                <w:bCs/>
                <w:szCs w:val="21"/>
              </w:rPr>
              <w:t>#</w:t>
            </w:r>
            <w:r>
              <w:rPr>
                <w:rFonts w:hint="eastAsia" w:asciiTheme="minorEastAsia" w:hAnsiTheme="minorEastAsia" w:eastAsiaTheme="minorEastAsia"/>
                <w:b w:val="0"/>
                <w:bCs/>
                <w:szCs w:val="21"/>
              </w:rPr>
              <w:t>硝酸钾粉碎</w:t>
            </w:r>
          </w:p>
        </w:tc>
        <w:tc>
          <w:tcPr>
            <w:tcW w:w="1123" w:type="dxa"/>
            <w:tcBorders>
              <w:tl2br w:val="nil"/>
              <w:tr2bl w:val="nil"/>
            </w:tcBorders>
            <w:shd w:val="clear" w:color="auto" w:fill="auto"/>
            <w:vAlign w:val="center"/>
          </w:tcPr>
          <w:p w14:paraId="33EACE12">
            <w:pPr>
              <w:jc w:val="center"/>
              <w:rPr>
                <w:rFonts w:ascii="宋体" w:hAnsi="宋体"/>
                <w:b w:val="0"/>
                <w:bCs/>
              </w:rPr>
            </w:pPr>
          </w:p>
        </w:tc>
      </w:tr>
      <w:tr w14:paraId="7B9BF6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098B87FF">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793" w:type="dxa"/>
            <w:tcBorders>
              <w:tl2br w:val="nil"/>
              <w:tr2bl w:val="nil"/>
            </w:tcBorders>
            <w:shd w:val="clear" w:color="auto" w:fill="auto"/>
            <w:vAlign w:val="center"/>
          </w:tcPr>
          <w:p w14:paraId="48ED0539">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二味球磨机</w:t>
            </w:r>
          </w:p>
        </w:tc>
        <w:tc>
          <w:tcPr>
            <w:tcW w:w="1549" w:type="dxa"/>
            <w:tcBorders>
              <w:tl2br w:val="nil"/>
              <w:tr2bl w:val="nil"/>
            </w:tcBorders>
            <w:shd w:val="clear" w:color="auto" w:fill="auto"/>
            <w:vAlign w:val="center"/>
          </w:tcPr>
          <w:p w14:paraId="47EE2F67">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4</w:t>
            </w:r>
          </w:p>
        </w:tc>
        <w:tc>
          <w:tcPr>
            <w:tcW w:w="2517" w:type="dxa"/>
            <w:tcBorders>
              <w:tl2br w:val="nil"/>
              <w:tr2bl w:val="nil"/>
            </w:tcBorders>
            <w:shd w:val="clear" w:color="auto" w:fill="auto"/>
            <w:vAlign w:val="center"/>
          </w:tcPr>
          <w:p w14:paraId="179D5824">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1</w:t>
            </w:r>
            <w:r>
              <w:rPr>
                <w:rFonts w:asciiTheme="minorEastAsia" w:hAnsiTheme="minorEastAsia" w:eastAsiaTheme="minorEastAsia"/>
                <w:b w:val="0"/>
                <w:bCs/>
                <w:szCs w:val="21"/>
              </w:rPr>
              <w:t>4#</w:t>
            </w:r>
            <w:r>
              <w:rPr>
                <w:rFonts w:hint="eastAsia" w:asciiTheme="minorEastAsia" w:hAnsiTheme="minorEastAsia" w:eastAsiaTheme="minorEastAsia"/>
                <w:b w:val="0"/>
                <w:bCs/>
                <w:szCs w:val="21"/>
              </w:rPr>
              <w:t>、1</w:t>
            </w:r>
            <w:r>
              <w:rPr>
                <w:rFonts w:asciiTheme="minorEastAsia" w:hAnsiTheme="minorEastAsia" w:eastAsiaTheme="minorEastAsia"/>
                <w:b w:val="0"/>
                <w:bCs/>
                <w:szCs w:val="21"/>
              </w:rPr>
              <w:t>6#</w:t>
            </w:r>
            <w:r>
              <w:rPr>
                <w:rFonts w:hint="eastAsia" w:asciiTheme="minorEastAsia" w:hAnsiTheme="minorEastAsia" w:eastAsiaTheme="minorEastAsia"/>
                <w:b w:val="0"/>
                <w:bCs/>
                <w:szCs w:val="21"/>
              </w:rPr>
              <w:t>二味球磨</w:t>
            </w:r>
          </w:p>
        </w:tc>
        <w:tc>
          <w:tcPr>
            <w:tcW w:w="1123" w:type="dxa"/>
            <w:tcBorders>
              <w:tl2br w:val="nil"/>
              <w:tr2bl w:val="nil"/>
            </w:tcBorders>
            <w:shd w:val="clear" w:color="auto" w:fill="auto"/>
            <w:vAlign w:val="center"/>
          </w:tcPr>
          <w:p w14:paraId="0A4B08C4">
            <w:pPr>
              <w:jc w:val="center"/>
              <w:rPr>
                <w:rFonts w:ascii="宋体" w:hAnsi="宋体"/>
                <w:b w:val="0"/>
                <w:bCs/>
              </w:rPr>
            </w:pPr>
          </w:p>
        </w:tc>
      </w:tr>
      <w:tr w14:paraId="6976F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96" w:type="dxa"/>
            <w:tcBorders>
              <w:tl2br w:val="nil"/>
              <w:tr2bl w:val="nil"/>
            </w:tcBorders>
            <w:shd w:val="clear" w:color="auto" w:fill="auto"/>
            <w:vAlign w:val="center"/>
          </w:tcPr>
          <w:p w14:paraId="29545DBD">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3</w:t>
            </w:r>
          </w:p>
        </w:tc>
        <w:tc>
          <w:tcPr>
            <w:tcW w:w="2793" w:type="dxa"/>
            <w:tcBorders>
              <w:tl2br w:val="nil"/>
              <w:tr2bl w:val="nil"/>
            </w:tcBorders>
            <w:shd w:val="clear" w:color="auto" w:fill="auto"/>
            <w:vAlign w:val="center"/>
          </w:tcPr>
          <w:p w14:paraId="249CE95D">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黑火药智能自动混合/上潮/装模制片一体机</w:t>
            </w:r>
          </w:p>
        </w:tc>
        <w:tc>
          <w:tcPr>
            <w:tcW w:w="1549" w:type="dxa"/>
            <w:tcBorders>
              <w:tl2br w:val="nil"/>
              <w:tr2bl w:val="nil"/>
            </w:tcBorders>
            <w:shd w:val="clear" w:color="auto" w:fill="auto"/>
            <w:vAlign w:val="center"/>
          </w:tcPr>
          <w:p w14:paraId="32B15620">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4</w:t>
            </w:r>
          </w:p>
        </w:tc>
        <w:tc>
          <w:tcPr>
            <w:tcW w:w="2517" w:type="dxa"/>
            <w:tcBorders>
              <w:tl2br w:val="nil"/>
              <w:tr2bl w:val="nil"/>
            </w:tcBorders>
            <w:shd w:val="clear" w:color="auto" w:fill="auto"/>
            <w:vAlign w:val="center"/>
          </w:tcPr>
          <w:p w14:paraId="5841CC16">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r>
              <w:rPr>
                <w:rFonts w:asciiTheme="minorEastAsia" w:hAnsiTheme="minorEastAsia" w:eastAsiaTheme="minorEastAsia"/>
                <w:b w:val="0"/>
                <w:bCs/>
                <w:szCs w:val="21"/>
              </w:rPr>
              <w:t>3#</w:t>
            </w:r>
            <w:r>
              <w:rPr>
                <w:rFonts w:hint="eastAsia" w:asciiTheme="minorEastAsia" w:hAnsiTheme="minorEastAsia" w:eastAsiaTheme="minorEastAsia"/>
                <w:b w:val="0"/>
                <w:bCs/>
                <w:szCs w:val="21"/>
              </w:rPr>
              <w:t>、2</w:t>
            </w:r>
            <w:r>
              <w:rPr>
                <w:rFonts w:asciiTheme="minorEastAsia" w:hAnsiTheme="minorEastAsia" w:eastAsiaTheme="minorEastAsia"/>
                <w:b w:val="0"/>
                <w:bCs/>
                <w:szCs w:val="21"/>
              </w:rPr>
              <w:t>5#</w:t>
            </w:r>
            <w:r>
              <w:rPr>
                <w:rFonts w:hint="eastAsia" w:asciiTheme="minorEastAsia" w:hAnsiTheme="minorEastAsia" w:eastAsiaTheme="minorEastAsia"/>
                <w:b w:val="0"/>
                <w:bCs/>
                <w:szCs w:val="21"/>
              </w:rPr>
              <w:t>、7</w:t>
            </w:r>
            <w:r>
              <w:rPr>
                <w:rFonts w:asciiTheme="minorEastAsia" w:hAnsiTheme="minorEastAsia" w:eastAsiaTheme="minorEastAsia"/>
                <w:b w:val="0"/>
                <w:bCs/>
                <w:szCs w:val="21"/>
              </w:rPr>
              <w:t>1#</w:t>
            </w:r>
            <w:r>
              <w:rPr>
                <w:rFonts w:hint="eastAsia" w:asciiTheme="minorEastAsia" w:hAnsiTheme="minorEastAsia" w:eastAsiaTheme="minorEastAsia"/>
                <w:b w:val="0"/>
                <w:bCs/>
                <w:szCs w:val="21"/>
              </w:rPr>
              <w:t>、7</w:t>
            </w:r>
            <w:r>
              <w:rPr>
                <w:rFonts w:asciiTheme="minorEastAsia" w:hAnsiTheme="minorEastAsia" w:eastAsiaTheme="minorEastAsia"/>
                <w:b w:val="0"/>
                <w:bCs/>
                <w:szCs w:val="21"/>
              </w:rPr>
              <w:t>3#</w:t>
            </w:r>
            <w:r>
              <w:rPr>
                <w:rFonts w:hint="eastAsia" w:asciiTheme="minorEastAsia" w:hAnsiTheme="minorEastAsia" w:eastAsiaTheme="minorEastAsia"/>
                <w:b w:val="0"/>
                <w:bCs/>
                <w:szCs w:val="21"/>
              </w:rPr>
              <w:t>自动混合/上潮/装模制片</w:t>
            </w:r>
          </w:p>
        </w:tc>
        <w:tc>
          <w:tcPr>
            <w:tcW w:w="1123" w:type="dxa"/>
            <w:tcBorders>
              <w:tl2br w:val="nil"/>
              <w:tr2bl w:val="nil"/>
            </w:tcBorders>
            <w:shd w:val="clear" w:color="auto" w:fill="auto"/>
            <w:vAlign w:val="center"/>
          </w:tcPr>
          <w:p w14:paraId="6F3F4640">
            <w:pPr>
              <w:jc w:val="center"/>
              <w:rPr>
                <w:rFonts w:ascii="宋体" w:hAnsi="宋体"/>
                <w:b w:val="0"/>
                <w:bCs/>
              </w:rPr>
            </w:pPr>
          </w:p>
        </w:tc>
      </w:tr>
      <w:tr w14:paraId="0A3DB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133EE5BD">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4</w:t>
            </w:r>
          </w:p>
        </w:tc>
        <w:tc>
          <w:tcPr>
            <w:tcW w:w="2793" w:type="dxa"/>
            <w:tcBorders>
              <w:tl2br w:val="nil"/>
              <w:tr2bl w:val="nil"/>
            </w:tcBorders>
            <w:shd w:val="clear" w:color="auto" w:fill="auto"/>
            <w:vAlign w:val="center"/>
          </w:tcPr>
          <w:p w14:paraId="6F004897">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油压机</w:t>
            </w:r>
          </w:p>
        </w:tc>
        <w:tc>
          <w:tcPr>
            <w:tcW w:w="1549" w:type="dxa"/>
            <w:tcBorders>
              <w:tl2br w:val="nil"/>
              <w:tr2bl w:val="nil"/>
            </w:tcBorders>
            <w:shd w:val="clear" w:color="auto" w:fill="auto"/>
            <w:vAlign w:val="center"/>
          </w:tcPr>
          <w:p w14:paraId="78EDCD40">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517" w:type="dxa"/>
            <w:tcBorders>
              <w:tl2br w:val="nil"/>
              <w:tr2bl w:val="nil"/>
            </w:tcBorders>
            <w:shd w:val="clear" w:color="auto" w:fill="auto"/>
            <w:vAlign w:val="center"/>
          </w:tcPr>
          <w:p w14:paraId="55E80EF4">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3</w:t>
            </w:r>
            <w:r>
              <w:rPr>
                <w:rFonts w:asciiTheme="minorEastAsia" w:hAnsiTheme="minorEastAsia" w:eastAsiaTheme="minorEastAsia"/>
                <w:b w:val="0"/>
                <w:bCs/>
                <w:szCs w:val="21"/>
              </w:rPr>
              <w:t>1#</w:t>
            </w:r>
            <w:r>
              <w:rPr>
                <w:rFonts w:hint="eastAsia" w:asciiTheme="minorEastAsia" w:hAnsiTheme="minorEastAsia" w:eastAsiaTheme="minorEastAsia"/>
                <w:b w:val="0"/>
                <w:bCs/>
                <w:szCs w:val="21"/>
              </w:rPr>
              <w:t>、8</w:t>
            </w:r>
            <w:r>
              <w:rPr>
                <w:rFonts w:asciiTheme="minorEastAsia" w:hAnsiTheme="minorEastAsia" w:eastAsiaTheme="minorEastAsia"/>
                <w:b w:val="0"/>
                <w:bCs/>
                <w:szCs w:val="21"/>
              </w:rPr>
              <w:t>0#</w:t>
            </w:r>
            <w:r>
              <w:rPr>
                <w:rFonts w:hint="eastAsia" w:asciiTheme="minorEastAsia" w:hAnsiTheme="minorEastAsia" w:eastAsiaTheme="minorEastAsia"/>
                <w:b w:val="0"/>
                <w:bCs/>
                <w:szCs w:val="21"/>
              </w:rPr>
              <w:t>压药</w:t>
            </w:r>
          </w:p>
        </w:tc>
        <w:tc>
          <w:tcPr>
            <w:tcW w:w="1123" w:type="dxa"/>
            <w:tcBorders>
              <w:tl2br w:val="nil"/>
              <w:tr2bl w:val="nil"/>
            </w:tcBorders>
            <w:shd w:val="clear" w:color="auto" w:fill="auto"/>
            <w:vAlign w:val="center"/>
          </w:tcPr>
          <w:p w14:paraId="42928679">
            <w:pPr>
              <w:jc w:val="center"/>
              <w:rPr>
                <w:rFonts w:ascii="宋体" w:hAnsi="宋体"/>
                <w:b w:val="0"/>
                <w:bCs/>
              </w:rPr>
            </w:pPr>
          </w:p>
        </w:tc>
      </w:tr>
      <w:tr w14:paraId="6B00B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7C7C53B3">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5</w:t>
            </w:r>
          </w:p>
        </w:tc>
        <w:tc>
          <w:tcPr>
            <w:tcW w:w="2793" w:type="dxa"/>
            <w:tcBorders>
              <w:tl2br w:val="nil"/>
              <w:tr2bl w:val="nil"/>
            </w:tcBorders>
            <w:shd w:val="clear" w:color="auto" w:fill="auto"/>
            <w:vAlign w:val="center"/>
          </w:tcPr>
          <w:p w14:paraId="48A3E639">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油温机</w:t>
            </w:r>
          </w:p>
        </w:tc>
        <w:tc>
          <w:tcPr>
            <w:tcW w:w="1549" w:type="dxa"/>
            <w:tcBorders>
              <w:tl2br w:val="nil"/>
              <w:tr2bl w:val="nil"/>
            </w:tcBorders>
            <w:shd w:val="clear" w:color="auto" w:fill="auto"/>
            <w:vAlign w:val="center"/>
          </w:tcPr>
          <w:p w14:paraId="52C3FDA2">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517" w:type="dxa"/>
            <w:tcBorders>
              <w:tl2br w:val="nil"/>
              <w:tr2bl w:val="nil"/>
            </w:tcBorders>
            <w:shd w:val="clear" w:color="auto" w:fill="auto"/>
            <w:vAlign w:val="center"/>
          </w:tcPr>
          <w:p w14:paraId="43E62364">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3</w:t>
            </w:r>
            <w:r>
              <w:rPr>
                <w:rFonts w:asciiTheme="minorEastAsia" w:hAnsiTheme="minorEastAsia" w:eastAsiaTheme="minorEastAsia"/>
                <w:b w:val="0"/>
                <w:bCs/>
                <w:szCs w:val="21"/>
              </w:rPr>
              <w:t>2#</w:t>
            </w:r>
            <w:r>
              <w:rPr>
                <w:rFonts w:hint="eastAsia" w:asciiTheme="minorEastAsia" w:hAnsiTheme="minorEastAsia" w:eastAsiaTheme="minorEastAsia"/>
                <w:b w:val="0"/>
                <w:bCs/>
                <w:szCs w:val="21"/>
              </w:rPr>
              <w:t>、8</w:t>
            </w:r>
            <w:r>
              <w:rPr>
                <w:rFonts w:asciiTheme="minorEastAsia" w:hAnsiTheme="minorEastAsia" w:eastAsiaTheme="minorEastAsia"/>
                <w:b w:val="0"/>
                <w:bCs/>
                <w:szCs w:val="21"/>
              </w:rPr>
              <w:t>1#</w:t>
            </w:r>
            <w:r>
              <w:rPr>
                <w:rFonts w:hint="eastAsia" w:asciiTheme="minorEastAsia" w:hAnsiTheme="minorEastAsia" w:eastAsiaTheme="minorEastAsia"/>
                <w:b w:val="0"/>
                <w:bCs/>
                <w:szCs w:val="21"/>
              </w:rPr>
              <w:t>油温机</w:t>
            </w:r>
          </w:p>
        </w:tc>
        <w:tc>
          <w:tcPr>
            <w:tcW w:w="1123" w:type="dxa"/>
            <w:tcBorders>
              <w:tl2br w:val="nil"/>
              <w:tr2bl w:val="nil"/>
            </w:tcBorders>
            <w:shd w:val="clear" w:color="auto" w:fill="auto"/>
            <w:vAlign w:val="center"/>
          </w:tcPr>
          <w:p w14:paraId="6EE8909C">
            <w:pPr>
              <w:jc w:val="center"/>
              <w:rPr>
                <w:rFonts w:ascii="宋体" w:hAnsi="宋体"/>
                <w:b w:val="0"/>
                <w:bCs/>
              </w:rPr>
            </w:pPr>
          </w:p>
        </w:tc>
      </w:tr>
      <w:tr w14:paraId="3285F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1560299C">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6</w:t>
            </w:r>
          </w:p>
        </w:tc>
        <w:tc>
          <w:tcPr>
            <w:tcW w:w="2793" w:type="dxa"/>
            <w:tcBorders>
              <w:tl2br w:val="nil"/>
              <w:tr2bl w:val="nil"/>
            </w:tcBorders>
            <w:shd w:val="clear" w:color="auto" w:fill="auto"/>
            <w:vAlign w:val="center"/>
          </w:tcPr>
          <w:p w14:paraId="2528FED8">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造粒机</w:t>
            </w:r>
          </w:p>
        </w:tc>
        <w:tc>
          <w:tcPr>
            <w:tcW w:w="1549" w:type="dxa"/>
            <w:tcBorders>
              <w:tl2br w:val="nil"/>
              <w:tr2bl w:val="nil"/>
            </w:tcBorders>
            <w:shd w:val="clear" w:color="auto" w:fill="auto"/>
            <w:vAlign w:val="center"/>
          </w:tcPr>
          <w:p w14:paraId="30C56EA6">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517" w:type="dxa"/>
            <w:tcBorders>
              <w:tl2br w:val="nil"/>
              <w:tr2bl w:val="nil"/>
            </w:tcBorders>
            <w:shd w:val="clear" w:color="auto" w:fill="auto"/>
            <w:vAlign w:val="center"/>
          </w:tcPr>
          <w:p w14:paraId="2132A967">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3</w:t>
            </w:r>
            <w:r>
              <w:rPr>
                <w:rFonts w:asciiTheme="minorEastAsia" w:hAnsiTheme="minorEastAsia" w:eastAsiaTheme="minorEastAsia"/>
                <w:b w:val="0"/>
                <w:bCs/>
                <w:szCs w:val="21"/>
              </w:rPr>
              <w:t>9#</w:t>
            </w:r>
            <w:r>
              <w:rPr>
                <w:rFonts w:hint="eastAsia" w:asciiTheme="minorEastAsia" w:hAnsiTheme="minorEastAsia" w:eastAsiaTheme="minorEastAsia"/>
                <w:b w:val="0"/>
                <w:bCs/>
                <w:szCs w:val="21"/>
              </w:rPr>
              <w:t>、8</w:t>
            </w:r>
            <w:r>
              <w:rPr>
                <w:rFonts w:asciiTheme="minorEastAsia" w:hAnsiTheme="minorEastAsia" w:eastAsiaTheme="minorEastAsia"/>
                <w:b w:val="0"/>
                <w:bCs/>
                <w:szCs w:val="21"/>
              </w:rPr>
              <w:t>7#</w:t>
            </w:r>
            <w:r>
              <w:rPr>
                <w:rFonts w:hint="eastAsia" w:asciiTheme="minorEastAsia" w:hAnsiTheme="minorEastAsia" w:eastAsiaTheme="minorEastAsia"/>
                <w:b w:val="0"/>
                <w:bCs/>
                <w:szCs w:val="21"/>
              </w:rPr>
              <w:t>造粒</w:t>
            </w:r>
          </w:p>
        </w:tc>
        <w:tc>
          <w:tcPr>
            <w:tcW w:w="1123" w:type="dxa"/>
            <w:tcBorders>
              <w:tl2br w:val="nil"/>
              <w:tr2bl w:val="nil"/>
            </w:tcBorders>
            <w:shd w:val="clear" w:color="auto" w:fill="auto"/>
            <w:vAlign w:val="center"/>
          </w:tcPr>
          <w:p w14:paraId="2F9998C1">
            <w:pPr>
              <w:jc w:val="center"/>
              <w:rPr>
                <w:rFonts w:ascii="宋体" w:hAnsi="宋体"/>
                <w:b w:val="0"/>
                <w:bCs/>
              </w:rPr>
            </w:pPr>
          </w:p>
        </w:tc>
      </w:tr>
      <w:tr w14:paraId="3AC1D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96" w:type="dxa"/>
            <w:tcBorders>
              <w:tl2br w:val="nil"/>
              <w:tr2bl w:val="nil"/>
            </w:tcBorders>
            <w:shd w:val="clear" w:color="auto" w:fill="auto"/>
            <w:vAlign w:val="center"/>
          </w:tcPr>
          <w:p w14:paraId="57726213">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7</w:t>
            </w:r>
          </w:p>
        </w:tc>
        <w:tc>
          <w:tcPr>
            <w:tcW w:w="2793" w:type="dxa"/>
            <w:tcBorders>
              <w:tl2br w:val="nil"/>
              <w:tr2bl w:val="nil"/>
            </w:tcBorders>
            <w:shd w:val="clear" w:color="auto" w:fill="auto"/>
            <w:vAlign w:val="center"/>
          </w:tcPr>
          <w:p w14:paraId="5A2948B2">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抛光机</w:t>
            </w:r>
          </w:p>
        </w:tc>
        <w:tc>
          <w:tcPr>
            <w:tcW w:w="1549" w:type="dxa"/>
            <w:tcBorders>
              <w:tl2br w:val="nil"/>
              <w:tr2bl w:val="nil"/>
            </w:tcBorders>
            <w:shd w:val="clear" w:color="auto" w:fill="auto"/>
            <w:vAlign w:val="center"/>
          </w:tcPr>
          <w:p w14:paraId="7CD6ADAD">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6</w:t>
            </w:r>
          </w:p>
        </w:tc>
        <w:tc>
          <w:tcPr>
            <w:tcW w:w="2517" w:type="dxa"/>
            <w:tcBorders>
              <w:tl2br w:val="nil"/>
              <w:tr2bl w:val="nil"/>
            </w:tcBorders>
            <w:shd w:val="clear" w:color="auto" w:fill="auto"/>
            <w:vAlign w:val="center"/>
          </w:tcPr>
          <w:p w14:paraId="52D1BDF5">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4</w:t>
            </w:r>
            <w:r>
              <w:rPr>
                <w:rFonts w:asciiTheme="minorEastAsia" w:hAnsiTheme="minorEastAsia" w:eastAsiaTheme="minorEastAsia"/>
                <w:b w:val="0"/>
                <w:bCs/>
                <w:szCs w:val="21"/>
              </w:rPr>
              <w:t>3#</w:t>
            </w:r>
            <w:r>
              <w:rPr>
                <w:rFonts w:hint="eastAsia" w:asciiTheme="minorEastAsia" w:hAnsiTheme="minorEastAsia" w:eastAsiaTheme="minorEastAsia"/>
                <w:b w:val="0"/>
                <w:bCs/>
                <w:szCs w:val="21"/>
              </w:rPr>
              <w:t>、4</w:t>
            </w:r>
            <w:r>
              <w:rPr>
                <w:rFonts w:asciiTheme="minorEastAsia" w:hAnsiTheme="minorEastAsia" w:eastAsiaTheme="minorEastAsia"/>
                <w:b w:val="0"/>
                <w:bCs/>
                <w:szCs w:val="21"/>
              </w:rPr>
              <w:t>4#</w:t>
            </w:r>
            <w:r>
              <w:rPr>
                <w:rFonts w:hint="eastAsia" w:asciiTheme="minorEastAsia" w:hAnsiTheme="minorEastAsia" w:eastAsiaTheme="minorEastAsia"/>
                <w:b w:val="0"/>
                <w:bCs/>
                <w:szCs w:val="21"/>
              </w:rPr>
              <w:t>、4</w:t>
            </w:r>
            <w:r>
              <w:rPr>
                <w:rFonts w:asciiTheme="minorEastAsia" w:hAnsiTheme="minorEastAsia" w:eastAsiaTheme="minorEastAsia"/>
                <w:b w:val="0"/>
                <w:bCs/>
                <w:szCs w:val="21"/>
              </w:rPr>
              <w:t>5#</w:t>
            </w:r>
            <w:r>
              <w:rPr>
                <w:rFonts w:hint="eastAsia" w:asciiTheme="minorEastAsia" w:hAnsiTheme="minorEastAsia" w:eastAsiaTheme="minorEastAsia"/>
                <w:b w:val="0"/>
                <w:bCs/>
                <w:szCs w:val="21"/>
              </w:rPr>
              <w:t>、9</w:t>
            </w:r>
            <w:r>
              <w:rPr>
                <w:rFonts w:asciiTheme="minorEastAsia" w:hAnsiTheme="minorEastAsia" w:eastAsiaTheme="minorEastAsia"/>
                <w:b w:val="0"/>
                <w:bCs/>
                <w:szCs w:val="21"/>
              </w:rPr>
              <w:t>4#</w:t>
            </w:r>
            <w:r>
              <w:rPr>
                <w:rFonts w:hint="eastAsia" w:asciiTheme="minorEastAsia" w:hAnsiTheme="minorEastAsia" w:eastAsiaTheme="minorEastAsia"/>
                <w:b w:val="0"/>
                <w:bCs/>
                <w:szCs w:val="21"/>
              </w:rPr>
              <w:t>、9</w:t>
            </w:r>
            <w:r>
              <w:rPr>
                <w:rFonts w:asciiTheme="minorEastAsia" w:hAnsiTheme="minorEastAsia" w:eastAsiaTheme="minorEastAsia"/>
                <w:b w:val="0"/>
                <w:bCs/>
                <w:szCs w:val="21"/>
              </w:rPr>
              <w:t>5#</w:t>
            </w:r>
            <w:r>
              <w:rPr>
                <w:rFonts w:hint="eastAsia" w:asciiTheme="minorEastAsia" w:hAnsiTheme="minorEastAsia" w:eastAsiaTheme="minorEastAsia"/>
                <w:b w:val="0"/>
                <w:bCs/>
                <w:szCs w:val="21"/>
              </w:rPr>
              <w:t>、9</w:t>
            </w:r>
            <w:r>
              <w:rPr>
                <w:rFonts w:asciiTheme="minorEastAsia" w:hAnsiTheme="minorEastAsia" w:eastAsiaTheme="minorEastAsia"/>
                <w:b w:val="0"/>
                <w:bCs/>
                <w:szCs w:val="21"/>
              </w:rPr>
              <w:t>6#</w:t>
            </w:r>
            <w:r>
              <w:rPr>
                <w:rFonts w:hint="eastAsia" w:asciiTheme="minorEastAsia" w:hAnsiTheme="minorEastAsia" w:eastAsiaTheme="minorEastAsia"/>
                <w:b w:val="0"/>
                <w:bCs/>
                <w:szCs w:val="21"/>
              </w:rPr>
              <w:t>抛光</w:t>
            </w:r>
          </w:p>
        </w:tc>
        <w:tc>
          <w:tcPr>
            <w:tcW w:w="1123" w:type="dxa"/>
            <w:tcBorders>
              <w:tl2br w:val="nil"/>
              <w:tr2bl w:val="nil"/>
            </w:tcBorders>
            <w:shd w:val="clear" w:color="auto" w:fill="auto"/>
            <w:vAlign w:val="center"/>
          </w:tcPr>
          <w:p w14:paraId="53714070">
            <w:pPr>
              <w:jc w:val="center"/>
              <w:rPr>
                <w:rFonts w:ascii="宋体" w:hAnsi="宋体"/>
                <w:b w:val="0"/>
                <w:bCs/>
              </w:rPr>
            </w:pPr>
          </w:p>
        </w:tc>
      </w:tr>
      <w:tr w14:paraId="747CC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96" w:type="dxa"/>
            <w:tcBorders>
              <w:tl2br w:val="nil"/>
              <w:tr2bl w:val="nil"/>
            </w:tcBorders>
            <w:shd w:val="clear" w:color="auto" w:fill="auto"/>
            <w:vAlign w:val="center"/>
          </w:tcPr>
          <w:p w14:paraId="39CBD5D9">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8</w:t>
            </w:r>
          </w:p>
        </w:tc>
        <w:tc>
          <w:tcPr>
            <w:tcW w:w="2793" w:type="dxa"/>
            <w:tcBorders>
              <w:tl2br w:val="nil"/>
              <w:tr2bl w:val="nil"/>
            </w:tcBorders>
            <w:shd w:val="clear" w:color="auto" w:fill="auto"/>
            <w:vAlign w:val="center"/>
          </w:tcPr>
          <w:p w14:paraId="5BD7AEA9">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筛选机</w:t>
            </w:r>
          </w:p>
        </w:tc>
        <w:tc>
          <w:tcPr>
            <w:tcW w:w="1549" w:type="dxa"/>
            <w:tcBorders>
              <w:tl2br w:val="nil"/>
              <w:tr2bl w:val="nil"/>
            </w:tcBorders>
            <w:shd w:val="clear" w:color="auto" w:fill="auto"/>
            <w:vAlign w:val="center"/>
          </w:tcPr>
          <w:p w14:paraId="7C547883">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2</w:t>
            </w:r>
          </w:p>
        </w:tc>
        <w:tc>
          <w:tcPr>
            <w:tcW w:w="2517" w:type="dxa"/>
            <w:tcBorders>
              <w:tl2br w:val="nil"/>
              <w:tr2bl w:val="nil"/>
            </w:tcBorders>
            <w:shd w:val="clear" w:color="auto" w:fill="auto"/>
            <w:vAlign w:val="center"/>
          </w:tcPr>
          <w:p w14:paraId="4FA021BD">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5</w:t>
            </w:r>
            <w:r>
              <w:rPr>
                <w:rFonts w:asciiTheme="minorEastAsia" w:hAnsiTheme="minorEastAsia" w:eastAsiaTheme="minorEastAsia"/>
                <w:b w:val="0"/>
                <w:bCs/>
                <w:szCs w:val="21"/>
              </w:rPr>
              <w:t>1#</w:t>
            </w:r>
            <w:r>
              <w:rPr>
                <w:rFonts w:hint="eastAsia" w:asciiTheme="minorEastAsia" w:hAnsiTheme="minorEastAsia" w:eastAsiaTheme="minorEastAsia"/>
                <w:b w:val="0"/>
                <w:bCs/>
                <w:szCs w:val="21"/>
              </w:rPr>
              <w:t>、1</w:t>
            </w:r>
            <w:r>
              <w:rPr>
                <w:rFonts w:asciiTheme="minorEastAsia" w:hAnsiTheme="minorEastAsia" w:eastAsiaTheme="minorEastAsia"/>
                <w:b w:val="0"/>
                <w:bCs/>
                <w:szCs w:val="21"/>
              </w:rPr>
              <w:t>01#</w:t>
            </w:r>
            <w:r>
              <w:rPr>
                <w:rFonts w:hint="eastAsia" w:asciiTheme="minorEastAsia" w:hAnsiTheme="minorEastAsia" w:eastAsiaTheme="minorEastAsia"/>
                <w:b w:val="0"/>
                <w:bCs/>
                <w:szCs w:val="21"/>
              </w:rPr>
              <w:t>筛选</w:t>
            </w:r>
          </w:p>
        </w:tc>
        <w:tc>
          <w:tcPr>
            <w:tcW w:w="1123" w:type="dxa"/>
            <w:tcBorders>
              <w:tl2br w:val="nil"/>
              <w:tr2bl w:val="nil"/>
            </w:tcBorders>
            <w:shd w:val="clear" w:color="auto" w:fill="auto"/>
            <w:vAlign w:val="center"/>
          </w:tcPr>
          <w:p w14:paraId="4D3B3C15">
            <w:pPr>
              <w:jc w:val="center"/>
              <w:rPr>
                <w:rFonts w:ascii="宋体" w:hAnsi="宋体"/>
                <w:b w:val="0"/>
                <w:bCs/>
              </w:rPr>
            </w:pPr>
          </w:p>
        </w:tc>
      </w:tr>
      <w:tr w14:paraId="60FC2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96" w:type="dxa"/>
            <w:tcBorders>
              <w:tl2br w:val="nil"/>
              <w:tr2bl w:val="nil"/>
            </w:tcBorders>
            <w:shd w:val="clear" w:color="auto" w:fill="auto"/>
            <w:vAlign w:val="center"/>
          </w:tcPr>
          <w:p w14:paraId="71A23741">
            <w:pPr>
              <w:widowControl/>
              <w:snapToGrid w:val="0"/>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9</w:t>
            </w:r>
          </w:p>
        </w:tc>
        <w:tc>
          <w:tcPr>
            <w:tcW w:w="2793" w:type="dxa"/>
            <w:tcBorders>
              <w:tl2br w:val="nil"/>
              <w:tr2bl w:val="nil"/>
            </w:tcBorders>
            <w:shd w:val="clear" w:color="auto" w:fill="auto"/>
            <w:vAlign w:val="center"/>
          </w:tcPr>
          <w:p w14:paraId="772EBD75">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三味球磨/筛选机</w:t>
            </w:r>
          </w:p>
        </w:tc>
        <w:tc>
          <w:tcPr>
            <w:tcW w:w="1549" w:type="dxa"/>
            <w:tcBorders>
              <w:tl2br w:val="nil"/>
              <w:tr2bl w:val="nil"/>
            </w:tcBorders>
            <w:shd w:val="clear" w:color="auto" w:fill="auto"/>
            <w:vAlign w:val="center"/>
          </w:tcPr>
          <w:p w14:paraId="572733A7">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4</w:t>
            </w:r>
          </w:p>
        </w:tc>
        <w:tc>
          <w:tcPr>
            <w:tcW w:w="2517" w:type="dxa"/>
            <w:tcBorders>
              <w:tl2br w:val="nil"/>
              <w:tr2bl w:val="nil"/>
            </w:tcBorders>
            <w:shd w:val="clear" w:color="auto" w:fill="auto"/>
            <w:vAlign w:val="center"/>
          </w:tcPr>
          <w:p w14:paraId="15F57B24">
            <w:pPr>
              <w:spacing w:line="20" w:lineRule="atLeast"/>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1</w:t>
            </w:r>
            <w:r>
              <w:rPr>
                <w:rFonts w:asciiTheme="minorEastAsia" w:hAnsiTheme="minorEastAsia" w:eastAsiaTheme="minorEastAsia"/>
                <w:b w:val="0"/>
                <w:bCs/>
                <w:szCs w:val="21"/>
              </w:rPr>
              <w:t>29#</w:t>
            </w:r>
            <w:r>
              <w:rPr>
                <w:rFonts w:hint="eastAsia" w:asciiTheme="minorEastAsia" w:hAnsiTheme="minorEastAsia" w:eastAsiaTheme="minorEastAsia"/>
                <w:b w:val="0"/>
                <w:bCs/>
                <w:szCs w:val="21"/>
              </w:rPr>
              <w:t>、1</w:t>
            </w:r>
            <w:r>
              <w:rPr>
                <w:rFonts w:asciiTheme="minorEastAsia" w:hAnsiTheme="minorEastAsia" w:eastAsiaTheme="minorEastAsia"/>
                <w:b w:val="0"/>
                <w:bCs/>
                <w:szCs w:val="21"/>
              </w:rPr>
              <w:t>30#</w:t>
            </w:r>
            <w:r>
              <w:rPr>
                <w:rFonts w:hint="eastAsia" w:asciiTheme="minorEastAsia" w:hAnsiTheme="minorEastAsia" w:eastAsiaTheme="minorEastAsia"/>
                <w:b w:val="0"/>
                <w:bCs/>
                <w:szCs w:val="21"/>
              </w:rPr>
              <w:t>、1</w:t>
            </w:r>
            <w:r>
              <w:rPr>
                <w:rFonts w:asciiTheme="minorEastAsia" w:hAnsiTheme="minorEastAsia" w:eastAsiaTheme="minorEastAsia"/>
                <w:b w:val="0"/>
                <w:bCs/>
                <w:szCs w:val="21"/>
              </w:rPr>
              <w:t>31#</w:t>
            </w:r>
            <w:r>
              <w:rPr>
                <w:rFonts w:hint="eastAsia" w:asciiTheme="minorEastAsia" w:hAnsiTheme="minorEastAsia" w:eastAsiaTheme="minorEastAsia"/>
                <w:b w:val="0"/>
                <w:bCs/>
                <w:szCs w:val="21"/>
              </w:rPr>
              <w:t>、1</w:t>
            </w:r>
            <w:r>
              <w:rPr>
                <w:rFonts w:asciiTheme="minorEastAsia" w:hAnsiTheme="minorEastAsia" w:eastAsiaTheme="minorEastAsia"/>
                <w:b w:val="0"/>
                <w:bCs/>
                <w:szCs w:val="21"/>
              </w:rPr>
              <w:t>32#</w:t>
            </w:r>
            <w:r>
              <w:rPr>
                <w:rFonts w:hint="eastAsia" w:asciiTheme="minorEastAsia" w:hAnsiTheme="minorEastAsia" w:eastAsiaTheme="minorEastAsia"/>
                <w:b w:val="0"/>
                <w:bCs/>
                <w:szCs w:val="21"/>
              </w:rPr>
              <w:t>三味球磨/筛选</w:t>
            </w:r>
          </w:p>
        </w:tc>
        <w:tc>
          <w:tcPr>
            <w:tcW w:w="1123" w:type="dxa"/>
            <w:tcBorders>
              <w:tl2br w:val="nil"/>
              <w:tr2bl w:val="nil"/>
            </w:tcBorders>
            <w:shd w:val="clear" w:color="auto" w:fill="auto"/>
            <w:vAlign w:val="center"/>
          </w:tcPr>
          <w:p w14:paraId="0581D605">
            <w:pPr>
              <w:jc w:val="center"/>
              <w:rPr>
                <w:rFonts w:ascii="宋体" w:hAnsi="宋体"/>
                <w:b w:val="0"/>
                <w:bCs/>
              </w:rPr>
            </w:pPr>
          </w:p>
        </w:tc>
      </w:tr>
    </w:tbl>
    <w:p w14:paraId="4515E644">
      <w:pPr>
        <w:keepNext/>
        <w:keepLines/>
        <w:spacing w:before="240" w:beforeLines="100" w:line="360" w:lineRule="auto"/>
        <w:outlineLvl w:val="1"/>
        <w:rPr>
          <w:rFonts w:ascii="黑体" w:hAnsi="宋体" w:eastAsia="黑体"/>
          <w:b w:val="0"/>
          <w:bCs/>
          <w:snapToGrid w:val="0"/>
          <w:sz w:val="30"/>
          <w:szCs w:val="30"/>
        </w:rPr>
      </w:pPr>
      <w:bookmarkStart w:id="133" w:name="_Toc297251647"/>
      <w:bookmarkStart w:id="134" w:name="_Toc300256197"/>
      <w:bookmarkStart w:id="135" w:name="_Toc239191496"/>
      <w:bookmarkStart w:id="136" w:name="_Toc278054186"/>
      <w:bookmarkStart w:id="137" w:name="_Toc300329572"/>
      <w:bookmarkStart w:id="138" w:name="_Toc300344394"/>
      <w:r>
        <w:rPr>
          <w:rFonts w:hint="eastAsia" w:ascii="黑体" w:hAnsi="宋体" w:eastAsia="黑体"/>
          <w:b w:val="0"/>
          <w:bCs/>
          <w:snapToGrid w:val="0"/>
          <w:sz w:val="30"/>
          <w:szCs w:val="30"/>
        </w:rPr>
        <w:t>2.</w:t>
      </w:r>
      <w:r>
        <w:rPr>
          <w:rFonts w:ascii="黑体" w:hAnsi="宋体" w:eastAsia="黑体"/>
          <w:b w:val="0"/>
          <w:bCs/>
          <w:snapToGrid w:val="0"/>
          <w:sz w:val="30"/>
          <w:szCs w:val="30"/>
        </w:rPr>
        <w:t>7</w:t>
      </w:r>
      <w:r>
        <w:rPr>
          <w:rFonts w:hint="eastAsia" w:ascii="黑体" w:hAnsi="宋体" w:eastAsia="黑体"/>
          <w:b w:val="0"/>
          <w:bCs/>
          <w:snapToGrid w:val="0"/>
          <w:sz w:val="30"/>
          <w:szCs w:val="30"/>
        </w:rPr>
        <w:t>内外部安全距离</w:t>
      </w:r>
      <w:bookmarkEnd w:id="133"/>
      <w:bookmarkEnd w:id="134"/>
      <w:bookmarkEnd w:id="135"/>
      <w:bookmarkEnd w:id="136"/>
      <w:bookmarkEnd w:id="137"/>
      <w:bookmarkEnd w:id="138"/>
    </w:p>
    <w:p w14:paraId="742F8881">
      <w:pPr>
        <w:pStyle w:val="7"/>
        <w:rPr>
          <w:rFonts w:ascii="黑体" w:hAnsi="宋体" w:eastAsia="黑体"/>
          <w:b w:val="0"/>
          <w:bCs w:val="0"/>
          <w:snapToGrid w:val="0"/>
          <w:sz w:val="30"/>
          <w:szCs w:val="30"/>
        </w:rPr>
      </w:pPr>
      <w:bookmarkStart w:id="139" w:name="_Toc278054187"/>
      <w:bookmarkStart w:id="140" w:name="_Toc300329573"/>
      <w:bookmarkStart w:id="141" w:name="_Toc300256198"/>
      <w:bookmarkStart w:id="142" w:name="_Toc300344395"/>
      <w:bookmarkStart w:id="143" w:name="_Toc165038781"/>
      <w:r>
        <w:rPr>
          <w:rFonts w:hint="eastAsia" w:ascii="黑体" w:hAnsi="宋体" w:eastAsia="黑体"/>
          <w:b w:val="0"/>
          <w:bCs w:val="0"/>
          <w:snapToGrid w:val="0"/>
          <w:sz w:val="30"/>
          <w:szCs w:val="30"/>
        </w:rPr>
        <w:t>2.</w:t>
      </w:r>
      <w:r>
        <w:rPr>
          <w:rFonts w:ascii="黑体" w:hAnsi="宋体" w:eastAsia="黑体"/>
          <w:b w:val="0"/>
          <w:bCs w:val="0"/>
          <w:snapToGrid w:val="0"/>
          <w:sz w:val="30"/>
          <w:szCs w:val="30"/>
        </w:rPr>
        <w:t>7</w:t>
      </w:r>
      <w:r>
        <w:rPr>
          <w:rFonts w:hint="eastAsia" w:ascii="黑体" w:hAnsi="宋体" w:eastAsia="黑体"/>
          <w:b w:val="0"/>
          <w:bCs w:val="0"/>
          <w:snapToGrid w:val="0"/>
          <w:sz w:val="30"/>
          <w:szCs w:val="30"/>
        </w:rPr>
        <w:t>.1外部安全距离</w:t>
      </w:r>
      <w:bookmarkEnd w:id="139"/>
      <w:bookmarkEnd w:id="140"/>
      <w:bookmarkEnd w:id="141"/>
      <w:bookmarkEnd w:id="142"/>
      <w:bookmarkEnd w:id="143"/>
    </w:p>
    <w:p w14:paraId="5E94B9D8">
      <w:pPr>
        <w:spacing w:line="360" w:lineRule="auto"/>
        <w:ind w:firstLine="536" w:firstLineChars="200"/>
        <w:rPr>
          <w:rFonts w:ascii="宋体" w:hAnsi="宋体"/>
          <w:b w:val="0"/>
          <w:spacing w:val="-6"/>
          <w:sz w:val="28"/>
          <w:szCs w:val="28"/>
          <w:lang w:val="en-GB"/>
        </w:rPr>
      </w:pPr>
      <w:r>
        <w:rPr>
          <w:rFonts w:hint="eastAsia" w:ascii="宋体" w:hAnsi="宋体"/>
          <w:b w:val="0"/>
          <w:spacing w:val="-6"/>
          <w:sz w:val="28"/>
          <w:szCs w:val="28"/>
          <w:lang w:val="en-GB"/>
        </w:rPr>
        <w:t>根据《湖南金帝烟花爆竹制造有限公司泉水工区扩建项目安全设施设计平面布置图》（初步设计方案图）（由大连市化工设计院有限公司提供），该项目工（库）房的外部距离按不小于国家现行标准《烟花爆竹工程设计安全标准》（GB50161-2022）的外部最小允许距离进行建设（设计）。划定的工（库）房外部最小允许距离范围内不得进行相应的工程建设。</w:t>
      </w:r>
    </w:p>
    <w:p w14:paraId="0AAA6C6A">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扩建项目厂区边缘建筑物与周围建(构)筑物及（设施）的距离情况见表2.</w:t>
      </w:r>
      <w:r>
        <w:rPr>
          <w:rFonts w:ascii="宋体" w:hAnsi="宋体"/>
          <w:b w:val="0"/>
          <w:snapToGrid w:val="0"/>
          <w:sz w:val="28"/>
          <w:szCs w:val="28"/>
        </w:rPr>
        <w:t>7</w:t>
      </w:r>
      <w:r>
        <w:rPr>
          <w:rFonts w:hint="eastAsia" w:ascii="宋体" w:hAnsi="宋体"/>
          <w:b w:val="0"/>
          <w:snapToGrid w:val="0"/>
          <w:sz w:val="28"/>
          <w:szCs w:val="28"/>
        </w:rPr>
        <w:t>-</w:t>
      </w:r>
      <w:r>
        <w:rPr>
          <w:rFonts w:ascii="宋体" w:hAnsi="宋体"/>
          <w:b w:val="0"/>
          <w:snapToGrid w:val="0"/>
          <w:sz w:val="28"/>
          <w:szCs w:val="28"/>
        </w:rPr>
        <w:t>1</w:t>
      </w:r>
      <w:r>
        <w:rPr>
          <w:rFonts w:hint="eastAsia" w:ascii="宋体" w:hAnsi="宋体"/>
          <w:b w:val="0"/>
          <w:snapToGrid w:val="0"/>
          <w:sz w:val="28"/>
          <w:szCs w:val="28"/>
        </w:rPr>
        <w:t>。</w:t>
      </w:r>
    </w:p>
    <w:p w14:paraId="470DC2EC">
      <w:pPr>
        <w:jc w:val="center"/>
        <w:rPr>
          <w:rFonts w:ascii="黑体" w:hAnsi="黑体" w:eastAsia="黑体"/>
          <w:b w:val="0"/>
          <w:bCs/>
          <w:sz w:val="24"/>
        </w:rPr>
      </w:pPr>
      <w:r>
        <w:rPr>
          <w:rFonts w:hint="eastAsia" w:ascii="黑体" w:hAnsi="黑体" w:eastAsia="黑体"/>
          <w:b w:val="0"/>
          <w:bCs/>
          <w:sz w:val="24"/>
        </w:rPr>
        <w:t>表2.7-1 周边外部距离情况表</w:t>
      </w:r>
    </w:p>
    <w:tbl>
      <w:tblPr>
        <w:tblStyle w:val="88"/>
        <w:tblW w:w="94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138"/>
        <w:gridCol w:w="707"/>
        <w:gridCol w:w="992"/>
        <w:gridCol w:w="2266"/>
        <w:gridCol w:w="850"/>
        <w:gridCol w:w="1866"/>
      </w:tblGrid>
      <w:tr w14:paraId="0BCBF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656" w:type="dxa"/>
            <w:vAlign w:val="center"/>
          </w:tcPr>
          <w:p w14:paraId="75FBBC36">
            <w:pPr>
              <w:jc w:val="center"/>
              <w:rPr>
                <w:rFonts w:asciiTheme="minorEastAsia" w:hAnsiTheme="minorEastAsia" w:eastAsiaTheme="minorEastAsia"/>
                <w:szCs w:val="21"/>
              </w:rPr>
            </w:pPr>
            <w:r>
              <w:rPr>
                <w:rFonts w:hint="eastAsia" w:asciiTheme="minorEastAsia" w:hAnsiTheme="minorEastAsia" w:eastAsiaTheme="minorEastAsia"/>
                <w:szCs w:val="21"/>
              </w:rPr>
              <w:t>方</w:t>
            </w:r>
            <w:r>
              <w:rPr>
                <w:rFonts w:asciiTheme="minorEastAsia" w:hAnsiTheme="minorEastAsia" w:eastAsiaTheme="minorEastAsia"/>
                <w:szCs w:val="21"/>
              </w:rPr>
              <w:t>位</w:t>
            </w:r>
          </w:p>
        </w:tc>
        <w:tc>
          <w:tcPr>
            <w:tcW w:w="2138" w:type="dxa"/>
            <w:vAlign w:val="center"/>
          </w:tcPr>
          <w:p w14:paraId="557053B5">
            <w:pPr>
              <w:jc w:val="center"/>
              <w:rPr>
                <w:rFonts w:asciiTheme="minorEastAsia" w:hAnsiTheme="minorEastAsia" w:eastAsiaTheme="minorEastAsia"/>
                <w:kern w:val="0"/>
                <w:szCs w:val="21"/>
              </w:rPr>
            </w:pPr>
            <w:r>
              <w:rPr>
                <w:rFonts w:hint="eastAsia" w:asciiTheme="minorEastAsia" w:hAnsiTheme="minorEastAsia" w:eastAsiaTheme="minorEastAsia"/>
                <w:szCs w:val="21"/>
              </w:rPr>
              <w:t>建（构）筑物名称</w:t>
            </w:r>
          </w:p>
        </w:tc>
        <w:tc>
          <w:tcPr>
            <w:tcW w:w="707" w:type="dxa"/>
            <w:vAlign w:val="center"/>
          </w:tcPr>
          <w:p w14:paraId="51483CC4">
            <w:pPr>
              <w:jc w:val="center"/>
              <w:rPr>
                <w:rFonts w:asciiTheme="minorEastAsia" w:hAnsiTheme="minorEastAsia" w:eastAsiaTheme="minorEastAsia"/>
                <w:szCs w:val="21"/>
              </w:rPr>
            </w:pPr>
            <w:r>
              <w:rPr>
                <w:rFonts w:hint="eastAsia" w:asciiTheme="minorEastAsia" w:hAnsiTheme="minorEastAsia" w:eastAsiaTheme="minorEastAsia"/>
                <w:szCs w:val="21"/>
              </w:rPr>
              <w:t>危险</w:t>
            </w:r>
          </w:p>
          <w:p w14:paraId="5B500843">
            <w:pPr>
              <w:jc w:val="center"/>
              <w:rPr>
                <w:rFonts w:asciiTheme="minorEastAsia" w:hAnsiTheme="minorEastAsia" w:eastAsiaTheme="minorEastAsia"/>
                <w:szCs w:val="21"/>
              </w:rPr>
            </w:pPr>
            <w:r>
              <w:rPr>
                <w:rFonts w:hint="eastAsia" w:asciiTheme="minorEastAsia" w:hAnsiTheme="minorEastAsia" w:eastAsiaTheme="minorEastAsia"/>
                <w:szCs w:val="21"/>
              </w:rPr>
              <w:t>等级</w:t>
            </w:r>
          </w:p>
        </w:tc>
        <w:tc>
          <w:tcPr>
            <w:tcW w:w="992" w:type="dxa"/>
            <w:vAlign w:val="center"/>
          </w:tcPr>
          <w:p w14:paraId="2859E31C">
            <w:pPr>
              <w:jc w:val="center"/>
              <w:rPr>
                <w:rFonts w:asciiTheme="minorEastAsia" w:hAnsiTheme="minorEastAsia" w:eastAsiaTheme="minorEastAsia"/>
                <w:szCs w:val="21"/>
              </w:rPr>
            </w:pPr>
            <w:r>
              <w:rPr>
                <w:rFonts w:hint="eastAsia" w:asciiTheme="minorEastAsia" w:hAnsiTheme="minorEastAsia" w:eastAsiaTheme="minorEastAsia"/>
                <w:szCs w:val="21"/>
              </w:rPr>
              <w:t>计算药量（kg）</w:t>
            </w:r>
          </w:p>
        </w:tc>
        <w:tc>
          <w:tcPr>
            <w:tcW w:w="2266" w:type="dxa"/>
            <w:vAlign w:val="center"/>
          </w:tcPr>
          <w:p w14:paraId="1B6A6AD0">
            <w:pPr>
              <w:jc w:val="center"/>
              <w:rPr>
                <w:rFonts w:asciiTheme="minorEastAsia" w:hAnsiTheme="minorEastAsia" w:eastAsiaTheme="minorEastAsia"/>
                <w:szCs w:val="21"/>
              </w:rPr>
            </w:pPr>
            <w:r>
              <w:rPr>
                <w:rFonts w:hint="eastAsia" w:asciiTheme="minorEastAsia" w:hAnsiTheme="minorEastAsia" w:eastAsiaTheme="minorEastAsia"/>
                <w:szCs w:val="21"/>
              </w:rPr>
              <w:t>外部项目</w:t>
            </w:r>
          </w:p>
        </w:tc>
        <w:tc>
          <w:tcPr>
            <w:tcW w:w="850" w:type="dxa"/>
            <w:vAlign w:val="center"/>
          </w:tcPr>
          <w:p w14:paraId="5C906588">
            <w:pPr>
              <w:jc w:val="center"/>
              <w:rPr>
                <w:rFonts w:asciiTheme="minorEastAsia" w:hAnsiTheme="minorEastAsia" w:eastAsiaTheme="minorEastAsia"/>
                <w:szCs w:val="21"/>
              </w:rPr>
            </w:pPr>
            <w:r>
              <w:rPr>
                <w:rFonts w:hint="eastAsia" w:asciiTheme="minorEastAsia" w:hAnsiTheme="minorEastAsia" w:eastAsiaTheme="minorEastAsia"/>
                <w:szCs w:val="21"/>
              </w:rPr>
              <w:t>标准</w:t>
            </w:r>
            <w:r>
              <w:rPr>
                <w:rFonts w:asciiTheme="minorEastAsia" w:hAnsiTheme="minorEastAsia" w:eastAsiaTheme="minorEastAsia"/>
                <w:szCs w:val="21"/>
              </w:rPr>
              <w:t>距离</w:t>
            </w:r>
            <w:r>
              <w:rPr>
                <w:rFonts w:hint="eastAsia" w:asciiTheme="minorEastAsia" w:hAnsiTheme="minorEastAsia" w:eastAsiaTheme="minorEastAsia"/>
                <w:szCs w:val="21"/>
              </w:rPr>
              <w:t>（m)</w:t>
            </w:r>
          </w:p>
        </w:tc>
        <w:tc>
          <w:tcPr>
            <w:tcW w:w="1866" w:type="dxa"/>
            <w:vAlign w:val="center"/>
          </w:tcPr>
          <w:p w14:paraId="2A94068C">
            <w:pPr>
              <w:jc w:val="center"/>
              <w:rPr>
                <w:rFonts w:asciiTheme="minorEastAsia" w:hAnsiTheme="minorEastAsia" w:eastAsiaTheme="minorEastAsia"/>
                <w:szCs w:val="21"/>
              </w:rPr>
            </w:pPr>
            <w:r>
              <w:rPr>
                <w:rFonts w:hint="eastAsia" w:asciiTheme="minorEastAsia" w:hAnsiTheme="minorEastAsia" w:eastAsiaTheme="minorEastAsia"/>
                <w:szCs w:val="21"/>
              </w:rPr>
              <w:t>设计</w:t>
            </w:r>
            <w:r>
              <w:rPr>
                <w:rFonts w:asciiTheme="minorEastAsia" w:hAnsiTheme="minorEastAsia" w:eastAsiaTheme="minorEastAsia"/>
                <w:szCs w:val="21"/>
              </w:rPr>
              <w:t>距离</w:t>
            </w:r>
            <w:r>
              <w:rPr>
                <w:rFonts w:hint="eastAsia" w:asciiTheme="minorEastAsia" w:hAnsiTheme="minorEastAsia" w:eastAsiaTheme="minorEastAsia"/>
                <w:szCs w:val="21"/>
              </w:rPr>
              <w:t>（m)</w:t>
            </w:r>
          </w:p>
        </w:tc>
      </w:tr>
      <w:tr w14:paraId="61322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Align w:val="center"/>
          </w:tcPr>
          <w:p w14:paraId="29EFBCF7">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东</w:t>
            </w:r>
          </w:p>
        </w:tc>
        <w:tc>
          <w:tcPr>
            <w:tcW w:w="2138" w:type="dxa"/>
            <w:shd w:val="clear" w:color="auto" w:fill="auto"/>
            <w:vAlign w:val="center"/>
          </w:tcPr>
          <w:p w14:paraId="6D310800">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32#</w:t>
            </w:r>
            <w:r>
              <w:rPr>
                <w:rFonts w:hint="eastAsia" w:ascii="宋体" w:hAnsi="宋体"/>
                <w:b w:val="0"/>
                <w:bCs/>
                <w:kern w:val="0"/>
                <w:szCs w:val="21"/>
              </w:rPr>
              <w:t>三味球磨/筛选</w:t>
            </w:r>
          </w:p>
        </w:tc>
        <w:tc>
          <w:tcPr>
            <w:tcW w:w="707" w:type="dxa"/>
            <w:shd w:val="clear" w:color="auto" w:fill="auto"/>
            <w:vAlign w:val="center"/>
          </w:tcPr>
          <w:p w14:paraId="0D0CD1A7">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3FD3ABA4">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00</w:t>
            </w:r>
          </w:p>
        </w:tc>
        <w:tc>
          <w:tcPr>
            <w:tcW w:w="2266" w:type="dxa"/>
            <w:shd w:val="clear" w:color="auto" w:fill="auto"/>
            <w:vAlign w:val="center"/>
          </w:tcPr>
          <w:p w14:paraId="366C805B">
            <w:pPr>
              <w:jc w:val="center"/>
              <w:rPr>
                <w:rFonts w:ascii="宋体" w:hAnsi="宋体"/>
                <w:b w:val="0"/>
                <w:bCs/>
                <w:kern w:val="0"/>
                <w:szCs w:val="21"/>
              </w:rPr>
            </w:pPr>
            <w:r>
              <w:rPr>
                <w:rFonts w:hint="eastAsia" w:ascii="宋体" w:hAnsi="宋体"/>
                <w:b w:val="0"/>
                <w:bCs/>
                <w:kern w:val="0"/>
                <w:szCs w:val="21"/>
              </w:rPr>
              <w:t>自然山岭</w:t>
            </w:r>
          </w:p>
        </w:tc>
        <w:tc>
          <w:tcPr>
            <w:tcW w:w="850" w:type="dxa"/>
            <w:shd w:val="clear" w:color="auto" w:fill="auto"/>
            <w:vAlign w:val="center"/>
          </w:tcPr>
          <w:p w14:paraId="7B84EB5C">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10</w:t>
            </w:r>
          </w:p>
        </w:tc>
        <w:tc>
          <w:tcPr>
            <w:tcW w:w="1866" w:type="dxa"/>
            <w:shd w:val="clear" w:color="auto" w:fill="auto"/>
            <w:vAlign w:val="center"/>
          </w:tcPr>
          <w:p w14:paraId="3546337D">
            <w:pPr>
              <w:jc w:val="center"/>
              <w:rPr>
                <w:rFonts w:ascii="宋体" w:hAnsi="宋体"/>
                <w:b w:val="0"/>
                <w:bCs/>
                <w:kern w:val="0"/>
                <w:szCs w:val="21"/>
              </w:rPr>
            </w:pPr>
            <w:r>
              <w:rPr>
                <w:rFonts w:ascii="宋体" w:hAnsi="宋体"/>
                <w:b w:val="0"/>
                <w:bCs/>
                <w:kern w:val="0"/>
                <w:szCs w:val="21"/>
              </w:rPr>
              <w:t>120</w:t>
            </w:r>
            <w:r>
              <w:rPr>
                <w:rFonts w:hint="eastAsia" w:ascii="宋体" w:hAnsi="宋体"/>
                <w:b w:val="0"/>
                <w:bCs/>
                <w:kern w:val="0"/>
                <w:szCs w:val="21"/>
              </w:rPr>
              <w:t>米范围内无任何建（构）筑物</w:t>
            </w:r>
          </w:p>
        </w:tc>
      </w:tr>
      <w:tr w14:paraId="7170B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Align w:val="center"/>
          </w:tcPr>
          <w:p w14:paraId="5B2A8CA5">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南</w:t>
            </w:r>
          </w:p>
        </w:tc>
        <w:tc>
          <w:tcPr>
            <w:tcW w:w="2138" w:type="dxa"/>
            <w:shd w:val="clear" w:color="auto" w:fill="auto"/>
            <w:vAlign w:val="center"/>
          </w:tcPr>
          <w:p w14:paraId="0A627421">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4#</w:t>
            </w:r>
            <w:r>
              <w:rPr>
                <w:rFonts w:hint="eastAsia" w:ascii="宋体" w:hAnsi="宋体"/>
                <w:b w:val="0"/>
                <w:bCs/>
                <w:kern w:val="0"/>
                <w:szCs w:val="21"/>
              </w:rPr>
              <w:t>包装中转</w:t>
            </w:r>
          </w:p>
        </w:tc>
        <w:tc>
          <w:tcPr>
            <w:tcW w:w="707" w:type="dxa"/>
            <w:shd w:val="clear" w:color="auto" w:fill="auto"/>
            <w:vAlign w:val="center"/>
          </w:tcPr>
          <w:p w14:paraId="7E0DD5D3">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73D0F690">
            <w:pPr>
              <w:jc w:val="center"/>
              <w:rPr>
                <w:rFonts w:ascii="宋体" w:hAnsi="宋体"/>
                <w:b w:val="0"/>
                <w:bCs/>
                <w:kern w:val="0"/>
                <w:szCs w:val="21"/>
              </w:rPr>
            </w:pPr>
            <w:r>
              <w:rPr>
                <w:rFonts w:ascii="宋体" w:hAnsi="宋体"/>
                <w:b w:val="0"/>
                <w:bCs/>
                <w:kern w:val="0"/>
                <w:szCs w:val="21"/>
              </w:rPr>
              <w:t>500</w:t>
            </w:r>
          </w:p>
        </w:tc>
        <w:tc>
          <w:tcPr>
            <w:tcW w:w="2266" w:type="dxa"/>
            <w:shd w:val="clear" w:color="auto" w:fill="auto"/>
            <w:vAlign w:val="center"/>
          </w:tcPr>
          <w:p w14:paraId="328FD658">
            <w:pPr>
              <w:jc w:val="center"/>
              <w:rPr>
                <w:rFonts w:ascii="宋体" w:hAnsi="宋体"/>
                <w:b w:val="0"/>
                <w:bCs/>
                <w:kern w:val="0"/>
                <w:szCs w:val="21"/>
              </w:rPr>
            </w:pPr>
            <w:r>
              <w:rPr>
                <w:rFonts w:hint="eastAsia" w:ascii="宋体" w:hAnsi="宋体"/>
                <w:b w:val="0"/>
                <w:bCs/>
                <w:kern w:val="0"/>
                <w:szCs w:val="21"/>
              </w:rPr>
              <w:t>自然山岭</w:t>
            </w:r>
          </w:p>
        </w:tc>
        <w:tc>
          <w:tcPr>
            <w:tcW w:w="850" w:type="dxa"/>
            <w:shd w:val="clear" w:color="auto" w:fill="auto"/>
            <w:vAlign w:val="center"/>
          </w:tcPr>
          <w:p w14:paraId="531EB453">
            <w:pPr>
              <w:jc w:val="center"/>
              <w:rPr>
                <w:rFonts w:ascii="宋体" w:hAnsi="宋体"/>
                <w:b w:val="0"/>
                <w:bCs/>
                <w:kern w:val="0"/>
                <w:szCs w:val="21"/>
              </w:rPr>
            </w:pPr>
            <w:r>
              <w:rPr>
                <w:rFonts w:ascii="宋体" w:hAnsi="宋体"/>
                <w:b w:val="0"/>
                <w:bCs/>
                <w:kern w:val="0"/>
                <w:szCs w:val="21"/>
              </w:rPr>
              <w:t>140</w:t>
            </w:r>
          </w:p>
        </w:tc>
        <w:tc>
          <w:tcPr>
            <w:tcW w:w="1866" w:type="dxa"/>
            <w:shd w:val="clear" w:color="auto" w:fill="auto"/>
            <w:vAlign w:val="center"/>
          </w:tcPr>
          <w:p w14:paraId="5BF8C37F">
            <w:pPr>
              <w:jc w:val="center"/>
              <w:rPr>
                <w:rFonts w:ascii="宋体" w:hAnsi="宋体"/>
                <w:b w:val="0"/>
                <w:bCs/>
                <w:kern w:val="0"/>
                <w:szCs w:val="21"/>
              </w:rPr>
            </w:pPr>
            <w:r>
              <w:rPr>
                <w:rFonts w:ascii="宋体" w:hAnsi="宋体"/>
                <w:b w:val="0"/>
                <w:bCs/>
                <w:kern w:val="0"/>
                <w:szCs w:val="21"/>
              </w:rPr>
              <w:t>210</w:t>
            </w:r>
            <w:r>
              <w:rPr>
                <w:rFonts w:hint="eastAsia" w:ascii="宋体" w:hAnsi="宋体"/>
                <w:b w:val="0"/>
                <w:bCs/>
                <w:kern w:val="0"/>
                <w:szCs w:val="21"/>
              </w:rPr>
              <w:t>米范围内无任何建（构）筑物</w:t>
            </w:r>
          </w:p>
        </w:tc>
      </w:tr>
      <w:tr w14:paraId="04F2E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Merge w:val="restart"/>
            <w:vAlign w:val="center"/>
          </w:tcPr>
          <w:p w14:paraId="0BFC65ED">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西</w:t>
            </w:r>
          </w:p>
        </w:tc>
        <w:tc>
          <w:tcPr>
            <w:tcW w:w="2138" w:type="dxa"/>
            <w:shd w:val="clear" w:color="auto" w:fill="auto"/>
            <w:vAlign w:val="center"/>
          </w:tcPr>
          <w:p w14:paraId="6CDEFBC1">
            <w:pPr>
              <w:jc w:val="center"/>
              <w:rPr>
                <w:rFonts w:ascii="宋体" w:hAnsi="宋体"/>
                <w:b w:val="0"/>
                <w:bCs/>
                <w:kern w:val="0"/>
                <w:szCs w:val="21"/>
              </w:rPr>
            </w:pPr>
            <w:r>
              <w:rPr>
                <w:rFonts w:hint="eastAsia" w:ascii="宋体" w:hAnsi="宋体"/>
                <w:b w:val="0"/>
                <w:bCs/>
                <w:kern w:val="0"/>
                <w:szCs w:val="21"/>
              </w:rPr>
              <w:t>6</w:t>
            </w:r>
            <w:r>
              <w:rPr>
                <w:rFonts w:ascii="宋体" w:hAnsi="宋体"/>
                <w:b w:val="0"/>
                <w:bCs/>
                <w:kern w:val="0"/>
                <w:szCs w:val="21"/>
              </w:rPr>
              <w:t>6#</w:t>
            </w:r>
            <w:r>
              <w:rPr>
                <w:rFonts w:hint="eastAsia" w:ascii="宋体" w:hAnsi="宋体"/>
                <w:b w:val="0"/>
                <w:bCs/>
                <w:kern w:val="0"/>
                <w:szCs w:val="21"/>
              </w:rPr>
              <w:t>黑火药库</w:t>
            </w:r>
          </w:p>
        </w:tc>
        <w:tc>
          <w:tcPr>
            <w:tcW w:w="707" w:type="dxa"/>
            <w:shd w:val="clear" w:color="auto" w:fill="auto"/>
            <w:vAlign w:val="center"/>
          </w:tcPr>
          <w:p w14:paraId="416CFFF8">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0DA49374">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500</w:t>
            </w:r>
          </w:p>
        </w:tc>
        <w:tc>
          <w:tcPr>
            <w:tcW w:w="2266" w:type="dxa"/>
            <w:shd w:val="clear" w:color="auto" w:fill="auto"/>
            <w:vAlign w:val="center"/>
          </w:tcPr>
          <w:p w14:paraId="7DB9921E">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850" w:type="dxa"/>
            <w:shd w:val="clear" w:color="auto" w:fill="auto"/>
            <w:vAlign w:val="center"/>
          </w:tcPr>
          <w:p w14:paraId="532785F4">
            <w:pPr>
              <w:jc w:val="center"/>
              <w:rPr>
                <w:rFonts w:ascii="宋体" w:hAnsi="宋体"/>
                <w:b w:val="0"/>
                <w:bCs/>
                <w:kern w:val="0"/>
                <w:szCs w:val="21"/>
              </w:rPr>
            </w:pPr>
            <w:r>
              <w:rPr>
                <w:rFonts w:ascii="宋体" w:hAnsi="宋体"/>
                <w:b w:val="0"/>
                <w:bCs/>
                <w:kern w:val="0"/>
                <w:szCs w:val="21"/>
              </w:rPr>
              <w:t>165</w:t>
            </w:r>
          </w:p>
        </w:tc>
        <w:tc>
          <w:tcPr>
            <w:tcW w:w="1866" w:type="dxa"/>
            <w:shd w:val="clear" w:color="auto" w:fill="auto"/>
            <w:vAlign w:val="center"/>
          </w:tcPr>
          <w:p w14:paraId="2E4AC1A0">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26</w:t>
            </w:r>
          </w:p>
        </w:tc>
      </w:tr>
      <w:tr w14:paraId="25D79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Merge w:val="continue"/>
            <w:vAlign w:val="center"/>
          </w:tcPr>
          <w:p w14:paraId="753E7A7B">
            <w:pPr>
              <w:jc w:val="center"/>
              <w:rPr>
                <w:rFonts w:asciiTheme="minorEastAsia" w:hAnsiTheme="minorEastAsia" w:eastAsiaTheme="minorEastAsia"/>
                <w:b w:val="0"/>
                <w:bCs/>
                <w:szCs w:val="21"/>
              </w:rPr>
            </w:pPr>
          </w:p>
        </w:tc>
        <w:tc>
          <w:tcPr>
            <w:tcW w:w="2138" w:type="dxa"/>
            <w:shd w:val="clear" w:color="auto" w:fill="auto"/>
            <w:vAlign w:val="center"/>
          </w:tcPr>
          <w:p w14:paraId="78EDADA0">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11#</w:t>
            </w:r>
            <w:r>
              <w:rPr>
                <w:rFonts w:hint="eastAsia" w:ascii="宋体" w:hAnsi="宋体"/>
                <w:b w:val="0"/>
                <w:bCs/>
                <w:kern w:val="0"/>
                <w:szCs w:val="21"/>
              </w:rPr>
              <w:t>黑火药库</w:t>
            </w:r>
          </w:p>
        </w:tc>
        <w:tc>
          <w:tcPr>
            <w:tcW w:w="707" w:type="dxa"/>
            <w:shd w:val="clear" w:color="auto" w:fill="auto"/>
            <w:vAlign w:val="center"/>
          </w:tcPr>
          <w:p w14:paraId="512AD786">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739B0804">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000</w:t>
            </w:r>
          </w:p>
        </w:tc>
        <w:tc>
          <w:tcPr>
            <w:tcW w:w="2266" w:type="dxa"/>
            <w:shd w:val="clear" w:color="auto" w:fill="auto"/>
            <w:vAlign w:val="center"/>
          </w:tcPr>
          <w:p w14:paraId="1D8F8794">
            <w:pPr>
              <w:jc w:val="center"/>
              <w:rPr>
                <w:rFonts w:ascii="宋体" w:hAnsi="宋体"/>
                <w:b w:val="0"/>
                <w:bCs/>
                <w:kern w:val="0"/>
                <w:szCs w:val="21"/>
              </w:rPr>
            </w:pPr>
            <w:r>
              <w:rPr>
                <w:rFonts w:hint="eastAsia" w:ascii="宋体" w:hAnsi="宋体"/>
                <w:b w:val="0"/>
                <w:bCs/>
                <w:kern w:val="0"/>
                <w:szCs w:val="21"/>
              </w:rPr>
              <w:t>沩山镇泉水老人日照中心（无人居住）</w:t>
            </w:r>
          </w:p>
        </w:tc>
        <w:tc>
          <w:tcPr>
            <w:tcW w:w="850" w:type="dxa"/>
            <w:shd w:val="clear" w:color="auto" w:fill="auto"/>
            <w:vAlign w:val="center"/>
          </w:tcPr>
          <w:p w14:paraId="2650F1A3">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05</w:t>
            </w:r>
          </w:p>
        </w:tc>
        <w:tc>
          <w:tcPr>
            <w:tcW w:w="1866" w:type="dxa"/>
            <w:shd w:val="clear" w:color="auto" w:fill="auto"/>
            <w:vAlign w:val="center"/>
          </w:tcPr>
          <w:p w14:paraId="0A52CEE3">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86</w:t>
            </w:r>
          </w:p>
        </w:tc>
      </w:tr>
      <w:tr w14:paraId="72E6C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Align w:val="center"/>
          </w:tcPr>
          <w:p w14:paraId="5AE2D769">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西南</w:t>
            </w:r>
          </w:p>
        </w:tc>
        <w:tc>
          <w:tcPr>
            <w:tcW w:w="2138" w:type="dxa"/>
            <w:shd w:val="clear" w:color="auto" w:fill="auto"/>
            <w:vAlign w:val="center"/>
          </w:tcPr>
          <w:p w14:paraId="4B6EB1E2">
            <w:pPr>
              <w:jc w:val="center"/>
              <w:rPr>
                <w:rFonts w:ascii="宋体" w:hAnsi="宋体"/>
                <w:b w:val="0"/>
                <w:bCs/>
                <w:kern w:val="0"/>
                <w:szCs w:val="21"/>
              </w:rPr>
            </w:pPr>
            <w:r>
              <w:rPr>
                <w:rFonts w:hint="eastAsia" w:ascii="宋体" w:hAnsi="宋体"/>
                <w:b w:val="0"/>
                <w:bCs/>
                <w:kern w:val="0"/>
                <w:szCs w:val="21"/>
              </w:rPr>
              <w:t>6</w:t>
            </w:r>
            <w:r>
              <w:rPr>
                <w:rFonts w:ascii="宋体" w:hAnsi="宋体"/>
                <w:b w:val="0"/>
                <w:bCs/>
                <w:kern w:val="0"/>
                <w:szCs w:val="21"/>
              </w:rPr>
              <w:t>4#</w:t>
            </w:r>
            <w:r>
              <w:rPr>
                <w:rFonts w:hint="eastAsia" w:ascii="宋体" w:hAnsi="宋体"/>
                <w:b w:val="0"/>
                <w:bCs/>
                <w:kern w:val="0"/>
                <w:szCs w:val="21"/>
              </w:rPr>
              <w:t>黑火药库</w:t>
            </w:r>
          </w:p>
        </w:tc>
        <w:tc>
          <w:tcPr>
            <w:tcW w:w="707" w:type="dxa"/>
            <w:shd w:val="clear" w:color="auto" w:fill="auto"/>
            <w:vAlign w:val="center"/>
          </w:tcPr>
          <w:p w14:paraId="70AB03AA">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6BB8856B">
            <w:pPr>
              <w:jc w:val="center"/>
              <w:rPr>
                <w:rFonts w:ascii="宋体" w:hAnsi="宋体"/>
                <w:b w:val="0"/>
                <w:bCs/>
                <w:kern w:val="0"/>
                <w:szCs w:val="21"/>
              </w:rPr>
            </w:pPr>
            <w:r>
              <w:rPr>
                <w:rFonts w:hint="eastAsia" w:ascii="宋体" w:hAnsi="宋体"/>
                <w:b w:val="0"/>
                <w:bCs/>
                <w:kern w:val="0"/>
                <w:szCs w:val="21"/>
              </w:rPr>
              <w:t>7</w:t>
            </w:r>
            <w:r>
              <w:rPr>
                <w:rFonts w:ascii="宋体" w:hAnsi="宋体"/>
                <w:b w:val="0"/>
                <w:bCs/>
                <w:kern w:val="0"/>
                <w:szCs w:val="21"/>
              </w:rPr>
              <w:t>000</w:t>
            </w:r>
          </w:p>
        </w:tc>
        <w:tc>
          <w:tcPr>
            <w:tcW w:w="2266" w:type="dxa"/>
            <w:shd w:val="clear" w:color="auto" w:fill="auto"/>
            <w:vAlign w:val="center"/>
          </w:tcPr>
          <w:p w14:paraId="20E35308">
            <w:pPr>
              <w:rPr>
                <w:rFonts w:ascii="宋体" w:hAnsi="宋体"/>
                <w:b w:val="0"/>
                <w:bCs/>
                <w:kern w:val="0"/>
                <w:szCs w:val="21"/>
              </w:rPr>
            </w:pPr>
            <w:r>
              <w:rPr>
                <w:rFonts w:hint="eastAsia" w:ascii="宋体" w:hAnsi="宋体"/>
                <w:b w:val="0"/>
                <w:bCs/>
                <w:kern w:val="0"/>
                <w:szCs w:val="21"/>
              </w:rPr>
              <w:t>醴陵市楚丰出口烟花鞭炮制造有限公司药物库围墙（企业人数＞5</w:t>
            </w:r>
            <w:r>
              <w:rPr>
                <w:rFonts w:ascii="宋体" w:hAnsi="宋体"/>
                <w:b w:val="0"/>
                <w:bCs/>
                <w:kern w:val="0"/>
                <w:szCs w:val="21"/>
              </w:rPr>
              <w:t>0</w:t>
            </w:r>
            <w:r>
              <w:rPr>
                <w:rFonts w:hint="eastAsia" w:ascii="宋体" w:hAnsi="宋体"/>
                <w:b w:val="0"/>
                <w:bCs/>
                <w:kern w:val="0"/>
                <w:szCs w:val="21"/>
              </w:rPr>
              <w:t>人≤5</w:t>
            </w:r>
            <w:r>
              <w:rPr>
                <w:rFonts w:ascii="宋体" w:hAnsi="宋体"/>
                <w:b w:val="0"/>
                <w:bCs/>
                <w:kern w:val="0"/>
                <w:szCs w:val="21"/>
              </w:rPr>
              <w:t>00</w:t>
            </w:r>
            <w:r>
              <w:rPr>
                <w:rFonts w:hint="eastAsia" w:ascii="宋体" w:hAnsi="宋体"/>
                <w:b w:val="0"/>
                <w:bCs/>
                <w:kern w:val="0"/>
                <w:szCs w:val="21"/>
              </w:rPr>
              <w:t>人）</w:t>
            </w:r>
          </w:p>
        </w:tc>
        <w:tc>
          <w:tcPr>
            <w:tcW w:w="850" w:type="dxa"/>
            <w:shd w:val="clear" w:color="auto" w:fill="auto"/>
            <w:vAlign w:val="center"/>
          </w:tcPr>
          <w:p w14:paraId="4BF528CE">
            <w:pPr>
              <w:jc w:val="center"/>
              <w:rPr>
                <w:rFonts w:ascii="宋体" w:hAnsi="宋体"/>
                <w:b w:val="0"/>
                <w:bCs/>
                <w:kern w:val="0"/>
                <w:szCs w:val="21"/>
              </w:rPr>
            </w:pPr>
            <w:r>
              <w:rPr>
                <w:rFonts w:ascii="宋体" w:hAnsi="宋体"/>
                <w:b w:val="0"/>
                <w:bCs/>
                <w:kern w:val="0"/>
                <w:szCs w:val="21"/>
              </w:rPr>
              <w:t>360</w:t>
            </w:r>
          </w:p>
        </w:tc>
        <w:tc>
          <w:tcPr>
            <w:tcW w:w="1866" w:type="dxa"/>
            <w:shd w:val="clear" w:color="auto" w:fill="auto"/>
            <w:vAlign w:val="center"/>
          </w:tcPr>
          <w:p w14:paraId="172B4AF1">
            <w:pPr>
              <w:jc w:val="center"/>
              <w:rPr>
                <w:rFonts w:ascii="宋体" w:hAnsi="宋体"/>
                <w:b w:val="0"/>
                <w:bCs/>
                <w:kern w:val="0"/>
                <w:szCs w:val="21"/>
              </w:rPr>
            </w:pPr>
            <w:r>
              <w:rPr>
                <w:rFonts w:hint="eastAsia" w:ascii="宋体" w:hAnsi="宋体"/>
                <w:b w:val="0"/>
                <w:bCs/>
                <w:kern w:val="0"/>
                <w:szCs w:val="21"/>
              </w:rPr>
              <w:t>4</w:t>
            </w:r>
            <w:r>
              <w:rPr>
                <w:rFonts w:ascii="宋体" w:hAnsi="宋体"/>
                <w:b w:val="0"/>
                <w:bCs/>
                <w:kern w:val="0"/>
                <w:szCs w:val="21"/>
              </w:rPr>
              <w:t>39</w:t>
            </w:r>
          </w:p>
        </w:tc>
      </w:tr>
      <w:tr w14:paraId="219F6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Merge w:val="restart"/>
            <w:vAlign w:val="center"/>
          </w:tcPr>
          <w:p w14:paraId="1B4BB8BB">
            <w:pPr>
              <w:jc w:val="center"/>
              <w:rPr>
                <w:rFonts w:cs="宋体" w:asciiTheme="minorEastAsia" w:hAnsiTheme="minorEastAsia" w:eastAsiaTheme="minorEastAsia"/>
                <w:b w:val="0"/>
                <w:bCs/>
                <w:szCs w:val="21"/>
              </w:rPr>
            </w:pPr>
            <w:r>
              <w:rPr>
                <w:rFonts w:hint="eastAsia" w:cs="宋体" w:asciiTheme="minorEastAsia" w:hAnsiTheme="minorEastAsia" w:eastAsiaTheme="minorEastAsia"/>
                <w:b w:val="0"/>
                <w:bCs/>
                <w:szCs w:val="21"/>
              </w:rPr>
              <w:t>北</w:t>
            </w:r>
          </w:p>
        </w:tc>
        <w:tc>
          <w:tcPr>
            <w:tcW w:w="2138" w:type="dxa"/>
            <w:shd w:val="clear" w:color="auto" w:fill="auto"/>
            <w:vAlign w:val="center"/>
          </w:tcPr>
          <w:p w14:paraId="42FA92E8">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08#</w:t>
            </w:r>
            <w:r>
              <w:rPr>
                <w:rFonts w:hint="eastAsia" w:ascii="宋体" w:hAnsi="宋体"/>
                <w:b w:val="0"/>
                <w:bCs/>
                <w:kern w:val="0"/>
                <w:szCs w:val="21"/>
              </w:rPr>
              <w:t>黑火药库</w:t>
            </w:r>
          </w:p>
        </w:tc>
        <w:tc>
          <w:tcPr>
            <w:tcW w:w="707" w:type="dxa"/>
            <w:shd w:val="clear" w:color="auto" w:fill="auto"/>
            <w:vAlign w:val="center"/>
          </w:tcPr>
          <w:p w14:paraId="21E2B83B">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11C28322">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000</w:t>
            </w:r>
          </w:p>
        </w:tc>
        <w:tc>
          <w:tcPr>
            <w:tcW w:w="2266" w:type="dxa"/>
            <w:shd w:val="clear" w:color="auto" w:fill="auto"/>
            <w:vAlign w:val="center"/>
          </w:tcPr>
          <w:p w14:paraId="6E2D5EB4">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850" w:type="dxa"/>
            <w:shd w:val="clear" w:color="auto" w:fill="auto"/>
            <w:vAlign w:val="center"/>
          </w:tcPr>
          <w:p w14:paraId="5D9717CD">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20</w:t>
            </w:r>
          </w:p>
        </w:tc>
        <w:tc>
          <w:tcPr>
            <w:tcW w:w="1866" w:type="dxa"/>
            <w:shd w:val="clear" w:color="auto" w:fill="auto"/>
            <w:vAlign w:val="center"/>
          </w:tcPr>
          <w:p w14:paraId="0878E96B">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79</w:t>
            </w:r>
          </w:p>
        </w:tc>
      </w:tr>
      <w:tr w14:paraId="42229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6" w:type="dxa"/>
            <w:vMerge w:val="continue"/>
            <w:vAlign w:val="center"/>
          </w:tcPr>
          <w:p w14:paraId="7C5D6E5E">
            <w:pPr>
              <w:jc w:val="center"/>
              <w:rPr>
                <w:rFonts w:cs="宋体" w:asciiTheme="minorEastAsia" w:hAnsiTheme="minorEastAsia" w:eastAsiaTheme="minorEastAsia"/>
                <w:b w:val="0"/>
                <w:bCs/>
                <w:szCs w:val="21"/>
              </w:rPr>
            </w:pPr>
          </w:p>
        </w:tc>
        <w:tc>
          <w:tcPr>
            <w:tcW w:w="2138" w:type="dxa"/>
            <w:shd w:val="clear" w:color="auto" w:fill="auto"/>
            <w:vAlign w:val="center"/>
          </w:tcPr>
          <w:p w14:paraId="2760139F">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04#</w:t>
            </w:r>
            <w:r>
              <w:rPr>
                <w:rFonts w:hint="eastAsia" w:ascii="宋体" w:hAnsi="宋体"/>
                <w:b w:val="0"/>
                <w:bCs/>
                <w:kern w:val="0"/>
                <w:szCs w:val="21"/>
              </w:rPr>
              <w:t>包装中转</w:t>
            </w:r>
          </w:p>
        </w:tc>
        <w:tc>
          <w:tcPr>
            <w:tcW w:w="707" w:type="dxa"/>
            <w:shd w:val="clear" w:color="auto" w:fill="auto"/>
            <w:vAlign w:val="center"/>
          </w:tcPr>
          <w:p w14:paraId="2BDD7DD3">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6B30D0EE">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00</w:t>
            </w:r>
          </w:p>
        </w:tc>
        <w:tc>
          <w:tcPr>
            <w:tcW w:w="2266" w:type="dxa"/>
            <w:shd w:val="clear" w:color="auto" w:fill="auto"/>
            <w:vAlign w:val="center"/>
          </w:tcPr>
          <w:p w14:paraId="4ACC2D07">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850" w:type="dxa"/>
            <w:shd w:val="clear" w:color="auto" w:fill="auto"/>
            <w:vAlign w:val="center"/>
          </w:tcPr>
          <w:p w14:paraId="15E8350B">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40</w:t>
            </w:r>
          </w:p>
        </w:tc>
        <w:tc>
          <w:tcPr>
            <w:tcW w:w="1866" w:type="dxa"/>
            <w:shd w:val="clear" w:color="auto" w:fill="auto"/>
            <w:vAlign w:val="center"/>
          </w:tcPr>
          <w:p w14:paraId="0847B620">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27</w:t>
            </w:r>
          </w:p>
        </w:tc>
      </w:tr>
      <w:tr w14:paraId="2EFC6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475" w:type="dxa"/>
            <w:gridSpan w:val="7"/>
            <w:vAlign w:val="center"/>
          </w:tcPr>
          <w:p w14:paraId="43DDCC88">
            <w:pPr>
              <w:rPr>
                <w:rFonts w:ascii="宋体" w:hAnsi="宋体"/>
                <w:b w:val="0"/>
                <w:bCs/>
                <w:kern w:val="0"/>
                <w:szCs w:val="21"/>
              </w:rPr>
            </w:pPr>
            <w:r>
              <w:rPr>
                <w:rFonts w:hint="eastAsia" w:ascii="宋体" w:hAnsi="宋体"/>
                <w:b w:val="0"/>
                <w:bCs/>
                <w:kern w:val="0"/>
                <w:szCs w:val="21"/>
              </w:rPr>
              <w:t>备注：计算药量为中间值时，外部安全标准距离采用线性插入法确定。</w:t>
            </w:r>
          </w:p>
        </w:tc>
      </w:tr>
    </w:tbl>
    <w:p w14:paraId="236689A5">
      <w:pPr>
        <w:spacing w:before="120" w:beforeLines="50" w:line="360" w:lineRule="auto"/>
        <w:ind w:firstLine="560" w:firstLineChars="200"/>
        <w:rPr>
          <w:rFonts w:ascii="黑体" w:hAnsi="黑体" w:cs="黑体"/>
          <w:b w:val="0"/>
          <w:bCs/>
          <w:szCs w:val="28"/>
        </w:rPr>
      </w:pPr>
      <w:r>
        <w:rPr>
          <w:rFonts w:hAnsi="宋体"/>
          <w:b w:val="0"/>
          <w:bCs/>
          <w:sz w:val="28"/>
        </w:rPr>
        <w:t>在对</w:t>
      </w:r>
      <w:r>
        <w:rPr>
          <w:rFonts w:hint="eastAsia" w:hAnsi="宋体"/>
          <w:b w:val="0"/>
          <w:bCs/>
          <w:sz w:val="28"/>
        </w:rPr>
        <w:t>该项目</w:t>
      </w:r>
      <w:r>
        <w:rPr>
          <w:rFonts w:hAnsi="宋体"/>
          <w:b w:val="0"/>
          <w:bCs/>
          <w:sz w:val="28"/>
        </w:rPr>
        <w:t>的外部安全距离检查中，所检查项目</w:t>
      </w:r>
      <w:r>
        <w:rPr>
          <w:rFonts w:hint="eastAsia" w:hAnsi="宋体"/>
          <w:b w:val="0"/>
          <w:bCs/>
          <w:sz w:val="28"/>
        </w:rPr>
        <w:t>均能</w:t>
      </w:r>
      <w:r>
        <w:rPr>
          <w:rFonts w:hint="eastAsia" w:ascii="宋体" w:hAnsi="宋体"/>
          <w:b w:val="0"/>
          <w:bCs/>
          <w:sz w:val="28"/>
          <w:szCs w:val="28"/>
        </w:rPr>
        <w:t>符合《烟花爆竹工程设计安全标准</w:t>
      </w:r>
      <w:r>
        <w:rPr>
          <w:rFonts w:hint="eastAsia" w:ascii="宋体" w:hAnsi="宋体" w:cs="宋体"/>
          <w:b w:val="0"/>
          <w:bCs/>
          <w:sz w:val="28"/>
          <w:szCs w:val="28"/>
        </w:rPr>
        <w:t>》</w:t>
      </w:r>
      <w:r>
        <w:rPr>
          <w:rFonts w:hint="eastAsia" w:ascii="宋体" w:hAnsi="宋体" w:cs="宋体"/>
          <w:b w:val="0"/>
          <w:bCs/>
          <w:sz w:val="28"/>
        </w:rPr>
        <w:t>（GB50161-2022）所规定</w:t>
      </w:r>
      <w:r>
        <w:rPr>
          <w:rFonts w:hint="eastAsia" w:ascii="宋体" w:hAnsi="宋体"/>
          <w:b w:val="0"/>
          <w:bCs/>
          <w:sz w:val="28"/>
          <w:szCs w:val="28"/>
        </w:rPr>
        <w:t>要求。</w:t>
      </w:r>
    </w:p>
    <w:p w14:paraId="2FBB4381">
      <w:pPr>
        <w:pStyle w:val="7"/>
        <w:rPr>
          <w:rFonts w:ascii="黑体" w:hAnsi="宋体" w:eastAsia="黑体"/>
          <w:b w:val="0"/>
          <w:bCs w:val="0"/>
          <w:snapToGrid w:val="0"/>
          <w:sz w:val="30"/>
          <w:szCs w:val="30"/>
        </w:rPr>
      </w:pPr>
      <w:bookmarkStart w:id="144" w:name="_Toc300344396"/>
      <w:bookmarkStart w:id="145" w:name="_Toc165038782"/>
      <w:bookmarkStart w:id="146" w:name="_Toc300256199"/>
      <w:bookmarkStart w:id="147" w:name="_Toc278054188"/>
      <w:bookmarkStart w:id="148" w:name="_Toc300329574"/>
      <w:r>
        <w:rPr>
          <w:rFonts w:hint="eastAsia" w:ascii="黑体" w:hAnsi="宋体" w:eastAsia="黑体"/>
          <w:b w:val="0"/>
          <w:bCs w:val="0"/>
          <w:snapToGrid w:val="0"/>
          <w:sz w:val="30"/>
          <w:szCs w:val="30"/>
        </w:rPr>
        <w:t>2.</w:t>
      </w:r>
      <w:r>
        <w:rPr>
          <w:rFonts w:ascii="黑体" w:hAnsi="宋体" w:eastAsia="黑体"/>
          <w:b w:val="0"/>
          <w:bCs w:val="0"/>
          <w:snapToGrid w:val="0"/>
          <w:sz w:val="30"/>
          <w:szCs w:val="30"/>
        </w:rPr>
        <w:t>7</w:t>
      </w:r>
      <w:r>
        <w:rPr>
          <w:rFonts w:hint="eastAsia" w:ascii="黑体" w:hAnsi="宋体" w:eastAsia="黑体"/>
          <w:b w:val="0"/>
          <w:bCs w:val="0"/>
          <w:snapToGrid w:val="0"/>
          <w:sz w:val="30"/>
          <w:szCs w:val="30"/>
        </w:rPr>
        <w:t>.2内部安全距离</w:t>
      </w:r>
      <w:bookmarkEnd w:id="144"/>
      <w:bookmarkEnd w:id="145"/>
      <w:bookmarkEnd w:id="146"/>
      <w:bookmarkEnd w:id="147"/>
      <w:bookmarkEnd w:id="148"/>
    </w:p>
    <w:p w14:paraId="3E19670F">
      <w:pPr>
        <w:spacing w:line="360" w:lineRule="auto"/>
        <w:ind w:firstLine="560" w:firstLineChars="200"/>
        <w:rPr>
          <w:rFonts w:ascii="宋体" w:hAnsi="宋体"/>
          <w:b w:val="0"/>
          <w:sz w:val="28"/>
          <w:szCs w:val="28"/>
          <w:lang w:val="en-GB"/>
        </w:rPr>
      </w:pPr>
      <w:r>
        <w:rPr>
          <w:rFonts w:hint="eastAsia" w:ascii="宋体" w:hAnsi="宋体"/>
          <w:b w:val="0"/>
          <w:sz w:val="28"/>
          <w:szCs w:val="28"/>
          <w:lang w:val="en-GB"/>
        </w:rPr>
        <w:t>根据《湖南金帝烟花爆竹制造有限公司泉水工区扩建项目安全设施设计平面布置图》（初步设计方案图）</w:t>
      </w:r>
      <w:r>
        <w:rPr>
          <w:rFonts w:hint="eastAsia" w:ascii="宋体" w:hAnsi="宋体"/>
          <w:b w:val="0"/>
          <w:spacing w:val="-6"/>
          <w:sz w:val="28"/>
          <w:szCs w:val="28"/>
          <w:lang w:val="en-GB"/>
        </w:rPr>
        <w:t>（由大连市化工设计院有限公司提供）</w:t>
      </w:r>
      <w:r>
        <w:rPr>
          <w:rFonts w:hint="eastAsia" w:ascii="宋体" w:hAnsi="宋体"/>
          <w:b w:val="0"/>
          <w:sz w:val="28"/>
          <w:szCs w:val="28"/>
          <w:lang w:val="en-GB"/>
        </w:rPr>
        <w:t>，该项目工（库）房的内部距离按不小于《烟花爆竹工程设计安全标准》（GB50161-2022）及《建筑设计防火规范（2018年修订版）》GB50016-2014规定进行建设（设计）。划定的工（库）房内部最小允许距离范围内不得进行相应的工程建设。</w:t>
      </w:r>
    </w:p>
    <w:p w14:paraId="6F9370F4">
      <w:pPr>
        <w:jc w:val="center"/>
        <w:rPr>
          <w:rFonts w:ascii="黑体" w:hAnsi="黑体" w:eastAsia="黑体"/>
          <w:b w:val="0"/>
          <w:bCs/>
          <w:sz w:val="24"/>
        </w:rPr>
      </w:pPr>
      <w:r>
        <w:rPr>
          <w:rFonts w:hint="eastAsia" w:ascii="黑体" w:hAnsi="黑体" w:eastAsia="黑体"/>
          <w:b w:val="0"/>
          <w:bCs/>
          <w:sz w:val="24"/>
        </w:rPr>
        <w:t>表2</w:t>
      </w:r>
      <w:r>
        <w:rPr>
          <w:rFonts w:ascii="黑体" w:hAnsi="黑体" w:eastAsia="黑体"/>
          <w:b w:val="0"/>
          <w:bCs/>
          <w:sz w:val="24"/>
        </w:rPr>
        <w:t>.</w:t>
      </w:r>
      <w:r>
        <w:rPr>
          <w:rFonts w:hint="eastAsia" w:ascii="黑体" w:hAnsi="黑体" w:eastAsia="黑体"/>
          <w:b w:val="0"/>
          <w:bCs/>
          <w:sz w:val="24"/>
        </w:rPr>
        <w:t>7-2建设项目危险性建（构）筑物之间内部距离平面布置图设计情况表</w:t>
      </w:r>
    </w:p>
    <w:tbl>
      <w:tblPr>
        <w:tblStyle w:val="88"/>
        <w:tblW w:w="52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710"/>
        <w:gridCol w:w="993"/>
        <w:gridCol w:w="2546"/>
        <w:gridCol w:w="724"/>
        <w:gridCol w:w="714"/>
        <w:gridCol w:w="768"/>
        <w:gridCol w:w="1527"/>
      </w:tblGrid>
      <w:tr w14:paraId="53D18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17" w:hRule="atLeast"/>
          <w:tblHeader/>
          <w:jc w:val="center"/>
        </w:trPr>
        <w:tc>
          <w:tcPr>
            <w:tcW w:w="875" w:type="pct"/>
            <w:shd w:val="clear" w:color="auto" w:fill="auto"/>
            <w:vAlign w:val="center"/>
          </w:tcPr>
          <w:p w14:paraId="06613DED">
            <w:pPr>
              <w:jc w:val="center"/>
              <w:rPr>
                <w:rFonts w:ascii="宋体" w:hAnsi="宋体" w:cs="宋体"/>
                <w:szCs w:val="21"/>
              </w:rPr>
            </w:pPr>
            <w:r>
              <w:rPr>
                <w:rFonts w:hint="eastAsia" w:ascii="宋体" w:hAnsi="宋体" w:cs="宋体"/>
                <w:szCs w:val="21"/>
              </w:rPr>
              <w:t>建（构）筑物</w:t>
            </w:r>
          </w:p>
          <w:p w14:paraId="5B91552F">
            <w:pPr>
              <w:jc w:val="center"/>
              <w:rPr>
                <w:rFonts w:ascii="宋体" w:hAnsi="宋体" w:cs="宋体"/>
                <w:szCs w:val="21"/>
              </w:rPr>
            </w:pPr>
            <w:r>
              <w:rPr>
                <w:rFonts w:hint="eastAsia" w:ascii="宋体" w:hAnsi="宋体" w:cs="宋体"/>
                <w:szCs w:val="21"/>
              </w:rPr>
              <w:t>名称</w:t>
            </w:r>
          </w:p>
        </w:tc>
        <w:tc>
          <w:tcPr>
            <w:tcW w:w="367" w:type="pct"/>
            <w:shd w:val="clear" w:color="auto" w:fill="auto"/>
            <w:vAlign w:val="center"/>
          </w:tcPr>
          <w:p w14:paraId="717DCCBB">
            <w:pPr>
              <w:jc w:val="center"/>
              <w:rPr>
                <w:rFonts w:ascii="宋体" w:hAnsi="宋体" w:cs="宋体"/>
                <w:szCs w:val="21"/>
              </w:rPr>
            </w:pPr>
            <w:r>
              <w:rPr>
                <w:rFonts w:hint="eastAsia" w:ascii="宋体" w:hAnsi="宋体" w:cs="宋体"/>
                <w:szCs w:val="21"/>
              </w:rPr>
              <w:t>危险等级</w:t>
            </w:r>
          </w:p>
        </w:tc>
        <w:tc>
          <w:tcPr>
            <w:tcW w:w="513" w:type="pct"/>
            <w:shd w:val="clear" w:color="auto" w:fill="auto"/>
            <w:vAlign w:val="center"/>
          </w:tcPr>
          <w:p w14:paraId="022407EA">
            <w:pPr>
              <w:jc w:val="center"/>
              <w:rPr>
                <w:rFonts w:ascii="宋体" w:hAnsi="宋体" w:cs="宋体"/>
                <w:szCs w:val="21"/>
              </w:rPr>
            </w:pPr>
            <w:r>
              <w:rPr>
                <w:rFonts w:hint="eastAsia" w:ascii="宋体" w:hAnsi="宋体" w:cs="宋体"/>
                <w:szCs w:val="21"/>
              </w:rPr>
              <w:t>计算药量(㎏)</w:t>
            </w:r>
          </w:p>
        </w:tc>
        <w:tc>
          <w:tcPr>
            <w:tcW w:w="1316" w:type="pct"/>
            <w:vAlign w:val="center"/>
          </w:tcPr>
          <w:p w14:paraId="3B5057BA">
            <w:pPr>
              <w:jc w:val="center"/>
              <w:rPr>
                <w:rFonts w:ascii="宋体" w:hAnsi="宋体" w:cs="宋体"/>
                <w:szCs w:val="21"/>
              </w:rPr>
            </w:pPr>
            <w:r>
              <w:rPr>
                <w:rFonts w:hint="eastAsia" w:ascii="宋体" w:hAnsi="宋体" w:cs="宋体"/>
                <w:szCs w:val="21"/>
              </w:rPr>
              <w:t>相邻建筑物名称</w:t>
            </w:r>
          </w:p>
        </w:tc>
        <w:tc>
          <w:tcPr>
            <w:tcW w:w="374" w:type="pct"/>
            <w:vAlign w:val="center"/>
          </w:tcPr>
          <w:p w14:paraId="14424B80">
            <w:pPr>
              <w:jc w:val="center"/>
              <w:rPr>
                <w:rFonts w:ascii="宋体" w:hAnsi="宋体" w:cs="宋体"/>
                <w:szCs w:val="21"/>
              </w:rPr>
            </w:pPr>
            <w:r>
              <w:rPr>
                <w:rFonts w:hint="eastAsia" w:ascii="宋体" w:hAnsi="宋体" w:cs="宋体"/>
                <w:szCs w:val="21"/>
              </w:rPr>
              <w:t>标准距离(m)</w:t>
            </w:r>
          </w:p>
        </w:tc>
        <w:tc>
          <w:tcPr>
            <w:tcW w:w="369" w:type="pct"/>
            <w:vAlign w:val="center"/>
          </w:tcPr>
          <w:p w14:paraId="4E571835">
            <w:pPr>
              <w:jc w:val="center"/>
              <w:rPr>
                <w:rFonts w:ascii="宋体" w:hAnsi="宋体" w:cs="宋体"/>
                <w:szCs w:val="21"/>
              </w:rPr>
            </w:pPr>
            <w:r>
              <w:rPr>
                <w:rFonts w:hint="eastAsia" w:ascii="宋体" w:hAnsi="宋体" w:cs="宋体"/>
                <w:szCs w:val="21"/>
              </w:rPr>
              <w:t>设计距离(m)</w:t>
            </w:r>
          </w:p>
        </w:tc>
        <w:tc>
          <w:tcPr>
            <w:tcW w:w="397" w:type="pct"/>
            <w:vAlign w:val="center"/>
          </w:tcPr>
          <w:p w14:paraId="7E48979F">
            <w:pPr>
              <w:jc w:val="center"/>
              <w:rPr>
                <w:rFonts w:ascii="宋体" w:hAnsi="宋体" w:cs="宋体"/>
                <w:szCs w:val="21"/>
              </w:rPr>
            </w:pPr>
            <w:r>
              <w:rPr>
                <w:rFonts w:hint="eastAsia" w:ascii="宋体" w:hAnsi="宋体" w:cs="宋体"/>
                <w:szCs w:val="21"/>
              </w:rPr>
              <w:t>防护措施</w:t>
            </w:r>
          </w:p>
        </w:tc>
        <w:tc>
          <w:tcPr>
            <w:tcW w:w="789" w:type="pct"/>
            <w:vAlign w:val="center"/>
          </w:tcPr>
          <w:p w14:paraId="41ED9DF5">
            <w:pPr>
              <w:jc w:val="center"/>
              <w:rPr>
                <w:rFonts w:ascii="宋体" w:hAnsi="宋体" w:cs="宋体"/>
                <w:szCs w:val="21"/>
              </w:rPr>
            </w:pPr>
            <w:r>
              <w:rPr>
                <w:rFonts w:hint="eastAsia" w:ascii="宋体" w:hAnsi="宋体" w:cs="宋体"/>
                <w:szCs w:val="21"/>
              </w:rPr>
              <w:t>标准依据</w:t>
            </w:r>
          </w:p>
        </w:tc>
      </w:tr>
      <w:tr w14:paraId="09282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87862A1">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w:t>
            </w:r>
            <w:r>
              <w:rPr>
                <w:rFonts w:hint="eastAsia" w:ascii="宋体" w:hAnsi="宋体" w:cs="Arial"/>
                <w:b w:val="0"/>
                <w:bCs/>
                <w:szCs w:val="21"/>
              </w:rPr>
              <w:t>硝酸钾粉碎</w:t>
            </w:r>
          </w:p>
        </w:tc>
        <w:tc>
          <w:tcPr>
            <w:tcW w:w="367" w:type="pct"/>
            <w:shd w:val="clear" w:color="auto" w:fill="auto"/>
            <w:vAlign w:val="center"/>
          </w:tcPr>
          <w:p w14:paraId="2D6C806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36868E9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318FFE9">
            <w:pPr>
              <w:jc w:val="center"/>
              <w:rPr>
                <w:rFonts w:ascii="宋体" w:hAnsi="宋体" w:cs="Arial"/>
                <w:b w:val="0"/>
                <w:bCs/>
                <w:szCs w:val="21"/>
              </w:rPr>
            </w:pPr>
            <w:r>
              <w:rPr>
                <w:rFonts w:ascii="宋体" w:hAnsi="宋体" w:cs="Arial"/>
                <w:b w:val="0"/>
                <w:bCs/>
                <w:szCs w:val="21"/>
              </w:rPr>
              <w:t>8#</w:t>
            </w:r>
            <w:r>
              <w:rPr>
                <w:rFonts w:hint="eastAsia" w:ascii="宋体" w:hAnsi="宋体" w:cs="Arial"/>
                <w:b w:val="0"/>
                <w:bCs/>
                <w:szCs w:val="21"/>
              </w:rPr>
              <w:t>硝酸钾库</w:t>
            </w:r>
          </w:p>
          <w:p w14:paraId="511E6B4E">
            <w:pPr>
              <w:jc w:val="center"/>
              <w:rPr>
                <w:rFonts w:ascii="宋体" w:hAnsi="宋体" w:cs="Arial"/>
                <w:b w:val="0"/>
                <w:bCs/>
                <w:szCs w:val="21"/>
              </w:rPr>
            </w:pPr>
            <w:r>
              <w:rPr>
                <w:rFonts w:hint="eastAsia" w:ascii="宋体" w:hAnsi="宋体" w:cs="Arial"/>
                <w:b w:val="0"/>
                <w:bCs/>
                <w:szCs w:val="21"/>
              </w:rPr>
              <w:t>（甲类、</w:t>
            </w:r>
            <w:r>
              <w:rPr>
                <w:rFonts w:ascii="宋体" w:hAnsi="宋体" w:cs="Arial"/>
                <w:b w:val="0"/>
                <w:bCs/>
                <w:szCs w:val="21"/>
              </w:rPr>
              <w:t>30000kg</w:t>
            </w:r>
            <w:r>
              <w:rPr>
                <w:rFonts w:hint="eastAsia" w:ascii="宋体" w:hAnsi="宋体" w:cs="Arial"/>
                <w:b w:val="0"/>
                <w:bCs/>
                <w:szCs w:val="21"/>
              </w:rPr>
              <w:t>）</w:t>
            </w:r>
          </w:p>
        </w:tc>
        <w:tc>
          <w:tcPr>
            <w:tcW w:w="374" w:type="pct"/>
            <w:shd w:val="clear" w:color="auto" w:fill="auto"/>
            <w:vAlign w:val="center"/>
          </w:tcPr>
          <w:p w14:paraId="17076B20">
            <w:pPr>
              <w:widowControl/>
              <w:jc w:val="center"/>
              <w:rPr>
                <w:rFonts w:ascii="宋体" w:hAnsi="宋体" w:cs="宋体"/>
                <w:b w:val="0"/>
                <w:bCs/>
                <w:szCs w:val="21"/>
              </w:rPr>
            </w:pPr>
            <w:r>
              <w:rPr>
                <w:rFonts w:ascii="宋体" w:hAnsi="宋体" w:cs="宋体"/>
                <w:b w:val="0"/>
                <w:bCs/>
                <w:szCs w:val="21"/>
              </w:rPr>
              <w:t>20</w:t>
            </w:r>
          </w:p>
        </w:tc>
        <w:tc>
          <w:tcPr>
            <w:tcW w:w="369" w:type="pct"/>
            <w:shd w:val="clear" w:color="auto" w:fill="auto"/>
            <w:vAlign w:val="center"/>
          </w:tcPr>
          <w:p w14:paraId="12A571A9">
            <w:pPr>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4</w:t>
            </w:r>
          </w:p>
        </w:tc>
        <w:tc>
          <w:tcPr>
            <w:tcW w:w="397" w:type="pct"/>
            <w:shd w:val="clear" w:color="auto" w:fill="auto"/>
            <w:vAlign w:val="center"/>
          </w:tcPr>
          <w:p w14:paraId="70061B5C">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355496C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1D86E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473EAF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w:t>
            </w:r>
            <w:r>
              <w:rPr>
                <w:rFonts w:hint="eastAsia" w:ascii="宋体" w:hAnsi="宋体" w:cs="Arial"/>
                <w:b w:val="0"/>
                <w:bCs/>
                <w:szCs w:val="21"/>
              </w:rPr>
              <w:t>硝酸钾粉碎中转</w:t>
            </w:r>
          </w:p>
        </w:tc>
        <w:tc>
          <w:tcPr>
            <w:tcW w:w="367" w:type="pct"/>
            <w:shd w:val="clear" w:color="auto" w:fill="auto"/>
            <w:vAlign w:val="center"/>
          </w:tcPr>
          <w:p w14:paraId="4E0A357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78B0E180">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w:t>
            </w:r>
          </w:p>
        </w:tc>
        <w:tc>
          <w:tcPr>
            <w:tcW w:w="1316" w:type="pct"/>
            <w:shd w:val="clear" w:color="auto" w:fill="auto"/>
            <w:vAlign w:val="center"/>
          </w:tcPr>
          <w:p w14:paraId="34C7E73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hint="eastAsia" w:ascii="宋体" w:hAnsi="宋体"/>
                <w:b w:val="0"/>
                <w:bCs/>
                <w:spacing w:val="-4"/>
                <w:szCs w:val="21"/>
              </w:rPr>
              <w:t>木炭库</w:t>
            </w:r>
          </w:p>
          <w:p w14:paraId="73FDB1E5">
            <w:pPr>
              <w:jc w:val="center"/>
              <w:rPr>
                <w:rFonts w:ascii="宋体" w:hAnsi="宋体"/>
                <w:b w:val="0"/>
                <w:bCs/>
                <w:spacing w:val="-4"/>
                <w:szCs w:val="21"/>
              </w:rPr>
            </w:pPr>
            <w:r>
              <w:rPr>
                <w:rFonts w:hint="eastAsia" w:ascii="宋体" w:hAnsi="宋体"/>
                <w:b w:val="0"/>
                <w:bCs/>
                <w:spacing w:val="-4"/>
                <w:szCs w:val="21"/>
              </w:rPr>
              <w:t>（丙类、2</w:t>
            </w:r>
            <w:r>
              <w:rPr>
                <w:rFonts w:ascii="宋体" w:hAnsi="宋体"/>
                <w:b w:val="0"/>
                <w:bCs/>
                <w:spacing w:val="-4"/>
                <w:szCs w:val="21"/>
              </w:rPr>
              <w:t>0000kg</w:t>
            </w:r>
            <w:r>
              <w:rPr>
                <w:rFonts w:hint="eastAsia" w:ascii="宋体" w:hAnsi="宋体"/>
                <w:b w:val="0"/>
                <w:bCs/>
                <w:spacing w:val="-4"/>
                <w:szCs w:val="21"/>
              </w:rPr>
              <w:t>）</w:t>
            </w:r>
          </w:p>
        </w:tc>
        <w:tc>
          <w:tcPr>
            <w:tcW w:w="374" w:type="pct"/>
            <w:shd w:val="clear" w:color="auto" w:fill="auto"/>
            <w:vAlign w:val="center"/>
          </w:tcPr>
          <w:p w14:paraId="669E8FA1">
            <w:pPr>
              <w:widowControl/>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69" w:type="pct"/>
            <w:shd w:val="clear" w:color="auto" w:fill="auto"/>
            <w:vAlign w:val="center"/>
          </w:tcPr>
          <w:p w14:paraId="6BF913F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vAlign w:val="center"/>
          </w:tcPr>
          <w:p w14:paraId="4D80BE74">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5F17578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3F127F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B49CA7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4#</w:t>
            </w:r>
            <w:r>
              <w:rPr>
                <w:rFonts w:hint="eastAsia" w:ascii="宋体" w:hAnsi="宋体" w:cs="Arial"/>
                <w:b w:val="0"/>
                <w:bCs/>
                <w:szCs w:val="21"/>
              </w:rPr>
              <w:t>二味球磨</w:t>
            </w:r>
          </w:p>
        </w:tc>
        <w:tc>
          <w:tcPr>
            <w:tcW w:w="367" w:type="pct"/>
            <w:shd w:val="clear" w:color="auto" w:fill="auto"/>
            <w:vAlign w:val="center"/>
          </w:tcPr>
          <w:p w14:paraId="38E8D7E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57AF73E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0FDA36F">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w:t>
            </w:r>
            <w:r>
              <w:rPr>
                <w:rFonts w:hint="eastAsia" w:ascii="宋体" w:hAnsi="宋体"/>
                <w:b w:val="0"/>
                <w:bCs/>
                <w:spacing w:val="-4"/>
                <w:szCs w:val="21"/>
              </w:rPr>
              <w:t>木炭库</w:t>
            </w:r>
          </w:p>
          <w:p w14:paraId="1D73963E">
            <w:pPr>
              <w:jc w:val="center"/>
              <w:rPr>
                <w:rFonts w:ascii="宋体" w:hAnsi="宋体"/>
                <w:b w:val="0"/>
                <w:bCs/>
                <w:spacing w:val="-4"/>
                <w:szCs w:val="21"/>
              </w:rPr>
            </w:pPr>
            <w:r>
              <w:rPr>
                <w:rFonts w:hint="eastAsia" w:ascii="宋体" w:hAnsi="宋体"/>
                <w:b w:val="0"/>
                <w:bCs/>
                <w:spacing w:val="-4"/>
                <w:szCs w:val="21"/>
              </w:rPr>
              <w:t>（丙类、2</w:t>
            </w:r>
            <w:r>
              <w:rPr>
                <w:rFonts w:ascii="宋体" w:hAnsi="宋体"/>
                <w:b w:val="0"/>
                <w:bCs/>
                <w:spacing w:val="-4"/>
                <w:szCs w:val="21"/>
              </w:rPr>
              <w:t>0000kg</w:t>
            </w:r>
            <w:r>
              <w:rPr>
                <w:rFonts w:hint="eastAsia" w:ascii="宋体" w:hAnsi="宋体"/>
                <w:b w:val="0"/>
                <w:bCs/>
                <w:spacing w:val="-4"/>
                <w:szCs w:val="21"/>
              </w:rPr>
              <w:t>）</w:t>
            </w:r>
          </w:p>
        </w:tc>
        <w:tc>
          <w:tcPr>
            <w:tcW w:w="374" w:type="pct"/>
            <w:shd w:val="clear" w:color="auto" w:fill="auto"/>
            <w:vAlign w:val="center"/>
          </w:tcPr>
          <w:p w14:paraId="765795D9">
            <w:pPr>
              <w:widowControl/>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69" w:type="pct"/>
            <w:shd w:val="clear" w:color="auto" w:fill="auto"/>
            <w:vAlign w:val="center"/>
          </w:tcPr>
          <w:p w14:paraId="191C9C8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97" w:type="pct"/>
            <w:shd w:val="clear" w:color="auto" w:fill="auto"/>
            <w:vAlign w:val="center"/>
          </w:tcPr>
          <w:p w14:paraId="79AED969">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43D78B9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08FF7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875" w:type="pct"/>
            <w:shd w:val="clear" w:color="auto" w:fill="auto"/>
            <w:vAlign w:val="center"/>
          </w:tcPr>
          <w:p w14:paraId="43A346E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r>
              <w:rPr>
                <w:rFonts w:hint="eastAsia" w:ascii="宋体" w:hAnsi="宋体" w:cs="Arial"/>
                <w:b w:val="0"/>
                <w:bCs/>
                <w:szCs w:val="21"/>
              </w:rPr>
              <w:t>二味球磨</w:t>
            </w:r>
          </w:p>
        </w:tc>
        <w:tc>
          <w:tcPr>
            <w:tcW w:w="367" w:type="pct"/>
            <w:shd w:val="clear" w:color="auto" w:fill="auto"/>
            <w:vAlign w:val="center"/>
          </w:tcPr>
          <w:p w14:paraId="69E44E8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76A4A05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24A86F58">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4#</w:t>
            </w:r>
            <w:r>
              <w:rPr>
                <w:rFonts w:hint="eastAsia" w:ascii="宋体" w:hAnsi="宋体"/>
                <w:b w:val="0"/>
                <w:bCs/>
                <w:spacing w:val="-4"/>
                <w:szCs w:val="21"/>
              </w:rPr>
              <w:t>二味球磨</w:t>
            </w:r>
          </w:p>
          <w:p w14:paraId="6CC443EE">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74" w:type="pct"/>
            <w:shd w:val="clear" w:color="auto" w:fill="auto"/>
            <w:vAlign w:val="center"/>
          </w:tcPr>
          <w:p w14:paraId="406EEDCF">
            <w:pPr>
              <w:widowControl/>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69" w:type="pct"/>
            <w:shd w:val="clear" w:color="auto" w:fill="auto"/>
            <w:vAlign w:val="center"/>
          </w:tcPr>
          <w:p w14:paraId="7AA5EAD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97" w:type="pct"/>
            <w:shd w:val="clear" w:color="auto" w:fill="auto"/>
            <w:vAlign w:val="center"/>
          </w:tcPr>
          <w:p w14:paraId="4A2F8011">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1B50E21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7CEB0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875" w:type="pct"/>
            <w:shd w:val="clear" w:color="auto" w:fill="auto"/>
            <w:vAlign w:val="center"/>
          </w:tcPr>
          <w:p w14:paraId="4CD897B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w:t>
            </w:r>
            <w:r>
              <w:rPr>
                <w:rFonts w:hint="eastAsia" w:ascii="宋体" w:hAnsi="宋体" w:cs="Arial"/>
                <w:b w:val="0"/>
                <w:bCs/>
                <w:szCs w:val="21"/>
              </w:rPr>
              <w:t>二味中转</w:t>
            </w:r>
          </w:p>
        </w:tc>
        <w:tc>
          <w:tcPr>
            <w:tcW w:w="367" w:type="pct"/>
            <w:shd w:val="clear" w:color="auto" w:fill="auto"/>
            <w:vAlign w:val="center"/>
          </w:tcPr>
          <w:p w14:paraId="2C408F2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43BFF4C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316" w:type="pct"/>
            <w:shd w:val="clear" w:color="auto" w:fill="auto"/>
            <w:vAlign w:val="center"/>
          </w:tcPr>
          <w:p w14:paraId="361E3F93">
            <w:pPr>
              <w:jc w:val="center"/>
              <w:rPr>
                <w:rFonts w:ascii="宋体" w:hAnsi="宋体"/>
                <w:b w:val="0"/>
                <w:bCs/>
                <w:spacing w:val="-4"/>
                <w:szCs w:val="21"/>
              </w:rPr>
            </w:pPr>
            <w:r>
              <w:rPr>
                <w:rFonts w:ascii="宋体" w:hAnsi="宋体"/>
                <w:b w:val="0"/>
                <w:bCs/>
                <w:spacing w:val="-4"/>
                <w:szCs w:val="21"/>
              </w:rPr>
              <w:t>16#</w:t>
            </w:r>
            <w:r>
              <w:rPr>
                <w:rFonts w:hint="eastAsia" w:ascii="宋体" w:hAnsi="宋体"/>
                <w:b w:val="0"/>
                <w:bCs/>
                <w:spacing w:val="-4"/>
                <w:szCs w:val="21"/>
              </w:rPr>
              <w:t>二味球磨</w:t>
            </w:r>
          </w:p>
          <w:p w14:paraId="4179B69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55F27BB">
            <w:pPr>
              <w:widowControl/>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69" w:type="pct"/>
            <w:shd w:val="clear" w:color="auto" w:fill="auto"/>
            <w:vAlign w:val="center"/>
          </w:tcPr>
          <w:p w14:paraId="5E841F74">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shd w:val="clear" w:color="auto" w:fill="auto"/>
            <w:vAlign w:val="center"/>
          </w:tcPr>
          <w:p w14:paraId="0DB77BFC">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531C3A0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.2.8</w:t>
            </w:r>
            <w:r>
              <w:rPr>
                <w:rFonts w:hint="eastAsia" w:ascii="宋体" w:hAnsi="宋体" w:cs="宋体"/>
                <w:b w:val="0"/>
                <w:bCs/>
                <w:szCs w:val="21"/>
              </w:rPr>
              <w:t>条</w:t>
            </w:r>
          </w:p>
        </w:tc>
      </w:tr>
      <w:tr w14:paraId="0D5A1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EEB466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r>
              <w:rPr>
                <w:rFonts w:hint="eastAsia" w:ascii="宋体" w:hAnsi="宋体" w:cs="Arial"/>
                <w:b w:val="0"/>
                <w:bCs/>
                <w:szCs w:val="21"/>
              </w:rPr>
              <w:t>危废暂存间</w:t>
            </w:r>
          </w:p>
        </w:tc>
        <w:tc>
          <w:tcPr>
            <w:tcW w:w="367" w:type="pct"/>
            <w:shd w:val="clear" w:color="auto" w:fill="auto"/>
            <w:vAlign w:val="center"/>
          </w:tcPr>
          <w:p w14:paraId="02F84FD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B1C631F">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1316" w:type="pct"/>
            <w:shd w:val="clear" w:color="auto" w:fill="auto"/>
            <w:vAlign w:val="center"/>
          </w:tcPr>
          <w:p w14:paraId="5B135894">
            <w:pPr>
              <w:jc w:val="center"/>
              <w:rPr>
                <w:rFonts w:ascii="宋体" w:hAnsi="宋体"/>
                <w:b w:val="0"/>
                <w:bCs/>
                <w:spacing w:val="-4"/>
                <w:szCs w:val="21"/>
              </w:rPr>
            </w:pPr>
            <w:r>
              <w:rPr>
                <w:rFonts w:ascii="宋体" w:hAnsi="宋体"/>
                <w:b w:val="0"/>
                <w:bCs/>
                <w:spacing w:val="-4"/>
                <w:szCs w:val="21"/>
              </w:rPr>
              <w:t>17#</w:t>
            </w:r>
            <w:r>
              <w:rPr>
                <w:rFonts w:hint="eastAsia" w:ascii="宋体" w:hAnsi="宋体"/>
                <w:b w:val="0"/>
                <w:bCs/>
                <w:spacing w:val="-4"/>
                <w:szCs w:val="21"/>
              </w:rPr>
              <w:t>二味中转</w:t>
            </w:r>
          </w:p>
          <w:p w14:paraId="103A1F1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w:t>
            </w:r>
            <w:r>
              <w:rPr>
                <w:rFonts w:ascii="宋体" w:hAnsi="宋体"/>
                <w:b w:val="0"/>
                <w:bCs/>
                <w:spacing w:val="-4"/>
                <w:szCs w:val="21"/>
              </w:rPr>
              <w:t>1000kg</w:t>
            </w:r>
            <w:r>
              <w:rPr>
                <w:rFonts w:hint="eastAsia" w:ascii="宋体" w:hAnsi="宋体"/>
                <w:b w:val="0"/>
                <w:bCs/>
                <w:spacing w:val="-4"/>
                <w:szCs w:val="21"/>
              </w:rPr>
              <w:t>）</w:t>
            </w:r>
          </w:p>
        </w:tc>
        <w:tc>
          <w:tcPr>
            <w:tcW w:w="374" w:type="pct"/>
            <w:shd w:val="clear" w:color="auto" w:fill="auto"/>
            <w:vAlign w:val="center"/>
          </w:tcPr>
          <w:p w14:paraId="20C69CA7">
            <w:pPr>
              <w:widowControl/>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5</w:t>
            </w:r>
          </w:p>
        </w:tc>
        <w:tc>
          <w:tcPr>
            <w:tcW w:w="369" w:type="pct"/>
            <w:shd w:val="clear" w:color="auto" w:fill="auto"/>
            <w:vAlign w:val="center"/>
          </w:tcPr>
          <w:p w14:paraId="7E74857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6</w:t>
            </w:r>
          </w:p>
        </w:tc>
        <w:tc>
          <w:tcPr>
            <w:tcW w:w="397" w:type="pct"/>
            <w:shd w:val="clear" w:color="auto" w:fill="auto"/>
            <w:vAlign w:val="center"/>
          </w:tcPr>
          <w:p w14:paraId="5730F50E">
            <w:pPr>
              <w:jc w:val="center"/>
              <w:rPr>
                <w:rFonts w:ascii="宋体" w:hAnsi="宋体" w:cs="宋体"/>
                <w:b w:val="0"/>
                <w:bCs/>
                <w:szCs w:val="21"/>
              </w:rPr>
            </w:pPr>
            <w:r>
              <w:rPr>
                <w:rFonts w:hint="eastAsia" w:ascii="宋体" w:hAnsi="宋体" w:cs="宋体"/>
                <w:b w:val="0"/>
                <w:bCs/>
                <w:szCs w:val="21"/>
              </w:rPr>
              <w:t>双有</w:t>
            </w:r>
          </w:p>
        </w:tc>
        <w:tc>
          <w:tcPr>
            <w:tcW w:w="789" w:type="pct"/>
            <w:shd w:val="clear" w:color="auto" w:fill="auto"/>
            <w:vAlign w:val="center"/>
          </w:tcPr>
          <w:p w14:paraId="0C35F73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、表5</w:t>
            </w:r>
            <w:r>
              <w:rPr>
                <w:rFonts w:ascii="宋体" w:hAnsi="宋体" w:cs="宋体"/>
                <w:b w:val="0"/>
                <w:bCs/>
                <w:szCs w:val="21"/>
              </w:rPr>
              <w:t>.2.3</w:t>
            </w:r>
          </w:p>
        </w:tc>
      </w:tr>
      <w:tr w14:paraId="48864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4343E25">
            <w:pPr>
              <w:jc w:val="center"/>
              <w:rPr>
                <w:rFonts w:ascii="宋体" w:hAnsi="宋体"/>
                <w:b w:val="0"/>
                <w:bCs/>
              </w:rPr>
            </w:pPr>
            <w:r>
              <w:rPr>
                <w:rFonts w:hint="eastAsia" w:ascii="宋体" w:hAnsi="宋体"/>
                <w:b w:val="0"/>
                <w:bCs/>
              </w:rPr>
              <w:t>1</w:t>
            </w:r>
            <w:r>
              <w:rPr>
                <w:rFonts w:ascii="宋体" w:hAnsi="宋体"/>
                <w:b w:val="0"/>
                <w:bCs/>
              </w:rPr>
              <w:t>9#</w:t>
            </w:r>
            <w:r>
              <w:rPr>
                <w:rFonts w:hint="eastAsia" w:ascii="宋体" w:hAnsi="宋体"/>
                <w:b w:val="0"/>
                <w:bCs/>
              </w:rPr>
              <w:t>原材料中转</w:t>
            </w:r>
          </w:p>
        </w:tc>
        <w:tc>
          <w:tcPr>
            <w:tcW w:w="367" w:type="pct"/>
            <w:shd w:val="clear" w:color="auto" w:fill="auto"/>
            <w:vAlign w:val="center"/>
          </w:tcPr>
          <w:p w14:paraId="7340F02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1D49D26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1316" w:type="pct"/>
            <w:shd w:val="clear" w:color="auto" w:fill="auto"/>
            <w:vAlign w:val="center"/>
          </w:tcPr>
          <w:p w14:paraId="341A5360">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0#</w:t>
            </w:r>
            <w:r>
              <w:rPr>
                <w:rFonts w:hint="eastAsia" w:ascii="宋体" w:hAnsi="宋体"/>
                <w:b w:val="0"/>
                <w:bCs/>
                <w:spacing w:val="-4"/>
                <w:szCs w:val="21"/>
              </w:rPr>
              <w:t>电控室</w:t>
            </w:r>
          </w:p>
        </w:tc>
        <w:tc>
          <w:tcPr>
            <w:tcW w:w="374" w:type="pct"/>
            <w:shd w:val="clear" w:color="auto" w:fill="auto"/>
            <w:vAlign w:val="center"/>
          </w:tcPr>
          <w:p w14:paraId="70FD510E">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411B755B">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97" w:type="pct"/>
            <w:shd w:val="clear" w:color="auto" w:fill="auto"/>
            <w:vAlign w:val="center"/>
          </w:tcPr>
          <w:p w14:paraId="5571F3DB">
            <w:pPr>
              <w:jc w:val="center"/>
              <w:rPr>
                <w:rFonts w:ascii="宋体" w:hAnsi="宋体"/>
                <w:b w:val="0"/>
                <w:bCs/>
                <w:szCs w:val="21"/>
              </w:rPr>
            </w:pPr>
            <w:r>
              <w:rPr>
                <w:rFonts w:hint="eastAsia" w:ascii="宋体" w:hAnsi="宋体"/>
                <w:b w:val="0"/>
                <w:bCs/>
                <w:szCs w:val="21"/>
              </w:rPr>
              <w:t>双有</w:t>
            </w:r>
          </w:p>
        </w:tc>
        <w:tc>
          <w:tcPr>
            <w:tcW w:w="789" w:type="pct"/>
            <w:shd w:val="clear" w:color="auto" w:fill="auto"/>
            <w:vAlign w:val="center"/>
          </w:tcPr>
          <w:p w14:paraId="0FA5038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.2.8</w:t>
            </w:r>
            <w:r>
              <w:rPr>
                <w:rFonts w:hint="eastAsia" w:ascii="宋体" w:hAnsi="宋体" w:cs="宋体"/>
                <w:b w:val="0"/>
                <w:bCs/>
                <w:szCs w:val="21"/>
              </w:rPr>
              <w:t>条</w:t>
            </w:r>
          </w:p>
        </w:tc>
      </w:tr>
      <w:tr w14:paraId="40E027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6262E5EB">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1#</w:t>
            </w:r>
            <w:r>
              <w:rPr>
                <w:rFonts w:hint="eastAsia"/>
                <w:b w:val="0"/>
                <w:bCs/>
              </w:rPr>
              <w:t>回收粉中转</w:t>
            </w:r>
          </w:p>
        </w:tc>
        <w:tc>
          <w:tcPr>
            <w:tcW w:w="367" w:type="pct"/>
            <w:vMerge w:val="restart"/>
            <w:shd w:val="clear" w:color="auto" w:fill="auto"/>
            <w:vAlign w:val="center"/>
          </w:tcPr>
          <w:p w14:paraId="071B660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4125E57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5E11F02">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0#</w:t>
            </w:r>
            <w:r>
              <w:rPr>
                <w:rFonts w:hint="eastAsia" w:ascii="宋体" w:hAnsi="宋体"/>
                <w:b w:val="0"/>
                <w:bCs/>
                <w:spacing w:val="-4"/>
                <w:szCs w:val="21"/>
              </w:rPr>
              <w:t>电控室</w:t>
            </w:r>
          </w:p>
        </w:tc>
        <w:tc>
          <w:tcPr>
            <w:tcW w:w="374" w:type="pct"/>
            <w:shd w:val="clear" w:color="auto" w:fill="auto"/>
            <w:vAlign w:val="center"/>
          </w:tcPr>
          <w:p w14:paraId="086F7795">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74B392A">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97" w:type="pct"/>
            <w:shd w:val="clear" w:color="auto" w:fill="auto"/>
            <w:vAlign w:val="center"/>
          </w:tcPr>
          <w:p w14:paraId="5BDCD646">
            <w:pPr>
              <w:jc w:val="center"/>
              <w:rPr>
                <w:rFonts w:ascii="宋体" w:hAnsi="宋体"/>
                <w:b w:val="0"/>
                <w:bCs/>
                <w:szCs w:val="21"/>
              </w:rPr>
            </w:pPr>
            <w:r>
              <w:rPr>
                <w:rFonts w:hint="eastAsia" w:ascii="宋体" w:hAnsi="宋体"/>
                <w:b w:val="0"/>
                <w:bCs/>
                <w:szCs w:val="21"/>
              </w:rPr>
              <w:t>双有</w:t>
            </w:r>
          </w:p>
        </w:tc>
        <w:tc>
          <w:tcPr>
            <w:tcW w:w="789" w:type="pct"/>
            <w:shd w:val="clear" w:color="auto" w:fill="auto"/>
            <w:vAlign w:val="center"/>
          </w:tcPr>
          <w:p w14:paraId="4215295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832B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72480BBF">
            <w:pPr>
              <w:jc w:val="center"/>
              <w:rPr>
                <w:rFonts w:ascii="宋体" w:hAnsi="宋体" w:cs="Arial"/>
                <w:b w:val="0"/>
                <w:bCs/>
                <w:szCs w:val="21"/>
              </w:rPr>
            </w:pPr>
          </w:p>
        </w:tc>
        <w:tc>
          <w:tcPr>
            <w:tcW w:w="367" w:type="pct"/>
            <w:vMerge w:val="continue"/>
            <w:shd w:val="clear" w:color="auto" w:fill="auto"/>
            <w:vAlign w:val="center"/>
          </w:tcPr>
          <w:p w14:paraId="50F7844A">
            <w:pPr>
              <w:jc w:val="center"/>
              <w:rPr>
                <w:rFonts w:ascii="宋体" w:hAnsi="宋体" w:cs="Arial"/>
                <w:b w:val="0"/>
                <w:bCs/>
                <w:szCs w:val="21"/>
              </w:rPr>
            </w:pPr>
          </w:p>
        </w:tc>
        <w:tc>
          <w:tcPr>
            <w:tcW w:w="513" w:type="pct"/>
            <w:vMerge w:val="continue"/>
            <w:shd w:val="clear" w:color="auto" w:fill="auto"/>
            <w:vAlign w:val="center"/>
          </w:tcPr>
          <w:p w14:paraId="429AE5EC">
            <w:pPr>
              <w:jc w:val="center"/>
              <w:rPr>
                <w:rFonts w:ascii="宋体" w:hAnsi="宋体" w:cs="Arial"/>
                <w:b w:val="0"/>
                <w:bCs/>
                <w:szCs w:val="21"/>
              </w:rPr>
            </w:pPr>
          </w:p>
        </w:tc>
        <w:tc>
          <w:tcPr>
            <w:tcW w:w="1316" w:type="pct"/>
            <w:shd w:val="clear" w:color="auto" w:fill="auto"/>
            <w:vAlign w:val="center"/>
          </w:tcPr>
          <w:p w14:paraId="4B735CCF">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2#</w:t>
            </w:r>
            <w:r>
              <w:rPr>
                <w:rFonts w:hint="eastAsia" w:ascii="宋体" w:hAnsi="宋体"/>
                <w:b w:val="0"/>
                <w:bCs/>
                <w:spacing w:val="-4"/>
                <w:szCs w:val="21"/>
              </w:rPr>
              <w:t>气泵间</w:t>
            </w:r>
          </w:p>
        </w:tc>
        <w:tc>
          <w:tcPr>
            <w:tcW w:w="374" w:type="pct"/>
            <w:shd w:val="clear" w:color="auto" w:fill="auto"/>
            <w:vAlign w:val="center"/>
          </w:tcPr>
          <w:p w14:paraId="23BC5561">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B243E7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97" w:type="pct"/>
            <w:shd w:val="clear" w:color="auto" w:fill="auto"/>
            <w:vAlign w:val="center"/>
          </w:tcPr>
          <w:p w14:paraId="087CEEA4">
            <w:pPr>
              <w:jc w:val="center"/>
              <w:rPr>
                <w:rFonts w:ascii="宋体" w:hAnsi="宋体"/>
                <w:b w:val="0"/>
                <w:bCs/>
                <w:szCs w:val="21"/>
              </w:rPr>
            </w:pPr>
            <w:r>
              <w:rPr>
                <w:rFonts w:hint="eastAsia" w:ascii="宋体" w:hAnsi="宋体"/>
                <w:b w:val="0"/>
                <w:bCs/>
                <w:szCs w:val="21"/>
              </w:rPr>
              <w:t>双有</w:t>
            </w:r>
          </w:p>
        </w:tc>
        <w:tc>
          <w:tcPr>
            <w:tcW w:w="789" w:type="pct"/>
            <w:shd w:val="clear" w:color="auto" w:fill="auto"/>
            <w:vAlign w:val="center"/>
          </w:tcPr>
          <w:p w14:paraId="3BDBBEC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C872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4BB4D65A">
            <w:pPr>
              <w:jc w:val="center"/>
              <w:rPr>
                <w:rFonts w:ascii="宋体" w:hAnsi="宋体"/>
                <w:b w:val="0"/>
                <w:bCs/>
              </w:rPr>
            </w:pPr>
            <w:r>
              <w:rPr>
                <w:rFonts w:hint="eastAsia" w:ascii="宋体" w:hAnsi="宋体"/>
                <w:b w:val="0"/>
                <w:bCs/>
              </w:rPr>
              <w:t>2</w:t>
            </w:r>
            <w:r>
              <w:rPr>
                <w:rFonts w:ascii="宋体" w:hAnsi="宋体"/>
                <w:b w:val="0"/>
                <w:bCs/>
              </w:rPr>
              <w:t>3#</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67" w:type="pct"/>
            <w:vMerge w:val="restart"/>
            <w:shd w:val="clear" w:color="auto" w:fill="auto"/>
            <w:vAlign w:val="center"/>
          </w:tcPr>
          <w:p w14:paraId="7390118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78FDA29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355445F7">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1#</w:t>
            </w:r>
            <w:r>
              <w:rPr>
                <w:rFonts w:hint="eastAsia" w:ascii="宋体" w:hAnsi="宋体"/>
                <w:b w:val="0"/>
                <w:bCs/>
                <w:spacing w:val="-4"/>
                <w:szCs w:val="21"/>
              </w:rPr>
              <w:t>回收粉中转</w:t>
            </w:r>
          </w:p>
          <w:p w14:paraId="7D0CE1FA">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74" w:type="pct"/>
            <w:shd w:val="clear" w:color="auto" w:fill="auto"/>
            <w:vAlign w:val="center"/>
          </w:tcPr>
          <w:p w14:paraId="72463E6F">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BD62A07">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1</w:t>
            </w:r>
          </w:p>
        </w:tc>
        <w:tc>
          <w:tcPr>
            <w:tcW w:w="397" w:type="pct"/>
            <w:shd w:val="clear" w:color="auto" w:fill="auto"/>
            <w:vAlign w:val="center"/>
          </w:tcPr>
          <w:p w14:paraId="32171234">
            <w:pPr>
              <w:jc w:val="center"/>
              <w:rPr>
                <w:rFonts w:ascii="宋体" w:hAnsi="宋体"/>
                <w:b w:val="0"/>
                <w:bCs/>
                <w:szCs w:val="21"/>
              </w:rPr>
            </w:pPr>
            <w:r>
              <w:rPr>
                <w:rFonts w:hint="eastAsia" w:ascii="宋体" w:hAnsi="宋体"/>
                <w:b w:val="0"/>
                <w:bCs/>
                <w:szCs w:val="21"/>
              </w:rPr>
              <w:t>双有</w:t>
            </w:r>
          </w:p>
        </w:tc>
        <w:tc>
          <w:tcPr>
            <w:tcW w:w="789" w:type="pct"/>
            <w:shd w:val="clear" w:color="auto" w:fill="auto"/>
            <w:vAlign w:val="center"/>
          </w:tcPr>
          <w:p w14:paraId="3A222F8E">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D5589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78B6D97E">
            <w:pPr>
              <w:jc w:val="center"/>
              <w:rPr>
                <w:rFonts w:ascii="宋体" w:hAnsi="宋体"/>
                <w:b w:val="0"/>
                <w:bCs/>
              </w:rPr>
            </w:pPr>
          </w:p>
        </w:tc>
        <w:tc>
          <w:tcPr>
            <w:tcW w:w="367" w:type="pct"/>
            <w:vMerge w:val="continue"/>
            <w:shd w:val="clear" w:color="auto" w:fill="auto"/>
            <w:vAlign w:val="center"/>
          </w:tcPr>
          <w:p w14:paraId="19C2AF7C">
            <w:pPr>
              <w:jc w:val="center"/>
              <w:rPr>
                <w:rFonts w:ascii="宋体" w:hAnsi="宋体" w:cs="Arial"/>
                <w:b w:val="0"/>
                <w:bCs/>
                <w:szCs w:val="21"/>
              </w:rPr>
            </w:pPr>
          </w:p>
        </w:tc>
        <w:tc>
          <w:tcPr>
            <w:tcW w:w="513" w:type="pct"/>
            <w:vMerge w:val="continue"/>
            <w:shd w:val="clear" w:color="auto" w:fill="auto"/>
            <w:vAlign w:val="center"/>
          </w:tcPr>
          <w:p w14:paraId="5CD2F380">
            <w:pPr>
              <w:jc w:val="center"/>
              <w:rPr>
                <w:rFonts w:ascii="宋体" w:hAnsi="宋体" w:cs="Arial"/>
                <w:b w:val="0"/>
                <w:bCs/>
                <w:szCs w:val="21"/>
              </w:rPr>
            </w:pPr>
          </w:p>
        </w:tc>
        <w:tc>
          <w:tcPr>
            <w:tcW w:w="1316" w:type="pct"/>
            <w:shd w:val="clear" w:color="auto" w:fill="auto"/>
            <w:vAlign w:val="center"/>
          </w:tcPr>
          <w:p w14:paraId="23D44BF8">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4#</w:t>
            </w:r>
            <w:r>
              <w:rPr>
                <w:rFonts w:hint="eastAsia" w:ascii="宋体" w:hAnsi="宋体"/>
                <w:b w:val="0"/>
                <w:bCs/>
                <w:spacing w:val="-4"/>
                <w:szCs w:val="21"/>
              </w:rPr>
              <w:t>空板车间</w:t>
            </w:r>
          </w:p>
        </w:tc>
        <w:tc>
          <w:tcPr>
            <w:tcW w:w="374" w:type="pct"/>
            <w:shd w:val="clear" w:color="auto" w:fill="auto"/>
            <w:vAlign w:val="center"/>
          </w:tcPr>
          <w:p w14:paraId="22733419">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38A2761A">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4</w:t>
            </w:r>
          </w:p>
        </w:tc>
        <w:tc>
          <w:tcPr>
            <w:tcW w:w="397" w:type="pct"/>
            <w:shd w:val="clear" w:color="auto" w:fill="auto"/>
            <w:vAlign w:val="center"/>
          </w:tcPr>
          <w:p w14:paraId="4B99A72D">
            <w:pPr>
              <w:jc w:val="center"/>
              <w:rPr>
                <w:rFonts w:ascii="宋体" w:hAnsi="宋体"/>
                <w:b w:val="0"/>
                <w:bCs/>
                <w:szCs w:val="21"/>
              </w:rPr>
            </w:pPr>
            <w:r>
              <w:rPr>
                <w:rFonts w:hint="eastAsia" w:ascii="宋体" w:hAnsi="宋体"/>
                <w:b w:val="0"/>
                <w:bCs/>
                <w:szCs w:val="21"/>
              </w:rPr>
              <w:t>双有</w:t>
            </w:r>
          </w:p>
        </w:tc>
        <w:tc>
          <w:tcPr>
            <w:tcW w:w="789" w:type="pct"/>
            <w:shd w:val="clear" w:color="auto" w:fill="auto"/>
            <w:vAlign w:val="center"/>
          </w:tcPr>
          <w:p w14:paraId="60AF3A1E">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5282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1592B0CB">
            <w:pPr>
              <w:jc w:val="center"/>
              <w:rPr>
                <w:rFonts w:ascii="宋体" w:hAnsi="宋体"/>
                <w:b w:val="0"/>
                <w:bCs/>
              </w:rPr>
            </w:pPr>
            <w:r>
              <w:rPr>
                <w:rFonts w:hint="eastAsia" w:ascii="宋体" w:hAnsi="宋体"/>
                <w:b w:val="0"/>
                <w:bCs/>
              </w:rPr>
              <w:t>2</w:t>
            </w:r>
            <w:r>
              <w:rPr>
                <w:rFonts w:ascii="宋体" w:hAnsi="宋体"/>
                <w:b w:val="0"/>
                <w:bCs/>
              </w:rPr>
              <w:t>5#</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67" w:type="pct"/>
            <w:vMerge w:val="restart"/>
            <w:shd w:val="clear" w:color="auto" w:fill="auto"/>
            <w:vAlign w:val="center"/>
          </w:tcPr>
          <w:p w14:paraId="3795230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6F6CAD3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373EC8C4">
            <w:pPr>
              <w:jc w:val="center"/>
              <w:rPr>
                <w:rFonts w:ascii="宋体" w:hAnsi="宋体"/>
                <w:b w:val="0"/>
                <w:bCs/>
                <w:spacing w:val="-4"/>
                <w:szCs w:val="21"/>
              </w:rPr>
            </w:pPr>
            <w:r>
              <w:rPr>
                <w:rFonts w:hint="eastAsia" w:ascii="宋体" w:hAnsi="宋体"/>
                <w:b w:val="0"/>
                <w:bCs/>
              </w:rPr>
              <w:t>2</w:t>
            </w:r>
            <w:r>
              <w:rPr>
                <w:rFonts w:ascii="宋体" w:hAnsi="宋体"/>
                <w:b w:val="0"/>
                <w:bCs/>
              </w:rPr>
              <w:t>3#</w:t>
            </w:r>
            <w:r>
              <w:rPr>
                <w:rFonts w:hint="eastAsia" w:ascii="宋体" w:hAnsi="宋体"/>
                <w:b w:val="0"/>
                <w:bCs/>
              </w:rPr>
              <w:t>自动混合</w:t>
            </w:r>
            <w:r>
              <w:rPr>
                <w:rFonts w:ascii="宋体" w:hAnsi="宋体"/>
                <w:b w:val="0"/>
                <w:bCs/>
              </w:rPr>
              <w:t>/</w:t>
            </w:r>
            <w:r>
              <w:rPr>
                <w:rFonts w:hint="eastAsia" w:ascii="宋体" w:hAnsi="宋体"/>
                <w:b w:val="0"/>
                <w:bCs/>
              </w:rPr>
              <w:t>上潮/装模制片</w:t>
            </w: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7EA8C551">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2BA6A48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04</w:t>
            </w:r>
          </w:p>
        </w:tc>
        <w:tc>
          <w:tcPr>
            <w:tcW w:w="397" w:type="pct"/>
            <w:vAlign w:val="center"/>
          </w:tcPr>
          <w:p w14:paraId="330251F7">
            <w:pPr>
              <w:jc w:val="center"/>
              <w:rPr>
                <w:rFonts w:ascii="宋体" w:hAnsi="宋体"/>
                <w:b w:val="0"/>
                <w:bCs/>
                <w:szCs w:val="21"/>
              </w:rPr>
            </w:pPr>
            <w:r>
              <w:rPr>
                <w:rFonts w:hint="eastAsia" w:ascii="宋体" w:hAnsi="宋体"/>
                <w:b w:val="0"/>
                <w:bCs/>
                <w:szCs w:val="21"/>
              </w:rPr>
              <w:t>双有</w:t>
            </w:r>
          </w:p>
        </w:tc>
        <w:tc>
          <w:tcPr>
            <w:tcW w:w="789" w:type="pct"/>
            <w:vAlign w:val="center"/>
          </w:tcPr>
          <w:p w14:paraId="7B0F4DC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FAA9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41A5ACE1">
            <w:pPr>
              <w:jc w:val="center"/>
              <w:rPr>
                <w:rFonts w:ascii="宋体" w:hAnsi="宋体"/>
                <w:b w:val="0"/>
                <w:bCs/>
              </w:rPr>
            </w:pPr>
          </w:p>
        </w:tc>
        <w:tc>
          <w:tcPr>
            <w:tcW w:w="367" w:type="pct"/>
            <w:vMerge w:val="continue"/>
            <w:shd w:val="clear" w:color="auto" w:fill="auto"/>
            <w:vAlign w:val="center"/>
          </w:tcPr>
          <w:p w14:paraId="0BE6190B">
            <w:pPr>
              <w:jc w:val="center"/>
              <w:rPr>
                <w:rFonts w:ascii="宋体" w:hAnsi="宋体" w:cs="Arial"/>
                <w:b w:val="0"/>
                <w:bCs/>
                <w:szCs w:val="21"/>
              </w:rPr>
            </w:pPr>
          </w:p>
        </w:tc>
        <w:tc>
          <w:tcPr>
            <w:tcW w:w="513" w:type="pct"/>
            <w:vMerge w:val="continue"/>
            <w:shd w:val="clear" w:color="auto" w:fill="auto"/>
            <w:vAlign w:val="center"/>
          </w:tcPr>
          <w:p w14:paraId="155B84A7">
            <w:pPr>
              <w:jc w:val="center"/>
              <w:rPr>
                <w:rFonts w:ascii="宋体" w:hAnsi="宋体" w:cs="Arial"/>
                <w:b w:val="0"/>
                <w:bCs/>
                <w:szCs w:val="21"/>
              </w:rPr>
            </w:pPr>
          </w:p>
        </w:tc>
        <w:tc>
          <w:tcPr>
            <w:tcW w:w="1316" w:type="pct"/>
            <w:shd w:val="clear" w:color="auto" w:fill="auto"/>
            <w:vAlign w:val="center"/>
          </w:tcPr>
          <w:p w14:paraId="72FCC358">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4#</w:t>
            </w:r>
            <w:r>
              <w:rPr>
                <w:rFonts w:hint="eastAsia" w:ascii="宋体" w:hAnsi="宋体"/>
                <w:b w:val="0"/>
                <w:bCs/>
                <w:spacing w:val="-4"/>
                <w:szCs w:val="21"/>
              </w:rPr>
              <w:t>空板车间</w:t>
            </w:r>
          </w:p>
        </w:tc>
        <w:tc>
          <w:tcPr>
            <w:tcW w:w="374" w:type="pct"/>
            <w:shd w:val="clear" w:color="auto" w:fill="auto"/>
            <w:vAlign w:val="center"/>
          </w:tcPr>
          <w:p w14:paraId="65DF0E8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393CA80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7</w:t>
            </w:r>
            <w:r>
              <w:rPr>
                <w:rFonts w:ascii="宋体" w:hAnsi="宋体"/>
                <w:b w:val="0"/>
                <w:bCs/>
                <w:spacing w:val="-4"/>
                <w:kern w:val="0"/>
                <w:szCs w:val="21"/>
              </w:rPr>
              <w:t>1</w:t>
            </w:r>
          </w:p>
        </w:tc>
        <w:tc>
          <w:tcPr>
            <w:tcW w:w="397" w:type="pct"/>
            <w:vAlign w:val="center"/>
          </w:tcPr>
          <w:p w14:paraId="67081393">
            <w:pPr>
              <w:jc w:val="center"/>
              <w:rPr>
                <w:rFonts w:ascii="宋体" w:hAnsi="宋体"/>
                <w:b w:val="0"/>
                <w:bCs/>
                <w:szCs w:val="21"/>
              </w:rPr>
            </w:pPr>
            <w:r>
              <w:rPr>
                <w:rFonts w:hint="eastAsia" w:ascii="宋体" w:hAnsi="宋体"/>
                <w:b w:val="0"/>
                <w:bCs/>
                <w:szCs w:val="21"/>
              </w:rPr>
              <w:t>双有</w:t>
            </w:r>
          </w:p>
        </w:tc>
        <w:tc>
          <w:tcPr>
            <w:tcW w:w="789" w:type="pct"/>
            <w:vAlign w:val="center"/>
          </w:tcPr>
          <w:p w14:paraId="3BE3DD39">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B1C9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3FC85CF1">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7#</w:t>
            </w:r>
            <w:r>
              <w:rPr>
                <w:rFonts w:hint="eastAsia" w:ascii="宋体" w:hAnsi="宋体" w:cs="Arial"/>
                <w:b w:val="0"/>
                <w:bCs/>
                <w:szCs w:val="21"/>
              </w:rPr>
              <w:t>制片中转</w:t>
            </w:r>
          </w:p>
        </w:tc>
        <w:tc>
          <w:tcPr>
            <w:tcW w:w="367" w:type="pct"/>
            <w:vMerge w:val="restart"/>
            <w:shd w:val="clear" w:color="auto" w:fill="auto"/>
            <w:vAlign w:val="center"/>
          </w:tcPr>
          <w:p w14:paraId="04A24D9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61874AA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1E470C35">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6#</w:t>
            </w:r>
            <w:r>
              <w:rPr>
                <w:rFonts w:hint="eastAsia" w:ascii="宋体" w:hAnsi="宋体"/>
                <w:b w:val="0"/>
                <w:bCs/>
                <w:spacing w:val="-4"/>
                <w:szCs w:val="21"/>
              </w:rPr>
              <w:t>空板车间</w:t>
            </w:r>
          </w:p>
        </w:tc>
        <w:tc>
          <w:tcPr>
            <w:tcW w:w="374" w:type="pct"/>
            <w:shd w:val="clear" w:color="auto" w:fill="auto"/>
            <w:vAlign w:val="center"/>
          </w:tcPr>
          <w:p w14:paraId="26AC218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48FDEF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4</w:t>
            </w:r>
          </w:p>
        </w:tc>
        <w:tc>
          <w:tcPr>
            <w:tcW w:w="397" w:type="pct"/>
            <w:vAlign w:val="center"/>
          </w:tcPr>
          <w:p w14:paraId="0E695AD0">
            <w:pPr>
              <w:jc w:val="center"/>
              <w:rPr>
                <w:rFonts w:ascii="宋体" w:hAnsi="宋体"/>
                <w:b w:val="0"/>
                <w:bCs/>
                <w:szCs w:val="21"/>
              </w:rPr>
            </w:pPr>
            <w:r>
              <w:rPr>
                <w:rFonts w:hint="eastAsia" w:ascii="宋体" w:hAnsi="宋体"/>
                <w:b w:val="0"/>
                <w:bCs/>
                <w:szCs w:val="21"/>
              </w:rPr>
              <w:t>双有</w:t>
            </w:r>
          </w:p>
        </w:tc>
        <w:tc>
          <w:tcPr>
            <w:tcW w:w="789" w:type="pct"/>
            <w:vAlign w:val="center"/>
          </w:tcPr>
          <w:p w14:paraId="7ACD901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0170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54326F39">
            <w:pPr>
              <w:jc w:val="center"/>
              <w:rPr>
                <w:rFonts w:ascii="宋体" w:hAnsi="宋体" w:cs="Arial"/>
                <w:b w:val="0"/>
                <w:bCs/>
                <w:szCs w:val="21"/>
                <w:highlight w:val="yellow"/>
              </w:rPr>
            </w:pPr>
          </w:p>
        </w:tc>
        <w:tc>
          <w:tcPr>
            <w:tcW w:w="367" w:type="pct"/>
            <w:vMerge w:val="continue"/>
            <w:shd w:val="clear" w:color="auto" w:fill="auto"/>
            <w:vAlign w:val="center"/>
          </w:tcPr>
          <w:p w14:paraId="2DE1AE08">
            <w:pPr>
              <w:jc w:val="center"/>
              <w:rPr>
                <w:rFonts w:ascii="宋体" w:hAnsi="宋体" w:cs="Arial"/>
                <w:b w:val="0"/>
                <w:bCs/>
                <w:szCs w:val="21"/>
                <w:highlight w:val="yellow"/>
              </w:rPr>
            </w:pPr>
          </w:p>
        </w:tc>
        <w:tc>
          <w:tcPr>
            <w:tcW w:w="513" w:type="pct"/>
            <w:vMerge w:val="continue"/>
            <w:shd w:val="clear" w:color="auto" w:fill="auto"/>
            <w:vAlign w:val="center"/>
          </w:tcPr>
          <w:p w14:paraId="45DE37F5">
            <w:pPr>
              <w:jc w:val="center"/>
              <w:rPr>
                <w:rFonts w:ascii="宋体" w:hAnsi="宋体" w:cs="Arial"/>
                <w:b w:val="0"/>
                <w:bCs/>
                <w:szCs w:val="21"/>
                <w:highlight w:val="yellow"/>
              </w:rPr>
            </w:pPr>
          </w:p>
        </w:tc>
        <w:tc>
          <w:tcPr>
            <w:tcW w:w="1316" w:type="pct"/>
            <w:shd w:val="clear" w:color="auto" w:fill="auto"/>
            <w:vAlign w:val="center"/>
          </w:tcPr>
          <w:p w14:paraId="79157DAE">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8#</w:t>
            </w:r>
            <w:r>
              <w:rPr>
                <w:rFonts w:hint="eastAsia" w:ascii="宋体" w:hAnsi="宋体"/>
                <w:b w:val="0"/>
                <w:bCs/>
                <w:spacing w:val="-4"/>
                <w:szCs w:val="21"/>
              </w:rPr>
              <w:t>制片中转</w:t>
            </w:r>
          </w:p>
          <w:p w14:paraId="4883679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429A43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7C8D605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97" w:type="pct"/>
            <w:vAlign w:val="center"/>
          </w:tcPr>
          <w:p w14:paraId="56B6CB31">
            <w:pPr>
              <w:jc w:val="center"/>
              <w:rPr>
                <w:rFonts w:ascii="宋体" w:hAnsi="宋体"/>
                <w:b w:val="0"/>
                <w:bCs/>
                <w:szCs w:val="21"/>
              </w:rPr>
            </w:pPr>
            <w:r>
              <w:rPr>
                <w:rFonts w:hint="eastAsia" w:ascii="宋体" w:hAnsi="宋体"/>
                <w:b w:val="0"/>
                <w:bCs/>
                <w:szCs w:val="21"/>
              </w:rPr>
              <w:t>双有</w:t>
            </w:r>
          </w:p>
        </w:tc>
        <w:tc>
          <w:tcPr>
            <w:tcW w:w="789" w:type="pct"/>
            <w:vAlign w:val="center"/>
          </w:tcPr>
          <w:p w14:paraId="3D9DF6E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49F5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EF65075">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8#</w:t>
            </w:r>
            <w:r>
              <w:rPr>
                <w:rFonts w:hint="eastAsia" w:ascii="宋体" w:hAnsi="宋体" w:cs="Arial"/>
                <w:b w:val="0"/>
                <w:bCs/>
                <w:szCs w:val="21"/>
              </w:rPr>
              <w:t>制片中转</w:t>
            </w:r>
          </w:p>
        </w:tc>
        <w:tc>
          <w:tcPr>
            <w:tcW w:w="367" w:type="pct"/>
            <w:shd w:val="clear" w:color="auto" w:fill="auto"/>
            <w:vAlign w:val="center"/>
          </w:tcPr>
          <w:p w14:paraId="0A795FE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D614B74">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48988ADD">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9#</w:t>
            </w:r>
            <w:r>
              <w:rPr>
                <w:rFonts w:hint="eastAsia" w:ascii="宋体" w:hAnsi="宋体"/>
                <w:b w:val="0"/>
                <w:bCs/>
                <w:spacing w:val="-4"/>
                <w:szCs w:val="21"/>
              </w:rPr>
              <w:t>片子中转</w:t>
            </w:r>
          </w:p>
          <w:p w14:paraId="1F142584">
            <w:pPr>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62EFFBA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2B958F6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5</w:t>
            </w:r>
          </w:p>
        </w:tc>
        <w:tc>
          <w:tcPr>
            <w:tcW w:w="397" w:type="pct"/>
            <w:vAlign w:val="center"/>
          </w:tcPr>
          <w:p w14:paraId="23AA5D0C">
            <w:pPr>
              <w:jc w:val="center"/>
              <w:rPr>
                <w:rFonts w:ascii="宋体" w:hAnsi="宋体"/>
                <w:b w:val="0"/>
                <w:bCs/>
                <w:szCs w:val="21"/>
              </w:rPr>
            </w:pPr>
            <w:r>
              <w:rPr>
                <w:rFonts w:hint="eastAsia" w:ascii="宋体" w:hAnsi="宋体"/>
                <w:b w:val="0"/>
                <w:bCs/>
                <w:szCs w:val="21"/>
              </w:rPr>
              <w:t>双有</w:t>
            </w:r>
          </w:p>
        </w:tc>
        <w:tc>
          <w:tcPr>
            <w:tcW w:w="789" w:type="pct"/>
            <w:vAlign w:val="center"/>
          </w:tcPr>
          <w:p w14:paraId="59C062E9">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7CD9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0F5ACD9">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9#</w:t>
            </w:r>
            <w:r>
              <w:rPr>
                <w:rFonts w:hint="eastAsia" w:ascii="宋体" w:hAnsi="宋体" w:cs="Arial"/>
                <w:b w:val="0"/>
                <w:bCs/>
                <w:szCs w:val="21"/>
              </w:rPr>
              <w:t>片子中转</w:t>
            </w:r>
          </w:p>
        </w:tc>
        <w:tc>
          <w:tcPr>
            <w:tcW w:w="367" w:type="pct"/>
            <w:shd w:val="clear" w:color="auto" w:fill="auto"/>
            <w:vAlign w:val="center"/>
          </w:tcPr>
          <w:p w14:paraId="5BF4DE5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C02A3D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6C537E90">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0#</w:t>
            </w:r>
            <w:r>
              <w:rPr>
                <w:rFonts w:hint="eastAsia" w:ascii="宋体" w:hAnsi="宋体"/>
                <w:b w:val="0"/>
                <w:bCs/>
                <w:spacing w:val="-4"/>
                <w:szCs w:val="21"/>
              </w:rPr>
              <w:t>电控室</w:t>
            </w:r>
          </w:p>
        </w:tc>
        <w:tc>
          <w:tcPr>
            <w:tcW w:w="374" w:type="pct"/>
            <w:shd w:val="clear" w:color="auto" w:fill="auto"/>
            <w:vAlign w:val="center"/>
          </w:tcPr>
          <w:p w14:paraId="5A2B3AE5">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477F424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97" w:type="pct"/>
            <w:vAlign w:val="center"/>
          </w:tcPr>
          <w:p w14:paraId="781E6486">
            <w:pPr>
              <w:jc w:val="center"/>
              <w:rPr>
                <w:rFonts w:ascii="宋体" w:hAnsi="宋体"/>
                <w:b w:val="0"/>
                <w:bCs/>
                <w:szCs w:val="21"/>
              </w:rPr>
            </w:pPr>
            <w:r>
              <w:rPr>
                <w:rFonts w:hint="eastAsia" w:ascii="宋体" w:hAnsi="宋体"/>
                <w:b w:val="0"/>
                <w:bCs/>
                <w:szCs w:val="21"/>
              </w:rPr>
              <w:t>双有</w:t>
            </w:r>
          </w:p>
        </w:tc>
        <w:tc>
          <w:tcPr>
            <w:tcW w:w="789" w:type="pct"/>
            <w:vAlign w:val="center"/>
          </w:tcPr>
          <w:p w14:paraId="4103548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4237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5C11DED">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r>
              <w:rPr>
                <w:rFonts w:hint="eastAsia" w:ascii="宋体" w:hAnsi="宋体" w:cs="Arial"/>
                <w:b w:val="0"/>
                <w:bCs/>
                <w:szCs w:val="21"/>
              </w:rPr>
              <w:t>压药</w:t>
            </w:r>
          </w:p>
        </w:tc>
        <w:tc>
          <w:tcPr>
            <w:tcW w:w="367" w:type="pct"/>
            <w:shd w:val="clear" w:color="auto" w:fill="auto"/>
            <w:vAlign w:val="center"/>
          </w:tcPr>
          <w:p w14:paraId="3CA60AC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8F7590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541FC70C">
            <w:pPr>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9#</w:t>
            </w:r>
            <w:r>
              <w:rPr>
                <w:rFonts w:hint="eastAsia" w:ascii="宋体" w:hAnsi="宋体"/>
                <w:b w:val="0"/>
                <w:bCs/>
                <w:spacing w:val="-4"/>
                <w:szCs w:val="21"/>
              </w:rPr>
              <w:t>片子中转</w:t>
            </w:r>
          </w:p>
          <w:p w14:paraId="6223FF35">
            <w:pPr>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1A028B05">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6E9BEE7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6</w:t>
            </w:r>
          </w:p>
        </w:tc>
        <w:tc>
          <w:tcPr>
            <w:tcW w:w="397" w:type="pct"/>
            <w:vAlign w:val="center"/>
          </w:tcPr>
          <w:p w14:paraId="6F185F83">
            <w:pPr>
              <w:jc w:val="center"/>
              <w:rPr>
                <w:rFonts w:ascii="宋体" w:hAnsi="宋体"/>
                <w:b w:val="0"/>
                <w:bCs/>
                <w:szCs w:val="21"/>
              </w:rPr>
            </w:pPr>
            <w:r>
              <w:rPr>
                <w:rFonts w:hint="eastAsia" w:ascii="宋体" w:hAnsi="宋体"/>
                <w:b w:val="0"/>
                <w:bCs/>
                <w:szCs w:val="21"/>
              </w:rPr>
              <w:t>双有</w:t>
            </w:r>
          </w:p>
        </w:tc>
        <w:tc>
          <w:tcPr>
            <w:tcW w:w="789" w:type="pct"/>
            <w:vAlign w:val="center"/>
          </w:tcPr>
          <w:p w14:paraId="1515106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DE678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F3FACDF">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w:t>
            </w:r>
            <w:r>
              <w:rPr>
                <w:rFonts w:hint="eastAsia" w:ascii="宋体" w:hAnsi="宋体" w:cs="Arial"/>
                <w:b w:val="0"/>
                <w:bCs/>
                <w:szCs w:val="21"/>
              </w:rPr>
              <w:t>凉片</w:t>
            </w:r>
          </w:p>
        </w:tc>
        <w:tc>
          <w:tcPr>
            <w:tcW w:w="367" w:type="pct"/>
            <w:shd w:val="clear" w:color="auto" w:fill="auto"/>
            <w:vAlign w:val="center"/>
          </w:tcPr>
          <w:p w14:paraId="08D7BE4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7AC814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316" w:type="pct"/>
            <w:shd w:val="clear" w:color="auto" w:fill="auto"/>
            <w:vAlign w:val="center"/>
          </w:tcPr>
          <w:p w14:paraId="0FE7D9C2">
            <w:pPr>
              <w:jc w:val="center"/>
              <w:rPr>
                <w:rFonts w:ascii="宋体" w:hAnsi="宋体"/>
                <w:b w:val="0"/>
                <w:bCs/>
                <w:spacing w:val="-4"/>
                <w:szCs w:val="21"/>
              </w:rPr>
            </w:pPr>
            <w:r>
              <w:rPr>
                <w:rFonts w:ascii="宋体" w:hAnsi="宋体"/>
                <w:b w:val="0"/>
                <w:bCs/>
                <w:spacing w:val="-4"/>
                <w:szCs w:val="21"/>
              </w:rPr>
              <w:t>31#</w:t>
            </w:r>
            <w:r>
              <w:rPr>
                <w:rFonts w:hint="eastAsia" w:ascii="宋体" w:hAnsi="宋体"/>
                <w:b w:val="0"/>
                <w:bCs/>
                <w:spacing w:val="-4"/>
                <w:szCs w:val="21"/>
              </w:rPr>
              <w:t>压药</w:t>
            </w:r>
          </w:p>
          <w:p w14:paraId="4C99A8F7">
            <w:pPr>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3DF3DC21">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4F50B40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97" w:type="pct"/>
            <w:vAlign w:val="center"/>
          </w:tcPr>
          <w:p w14:paraId="66167848">
            <w:pPr>
              <w:jc w:val="center"/>
              <w:rPr>
                <w:rFonts w:ascii="宋体" w:hAnsi="宋体"/>
                <w:b w:val="0"/>
                <w:bCs/>
                <w:szCs w:val="21"/>
              </w:rPr>
            </w:pPr>
            <w:r>
              <w:rPr>
                <w:rFonts w:hint="eastAsia" w:ascii="宋体" w:hAnsi="宋体"/>
                <w:b w:val="0"/>
                <w:bCs/>
                <w:szCs w:val="21"/>
              </w:rPr>
              <w:t>双有</w:t>
            </w:r>
          </w:p>
        </w:tc>
        <w:tc>
          <w:tcPr>
            <w:tcW w:w="789" w:type="pct"/>
            <w:vAlign w:val="center"/>
          </w:tcPr>
          <w:p w14:paraId="07114DE8">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B64E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4DA5C6F5">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6#</w:t>
            </w:r>
            <w:r>
              <w:rPr>
                <w:rFonts w:hint="eastAsia" w:ascii="宋体" w:hAnsi="宋体" w:cs="Arial"/>
                <w:b w:val="0"/>
                <w:bCs/>
                <w:szCs w:val="21"/>
              </w:rPr>
              <w:t>凉片</w:t>
            </w:r>
          </w:p>
        </w:tc>
        <w:tc>
          <w:tcPr>
            <w:tcW w:w="367" w:type="pct"/>
            <w:vMerge w:val="restart"/>
            <w:shd w:val="clear" w:color="auto" w:fill="auto"/>
            <w:vAlign w:val="center"/>
          </w:tcPr>
          <w:p w14:paraId="6BCE800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6C12F412">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316" w:type="pct"/>
            <w:shd w:val="clear" w:color="auto" w:fill="auto"/>
            <w:vAlign w:val="center"/>
          </w:tcPr>
          <w:p w14:paraId="2E2A3ADF">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5#</w:t>
            </w:r>
            <w:r>
              <w:rPr>
                <w:rFonts w:hint="eastAsia" w:ascii="宋体" w:hAnsi="宋体"/>
                <w:b w:val="0"/>
                <w:bCs/>
                <w:spacing w:val="-4"/>
                <w:szCs w:val="21"/>
              </w:rPr>
              <w:t>凉片</w:t>
            </w:r>
          </w:p>
          <w:p w14:paraId="252138E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00kg</w:t>
            </w:r>
            <w:r>
              <w:rPr>
                <w:rFonts w:hint="eastAsia" w:ascii="宋体" w:hAnsi="宋体"/>
                <w:b w:val="0"/>
                <w:bCs/>
                <w:spacing w:val="-4"/>
                <w:szCs w:val="21"/>
              </w:rPr>
              <w:t>）</w:t>
            </w:r>
          </w:p>
        </w:tc>
        <w:tc>
          <w:tcPr>
            <w:tcW w:w="374" w:type="pct"/>
            <w:shd w:val="clear" w:color="auto" w:fill="auto"/>
            <w:vAlign w:val="center"/>
          </w:tcPr>
          <w:p w14:paraId="068FEE9A">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5AC13BC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421EECC0">
            <w:pPr>
              <w:jc w:val="center"/>
              <w:rPr>
                <w:rFonts w:ascii="宋体" w:hAnsi="宋体"/>
                <w:b w:val="0"/>
                <w:bCs/>
                <w:szCs w:val="21"/>
              </w:rPr>
            </w:pPr>
            <w:r>
              <w:rPr>
                <w:rFonts w:hint="eastAsia" w:ascii="宋体" w:hAnsi="宋体"/>
                <w:b w:val="0"/>
                <w:bCs/>
                <w:szCs w:val="21"/>
              </w:rPr>
              <w:t>双有</w:t>
            </w:r>
          </w:p>
        </w:tc>
        <w:tc>
          <w:tcPr>
            <w:tcW w:w="789" w:type="pct"/>
            <w:vAlign w:val="center"/>
          </w:tcPr>
          <w:p w14:paraId="376D691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E2D9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697B65C0">
            <w:pPr>
              <w:jc w:val="center"/>
              <w:rPr>
                <w:rFonts w:ascii="宋体" w:hAnsi="宋体" w:cs="Arial"/>
                <w:b w:val="0"/>
                <w:bCs/>
                <w:szCs w:val="21"/>
              </w:rPr>
            </w:pPr>
          </w:p>
        </w:tc>
        <w:tc>
          <w:tcPr>
            <w:tcW w:w="367" w:type="pct"/>
            <w:vMerge w:val="continue"/>
            <w:shd w:val="clear" w:color="auto" w:fill="auto"/>
            <w:vAlign w:val="center"/>
          </w:tcPr>
          <w:p w14:paraId="3DFB621F">
            <w:pPr>
              <w:jc w:val="center"/>
              <w:rPr>
                <w:rFonts w:ascii="宋体" w:hAnsi="宋体" w:cs="Arial"/>
                <w:b w:val="0"/>
                <w:bCs/>
                <w:szCs w:val="21"/>
              </w:rPr>
            </w:pPr>
          </w:p>
        </w:tc>
        <w:tc>
          <w:tcPr>
            <w:tcW w:w="513" w:type="pct"/>
            <w:vMerge w:val="continue"/>
            <w:shd w:val="clear" w:color="auto" w:fill="auto"/>
            <w:vAlign w:val="center"/>
          </w:tcPr>
          <w:p w14:paraId="6FF02443">
            <w:pPr>
              <w:jc w:val="center"/>
              <w:rPr>
                <w:rFonts w:ascii="宋体" w:hAnsi="宋体" w:cs="Arial"/>
                <w:b w:val="0"/>
                <w:bCs/>
                <w:szCs w:val="21"/>
              </w:rPr>
            </w:pPr>
          </w:p>
        </w:tc>
        <w:tc>
          <w:tcPr>
            <w:tcW w:w="1316" w:type="pct"/>
            <w:shd w:val="clear" w:color="auto" w:fill="auto"/>
            <w:vAlign w:val="center"/>
          </w:tcPr>
          <w:p w14:paraId="6AAC18D8">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7#</w:t>
            </w:r>
            <w:r>
              <w:rPr>
                <w:rFonts w:hint="eastAsia" w:ascii="宋体" w:hAnsi="宋体"/>
                <w:b w:val="0"/>
                <w:bCs/>
                <w:spacing w:val="-4"/>
                <w:szCs w:val="21"/>
              </w:rPr>
              <w:t>凉片中转</w:t>
            </w:r>
          </w:p>
          <w:p w14:paraId="6742161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0kg</w:t>
            </w:r>
            <w:r>
              <w:rPr>
                <w:rFonts w:hint="eastAsia" w:ascii="宋体" w:hAnsi="宋体"/>
                <w:b w:val="0"/>
                <w:bCs/>
                <w:spacing w:val="-4"/>
                <w:szCs w:val="21"/>
              </w:rPr>
              <w:t>）</w:t>
            </w:r>
          </w:p>
        </w:tc>
        <w:tc>
          <w:tcPr>
            <w:tcW w:w="374" w:type="pct"/>
            <w:shd w:val="clear" w:color="auto" w:fill="auto"/>
            <w:vAlign w:val="center"/>
          </w:tcPr>
          <w:p w14:paraId="6D559730">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079606C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97" w:type="pct"/>
            <w:vAlign w:val="center"/>
          </w:tcPr>
          <w:p w14:paraId="218F8B6A">
            <w:pPr>
              <w:jc w:val="center"/>
              <w:rPr>
                <w:rFonts w:ascii="宋体" w:hAnsi="宋体"/>
                <w:b w:val="0"/>
                <w:bCs/>
                <w:szCs w:val="21"/>
              </w:rPr>
            </w:pPr>
            <w:r>
              <w:rPr>
                <w:rFonts w:hint="eastAsia" w:ascii="宋体" w:hAnsi="宋体"/>
                <w:b w:val="0"/>
                <w:bCs/>
                <w:szCs w:val="21"/>
              </w:rPr>
              <w:t>双有</w:t>
            </w:r>
          </w:p>
        </w:tc>
        <w:tc>
          <w:tcPr>
            <w:tcW w:w="789" w:type="pct"/>
            <w:vAlign w:val="center"/>
          </w:tcPr>
          <w:p w14:paraId="1AE42A0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378D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5B54E02">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7#</w:t>
            </w:r>
            <w:r>
              <w:rPr>
                <w:rFonts w:hint="eastAsia" w:ascii="宋体" w:hAnsi="宋体" w:cs="Arial"/>
                <w:b w:val="0"/>
                <w:bCs/>
                <w:szCs w:val="21"/>
              </w:rPr>
              <w:t>凉片中转</w:t>
            </w:r>
          </w:p>
        </w:tc>
        <w:tc>
          <w:tcPr>
            <w:tcW w:w="367" w:type="pct"/>
            <w:shd w:val="clear" w:color="auto" w:fill="auto"/>
            <w:vAlign w:val="center"/>
          </w:tcPr>
          <w:p w14:paraId="477E8D8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D073B32">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7976C2E1">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8#</w:t>
            </w:r>
            <w:r>
              <w:rPr>
                <w:rFonts w:hint="eastAsia" w:ascii="宋体" w:hAnsi="宋体"/>
                <w:b w:val="0"/>
                <w:bCs/>
                <w:spacing w:val="-4"/>
                <w:szCs w:val="21"/>
              </w:rPr>
              <w:t>电控室</w:t>
            </w:r>
          </w:p>
        </w:tc>
        <w:tc>
          <w:tcPr>
            <w:tcW w:w="374" w:type="pct"/>
            <w:shd w:val="clear" w:color="auto" w:fill="auto"/>
            <w:vAlign w:val="center"/>
          </w:tcPr>
          <w:p w14:paraId="5C1F2A26">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32A0C9C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97" w:type="pct"/>
            <w:vAlign w:val="center"/>
          </w:tcPr>
          <w:p w14:paraId="5D688B56">
            <w:pPr>
              <w:jc w:val="center"/>
              <w:rPr>
                <w:rFonts w:ascii="宋体" w:hAnsi="宋体"/>
                <w:b w:val="0"/>
                <w:bCs/>
                <w:szCs w:val="21"/>
              </w:rPr>
            </w:pPr>
            <w:r>
              <w:rPr>
                <w:rFonts w:hint="eastAsia" w:ascii="宋体" w:hAnsi="宋体"/>
                <w:b w:val="0"/>
                <w:bCs/>
                <w:szCs w:val="21"/>
              </w:rPr>
              <w:t>双有</w:t>
            </w:r>
          </w:p>
        </w:tc>
        <w:tc>
          <w:tcPr>
            <w:tcW w:w="789" w:type="pct"/>
            <w:vAlign w:val="center"/>
          </w:tcPr>
          <w:p w14:paraId="0EB6521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166E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4ECDD63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9#</w:t>
            </w:r>
            <w:r>
              <w:rPr>
                <w:rFonts w:hint="eastAsia" w:ascii="宋体" w:hAnsi="宋体" w:cs="Arial"/>
                <w:b w:val="0"/>
                <w:bCs/>
                <w:szCs w:val="21"/>
              </w:rPr>
              <w:t>造粒</w:t>
            </w:r>
          </w:p>
        </w:tc>
        <w:tc>
          <w:tcPr>
            <w:tcW w:w="367" w:type="pct"/>
            <w:vMerge w:val="restart"/>
            <w:shd w:val="clear" w:color="auto" w:fill="auto"/>
            <w:vAlign w:val="center"/>
          </w:tcPr>
          <w:p w14:paraId="499FEBA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171F2554">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20E7D6F1">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8#</w:t>
            </w:r>
            <w:r>
              <w:rPr>
                <w:rFonts w:hint="eastAsia" w:ascii="宋体" w:hAnsi="宋体"/>
                <w:b w:val="0"/>
                <w:bCs/>
                <w:spacing w:val="-4"/>
                <w:szCs w:val="21"/>
              </w:rPr>
              <w:t>电控室</w:t>
            </w:r>
          </w:p>
        </w:tc>
        <w:tc>
          <w:tcPr>
            <w:tcW w:w="374" w:type="pct"/>
            <w:shd w:val="clear" w:color="auto" w:fill="auto"/>
            <w:vAlign w:val="center"/>
          </w:tcPr>
          <w:p w14:paraId="792DA3B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66EE2D8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97" w:type="pct"/>
            <w:vAlign w:val="center"/>
          </w:tcPr>
          <w:p w14:paraId="5A552E57">
            <w:pPr>
              <w:jc w:val="center"/>
              <w:rPr>
                <w:rFonts w:ascii="宋体" w:hAnsi="宋体"/>
                <w:b w:val="0"/>
                <w:bCs/>
                <w:szCs w:val="21"/>
              </w:rPr>
            </w:pPr>
            <w:r>
              <w:rPr>
                <w:rFonts w:hint="eastAsia" w:ascii="宋体" w:hAnsi="宋体"/>
                <w:b w:val="0"/>
                <w:bCs/>
                <w:szCs w:val="21"/>
              </w:rPr>
              <w:t>双有</w:t>
            </w:r>
          </w:p>
        </w:tc>
        <w:tc>
          <w:tcPr>
            <w:tcW w:w="789" w:type="pct"/>
            <w:vAlign w:val="center"/>
          </w:tcPr>
          <w:p w14:paraId="10DFB672">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9F0D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142D4512">
            <w:pPr>
              <w:jc w:val="center"/>
              <w:rPr>
                <w:rFonts w:ascii="宋体" w:hAnsi="宋体" w:cs="Arial"/>
                <w:b w:val="0"/>
                <w:bCs/>
                <w:szCs w:val="21"/>
              </w:rPr>
            </w:pPr>
          </w:p>
        </w:tc>
        <w:tc>
          <w:tcPr>
            <w:tcW w:w="367" w:type="pct"/>
            <w:vMerge w:val="continue"/>
            <w:shd w:val="clear" w:color="auto" w:fill="auto"/>
            <w:vAlign w:val="center"/>
          </w:tcPr>
          <w:p w14:paraId="27BF894D">
            <w:pPr>
              <w:jc w:val="center"/>
              <w:rPr>
                <w:rFonts w:ascii="宋体" w:hAnsi="宋体" w:cs="Arial"/>
                <w:b w:val="0"/>
                <w:bCs/>
                <w:szCs w:val="21"/>
              </w:rPr>
            </w:pPr>
          </w:p>
        </w:tc>
        <w:tc>
          <w:tcPr>
            <w:tcW w:w="513" w:type="pct"/>
            <w:vMerge w:val="continue"/>
            <w:shd w:val="clear" w:color="auto" w:fill="auto"/>
            <w:vAlign w:val="center"/>
          </w:tcPr>
          <w:p w14:paraId="7A030691">
            <w:pPr>
              <w:jc w:val="center"/>
              <w:rPr>
                <w:rFonts w:ascii="宋体" w:hAnsi="宋体" w:cs="Arial"/>
                <w:b w:val="0"/>
                <w:bCs/>
                <w:szCs w:val="21"/>
              </w:rPr>
            </w:pPr>
          </w:p>
        </w:tc>
        <w:tc>
          <w:tcPr>
            <w:tcW w:w="1316" w:type="pct"/>
            <w:shd w:val="clear" w:color="auto" w:fill="auto"/>
            <w:vAlign w:val="center"/>
          </w:tcPr>
          <w:p w14:paraId="611FE056">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17#</w:t>
            </w:r>
            <w:r>
              <w:rPr>
                <w:rFonts w:hint="eastAsia" w:ascii="宋体" w:hAnsi="宋体"/>
                <w:b w:val="0"/>
                <w:bCs/>
                <w:spacing w:val="-4"/>
                <w:szCs w:val="21"/>
              </w:rPr>
              <w:t>高位水池</w:t>
            </w:r>
          </w:p>
        </w:tc>
        <w:tc>
          <w:tcPr>
            <w:tcW w:w="374" w:type="pct"/>
            <w:shd w:val="clear" w:color="auto" w:fill="auto"/>
            <w:vAlign w:val="center"/>
          </w:tcPr>
          <w:p w14:paraId="1EEE203B">
            <w:pPr>
              <w:jc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69" w:type="pct"/>
            <w:shd w:val="clear" w:color="auto" w:fill="auto"/>
            <w:vAlign w:val="center"/>
          </w:tcPr>
          <w:p w14:paraId="30573AD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7</w:t>
            </w:r>
          </w:p>
        </w:tc>
        <w:tc>
          <w:tcPr>
            <w:tcW w:w="397" w:type="pct"/>
            <w:vAlign w:val="center"/>
          </w:tcPr>
          <w:p w14:paraId="1D7A42C6">
            <w:pPr>
              <w:jc w:val="center"/>
              <w:rPr>
                <w:rFonts w:ascii="宋体" w:hAnsi="宋体"/>
                <w:b w:val="0"/>
                <w:bCs/>
                <w:szCs w:val="21"/>
              </w:rPr>
            </w:pPr>
            <w:r>
              <w:rPr>
                <w:rFonts w:hint="eastAsia" w:ascii="宋体" w:hAnsi="宋体"/>
                <w:b w:val="0"/>
                <w:bCs/>
                <w:szCs w:val="21"/>
              </w:rPr>
              <w:t>双有</w:t>
            </w:r>
          </w:p>
        </w:tc>
        <w:tc>
          <w:tcPr>
            <w:tcW w:w="789" w:type="pct"/>
            <w:vAlign w:val="center"/>
          </w:tcPr>
          <w:p w14:paraId="76605D86">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.2.7</w:t>
            </w:r>
            <w:r>
              <w:rPr>
                <w:rFonts w:hint="eastAsia" w:ascii="宋体" w:hAnsi="宋体" w:cs="宋体"/>
                <w:b w:val="0"/>
                <w:bCs/>
                <w:szCs w:val="21"/>
              </w:rPr>
              <w:t>条</w:t>
            </w:r>
          </w:p>
        </w:tc>
      </w:tr>
      <w:tr w14:paraId="74DAD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7354797">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1#</w:t>
            </w:r>
            <w:r>
              <w:rPr>
                <w:rFonts w:hint="eastAsia" w:ascii="宋体" w:hAnsi="宋体" w:cs="Arial"/>
                <w:b w:val="0"/>
                <w:bCs/>
                <w:szCs w:val="21"/>
              </w:rPr>
              <w:t>造粒中转</w:t>
            </w:r>
          </w:p>
        </w:tc>
        <w:tc>
          <w:tcPr>
            <w:tcW w:w="367" w:type="pct"/>
            <w:shd w:val="clear" w:color="auto" w:fill="auto"/>
            <w:vAlign w:val="center"/>
          </w:tcPr>
          <w:p w14:paraId="320855A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4CAD3CB">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42BCA57">
            <w:pPr>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9#</w:t>
            </w:r>
            <w:r>
              <w:rPr>
                <w:rFonts w:hint="eastAsia" w:ascii="宋体" w:hAnsi="宋体"/>
                <w:b w:val="0"/>
                <w:bCs/>
                <w:spacing w:val="-4"/>
                <w:szCs w:val="21"/>
              </w:rPr>
              <w:t>造粒</w:t>
            </w:r>
          </w:p>
          <w:p w14:paraId="4EFE6344">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0kg</w:t>
            </w:r>
            <w:r>
              <w:rPr>
                <w:rFonts w:hint="eastAsia" w:ascii="宋体" w:hAnsi="宋体"/>
                <w:b w:val="0"/>
                <w:bCs/>
                <w:spacing w:val="-4"/>
                <w:szCs w:val="21"/>
              </w:rPr>
              <w:t>）</w:t>
            </w:r>
          </w:p>
        </w:tc>
        <w:tc>
          <w:tcPr>
            <w:tcW w:w="374" w:type="pct"/>
            <w:shd w:val="clear" w:color="auto" w:fill="auto"/>
            <w:vAlign w:val="center"/>
          </w:tcPr>
          <w:p w14:paraId="103304B1">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047BDB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6</w:t>
            </w:r>
          </w:p>
        </w:tc>
        <w:tc>
          <w:tcPr>
            <w:tcW w:w="397" w:type="pct"/>
            <w:vAlign w:val="center"/>
          </w:tcPr>
          <w:p w14:paraId="2B46C16C">
            <w:pPr>
              <w:jc w:val="center"/>
              <w:rPr>
                <w:rFonts w:ascii="宋体" w:hAnsi="宋体"/>
                <w:b w:val="0"/>
                <w:bCs/>
                <w:szCs w:val="21"/>
              </w:rPr>
            </w:pPr>
            <w:r>
              <w:rPr>
                <w:rFonts w:hint="eastAsia" w:ascii="宋体" w:hAnsi="宋体"/>
                <w:b w:val="0"/>
                <w:bCs/>
                <w:szCs w:val="21"/>
              </w:rPr>
              <w:t>双有</w:t>
            </w:r>
          </w:p>
        </w:tc>
        <w:tc>
          <w:tcPr>
            <w:tcW w:w="789" w:type="pct"/>
            <w:vAlign w:val="center"/>
          </w:tcPr>
          <w:p w14:paraId="547703D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58F5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09F770C3">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r>
              <w:rPr>
                <w:rFonts w:hint="eastAsia" w:ascii="宋体" w:hAnsi="宋体" w:cs="Arial"/>
                <w:b w:val="0"/>
                <w:bCs/>
                <w:szCs w:val="21"/>
              </w:rPr>
              <w:t>造粒中转</w:t>
            </w:r>
          </w:p>
        </w:tc>
        <w:tc>
          <w:tcPr>
            <w:tcW w:w="367" w:type="pct"/>
            <w:shd w:val="clear" w:color="auto" w:fill="auto"/>
            <w:vAlign w:val="center"/>
          </w:tcPr>
          <w:p w14:paraId="74ADA54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4AB9194">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4FCB881">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1#</w:t>
            </w:r>
            <w:r>
              <w:rPr>
                <w:rFonts w:hint="eastAsia" w:ascii="宋体" w:hAnsi="宋体"/>
                <w:b w:val="0"/>
                <w:bCs/>
                <w:spacing w:val="-4"/>
                <w:szCs w:val="21"/>
              </w:rPr>
              <w:t>造粒中转</w:t>
            </w:r>
          </w:p>
          <w:p w14:paraId="6E3EE941">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E874BE2">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2777254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97" w:type="pct"/>
            <w:vAlign w:val="center"/>
          </w:tcPr>
          <w:p w14:paraId="20DCBD60">
            <w:pPr>
              <w:jc w:val="center"/>
              <w:rPr>
                <w:rFonts w:ascii="宋体" w:hAnsi="宋体"/>
                <w:b w:val="0"/>
                <w:bCs/>
                <w:szCs w:val="21"/>
              </w:rPr>
            </w:pPr>
            <w:r>
              <w:rPr>
                <w:rFonts w:hint="eastAsia" w:ascii="宋体" w:hAnsi="宋体"/>
                <w:b w:val="0"/>
                <w:bCs/>
                <w:szCs w:val="21"/>
              </w:rPr>
              <w:t>双有</w:t>
            </w:r>
          </w:p>
        </w:tc>
        <w:tc>
          <w:tcPr>
            <w:tcW w:w="789" w:type="pct"/>
          </w:tcPr>
          <w:p w14:paraId="4F59DD6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CBC6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8031AB2">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3#</w:t>
            </w:r>
            <w:r>
              <w:rPr>
                <w:rFonts w:hint="eastAsia" w:ascii="宋体" w:hAnsi="宋体" w:cs="Arial"/>
                <w:b w:val="0"/>
                <w:bCs/>
                <w:szCs w:val="21"/>
              </w:rPr>
              <w:t>抛光</w:t>
            </w:r>
          </w:p>
        </w:tc>
        <w:tc>
          <w:tcPr>
            <w:tcW w:w="367" w:type="pct"/>
            <w:shd w:val="clear" w:color="auto" w:fill="auto"/>
            <w:vAlign w:val="center"/>
          </w:tcPr>
          <w:p w14:paraId="1A23E9A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EC8182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316" w:type="pct"/>
            <w:shd w:val="clear" w:color="auto" w:fill="auto"/>
            <w:vAlign w:val="center"/>
          </w:tcPr>
          <w:p w14:paraId="0D5300D0">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2#</w:t>
            </w:r>
            <w:r>
              <w:rPr>
                <w:rFonts w:hint="eastAsia" w:ascii="宋体" w:hAnsi="宋体"/>
                <w:b w:val="0"/>
                <w:bCs/>
                <w:spacing w:val="-4"/>
                <w:szCs w:val="21"/>
              </w:rPr>
              <w:t>造粒中转</w:t>
            </w:r>
          </w:p>
          <w:p w14:paraId="4452D60C">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38EA63D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3046AD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8</w:t>
            </w:r>
          </w:p>
        </w:tc>
        <w:tc>
          <w:tcPr>
            <w:tcW w:w="397" w:type="pct"/>
            <w:vAlign w:val="center"/>
          </w:tcPr>
          <w:p w14:paraId="2B83CE77">
            <w:pPr>
              <w:jc w:val="center"/>
              <w:rPr>
                <w:rFonts w:ascii="宋体" w:hAnsi="宋体"/>
                <w:b w:val="0"/>
                <w:bCs/>
                <w:szCs w:val="21"/>
              </w:rPr>
            </w:pPr>
            <w:r>
              <w:rPr>
                <w:rFonts w:hint="eastAsia" w:ascii="宋体" w:hAnsi="宋体"/>
                <w:b w:val="0"/>
                <w:bCs/>
                <w:szCs w:val="21"/>
              </w:rPr>
              <w:t>双有</w:t>
            </w:r>
          </w:p>
        </w:tc>
        <w:tc>
          <w:tcPr>
            <w:tcW w:w="789" w:type="pct"/>
          </w:tcPr>
          <w:p w14:paraId="7A94779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E077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39ADDD6">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4#</w:t>
            </w:r>
            <w:r>
              <w:rPr>
                <w:rFonts w:hint="eastAsia" w:ascii="宋体" w:hAnsi="宋体" w:cs="Arial"/>
                <w:b w:val="0"/>
                <w:bCs/>
                <w:szCs w:val="21"/>
              </w:rPr>
              <w:t>抛光</w:t>
            </w:r>
          </w:p>
        </w:tc>
        <w:tc>
          <w:tcPr>
            <w:tcW w:w="367" w:type="pct"/>
            <w:shd w:val="clear" w:color="auto" w:fill="auto"/>
            <w:vAlign w:val="center"/>
          </w:tcPr>
          <w:p w14:paraId="773D403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3D495C2">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316" w:type="pct"/>
            <w:shd w:val="clear" w:color="auto" w:fill="auto"/>
            <w:vAlign w:val="center"/>
          </w:tcPr>
          <w:p w14:paraId="0D81F3FE">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3#</w:t>
            </w:r>
            <w:r>
              <w:rPr>
                <w:rFonts w:hint="eastAsia" w:ascii="宋体" w:hAnsi="宋体"/>
                <w:b w:val="0"/>
                <w:bCs/>
                <w:spacing w:val="-4"/>
                <w:szCs w:val="21"/>
              </w:rPr>
              <w:t>抛光</w:t>
            </w:r>
          </w:p>
          <w:p w14:paraId="4D7A19CF">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74" w:type="pct"/>
            <w:shd w:val="clear" w:color="auto" w:fill="auto"/>
            <w:vAlign w:val="center"/>
          </w:tcPr>
          <w:p w14:paraId="603CFF6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69" w:type="pct"/>
            <w:shd w:val="clear" w:color="auto" w:fill="auto"/>
            <w:vAlign w:val="center"/>
          </w:tcPr>
          <w:p w14:paraId="1F1FE1A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97" w:type="pct"/>
            <w:vAlign w:val="center"/>
          </w:tcPr>
          <w:p w14:paraId="25206A1C">
            <w:pPr>
              <w:jc w:val="center"/>
              <w:rPr>
                <w:rFonts w:ascii="宋体" w:hAnsi="宋体"/>
                <w:b w:val="0"/>
                <w:bCs/>
                <w:szCs w:val="21"/>
              </w:rPr>
            </w:pPr>
            <w:r>
              <w:rPr>
                <w:rFonts w:hint="eastAsia" w:ascii="宋体" w:hAnsi="宋体"/>
                <w:b w:val="0"/>
                <w:bCs/>
                <w:szCs w:val="21"/>
              </w:rPr>
              <w:t>双有</w:t>
            </w:r>
          </w:p>
        </w:tc>
        <w:tc>
          <w:tcPr>
            <w:tcW w:w="789" w:type="pct"/>
          </w:tcPr>
          <w:p w14:paraId="67936E9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3EC6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1E84F40B">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5#</w:t>
            </w:r>
            <w:r>
              <w:rPr>
                <w:rFonts w:hint="eastAsia" w:ascii="宋体" w:hAnsi="宋体" w:cs="Arial"/>
                <w:b w:val="0"/>
                <w:bCs/>
                <w:szCs w:val="21"/>
              </w:rPr>
              <w:t>抛光</w:t>
            </w:r>
          </w:p>
        </w:tc>
        <w:tc>
          <w:tcPr>
            <w:tcW w:w="367" w:type="pct"/>
            <w:vMerge w:val="restart"/>
            <w:shd w:val="clear" w:color="auto" w:fill="auto"/>
            <w:vAlign w:val="center"/>
          </w:tcPr>
          <w:p w14:paraId="6D9314B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3E8DF48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316" w:type="pct"/>
            <w:shd w:val="clear" w:color="auto" w:fill="auto"/>
            <w:vAlign w:val="center"/>
          </w:tcPr>
          <w:p w14:paraId="66EB1FFB">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4#</w:t>
            </w:r>
            <w:r>
              <w:rPr>
                <w:rFonts w:hint="eastAsia" w:ascii="宋体" w:hAnsi="宋体"/>
                <w:b w:val="0"/>
                <w:bCs/>
                <w:spacing w:val="-4"/>
                <w:szCs w:val="21"/>
              </w:rPr>
              <w:t>抛光</w:t>
            </w:r>
          </w:p>
          <w:p w14:paraId="6536D5D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74" w:type="pct"/>
            <w:shd w:val="clear" w:color="auto" w:fill="auto"/>
            <w:vAlign w:val="center"/>
          </w:tcPr>
          <w:p w14:paraId="03B5B9E0">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69" w:type="pct"/>
            <w:shd w:val="clear" w:color="auto" w:fill="auto"/>
            <w:vAlign w:val="center"/>
          </w:tcPr>
          <w:p w14:paraId="6DA87F0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97" w:type="pct"/>
            <w:vAlign w:val="center"/>
          </w:tcPr>
          <w:p w14:paraId="741DC8F1">
            <w:pPr>
              <w:jc w:val="center"/>
              <w:rPr>
                <w:rFonts w:ascii="宋体" w:hAnsi="宋体"/>
                <w:b w:val="0"/>
                <w:bCs/>
                <w:szCs w:val="21"/>
              </w:rPr>
            </w:pPr>
            <w:r>
              <w:rPr>
                <w:rFonts w:hint="eastAsia" w:ascii="宋体" w:hAnsi="宋体"/>
                <w:b w:val="0"/>
                <w:bCs/>
                <w:szCs w:val="21"/>
              </w:rPr>
              <w:t>双有</w:t>
            </w:r>
          </w:p>
        </w:tc>
        <w:tc>
          <w:tcPr>
            <w:tcW w:w="789" w:type="pct"/>
          </w:tcPr>
          <w:p w14:paraId="35B2B592">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F693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3FC9D5E6">
            <w:pPr>
              <w:jc w:val="center"/>
              <w:rPr>
                <w:rFonts w:ascii="宋体" w:hAnsi="宋体" w:cs="Arial"/>
                <w:b w:val="0"/>
                <w:bCs/>
                <w:szCs w:val="21"/>
              </w:rPr>
            </w:pPr>
          </w:p>
        </w:tc>
        <w:tc>
          <w:tcPr>
            <w:tcW w:w="367" w:type="pct"/>
            <w:vMerge w:val="continue"/>
            <w:shd w:val="clear" w:color="auto" w:fill="auto"/>
            <w:vAlign w:val="center"/>
          </w:tcPr>
          <w:p w14:paraId="3D1F9E77">
            <w:pPr>
              <w:jc w:val="center"/>
              <w:rPr>
                <w:rFonts w:ascii="宋体" w:hAnsi="宋体" w:cs="Arial"/>
                <w:b w:val="0"/>
                <w:bCs/>
                <w:szCs w:val="21"/>
              </w:rPr>
            </w:pPr>
          </w:p>
        </w:tc>
        <w:tc>
          <w:tcPr>
            <w:tcW w:w="513" w:type="pct"/>
            <w:vMerge w:val="continue"/>
            <w:shd w:val="clear" w:color="auto" w:fill="auto"/>
            <w:vAlign w:val="center"/>
          </w:tcPr>
          <w:p w14:paraId="010F00C5">
            <w:pPr>
              <w:jc w:val="center"/>
              <w:rPr>
                <w:rFonts w:ascii="宋体" w:hAnsi="宋体" w:cs="Arial"/>
                <w:b w:val="0"/>
                <w:bCs/>
                <w:szCs w:val="21"/>
              </w:rPr>
            </w:pPr>
          </w:p>
        </w:tc>
        <w:tc>
          <w:tcPr>
            <w:tcW w:w="1316" w:type="pct"/>
            <w:shd w:val="clear" w:color="auto" w:fill="auto"/>
            <w:vAlign w:val="center"/>
          </w:tcPr>
          <w:p w14:paraId="379D2842">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6#</w:t>
            </w:r>
            <w:r>
              <w:rPr>
                <w:rFonts w:hint="eastAsia" w:ascii="宋体" w:hAnsi="宋体"/>
                <w:b w:val="0"/>
                <w:bCs/>
                <w:spacing w:val="-4"/>
                <w:szCs w:val="21"/>
              </w:rPr>
              <w:t>电控室</w:t>
            </w:r>
          </w:p>
        </w:tc>
        <w:tc>
          <w:tcPr>
            <w:tcW w:w="374" w:type="pct"/>
            <w:shd w:val="clear" w:color="auto" w:fill="auto"/>
            <w:vAlign w:val="center"/>
          </w:tcPr>
          <w:p w14:paraId="231E49A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69" w:type="pct"/>
            <w:shd w:val="clear" w:color="auto" w:fill="auto"/>
            <w:vAlign w:val="center"/>
          </w:tcPr>
          <w:p w14:paraId="5BFBD977">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67D28F9B">
            <w:pPr>
              <w:jc w:val="center"/>
              <w:rPr>
                <w:rFonts w:ascii="宋体" w:hAnsi="宋体"/>
                <w:b w:val="0"/>
                <w:bCs/>
                <w:szCs w:val="21"/>
              </w:rPr>
            </w:pPr>
            <w:r>
              <w:rPr>
                <w:rFonts w:hint="eastAsia" w:ascii="宋体" w:hAnsi="宋体"/>
                <w:b w:val="0"/>
                <w:bCs/>
                <w:szCs w:val="21"/>
              </w:rPr>
              <w:t>双有</w:t>
            </w:r>
          </w:p>
        </w:tc>
        <w:tc>
          <w:tcPr>
            <w:tcW w:w="789" w:type="pct"/>
          </w:tcPr>
          <w:p w14:paraId="13DC244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CABF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03361F2F">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7#</w:t>
            </w:r>
            <w:r>
              <w:rPr>
                <w:rFonts w:hint="eastAsia" w:ascii="宋体" w:hAnsi="宋体" w:cs="Arial"/>
                <w:b w:val="0"/>
                <w:bCs/>
                <w:szCs w:val="21"/>
              </w:rPr>
              <w:t>抛光中转</w:t>
            </w:r>
          </w:p>
        </w:tc>
        <w:tc>
          <w:tcPr>
            <w:tcW w:w="367" w:type="pct"/>
            <w:shd w:val="clear" w:color="auto" w:fill="auto"/>
            <w:vAlign w:val="center"/>
          </w:tcPr>
          <w:p w14:paraId="4E56EE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78037100">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37131093">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8#</w:t>
            </w:r>
            <w:r>
              <w:rPr>
                <w:rFonts w:hint="eastAsia" w:ascii="宋体" w:hAnsi="宋体"/>
                <w:b w:val="0"/>
                <w:bCs/>
                <w:spacing w:val="-4"/>
                <w:szCs w:val="21"/>
              </w:rPr>
              <w:t>抛光中转</w:t>
            </w:r>
          </w:p>
          <w:p w14:paraId="716FAFB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64B5EBC8">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22336E4">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0</w:t>
            </w:r>
          </w:p>
        </w:tc>
        <w:tc>
          <w:tcPr>
            <w:tcW w:w="397" w:type="pct"/>
            <w:vAlign w:val="center"/>
          </w:tcPr>
          <w:p w14:paraId="0BFD9D80">
            <w:pPr>
              <w:jc w:val="center"/>
              <w:rPr>
                <w:rFonts w:ascii="宋体" w:hAnsi="宋体"/>
                <w:b w:val="0"/>
                <w:bCs/>
                <w:szCs w:val="21"/>
              </w:rPr>
            </w:pPr>
            <w:r>
              <w:rPr>
                <w:rFonts w:hint="eastAsia" w:ascii="宋体" w:hAnsi="宋体"/>
                <w:b w:val="0"/>
                <w:bCs/>
                <w:szCs w:val="21"/>
              </w:rPr>
              <w:t>双有</w:t>
            </w:r>
          </w:p>
        </w:tc>
        <w:tc>
          <w:tcPr>
            <w:tcW w:w="789" w:type="pct"/>
          </w:tcPr>
          <w:p w14:paraId="1B8FF4B8">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B6DE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C9662F2">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8#</w:t>
            </w:r>
            <w:r>
              <w:rPr>
                <w:rFonts w:hint="eastAsia" w:ascii="宋体" w:hAnsi="宋体" w:cs="Arial"/>
                <w:b w:val="0"/>
                <w:bCs/>
                <w:szCs w:val="21"/>
              </w:rPr>
              <w:t>抛光中转</w:t>
            </w:r>
          </w:p>
        </w:tc>
        <w:tc>
          <w:tcPr>
            <w:tcW w:w="367" w:type="pct"/>
            <w:shd w:val="clear" w:color="auto" w:fill="auto"/>
            <w:vAlign w:val="center"/>
          </w:tcPr>
          <w:p w14:paraId="605EDCE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324DF8B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44B5A0C">
            <w:pPr>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9#</w:t>
            </w:r>
            <w:r>
              <w:rPr>
                <w:rFonts w:hint="eastAsia" w:ascii="宋体" w:hAnsi="宋体"/>
                <w:b w:val="0"/>
                <w:bCs/>
                <w:spacing w:val="-4"/>
                <w:szCs w:val="21"/>
              </w:rPr>
              <w:t>抛光中转</w:t>
            </w:r>
          </w:p>
          <w:p w14:paraId="09CA68D6">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35249191">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56F12783">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9</w:t>
            </w:r>
          </w:p>
        </w:tc>
        <w:tc>
          <w:tcPr>
            <w:tcW w:w="397" w:type="pct"/>
            <w:vAlign w:val="center"/>
          </w:tcPr>
          <w:p w14:paraId="7C85C37F">
            <w:pPr>
              <w:jc w:val="center"/>
              <w:rPr>
                <w:rFonts w:ascii="宋体" w:hAnsi="宋体"/>
                <w:b w:val="0"/>
                <w:bCs/>
                <w:szCs w:val="21"/>
              </w:rPr>
            </w:pPr>
            <w:r>
              <w:rPr>
                <w:rFonts w:hint="eastAsia" w:ascii="宋体" w:hAnsi="宋体"/>
                <w:b w:val="0"/>
                <w:bCs/>
                <w:szCs w:val="21"/>
              </w:rPr>
              <w:t>双有</w:t>
            </w:r>
          </w:p>
        </w:tc>
        <w:tc>
          <w:tcPr>
            <w:tcW w:w="789" w:type="pct"/>
          </w:tcPr>
          <w:p w14:paraId="32A9E97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6653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0328BA2B">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9#</w:t>
            </w:r>
            <w:r>
              <w:rPr>
                <w:rFonts w:hint="eastAsia" w:ascii="宋体" w:hAnsi="宋体" w:cs="Arial"/>
                <w:b w:val="0"/>
                <w:bCs/>
                <w:szCs w:val="21"/>
              </w:rPr>
              <w:t>抛光中转</w:t>
            </w:r>
          </w:p>
        </w:tc>
        <w:tc>
          <w:tcPr>
            <w:tcW w:w="367" w:type="pct"/>
            <w:vMerge w:val="restart"/>
            <w:shd w:val="clear" w:color="auto" w:fill="auto"/>
            <w:vAlign w:val="center"/>
          </w:tcPr>
          <w:p w14:paraId="4C7AAF7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19A9D8F3">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23F4AAA9">
            <w:pPr>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0#</w:t>
            </w:r>
            <w:r>
              <w:rPr>
                <w:rFonts w:hint="eastAsia" w:ascii="宋体" w:hAnsi="宋体"/>
                <w:b w:val="0"/>
                <w:bCs/>
                <w:spacing w:val="-4"/>
                <w:szCs w:val="21"/>
              </w:rPr>
              <w:t>电控室</w:t>
            </w:r>
          </w:p>
        </w:tc>
        <w:tc>
          <w:tcPr>
            <w:tcW w:w="374" w:type="pct"/>
            <w:shd w:val="clear" w:color="auto" w:fill="auto"/>
            <w:vAlign w:val="center"/>
          </w:tcPr>
          <w:p w14:paraId="7C43DAB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522A05E7">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97" w:type="pct"/>
            <w:vAlign w:val="center"/>
          </w:tcPr>
          <w:p w14:paraId="313158F1">
            <w:pPr>
              <w:jc w:val="center"/>
              <w:rPr>
                <w:rFonts w:ascii="宋体" w:hAnsi="宋体"/>
                <w:b w:val="0"/>
                <w:bCs/>
                <w:szCs w:val="21"/>
              </w:rPr>
            </w:pPr>
            <w:r>
              <w:rPr>
                <w:rFonts w:hint="eastAsia" w:ascii="宋体" w:hAnsi="宋体"/>
                <w:b w:val="0"/>
                <w:bCs/>
                <w:szCs w:val="21"/>
              </w:rPr>
              <w:t>双有</w:t>
            </w:r>
          </w:p>
        </w:tc>
        <w:tc>
          <w:tcPr>
            <w:tcW w:w="789" w:type="pct"/>
          </w:tcPr>
          <w:p w14:paraId="4D2DF03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9F9D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2544E330">
            <w:pPr>
              <w:jc w:val="center"/>
              <w:rPr>
                <w:rFonts w:ascii="宋体" w:hAnsi="宋体" w:cs="Arial"/>
                <w:b w:val="0"/>
                <w:bCs/>
                <w:szCs w:val="21"/>
              </w:rPr>
            </w:pPr>
          </w:p>
        </w:tc>
        <w:tc>
          <w:tcPr>
            <w:tcW w:w="367" w:type="pct"/>
            <w:vMerge w:val="continue"/>
            <w:shd w:val="clear" w:color="auto" w:fill="auto"/>
            <w:vAlign w:val="center"/>
          </w:tcPr>
          <w:p w14:paraId="5ECC7AC8">
            <w:pPr>
              <w:jc w:val="center"/>
              <w:rPr>
                <w:rFonts w:ascii="宋体" w:hAnsi="宋体" w:cs="Arial"/>
                <w:b w:val="0"/>
                <w:bCs/>
                <w:szCs w:val="21"/>
              </w:rPr>
            </w:pPr>
          </w:p>
        </w:tc>
        <w:tc>
          <w:tcPr>
            <w:tcW w:w="513" w:type="pct"/>
            <w:vMerge w:val="continue"/>
            <w:shd w:val="clear" w:color="auto" w:fill="auto"/>
            <w:vAlign w:val="center"/>
          </w:tcPr>
          <w:p w14:paraId="658F3C65">
            <w:pPr>
              <w:jc w:val="center"/>
              <w:rPr>
                <w:rFonts w:ascii="宋体" w:hAnsi="宋体" w:cs="Arial"/>
                <w:b w:val="0"/>
                <w:bCs/>
                <w:szCs w:val="21"/>
              </w:rPr>
            </w:pPr>
          </w:p>
        </w:tc>
        <w:tc>
          <w:tcPr>
            <w:tcW w:w="1316" w:type="pct"/>
            <w:shd w:val="clear" w:color="auto" w:fill="auto"/>
            <w:vAlign w:val="center"/>
          </w:tcPr>
          <w:p w14:paraId="430CE48E">
            <w:pPr>
              <w:jc w:val="center"/>
              <w:rPr>
                <w:rFonts w:ascii="宋体" w:hAnsi="宋体"/>
                <w:b w:val="0"/>
                <w:bCs/>
                <w:spacing w:val="-4"/>
                <w:szCs w:val="21"/>
              </w:rPr>
            </w:pPr>
            <w:r>
              <w:rPr>
                <w:rFonts w:ascii="宋体" w:hAnsi="宋体"/>
                <w:b w:val="0"/>
                <w:bCs/>
                <w:spacing w:val="-4"/>
                <w:szCs w:val="21"/>
              </w:rPr>
              <w:t>51#</w:t>
            </w:r>
            <w:r>
              <w:rPr>
                <w:rFonts w:hint="eastAsia" w:ascii="宋体" w:hAnsi="宋体"/>
                <w:b w:val="0"/>
                <w:bCs/>
                <w:spacing w:val="-4"/>
                <w:szCs w:val="21"/>
              </w:rPr>
              <w:t>筛选</w:t>
            </w:r>
          </w:p>
          <w:p w14:paraId="60A8EAB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4B411AC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BAC921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6</w:t>
            </w:r>
          </w:p>
        </w:tc>
        <w:tc>
          <w:tcPr>
            <w:tcW w:w="397" w:type="pct"/>
            <w:vAlign w:val="center"/>
          </w:tcPr>
          <w:p w14:paraId="466D61BC">
            <w:pPr>
              <w:jc w:val="center"/>
              <w:rPr>
                <w:rFonts w:ascii="宋体" w:hAnsi="宋体"/>
                <w:b w:val="0"/>
                <w:bCs/>
                <w:szCs w:val="21"/>
              </w:rPr>
            </w:pPr>
            <w:r>
              <w:rPr>
                <w:rFonts w:hint="eastAsia" w:ascii="宋体" w:hAnsi="宋体"/>
                <w:b w:val="0"/>
                <w:bCs/>
                <w:szCs w:val="21"/>
              </w:rPr>
              <w:t>双有</w:t>
            </w:r>
          </w:p>
        </w:tc>
        <w:tc>
          <w:tcPr>
            <w:tcW w:w="789" w:type="pct"/>
          </w:tcPr>
          <w:p w14:paraId="6D4B39E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B807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00C539E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1#</w:t>
            </w:r>
            <w:r>
              <w:rPr>
                <w:rFonts w:hint="eastAsia" w:ascii="宋体" w:hAnsi="宋体" w:cs="Arial"/>
                <w:b w:val="0"/>
                <w:bCs/>
                <w:szCs w:val="21"/>
              </w:rPr>
              <w:t>筛选</w:t>
            </w:r>
          </w:p>
        </w:tc>
        <w:tc>
          <w:tcPr>
            <w:tcW w:w="367" w:type="pct"/>
            <w:vMerge w:val="restart"/>
            <w:shd w:val="clear" w:color="auto" w:fill="auto"/>
            <w:vAlign w:val="center"/>
          </w:tcPr>
          <w:p w14:paraId="294A3A4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1FAB02A6">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7E917082">
            <w:pPr>
              <w:jc w:val="center"/>
              <w:rPr>
                <w:rFonts w:ascii="宋体" w:hAnsi="宋体"/>
                <w:b w:val="0"/>
                <w:bCs/>
                <w:spacing w:val="-4"/>
                <w:szCs w:val="21"/>
              </w:rPr>
            </w:pPr>
            <w:r>
              <w:rPr>
                <w:rFonts w:ascii="宋体" w:hAnsi="宋体"/>
                <w:b w:val="0"/>
                <w:bCs/>
                <w:spacing w:val="-4"/>
                <w:szCs w:val="21"/>
              </w:rPr>
              <w:t>52#</w:t>
            </w:r>
            <w:r>
              <w:rPr>
                <w:rFonts w:hint="eastAsia" w:ascii="宋体" w:hAnsi="宋体"/>
                <w:b w:val="0"/>
                <w:bCs/>
                <w:spacing w:val="-4"/>
                <w:szCs w:val="21"/>
              </w:rPr>
              <w:t>筛选中转</w:t>
            </w:r>
          </w:p>
          <w:p w14:paraId="2C96176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150BFF45">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84CA66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97" w:type="pct"/>
            <w:vAlign w:val="center"/>
          </w:tcPr>
          <w:p w14:paraId="7F996B73">
            <w:pPr>
              <w:jc w:val="center"/>
              <w:rPr>
                <w:rFonts w:ascii="宋体" w:hAnsi="宋体"/>
                <w:b w:val="0"/>
                <w:bCs/>
                <w:szCs w:val="21"/>
              </w:rPr>
            </w:pPr>
            <w:r>
              <w:rPr>
                <w:rFonts w:hint="eastAsia" w:ascii="宋体" w:hAnsi="宋体"/>
                <w:b w:val="0"/>
                <w:bCs/>
                <w:szCs w:val="21"/>
              </w:rPr>
              <w:t>双有</w:t>
            </w:r>
          </w:p>
        </w:tc>
        <w:tc>
          <w:tcPr>
            <w:tcW w:w="789" w:type="pct"/>
          </w:tcPr>
          <w:p w14:paraId="3BBC2266">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C68F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49F6BDDD">
            <w:pPr>
              <w:jc w:val="center"/>
              <w:rPr>
                <w:rFonts w:ascii="宋体" w:hAnsi="宋体" w:cs="Arial"/>
                <w:b w:val="0"/>
                <w:bCs/>
                <w:szCs w:val="21"/>
              </w:rPr>
            </w:pPr>
          </w:p>
        </w:tc>
        <w:tc>
          <w:tcPr>
            <w:tcW w:w="367" w:type="pct"/>
            <w:vMerge w:val="continue"/>
            <w:shd w:val="clear" w:color="auto" w:fill="auto"/>
            <w:vAlign w:val="center"/>
          </w:tcPr>
          <w:p w14:paraId="19DEB25C">
            <w:pPr>
              <w:jc w:val="center"/>
              <w:rPr>
                <w:rFonts w:ascii="宋体" w:hAnsi="宋体" w:cs="Arial"/>
                <w:b w:val="0"/>
                <w:bCs/>
                <w:szCs w:val="21"/>
              </w:rPr>
            </w:pPr>
          </w:p>
        </w:tc>
        <w:tc>
          <w:tcPr>
            <w:tcW w:w="513" w:type="pct"/>
            <w:vMerge w:val="continue"/>
            <w:shd w:val="clear" w:color="auto" w:fill="auto"/>
            <w:vAlign w:val="center"/>
          </w:tcPr>
          <w:p w14:paraId="0F6D3C8E">
            <w:pPr>
              <w:jc w:val="center"/>
              <w:rPr>
                <w:rFonts w:ascii="宋体" w:hAnsi="宋体" w:cs="Arial"/>
                <w:b w:val="0"/>
                <w:bCs/>
                <w:szCs w:val="21"/>
              </w:rPr>
            </w:pPr>
          </w:p>
        </w:tc>
        <w:tc>
          <w:tcPr>
            <w:tcW w:w="1316" w:type="pct"/>
            <w:shd w:val="clear" w:color="auto" w:fill="auto"/>
            <w:vAlign w:val="center"/>
          </w:tcPr>
          <w:p w14:paraId="6CB8D1D9">
            <w:pPr>
              <w:jc w:val="center"/>
              <w:rPr>
                <w:rFonts w:ascii="宋体" w:hAnsi="宋体"/>
                <w:b w:val="0"/>
                <w:bCs/>
                <w:spacing w:val="-4"/>
                <w:szCs w:val="21"/>
              </w:rPr>
            </w:pPr>
            <w:r>
              <w:rPr>
                <w:rFonts w:ascii="宋体" w:hAnsi="宋体"/>
                <w:b w:val="0"/>
                <w:bCs/>
                <w:spacing w:val="-4"/>
                <w:szCs w:val="21"/>
              </w:rPr>
              <w:t>119#</w:t>
            </w:r>
            <w:r>
              <w:rPr>
                <w:rFonts w:hint="eastAsia" w:ascii="宋体" w:hAnsi="宋体"/>
                <w:b w:val="0"/>
                <w:bCs/>
                <w:spacing w:val="-4"/>
                <w:szCs w:val="21"/>
              </w:rPr>
              <w:t>包装中转</w:t>
            </w:r>
          </w:p>
          <w:p w14:paraId="09576FD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A6B38D7">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7E707BD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1</w:t>
            </w:r>
          </w:p>
        </w:tc>
        <w:tc>
          <w:tcPr>
            <w:tcW w:w="397" w:type="pct"/>
            <w:vAlign w:val="center"/>
          </w:tcPr>
          <w:p w14:paraId="3C4C3BD4">
            <w:pPr>
              <w:jc w:val="center"/>
              <w:rPr>
                <w:rFonts w:ascii="宋体" w:hAnsi="宋体"/>
                <w:b w:val="0"/>
                <w:bCs/>
                <w:szCs w:val="21"/>
              </w:rPr>
            </w:pPr>
            <w:r>
              <w:rPr>
                <w:rFonts w:hint="eastAsia" w:ascii="宋体" w:hAnsi="宋体"/>
                <w:b w:val="0"/>
                <w:bCs/>
                <w:szCs w:val="21"/>
              </w:rPr>
              <w:t>双有</w:t>
            </w:r>
          </w:p>
        </w:tc>
        <w:tc>
          <w:tcPr>
            <w:tcW w:w="789" w:type="pct"/>
          </w:tcPr>
          <w:p w14:paraId="53A0019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2BC2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10346C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2#</w:t>
            </w:r>
            <w:r>
              <w:rPr>
                <w:rFonts w:hint="eastAsia" w:ascii="宋体" w:hAnsi="宋体" w:cs="Arial"/>
                <w:b w:val="0"/>
                <w:bCs/>
                <w:szCs w:val="21"/>
              </w:rPr>
              <w:t>筛选中转</w:t>
            </w:r>
          </w:p>
        </w:tc>
        <w:tc>
          <w:tcPr>
            <w:tcW w:w="367" w:type="pct"/>
            <w:shd w:val="clear" w:color="auto" w:fill="auto"/>
            <w:vAlign w:val="center"/>
          </w:tcPr>
          <w:p w14:paraId="15BE37A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3D68C2FA">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70CC017">
            <w:pPr>
              <w:jc w:val="center"/>
              <w:rPr>
                <w:rFonts w:ascii="宋体" w:hAnsi="宋体"/>
                <w:b w:val="0"/>
                <w:bCs/>
                <w:spacing w:val="-4"/>
                <w:szCs w:val="21"/>
              </w:rPr>
            </w:pPr>
            <w:r>
              <w:rPr>
                <w:rFonts w:ascii="宋体" w:hAnsi="宋体"/>
                <w:b w:val="0"/>
                <w:bCs/>
                <w:spacing w:val="-4"/>
                <w:szCs w:val="21"/>
              </w:rPr>
              <w:t>53#</w:t>
            </w:r>
            <w:r>
              <w:rPr>
                <w:rFonts w:hint="eastAsia" w:ascii="宋体" w:hAnsi="宋体"/>
                <w:b w:val="0"/>
                <w:bCs/>
                <w:spacing w:val="-4"/>
                <w:szCs w:val="21"/>
              </w:rPr>
              <w:t>包装</w:t>
            </w:r>
          </w:p>
          <w:p w14:paraId="3F32394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04CD1E10">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4C06EC2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97" w:type="pct"/>
            <w:vAlign w:val="center"/>
          </w:tcPr>
          <w:p w14:paraId="409F8C88">
            <w:pPr>
              <w:jc w:val="center"/>
              <w:rPr>
                <w:rFonts w:ascii="宋体" w:hAnsi="宋体"/>
                <w:b w:val="0"/>
                <w:bCs/>
                <w:szCs w:val="21"/>
              </w:rPr>
            </w:pPr>
            <w:r>
              <w:rPr>
                <w:rFonts w:hint="eastAsia" w:ascii="宋体" w:hAnsi="宋体"/>
                <w:b w:val="0"/>
                <w:bCs/>
                <w:szCs w:val="21"/>
              </w:rPr>
              <w:t>双有</w:t>
            </w:r>
          </w:p>
        </w:tc>
        <w:tc>
          <w:tcPr>
            <w:tcW w:w="789" w:type="pct"/>
          </w:tcPr>
          <w:p w14:paraId="43DF25D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C929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6CAF904">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3#</w:t>
            </w:r>
            <w:r>
              <w:rPr>
                <w:rFonts w:hint="eastAsia" w:ascii="宋体" w:hAnsi="宋体" w:cs="Arial"/>
                <w:b w:val="0"/>
                <w:bCs/>
                <w:szCs w:val="21"/>
              </w:rPr>
              <w:t>包装</w:t>
            </w:r>
          </w:p>
        </w:tc>
        <w:tc>
          <w:tcPr>
            <w:tcW w:w="367" w:type="pct"/>
            <w:shd w:val="clear" w:color="auto" w:fill="auto"/>
            <w:vAlign w:val="center"/>
          </w:tcPr>
          <w:p w14:paraId="13BFFF6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7B4AF16">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79ADB515">
            <w:pPr>
              <w:jc w:val="center"/>
              <w:rPr>
                <w:rFonts w:ascii="宋体" w:hAnsi="宋体"/>
                <w:b w:val="0"/>
                <w:bCs/>
                <w:spacing w:val="-4"/>
                <w:szCs w:val="21"/>
              </w:rPr>
            </w:pPr>
            <w:r>
              <w:rPr>
                <w:rFonts w:ascii="宋体" w:hAnsi="宋体"/>
                <w:b w:val="0"/>
                <w:bCs/>
                <w:spacing w:val="-4"/>
                <w:szCs w:val="21"/>
              </w:rPr>
              <w:t>54#</w:t>
            </w:r>
            <w:r>
              <w:rPr>
                <w:rFonts w:hint="eastAsia" w:ascii="宋体" w:hAnsi="宋体"/>
                <w:b w:val="0"/>
                <w:bCs/>
                <w:spacing w:val="-4"/>
                <w:szCs w:val="21"/>
              </w:rPr>
              <w:t>包装中转</w:t>
            </w:r>
          </w:p>
          <w:p w14:paraId="1808DB8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26DA3E95">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D9F95A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97" w:type="pct"/>
            <w:vAlign w:val="center"/>
          </w:tcPr>
          <w:p w14:paraId="0E3BD725">
            <w:pPr>
              <w:jc w:val="center"/>
              <w:rPr>
                <w:rFonts w:ascii="宋体" w:hAnsi="宋体"/>
                <w:b w:val="0"/>
                <w:bCs/>
                <w:szCs w:val="21"/>
              </w:rPr>
            </w:pPr>
            <w:r>
              <w:rPr>
                <w:rFonts w:hint="eastAsia" w:ascii="宋体" w:hAnsi="宋体"/>
                <w:b w:val="0"/>
                <w:bCs/>
                <w:szCs w:val="21"/>
              </w:rPr>
              <w:t>双有</w:t>
            </w:r>
          </w:p>
        </w:tc>
        <w:tc>
          <w:tcPr>
            <w:tcW w:w="789" w:type="pct"/>
          </w:tcPr>
          <w:p w14:paraId="28B96CE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5698D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FAA4BB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4#</w:t>
            </w:r>
            <w:r>
              <w:rPr>
                <w:rFonts w:hint="eastAsia" w:ascii="宋体" w:hAnsi="宋体" w:cs="Arial"/>
                <w:b w:val="0"/>
                <w:bCs/>
                <w:szCs w:val="21"/>
              </w:rPr>
              <w:t>包装中转</w:t>
            </w:r>
          </w:p>
        </w:tc>
        <w:tc>
          <w:tcPr>
            <w:tcW w:w="367" w:type="pct"/>
            <w:shd w:val="clear" w:color="auto" w:fill="auto"/>
            <w:vAlign w:val="center"/>
          </w:tcPr>
          <w:p w14:paraId="5327D8A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3AAEDCA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153BAAC">
            <w:pPr>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5#</w:t>
            </w:r>
            <w:r>
              <w:rPr>
                <w:rFonts w:hint="eastAsia" w:ascii="宋体" w:hAnsi="宋体"/>
                <w:b w:val="0"/>
                <w:bCs/>
                <w:spacing w:val="-4"/>
                <w:szCs w:val="21"/>
              </w:rPr>
              <w:t>包装材料间</w:t>
            </w:r>
          </w:p>
        </w:tc>
        <w:tc>
          <w:tcPr>
            <w:tcW w:w="374" w:type="pct"/>
            <w:shd w:val="clear" w:color="auto" w:fill="auto"/>
            <w:vAlign w:val="center"/>
          </w:tcPr>
          <w:p w14:paraId="642D47A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823A6F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8</w:t>
            </w:r>
          </w:p>
        </w:tc>
        <w:tc>
          <w:tcPr>
            <w:tcW w:w="397" w:type="pct"/>
            <w:vAlign w:val="center"/>
          </w:tcPr>
          <w:p w14:paraId="4AC939E1">
            <w:pPr>
              <w:jc w:val="center"/>
              <w:rPr>
                <w:rFonts w:ascii="宋体" w:hAnsi="宋体"/>
                <w:b w:val="0"/>
                <w:bCs/>
                <w:szCs w:val="21"/>
              </w:rPr>
            </w:pPr>
            <w:r>
              <w:rPr>
                <w:rFonts w:hint="eastAsia" w:ascii="宋体" w:hAnsi="宋体"/>
                <w:b w:val="0"/>
                <w:bCs/>
                <w:szCs w:val="21"/>
              </w:rPr>
              <w:t>双有</w:t>
            </w:r>
          </w:p>
        </w:tc>
        <w:tc>
          <w:tcPr>
            <w:tcW w:w="789" w:type="pct"/>
          </w:tcPr>
          <w:p w14:paraId="24BE590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34A8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2D6AFC2E">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7#</w:t>
            </w:r>
            <w:r>
              <w:rPr>
                <w:rFonts w:hint="eastAsia" w:ascii="宋体" w:hAnsi="宋体" w:cs="Arial"/>
                <w:b w:val="0"/>
                <w:bCs/>
                <w:szCs w:val="21"/>
              </w:rPr>
              <w:t>黑火药库</w:t>
            </w:r>
          </w:p>
        </w:tc>
        <w:tc>
          <w:tcPr>
            <w:tcW w:w="367" w:type="pct"/>
            <w:vMerge w:val="restart"/>
            <w:shd w:val="clear" w:color="auto" w:fill="auto"/>
            <w:vAlign w:val="center"/>
          </w:tcPr>
          <w:p w14:paraId="7C594E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09206E4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316" w:type="pct"/>
            <w:shd w:val="clear" w:color="auto" w:fill="auto"/>
            <w:vAlign w:val="center"/>
          </w:tcPr>
          <w:p w14:paraId="3C344715">
            <w:pPr>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6#</w:t>
            </w:r>
            <w:r>
              <w:rPr>
                <w:rFonts w:hint="eastAsia" w:ascii="宋体" w:hAnsi="宋体"/>
                <w:b w:val="0"/>
                <w:bCs/>
                <w:spacing w:val="-4"/>
                <w:szCs w:val="21"/>
              </w:rPr>
              <w:t>值班室</w:t>
            </w:r>
          </w:p>
        </w:tc>
        <w:tc>
          <w:tcPr>
            <w:tcW w:w="374" w:type="pct"/>
            <w:shd w:val="clear" w:color="auto" w:fill="auto"/>
            <w:vAlign w:val="center"/>
          </w:tcPr>
          <w:p w14:paraId="3C97B291">
            <w:pPr>
              <w:jc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69" w:type="pct"/>
            <w:shd w:val="clear" w:color="auto" w:fill="auto"/>
            <w:vAlign w:val="center"/>
          </w:tcPr>
          <w:p w14:paraId="22AA388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6</w:t>
            </w:r>
          </w:p>
        </w:tc>
        <w:tc>
          <w:tcPr>
            <w:tcW w:w="397" w:type="pct"/>
            <w:vAlign w:val="center"/>
          </w:tcPr>
          <w:p w14:paraId="774729F8">
            <w:pPr>
              <w:jc w:val="center"/>
              <w:rPr>
                <w:rFonts w:ascii="宋体" w:hAnsi="宋体"/>
                <w:b w:val="0"/>
                <w:bCs/>
                <w:szCs w:val="21"/>
              </w:rPr>
            </w:pPr>
            <w:r>
              <w:rPr>
                <w:rFonts w:hint="eastAsia" w:ascii="宋体" w:hAnsi="宋体"/>
                <w:b w:val="0"/>
                <w:bCs/>
                <w:szCs w:val="21"/>
              </w:rPr>
              <w:t>单有</w:t>
            </w:r>
          </w:p>
        </w:tc>
        <w:tc>
          <w:tcPr>
            <w:tcW w:w="789" w:type="pct"/>
            <w:vAlign w:val="center"/>
          </w:tcPr>
          <w:p w14:paraId="0021FF4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.3.6-2</w:t>
            </w:r>
          </w:p>
        </w:tc>
      </w:tr>
      <w:tr w14:paraId="21180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4CB806D1">
            <w:pPr>
              <w:jc w:val="center"/>
              <w:rPr>
                <w:rFonts w:ascii="宋体" w:hAnsi="宋体" w:cs="Arial"/>
                <w:b w:val="0"/>
                <w:bCs/>
                <w:szCs w:val="21"/>
              </w:rPr>
            </w:pPr>
          </w:p>
        </w:tc>
        <w:tc>
          <w:tcPr>
            <w:tcW w:w="367" w:type="pct"/>
            <w:vMerge w:val="continue"/>
            <w:shd w:val="clear" w:color="auto" w:fill="auto"/>
            <w:vAlign w:val="center"/>
          </w:tcPr>
          <w:p w14:paraId="4AEA54F8">
            <w:pPr>
              <w:jc w:val="center"/>
              <w:rPr>
                <w:rFonts w:ascii="宋体" w:hAnsi="宋体" w:cs="Arial"/>
                <w:b w:val="0"/>
                <w:bCs/>
                <w:szCs w:val="21"/>
              </w:rPr>
            </w:pPr>
          </w:p>
        </w:tc>
        <w:tc>
          <w:tcPr>
            <w:tcW w:w="513" w:type="pct"/>
            <w:vMerge w:val="continue"/>
            <w:shd w:val="clear" w:color="auto" w:fill="auto"/>
            <w:vAlign w:val="center"/>
          </w:tcPr>
          <w:p w14:paraId="1ACA8E28">
            <w:pPr>
              <w:jc w:val="center"/>
              <w:rPr>
                <w:rFonts w:ascii="宋体" w:hAnsi="宋体" w:cs="Arial"/>
                <w:b w:val="0"/>
                <w:bCs/>
                <w:szCs w:val="21"/>
              </w:rPr>
            </w:pPr>
          </w:p>
        </w:tc>
        <w:tc>
          <w:tcPr>
            <w:tcW w:w="1316" w:type="pct"/>
            <w:shd w:val="clear" w:color="auto" w:fill="auto"/>
            <w:vAlign w:val="center"/>
          </w:tcPr>
          <w:p w14:paraId="67BC42C3">
            <w:pPr>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8#</w:t>
            </w:r>
            <w:r>
              <w:rPr>
                <w:rFonts w:hint="eastAsia" w:ascii="宋体" w:hAnsi="宋体"/>
                <w:b w:val="0"/>
                <w:bCs/>
                <w:spacing w:val="-4"/>
                <w:szCs w:val="21"/>
              </w:rPr>
              <w:t>黑火药库</w:t>
            </w:r>
          </w:p>
          <w:p w14:paraId="3C5A0F74">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级、2</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660F9C19">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7FE4457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73490280">
            <w:pPr>
              <w:jc w:val="center"/>
              <w:rPr>
                <w:rFonts w:ascii="宋体" w:hAnsi="宋体"/>
                <w:b w:val="0"/>
                <w:bCs/>
                <w:szCs w:val="21"/>
              </w:rPr>
            </w:pPr>
            <w:r>
              <w:rPr>
                <w:rFonts w:hint="eastAsia" w:ascii="宋体" w:hAnsi="宋体"/>
                <w:b w:val="0"/>
                <w:bCs/>
                <w:szCs w:val="21"/>
              </w:rPr>
              <w:t>双有</w:t>
            </w:r>
          </w:p>
        </w:tc>
        <w:tc>
          <w:tcPr>
            <w:tcW w:w="789" w:type="pct"/>
            <w:vAlign w:val="center"/>
          </w:tcPr>
          <w:p w14:paraId="52F1CB7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0847D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19AB4B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8#</w:t>
            </w:r>
            <w:r>
              <w:rPr>
                <w:rFonts w:hint="eastAsia" w:ascii="宋体" w:hAnsi="宋体" w:cs="Arial"/>
                <w:b w:val="0"/>
                <w:bCs/>
                <w:szCs w:val="21"/>
              </w:rPr>
              <w:t>黑火药库</w:t>
            </w:r>
          </w:p>
        </w:tc>
        <w:tc>
          <w:tcPr>
            <w:tcW w:w="367" w:type="pct"/>
            <w:shd w:val="clear" w:color="auto" w:fill="auto"/>
            <w:vAlign w:val="center"/>
          </w:tcPr>
          <w:p w14:paraId="1713A1E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737EBF1">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500</w:t>
            </w:r>
          </w:p>
        </w:tc>
        <w:tc>
          <w:tcPr>
            <w:tcW w:w="1316" w:type="pct"/>
            <w:shd w:val="clear" w:color="auto" w:fill="auto"/>
            <w:vAlign w:val="center"/>
          </w:tcPr>
          <w:p w14:paraId="67637D80">
            <w:pPr>
              <w:jc w:val="center"/>
              <w:rPr>
                <w:rFonts w:ascii="宋体" w:hAnsi="宋体"/>
                <w:b w:val="0"/>
                <w:bCs/>
                <w:spacing w:val="-4"/>
                <w:szCs w:val="21"/>
              </w:rPr>
            </w:pPr>
            <w:r>
              <w:rPr>
                <w:rFonts w:ascii="宋体" w:hAnsi="宋体"/>
                <w:b w:val="0"/>
                <w:bCs/>
                <w:spacing w:val="-4"/>
                <w:szCs w:val="21"/>
              </w:rPr>
              <w:t>59#</w:t>
            </w:r>
            <w:r>
              <w:rPr>
                <w:rFonts w:hint="eastAsia" w:ascii="宋体" w:hAnsi="宋体"/>
                <w:b w:val="0"/>
                <w:bCs/>
                <w:spacing w:val="-4"/>
                <w:szCs w:val="21"/>
              </w:rPr>
              <w:t>黑火药库</w:t>
            </w:r>
          </w:p>
          <w:p w14:paraId="6ED2887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4000kg</w:t>
            </w:r>
            <w:r>
              <w:rPr>
                <w:rFonts w:hint="eastAsia" w:ascii="宋体" w:hAnsi="宋体"/>
                <w:b w:val="0"/>
                <w:bCs/>
                <w:spacing w:val="-4"/>
                <w:szCs w:val="21"/>
              </w:rPr>
              <w:t>）</w:t>
            </w:r>
          </w:p>
        </w:tc>
        <w:tc>
          <w:tcPr>
            <w:tcW w:w="374" w:type="pct"/>
            <w:shd w:val="clear" w:color="auto" w:fill="auto"/>
            <w:vAlign w:val="center"/>
          </w:tcPr>
          <w:p w14:paraId="1DCB2051">
            <w:pPr>
              <w:jc w:val="center"/>
              <w:rPr>
                <w:rFonts w:ascii="宋体" w:hAnsi="宋体"/>
                <w:b w:val="0"/>
                <w:bCs/>
                <w:spacing w:val="-4"/>
                <w:kern w:val="0"/>
                <w:szCs w:val="21"/>
              </w:rPr>
            </w:pPr>
            <w:r>
              <w:rPr>
                <w:rFonts w:ascii="宋体" w:hAnsi="宋体"/>
                <w:b w:val="0"/>
                <w:bCs/>
                <w:spacing w:val="-4"/>
                <w:kern w:val="0"/>
                <w:szCs w:val="21"/>
              </w:rPr>
              <w:t>24</w:t>
            </w:r>
          </w:p>
        </w:tc>
        <w:tc>
          <w:tcPr>
            <w:tcW w:w="369" w:type="pct"/>
            <w:shd w:val="clear" w:color="auto" w:fill="auto"/>
            <w:vAlign w:val="center"/>
          </w:tcPr>
          <w:p w14:paraId="14A3957A">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62AA18D3">
            <w:pPr>
              <w:jc w:val="center"/>
              <w:rPr>
                <w:rFonts w:ascii="宋体" w:hAnsi="宋体"/>
                <w:b w:val="0"/>
                <w:bCs/>
                <w:szCs w:val="21"/>
              </w:rPr>
            </w:pPr>
            <w:r>
              <w:rPr>
                <w:rFonts w:hint="eastAsia" w:ascii="宋体" w:hAnsi="宋体"/>
                <w:b w:val="0"/>
                <w:bCs/>
                <w:szCs w:val="21"/>
              </w:rPr>
              <w:t>双有</w:t>
            </w:r>
          </w:p>
        </w:tc>
        <w:tc>
          <w:tcPr>
            <w:tcW w:w="789" w:type="pct"/>
            <w:vAlign w:val="center"/>
          </w:tcPr>
          <w:p w14:paraId="328736A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13C37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75690D6">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9#</w:t>
            </w:r>
            <w:r>
              <w:rPr>
                <w:rFonts w:hint="eastAsia" w:ascii="宋体" w:hAnsi="宋体" w:cs="Arial"/>
                <w:b w:val="0"/>
                <w:bCs/>
                <w:szCs w:val="21"/>
              </w:rPr>
              <w:t>黑火药库</w:t>
            </w:r>
          </w:p>
        </w:tc>
        <w:tc>
          <w:tcPr>
            <w:tcW w:w="367" w:type="pct"/>
            <w:shd w:val="clear" w:color="auto" w:fill="auto"/>
            <w:vAlign w:val="center"/>
          </w:tcPr>
          <w:p w14:paraId="5EFF4EB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37A93D4">
            <w:pPr>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000</w:t>
            </w:r>
          </w:p>
        </w:tc>
        <w:tc>
          <w:tcPr>
            <w:tcW w:w="1316" w:type="pct"/>
            <w:shd w:val="clear" w:color="auto" w:fill="auto"/>
            <w:vAlign w:val="center"/>
          </w:tcPr>
          <w:p w14:paraId="1085CFFC">
            <w:pPr>
              <w:jc w:val="center"/>
              <w:rPr>
                <w:rFonts w:ascii="宋体" w:hAnsi="宋体"/>
                <w:b w:val="0"/>
                <w:bCs/>
                <w:spacing w:val="-4"/>
                <w:szCs w:val="21"/>
              </w:rPr>
            </w:pPr>
            <w:r>
              <w:rPr>
                <w:rFonts w:ascii="宋体" w:hAnsi="宋体"/>
                <w:b w:val="0"/>
                <w:bCs/>
                <w:spacing w:val="-4"/>
                <w:szCs w:val="21"/>
              </w:rPr>
              <w:t>60#</w:t>
            </w:r>
            <w:r>
              <w:rPr>
                <w:rFonts w:hint="eastAsia" w:ascii="宋体" w:hAnsi="宋体"/>
                <w:b w:val="0"/>
                <w:bCs/>
                <w:spacing w:val="-4"/>
                <w:szCs w:val="21"/>
              </w:rPr>
              <w:t>黑火药库</w:t>
            </w:r>
          </w:p>
          <w:p w14:paraId="7888B136">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3500kg</w:t>
            </w:r>
            <w:r>
              <w:rPr>
                <w:rFonts w:hint="eastAsia" w:ascii="宋体" w:hAnsi="宋体"/>
                <w:b w:val="0"/>
                <w:bCs/>
                <w:spacing w:val="-4"/>
                <w:szCs w:val="21"/>
              </w:rPr>
              <w:t>）</w:t>
            </w:r>
          </w:p>
        </w:tc>
        <w:tc>
          <w:tcPr>
            <w:tcW w:w="374" w:type="pct"/>
            <w:shd w:val="clear" w:color="auto" w:fill="auto"/>
            <w:vAlign w:val="center"/>
          </w:tcPr>
          <w:p w14:paraId="2F036D70">
            <w:pPr>
              <w:jc w:val="center"/>
              <w:rPr>
                <w:rFonts w:ascii="宋体" w:hAnsi="宋体"/>
                <w:b w:val="0"/>
                <w:bCs/>
                <w:spacing w:val="-4"/>
                <w:kern w:val="0"/>
                <w:szCs w:val="21"/>
              </w:rPr>
            </w:pPr>
            <w:r>
              <w:rPr>
                <w:rFonts w:ascii="宋体" w:hAnsi="宋体"/>
                <w:b w:val="0"/>
                <w:bCs/>
                <w:spacing w:val="-4"/>
                <w:kern w:val="0"/>
                <w:szCs w:val="21"/>
              </w:rPr>
              <w:t>24</w:t>
            </w:r>
          </w:p>
        </w:tc>
        <w:tc>
          <w:tcPr>
            <w:tcW w:w="369" w:type="pct"/>
            <w:shd w:val="clear" w:color="auto" w:fill="auto"/>
            <w:vAlign w:val="center"/>
          </w:tcPr>
          <w:p w14:paraId="318A2F3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97" w:type="pct"/>
            <w:vAlign w:val="center"/>
          </w:tcPr>
          <w:p w14:paraId="1D4310ED">
            <w:pPr>
              <w:jc w:val="center"/>
              <w:rPr>
                <w:rFonts w:ascii="宋体" w:hAnsi="宋体"/>
                <w:b w:val="0"/>
                <w:bCs/>
                <w:szCs w:val="21"/>
              </w:rPr>
            </w:pPr>
            <w:r>
              <w:rPr>
                <w:rFonts w:hint="eastAsia" w:ascii="宋体" w:hAnsi="宋体"/>
                <w:b w:val="0"/>
                <w:bCs/>
                <w:szCs w:val="21"/>
              </w:rPr>
              <w:t>双有</w:t>
            </w:r>
          </w:p>
        </w:tc>
        <w:tc>
          <w:tcPr>
            <w:tcW w:w="789" w:type="pct"/>
            <w:vAlign w:val="center"/>
          </w:tcPr>
          <w:p w14:paraId="30ED1EC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23579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D784066">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w:t>
            </w:r>
            <w:r>
              <w:rPr>
                <w:rFonts w:hint="eastAsia" w:ascii="宋体" w:hAnsi="宋体" w:cs="Arial"/>
                <w:b w:val="0"/>
                <w:bCs/>
                <w:szCs w:val="21"/>
              </w:rPr>
              <w:t>黑火药库</w:t>
            </w:r>
          </w:p>
        </w:tc>
        <w:tc>
          <w:tcPr>
            <w:tcW w:w="367" w:type="pct"/>
            <w:shd w:val="clear" w:color="auto" w:fill="auto"/>
            <w:vAlign w:val="center"/>
          </w:tcPr>
          <w:p w14:paraId="194B585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7A886F18">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1316" w:type="pct"/>
            <w:shd w:val="clear" w:color="auto" w:fill="auto"/>
            <w:vAlign w:val="center"/>
          </w:tcPr>
          <w:p w14:paraId="5F1AF117">
            <w:pPr>
              <w:jc w:val="center"/>
              <w:rPr>
                <w:rFonts w:ascii="宋体" w:hAnsi="宋体"/>
                <w:b w:val="0"/>
                <w:bCs/>
                <w:spacing w:val="-4"/>
                <w:szCs w:val="21"/>
              </w:rPr>
            </w:pPr>
            <w:r>
              <w:rPr>
                <w:rFonts w:ascii="宋体" w:hAnsi="宋体"/>
                <w:b w:val="0"/>
                <w:bCs/>
                <w:spacing w:val="-4"/>
                <w:szCs w:val="21"/>
              </w:rPr>
              <w:t>61#</w:t>
            </w:r>
            <w:r>
              <w:rPr>
                <w:rFonts w:hint="eastAsia" w:ascii="宋体" w:hAnsi="宋体"/>
                <w:b w:val="0"/>
                <w:bCs/>
                <w:spacing w:val="-4"/>
                <w:szCs w:val="21"/>
              </w:rPr>
              <w:t>黑火药库</w:t>
            </w:r>
          </w:p>
          <w:p w14:paraId="279FE57C">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6000kg</w:t>
            </w:r>
            <w:r>
              <w:rPr>
                <w:rFonts w:hint="eastAsia" w:ascii="宋体" w:hAnsi="宋体"/>
                <w:b w:val="0"/>
                <w:bCs/>
                <w:spacing w:val="-4"/>
                <w:szCs w:val="21"/>
              </w:rPr>
              <w:t>）</w:t>
            </w:r>
          </w:p>
        </w:tc>
        <w:tc>
          <w:tcPr>
            <w:tcW w:w="374" w:type="pct"/>
            <w:shd w:val="clear" w:color="auto" w:fill="auto"/>
            <w:vAlign w:val="center"/>
          </w:tcPr>
          <w:p w14:paraId="3C338FA1">
            <w:pPr>
              <w:jc w:val="center"/>
              <w:rPr>
                <w:rFonts w:ascii="宋体" w:hAnsi="宋体"/>
                <w:b w:val="0"/>
                <w:bCs/>
                <w:spacing w:val="-4"/>
                <w:kern w:val="0"/>
                <w:szCs w:val="21"/>
              </w:rPr>
            </w:pPr>
            <w:r>
              <w:rPr>
                <w:rFonts w:ascii="宋体" w:hAnsi="宋体"/>
                <w:b w:val="0"/>
                <w:bCs/>
                <w:spacing w:val="-4"/>
                <w:kern w:val="0"/>
                <w:szCs w:val="21"/>
              </w:rPr>
              <w:t>27</w:t>
            </w:r>
          </w:p>
        </w:tc>
        <w:tc>
          <w:tcPr>
            <w:tcW w:w="369" w:type="pct"/>
            <w:shd w:val="clear" w:color="auto" w:fill="auto"/>
            <w:vAlign w:val="center"/>
          </w:tcPr>
          <w:p w14:paraId="2119D534">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97" w:type="pct"/>
            <w:vAlign w:val="center"/>
          </w:tcPr>
          <w:p w14:paraId="7714EAD4">
            <w:pPr>
              <w:jc w:val="center"/>
              <w:rPr>
                <w:rFonts w:ascii="宋体" w:hAnsi="宋体"/>
                <w:b w:val="0"/>
                <w:bCs/>
                <w:szCs w:val="21"/>
              </w:rPr>
            </w:pPr>
            <w:r>
              <w:rPr>
                <w:rFonts w:hint="eastAsia" w:ascii="宋体" w:hAnsi="宋体"/>
                <w:b w:val="0"/>
                <w:bCs/>
                <w:szCs w:val="21"/>
              </w:rPr>
              <w:t>双有</w:t>
            </w:r>
          </w:p>
        </w:tc>
        <w:tc>
          <w:tcPr>
            <w:tcW w:w="789" w:type="pct"/>
            <w:vAlign w:val="center"/>
          </w:tcPr>
          <w:p w14:paraId="7881B708">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ABE2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32FD767">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1#</w:t>
            </w:r>
            <w:r>
              <w:rPr>
                <w:rFonts w:hint="eastAsia" w:ascii="宋体" w:hAnsi="宋体" w:cs="Arial"/>
                <w:b w:val="0"/>
                <w:bCs/>
                <w:szCs w:val="21"/>
              </w:rPr>
              <w:t>黑火药库</w:t>
            </w:r>
          </w:p>
        </w:tc>
        <w:tc>
          <w:tcPr>
            <w:tcW w:w="367" w:type="pct"/>
            <w:shd w:val="clear" w:color="auto" w:fill="auto"/>
            <w:vAlign w:val="center"/>
          </w:tcPr>
          <w:p w14:paraId="0D677DA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64C7DF5">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000</w:t>
            </w:r>
          </w:p>
        </w:tc>
        <w:tc>
          <w:tcPr>
            <w:tcW w:w="1316" w:type="pct"/>
            <w:shd w:val="clear" w:color="auto" w:fill="auto"/>
            <w:vAlign w:val="center"/>
          </w:tcPr>
          <w:p w14:paraId="4F88F75F">
            <w:pPr>
              <w:jc w:val="center"/>
              <w:rPr>
                <w:rFonts w:ascii="宋体" w:hAnsi="宋体"/>
                <w:b w:val="0"/>
                <w:bCs/>
                <w:spacing w:val="-4"/>
                <w:szCs w:val="21"/>
              </w:rPr>
            </w:pPr>
            <w:r>
              <w:rPr>
                <w:rFonts w:ascii="宋体" w:hAnsi="宋体"/>
                <w:b w:val="0"/>
                <w:bCs/>
                <w:spacing w:val="-4"/>
                <w:szCs w:val="21"/>
              </w:rPr>
              <w:t>62#</w:t>
            </w:r>
            <w:r>
              <w:rPr>
                <w:rFonts w:hint="eastAsia" w:ascii="宋体" w:hAnsi="宋体"/>
                <w:b w:val="0"/>
                <w:bCs/>
                <w:spacing w:val="-4"/>
                <w:szCs w:val="21"/>
              </w:rPr>
              <w:t>黑火药库</w:t>
            </w:r>
          </w:p>
          <w:p w14:paraId="5486C968">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3500kg</w:t>
            </w:r>
            <w:r>
              <w:rPr>
                <w:rFonts w:hint="eastAsia" w:ascii="宋体" w:hAnsi="宋体"/>
                <w:b w:val="0"/>
                <w:bCs/>
                <w:spacing w:val="-4"/>
                <w:szCs w:val="21"/>
              </w:rPr>
              <w:t>）</w:t>
            </w:r>
          </w:p>
        </w:tc>
        <w:tc>
          <w:tcPr>
            <w:tcW w:w="374" w:type="pct"/>
            <w:shd w:val="clear" w:color="auto" w:fill="auto"/>
            <w:vAlign w:val="center"/>
          </w:tcPr>
          <w:p w14:paraId="51E98913">
            <w:pPr>
              <w:jc w:val="center"/>
              <w:rPr>
                <w:rFonts w:ascii="宋体" w:hAnsi="宋体"/>
                <w:b w:val="0"/>
                <w:bCs/>
                <w:spacing w:val="-4"/>
                <w:kern w:val="0"/>
                <w:szCs w:val="21"/>
              </w:rPr>
            </w:pPr>
            <w:r>
              <w:rPr>
                <w:rFonts w:ascii="宋体" w:hAnsi="宋体"/>
                <w:b w:val="0"/>
                <w:bCs/>
                <w:spacing w:val="-4"/>
                <w:kern w:val="0"/>
                <w:szCs w:val="21"/>
              </w:rPr>
              <w:t>27</w:t>
            </w:r>
          </w:p>
        </w:tc>
        <w:tc>
          <w:tcPr>
            <w:tcW w:w="369" w:type="pct"/>
            <w:shd w:val="clear" w:color="auto" w:fill="auto"/>
            <w:vAlign w:val="center"/>
          </w:tcPr>
          <w:p w14:paraId="073C862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97" w:type="pct"/>
            <w:vAlign w:val="center"/>
          </w:tcPr>
          <w:p w14:paraId="37F26CDE">
            <w:pPr>
              <w:jc w:val="center"/>
              <w:rPr>
                <w:rFonts w:ascii="宋体" w:hAnsi="宋体"/>
                <w:b w:val="0"/>
                <w:bCs/>
                <w:szCs w:val="21"/>
              </w:rPr>
            </w:pPr>
            <w:r>
              <w:rPr>
                <w:rFonts w:hint="eastAsia" w:ascii="宋体" w:hAnsi="宋体"/>
                <w:b w:val="0"/>
                <w:bCs/>
                <w:szCs w:val="21"/>
              </w:rPr>
              <w:t>双有</w:t>
            </w:r>
          </w:p>
        </w:tc>
        <w:tc>
          <w:tcPr>
            <w:tcW w:w="789" w:type="pct"/>
            <w:vAlign w:val="center"/>
          </w:tcPr>
          <w:p w14:paraId="6A47420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F893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C4109A9">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2#</w:t>
            </w:r>
            <w:r>
              <w:rPr>
                <w:rFonts w:hint="eastAsia" w:ascii="宋体" w:hAnsi="宋体" w:cs="Arial"/>
                <w:b w:val="0"/>
                <w:bCs/>
                <w:szCs w:val="21"/>
              </w:rPr>
              <w:t>黑火药库</w:t>
            </w:r>
          </w:p>
        </w:tc>
        <w:tc>
          <w:tcPr>
            <w:tcW w:w="367" w:type="pct"/>
            <w:shd w:val="clear" w:color="auto" w:fill="auto"/>
            <w:vAlign w:val="center"/>
          </w:tcPr>
          <w:p w14:paraId="661C85F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F4B379A">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1316" w:type="pct"/>
            <w:shd w:val="clear" w:color="auto" w:fill="auto"/>
            <w:vAlign w:val="center"/>
          </w:tcPr>
          <w:p w14:paraId="33A112F8">
            <w:pPr>
              <w:jc w:val="center"/>
              <w:rPr>
                <w:rFonts w:ascii="宋体" w:hAnsi="宋体"/>
                <w:b w:val="0"/>
                <w:bCs/>
                <w:spacing w:val="-4"/>
                <w:szCs w:val="21"/>
              </w:rPr>
            </w:pPr>
            <w:r>
              <w:rPr>
                <w:rFonts w:ascii="宋体" w:hAnsi="宋体"/>
                <w:b w:val="0"/>
                <w:bCs/>
                <w:spacing w:val="-4"/>
                <w:szCs w:val="21"/>
              </w:rPr>
              <w:t>63#</w:t>
            </w:r>
            <w:r>
              <w:rPr>
                <w:rFonts w:hint="eastAsia" w:ascii="宋体" w:hAnsi="宋体"/>
                <w:b w:val="0"/>
                <w:bCs/>
                <w:spacing w:val="-4"/>
                <w:szCs w:val="21"/>
              </w:rPr>
              <w:t>黑火药库</w:t>
            </w:r>
          </w:p>
          <w:p w14:paraId="45619008">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7000kg</w:t>
            </w:r>
            <w:r>
              <w:rPr>
                <w:rFonts w:hint="eastAsia" w:ascii="宋体" w:hAnsi="宋体"/>
                <w:b w:val="0"/>
                <w:bCs/>
                <w:spacing w:val="-4"/>
                <w:szCs w:val="21"/>
              </w:rPr>
              <w:t>）</w:t>
            </w:r>
          </w:p>
        </w:tc>
        <w:tc>
          <w:tcPr>
            <w:tcW w:w="374" w:type="pct"/>
            <w:shd w:val="clear" w:color="auto" w:fill="auto"/>
            <w:vAlign w:val="center"/>
          </w:tcPr>
          <w:p w14:paraId="4ADF57E0">
            <w:pPr>
              <w:jc w:val="center"/>
              <w:rPr>
                <w:rFonts w:ascii="宋体" w:hAnsi="宋体"/>
                <w:b w:val="0"/>
                <w:bCs/>
                <w:spacing w:val="-4"/>
                <w:kern w:val="0"/>
                <w:szCs w:val="21"/>
              </w:rPr>
            </w:pPr>
            <w:r>
              <w:rPr>
                <w:rFonts w:ascii="宋体" w:hAnsi="宋体"/>
                <w:b w:val="0"/>
                <w:bCs/>
                <w:spacing w:val="-4"/>
                <w:kern w:val="0"/>
                <w:szCs w:val="21"/>
              </w:rPr>
              <w:t>27</w:t>
            </w:r>
          </w:p>
        </w:tc>
        <w:tc>
          <w:tcPr>
            <w:tcW w:w="369" w:type="pct"/>
            <w:shd w:val="clear" w:color="auto" w:fill="auto"/>
            <w:vAlign w:val="center"/>
          </w:tcPr>
          <w:p w14:paraId="753B057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97" w:type="pct"/>
            <w:vAlign w:val="center"/>
          </w:tcPr>
          <w:p w14:paraId="744D7EF1">
            <w:pPr>
              <w:jc w:val="center"/>
              <w:rPr>
                <w:rFonts w:ascii="宋体" w:hAnsi="宋体"/>
                <w:b w:val="0"/>
                <w:bCs/>
                <w:szCs w:val="21"/>
              </w:rPr>
            </w:pPr>
            <w:r>
              <w:rPr>
                <w:rFonts w:hint="eastAsia" w:ascii="宋体" w:hAnsi="宋体"/>
                <w:b w:val="0"/>
                <w:bCs/>
                <w:szCs w:val="21"/>
              </w:rPr>
              <w:t>双有</w:t>
            </w:r>
          </w:p>
        </w:tc>
        <w:tc>
          <w:tcPr>
            <w:tcW w:w="789" w:type="pct"/>
            <w:vAlign w:val="center"/>
          </w:tcPr>
          <w:p w14:paraId="5C0BE626">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5F584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D1EF8C8">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r>
              <w:rPr>
                <w:rFonts w:hint="eastAsia" w:ascii="宋体" w:hAnsi="宋体" w:cs="Arial"/>
                <w:b w:val="0"/>
                <w:bCs/>
                <w:szCs w:val="21"/>
              </w:rPr>
              <w:t>黑火药库</w:t>
            </w:r>
          </w:p>
        </w:tc>
        <w:tc>
          <w:tcPr>
            <w:tcW w:w="367" w:type="pct"/>
            <w:shd w:val="clear" w:color="auto" w:fill="auto"/>
            <w:vAlign w:val="center"/>
          </w:tcPr>
          <w:p w14:paraId="083AE6C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6B32246">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1316" w:type="pct"/>
            <w:shd w:val="clear" w:color="auto" w:fill="auto"/>
            <w:vAlign w:val="center"/>
          </w:tcPr>
          <w:p w14:paraId="3136BF0F">
            <w:pPr>
              <w:jc w:val="center"/>
              <w:rPr>
                <w:rFonts w:ascii="宋体" w:hAnsi="宋体"/>
                <w:b w:val="0"/>
                <w:bCs/>
                <w:spacing w:val="-4"/>
                <w:szCs w:val="21"/>
              </w:rPr>
            </w:pPr>
            <w:r>
              <w:rPr>
                <w:rFonts w:ascii="宋体" w:hAnsi="宋体"/>
                <w:b w:val="0"/>
                <w:bCs/>
                <w:spacing w:val="-4"/>
                <w:szCs w:val="21"/>
              </w:rPr>
              <w:t>64#</w:t>
            </w:r>
            <w:r>
              <w:rPr>
                <w:rFonts w:hint="eastAsia" w:ascii="宋体" w:hAnsi="宋体"/>
                <w:b w:val="0"/>
                <w:bCs/>
                <w:spacing w:val="-4"/>
                <w:szCs w:val="21"/>
              </w:rPr>
              <w:t>黑火药库</w:t>
            </w:r>
          </w:p>
          <w:p w14:paraId="1C4C5DF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7000kg</w:t>
            </w:r>
            <w:r>
              <w:rPr>
                <w:rFonts w:hint="eastAsia" w:ascii="宋体" w:hAnsi="宋体"/>
                <w:b w:val="0"/>
                <w:bCs/>
                <w:spacing w:val="-4"/>
                <w:szCs w:val="21"/>
              </w:rPr>
              <w:t>）</w:t>
            </w:r>
          </w:p>
        </w:tc>
        <w:tc>
          <w:tcPr>
            <w:tcW w:w="374" w:type="pct"/>
            <w:shd w:val="clear" w:color="auto" w:fill="auto"/>
            <w:vAlign w:val="center"/>
          </w:tcPr>
          <w:p w14:paraId="38BCC8EF">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69" w:type="pct"/>
            <w:shd w:val="clear" w:color="auto" w:fill="auto"/>
            <w:vAlign w:val="center"/>
          </w:tcPr>
          <w:p w14:paraId="3D753F4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97" w:type="pct"/>
            <w:vAlign w:val="center"/>
          </w:tcPr>
          <w:p w14:paraId="560896ED">
            <w:pPr>
              <w:jc w:val="center"/>
              <w:rPr>
                <w:rFonts w:ascii="宋体" w:hAnsi="宋体"/>
                <w:b w:val="0"/>
                <w:bCs/>
                <w:szCs w:val="21"/>
              </w:rPr>
            </w:pPr>
            <w:r>
              <w:rPr>
                <w:rFonts w:hint="eastAsia" w:ascii="宋体" w:hAnsi="宋体"/>
                <w:b w:val="0"/>
                <w:bCs/>
                <w:szCs w:val="21"/>
              </w:rPr>
              <w:t>双有</w:t>
            </w:r>
          </w:p>
        </w:tc>
        <w:tc>
          <w:tcPr>
            <w:tcW w:w="789" w:type="pct"/>
            <w:vAlign w:val="center"/>
          </w:tcPr>
          <w:p w14:paraId="2292D4A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0C13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6E54CEA">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4#</w:t>
            </w:r>
            <w:r>
              <w:rPr>
                <w:rFonts w:hint="eastAsia" w:ascii="宋体" w:hAnsi="宋体" w:cs="Arial"/>
                <w:b w:val="0"/>
                <w:bCs/>
                <w:szCs w:val="21"/>
              </w:rPr>
              <w:t>黑火药库</w:t>
            </w:r>
          </w:p>
        </w:tc>
        <w:tc>
          <w:tcPr>
            <w:tcW w:w="367" w:type="pct"/>
            <w:shd w:val="clear" w:color="auto" w:fill="auto"/>
            <w:vAlign w:val="center"/>
          </w:tcPr>
          <w:p w14:paraId="05C4A3A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3C5D2D7">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1316" w:type="pct"/>
            <w:shd w:val="clear" w:color="auto" w:fill="auto"/>
            <w:vAlign w:val="center"/>
          </w:tcPr>
          <w:p w14:paraId="37367845">
            <w:pPr>
              <w:jc w:val="center"/>
              <w:rPr>
                <w:rFonts w:ascii="宋体" w:hAnsi="宋体"/>
                <w:b w:val="0"/>
                <w:bCs/>
                <w:spacing w:val="-4"/>
                <w:szCs w:val="21"/>
              </w:rPr>
            </w:pPr>
            <w:r>
              <w:rPr>
                <w:rFonts w:ascii="宋体" w:hAnsi="宋体"/>
                <w:b w:val="0"/>
                <w:bCs/>
                <w:spacing w:val="-4"/>
                <w:szCs w:val="21"/>
              </w:rPr>
              <w:t>65#</w:t>
            </w:r>
            <w:r>
              <w:rPr>
                <w:rFonts w:hint="eastAsia" w:ascii="宋体" w:hAnsi="宋体"/>
                <w:b w:val="0"/>
                <w:bCs/>
                <w:spacing w:val="-4"/>
                <w:szCs w:val="21"/>
              </w:rPr>
              <w:t>黑火药库</w:t>
            </w:r>
          </w:p>
          <w:p w14:paraId="3FB0B3B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74" w:type="pct"/>
            <w:shd w:val="clear" w:color="auto" w:fill="auto"/>
            <w:vAlign w:val="center"/>
          </w:tcPr>
          <w:p w14:paraId="78EAC28D">
            <w:pPr>
              <w:jc w:val="center"/>
              <w:rPr>
                <w:rFonts w:ascii="宋体" w:hAnsi="宋体"/>
                <w:b w:val="0"/>
                <w:bCs/>
                <w:spacing w:val="-4"/>
                <w:kern w:val="0"/>
                <w:szCs w:val="21"/>
              </w:rPr>
            </w:pPr>
            <w:r>
              <w:rPr>
                <w:rFonts w:ascii="宋体" w:hAnsi="宋体"/>
                <w:b w:val="0"/>
                <w:bCs/>
                <w:spacing w:val="-4"/>
                <w:kern w:val="0"/>
                <w:szCs w:val="21"/>
              </w:rPr>
              <w:t>27</w:t>
            </w:r>
          </w:p>
        </w:tc>
        <w:tc>
          <w:tcPr>
            <w:tcW w:w="369" w:type="pct"/>
            <w:shd w:val="clear" w:color="auto" w:fill="auto"/>
            <w:vAlign w:val="center"/>
          </w:tcPr>
          <w:p w14:paraId="613683F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97" w:type="pct"/>
            <w:vAlign w:val="center"/>
          </w:tcPr>
          <w:p w14:paraId="0371BEE7">
            <w:pPr>
              <w:jc w:val="center"/>
              <w:rPr>
                <w:rFonts w:ascii="宋体" w:hAnsi="宋体"/>
                <w:b w:val="0"/>
                <w:bCs/>
                <w:szCs w:val="21"/>
              </w:rPr>
            </w:pPr>
            <w:r>
              <w:rPr>
                <w:rFonts w:hint="eastAsia" w:ascii="宋体" w:hAnsi="宋体"/>
                <w:b w:val="0"/>
                <w:bCs/>
                <w:szCs w:val="21"/>
              </w:rPr>
              <w:t>双有</w:t>
            </w:r>
          </w:p>
        </w:tc>
        <w:tc>
          <w:tcPr>
            <w:tcW w:w="789" w:type="pct"/>
            <w:vAlign w:val="center"/>
          </w:tcPr>
          <w:p w14:paraId="3DB5566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323D1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E835B99">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5#</w:t>
            </w:r>
            <w:r>
              <w:rPr>
                <w:rFonts w:hint="eastAsia" w:ascii="宋体" w:hAnsi="宋体" w:cs="Arial"/>
                <w:b w:val="0"/>
                <w:bCs/>
                <w:szCs w:val="21"/>
              </w:rPr>
              <w:t>黑火药库</w:t>
            </w:r>
          </w:p>
        </w:tc>
        <w:tc>
          <w:tcPr>
            <w:tcW w:w="367" w:type="pct"/>
            <w:shd w:val="clear" w:color="auto" w:fill="auto"/>
            <w:vAlign w:val="center"/>
          </w:tcPr>
          <w:p w14:paraId="505DC5F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387F5B5C">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316" w:type="pct"/>
            <w:shd w:val="clear" w:color="auto" w:fill="auto"/>
            <w:vAlign w:val="center"/>
          </w:tcPr>
          <w:p w14:paraId="08E0A3BA">
            <w:pPr>
              <w:jc w:val="center"/>
              <w:rPr>
                <w:rFonts w:ascii="宋体" w:hAnsi="宋体"/>
                <w:b w:val="0"/>
                <w:bCs/>
                <w:spacing w:val="-4"/>
                <w:szCs w:val="21"/>
              </w:rPr>
            </w:pPr>
            <w:r>
              <w:rPr>
                <w:rFonts w:ascii="宋体" w:hAnsi="宋体"/>
                <w:b w:val="0"/>
                <w:bCs/>
                <w:spacing w:val="-4"/>
                <w:szCs w:val="21"/>
              </w:rPr>
              <w:t>66#</w:t>
            </w:r>
            <w:r>
              <w:rPr>
                <w:rFonts w:hint="eastAsia" w:ascii="宋体" w:hAnsi="宋体"/>
                <w:b w:val="0"/>
                <w:bCs/>
                <w:spacing w:val="-4"/>
                <w:szCs w:val="21"/>
              </w:rPr>
              <w:t>黑火药库</w:t>
            </w:r>
          </w:p>
          <w:p w14:paraId="2CF5DF1A">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1500kg</w:t>
            </w:r>
            <w:r>
              <w:rPr>
                <w:rFonts w:hint="eastAsia" w:ascii="宋体" w:hAnsi="宋体"/>
                <w:b w:val="0"/>
                <w:bCs/>
                <w:spacing w:val="-4"/>
                <w:szCs w:val="21"/>
              </w:rPr>
              <w:t>）</w:t>
            </w:r>
          </w:p>
        </w:tc>
        <w:tc>
          <w:tcPr>
            <w:tcW w:w="374" w:type="pct"/>
            <w:shd w:val="clear" w:color="auto" w:fill="auto"/>
            <w:vAlign w:val="center"/>
          </w:tcPr>
          <w:p w14:paraId="6F7CBBB0">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1F394793">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97" w:type="pct"/>
            <w:vAlign w:val="center"/>
          </w:tcPr>
          <w:p w14:paraId="737B96F5">
            <w:pPr>
              <w:jc w:val="center"/>
              <w:rPr>
                <w:rFonts w:ascii="宋体" w:hAnsi="宋体"/>
                <w:b w:val="0"/>
                <w:bCs/>
                <w:szCs w:val="21"/>
              </w:rPr>
            </w:pPr>
            <w:r>
              <w:rPr>
                <w:rFonts w:hint="eastAsia" w:ascii="宋体" w:hAnsi="宋体"/>
                <w:b w:val="0"/>
                <w:bCs/>
                <w:szCs w:val="21"/>
              </w:rPr>
              <w:t>双有</w:t>
            </w:r>
          </w:p>
        </w:tc>
        <w:tc>
          <w:tcPr>
            <w:tcW w:w="789" w:type="pct"/>
            <w:vAlign w:val="center"/>
          </w:tcPr>
          <w:p w14:paraId="675B3CE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14BEF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C9ECEF7">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8#</w:t>
            </w:r>
            <w:r>
              <w:rPr>
                <w:rFonts w:hint="eastAsia" w:ascii="宋体" w:hAnsi="宋体" w:cs="Arial"/>
                <w:b w:val="0"/>
                <w:bCs/>
                <w:szCs w:val="21"/>
              </w:rPr>
              <w:t>回收粉中转</w:t>
            </w:r>
          </w:p>
        </w:tc>
        <w:tc>
          <w:tcPr>
            <w:tcW w:w="367" w:type="pct"/>
            <w:shd w:val="clear" w:color="auto" w:fill="auto"/>
            <w:vAlign w:val="center"/>
          </w:tcPr>
          <w:p w14:paraId="2376C64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EA25975">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554E9D0B">
            <w:pPr>
              <w:jc w:val="center"/>
              <w:rPr>
                <w:rFonts w:ascii="宋体" w:hAnsi="宋体"/>
                <w:b w:val="0"/>
                <w:bCs/>
                <w:spacing w:val="-4"/>
                <w:szCs w:val="21"/>
              </w:rPr>
            </w:pPr>
            <w:r>
              <w:rPr>
                <w:rFonts w:hint="eastAsia" w:ascii="宋体" w:hAnsi="宋体"/>
                <w:b w:val="0"/>
                <w:bCs/>
                <w:spacing w:val="-4"/>
                <w:szCs w:val="21"/>
              </w:rPr>
              <w:t>6</w:t>
            </w:r>
            <w:r>
              <w:rPr>
                <w:rFonts w:ascii="宋体" w:hAnsi="宋体"/>
                <w:b w:val="0"/>
                <w:bCs/>
                <w:spacing w:val="-4"/>
                <w:szCs w:val="21"/>
              </w:rPr>
              <w:t>9#</w:t>
            </w:r>
            <w:r>
              <w:rPr>
                <w:rFonts w:hint="eastAsia" w:ascii="宋体" w:hAnsi="宋体"/>
                <w:b w:val="0"/>
                <w:bCs/>
                <w:spacing w:val="-4"/>
                <w:szCs w:val="21"/>
              </w:rPr>
              <w:t>原材料中转</w:t>
            </w:r>
          </w:p>
          <w:p w14:paraId="43EB8A09">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级、1</w:t>
            </w:r>
            <w:r>
              <w:rPr>
                <w:rFonts w:ascii="宋体" w:hAnsi="宋体"/>
                <w:b w:val="0"/>
                <w:bCs/>
                <w:spacing w:val="-4"/>
                <w:szCs w:val="21"/>
              </w:rPr>
              <w:t>000/</w:t>
            </w:r>
            <w:r>
              <w:rPr>
                <w:rFonts w:hint="eastAsia" w:ascii="宋体" w:hAnsi="宋体"/>
                <w:b w:val="0"/>
                <w:bCs/>
                <w:spacing w:val="-4"/>
                <w:szCs w:val="21"/>
              </w:rPr>
              <w:t>间）</w:t>
            </w:r>
          </w:p>
        </w:tc>
        <w:tc>
          <w:tcPr>
            <w:tcW w:w="374" w:type="pct"/>
            <w:shd w:val="clear" w:color="auto" w:fill="auto"/>
            <w:vAlign w:val="center"/>
          </w:tcPr>
          <w:p w14:paraId="3E1B4958">
            <w:pPr>
              <w:jc w:val="center"/>
              <w:rPr>
                <w:rFonts w:ascii="宋体" w:hAnsi="宋体"/>
                <w:b w:val="0"/>
                <w:bCs/>
                <w:spacing w:val="-4"/>
                <w:kern w:val="0"/>
                <w:szCs w:val="21"/>
              </w:rPr>
            </w:pPr>
            <w:r>
              <w:rPr>
                <w:rFonts w:ascii="宋体" w:hAnsi="宋体"/>
                <w:b w:val="0"/>
                <w:bCs/>
                <w:spacing w:val="-4"/>
                <w:kern w:val="0"/>
                <w:szCs w:val="21"/>
              </w:rPr>
              <w:t>25</w:t>
            </w:r>
          </w:p>
        </w:tc>
        <w:tc>
          <w:tcPr>
            <w:tcW w:w="369" w:type="pct"/>
            <w:shd w:val="clear" w:color="auto" w:fill="auto"/>
            <w:vAlign w:val="center"/>
          </w:tcPr>
          <w:p w14:paraId="37D9992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97" w:type="pct"/>
            <w:vAlign w:val="center"/>
          </w:tcPr>
          <w:p w14:paraId="31D51B06">
            <w:pPr>
              <w:jc w:val="center"/>
              <w:rPr>
                <w:rFonts w:ascii="宋体" w:hAnsi="宋体"/>
                <w:b w:val="0"/>
                <w:bCs/>
                <w:szCs w:val="21"/>
              </w:rPr>
            </w:pPr>
            <w:r>
              <w:rPr>
                <w:rFonts w:hint="eastAsia" w:ascii="宋体" w:hAnsi="宋体"/>
                <w:b w:val="0"/>
                <w:bCs/>
                <w:szCs w:val="21"/>
              </w:rPr>
              <w:t>单有</w:t>
            </w:r>
          </w:p>
        </w:tc>
        <w:tc>
          <w:tcPr>
            <w:tcW w:w="789" w:type="pct"/>
            <w:vAlign w:val="center"/>
          </w:tcPr>
          <w:p w14:paraId="577A955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r>
              <w:rPr>
                <w:rFonts w:hint="eastAsia" w:ascii="宋体" w:hAnsi="宋体" w:cs="宋体"/>
                <w:b w:val="0"/>
                <w:bCs/>
                <w:szCs w:val="21"/>
              </w:rPr>
              <w:t>、表5</w:t>
            </w:r>
            <w:r>
              <w:rPr>
                <w:rFonts w:ascii="宋体" w:hAnsi="宋体" w:cs="宋体"/>
                <w:b w:val="0"/>
                <w:bCs/>
                <w:szCs w:val="21"/>
              </w:rPr>
              <w:t>.2.8</w:t>
            </w:r>
          </w:p>
        </w:tc>
      </w:tr>
      <w:tr w14:paraId="25279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D7B479D">
            <w:pPr>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9#</w:t>
            </w:r>
            <w:r>
              <w:rPr>
                <w:rFonts w:hint="eastAsia" w:ascii="宋体" w:hAnsi="宋体" w:cs="Arial"/>
                <w:b w:val="0"/>
                <w:bCs/>
                <w:szCs w:val="21"/>
              </w:rPr>
              <w:t>原材料中转</w:t>
            </w:r>
          </w:p>
        </w:tc>
        <w:tc>
          <w:tcPr>
            <w:tcW w:w="367" w:type="pct"/>
            <w:shd w:val="clear" w:color="auto" w:fill="auto"/>
            <w:vAlign w:val="center"/>
          </w:tcPr>
          <w:p w14:paraId="7D773FB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62D4BFC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1316" w:type="pct"/>
            <w:shd w:val="clear" w:color="auto" w:fill="auto"/>
            <w:vAlign w:val="center"/>
          </w:tcPr>
          <w:p w14:paraId="16CDFCDA">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0#</w:t>
            </w:r>
            <w:r>
              <w:rPr>
                <w:rFonts w:hint="eastAsia" w:ascii="宋体" w:hAnsi="宋体"/>
                <w:b w:val="0"/>
                <w:bCs/>
                <w:spacing w:val="-4"/>
                <w:szCs w:val="21"/>
              </w:rPr>
              <w:t>电控室</w:t>
            </w:r>
          </w:p>
        </w:tc>
        <w:tc>
          <w:tcPr>
            <w:tcW w:w="374" w:type="pct"/>
            <w:shd w:val="clear" w:color="auto" w:fill="auto"/>
            <w:vAlign w:val="center"/>
          </w:tcPr>
          <w:p w14:paraId="7769FC93">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69" w:type="pct"/>
            <w:shd w:val="clear" w:color="auto" w:fill="auto"/>
            <w:vAlign w:val="center"/>
          </w:tcPr>
          <w:p w14:paraId="380B9B4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6</w:t>
            </w:r>
          </w:p>
        </w:tc>
        <w:tc>
          <w:tcPr>
            <w:tcW w:w="397" w:type="pct"/>
            <w:vAlign w:val="center"/>
          </w:tcPr>
          <w:p w14:paraId="304FA5DE">
            <w:pPr>
              <w:jc w:val="center"/>
              <w:rPr>
                <w:rFonts w:ascii="宋体" w:hAnsi="宋体"/>
                <w:b w:val="0"/>
                <w:bCs/>
                <w:szCs w:val="21"/>
              </w:rPr>
            </w:pPr>
            <w:r>
              <w:rPr>
                <w:rFonts w:hint="eastAsia" w:ascii="宋体" w:hAnsi="宋体"/>
                <w:b w:val="0"/>
                <w:bCs/>
                <w:szCs w:val="21"/>
              </w:rPr>
              <w:t>/</w:t>
            </w:r>
          </w:p>
        </w:tc>
        <w:tc>
          <w:tcPr>
            <w:tcW w:w="789" w:type="pct"/>
            <w:vAlign w:val="center"/>
          </w:tcPr>
          <w:p w14:paraId="7A9AF14A">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60433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7A6D4D27">
            <w:pPr>
              <w:jc w:val="center"/>
              <w:rPr>
                <w:rFonts w:ascii="宋体" w:hAnsi="宋体" w:cs="Arial"/>
                <w:b w:val="0"/>
                <w:bCs/>
                <w:szCs w:val="21"/>
              </w:rPr>
            </w:pPr>
            <w:r>
              <w:rPr>
                <w:rFonts w:ascii="宋体" w:hAnsi="宋体"/>
                <w:b w:val="0"/>
                <w:bCs/>
              </w:rPr>
              <w:t>71#</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67" w:type="pct"/>
            <w:vMerge w:val="restart"/>
            <w:shd w:val="clear" w:color="auto" w:fill="auto"/>
            <w:vAlign w:val="center"/>
          </w:tcPr>
          <w:p w14:paraId="4E35CF3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015A9F1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0C95D461">
            <w:pPr>
              <w:jc w:val="center"/>
              <w:rPr>
                <w:rFonts w:ascii="宋体" w:hAnsi="宋体"/>
                <w:b w:val="0"/>
                <w:bCs/>
                <w:spacing w:val="-4"/>
                <w:szCs w:val="21"/>
              </w:rPr>
            </w:pPr>
            <w:r>
              <w:rPr>
                <w:rFonts w:hint="eastAsia" w:ascii="宋体" w:hAnsi="宋体"/>
                <w:b w:val="0"/>
                <w:bCs/>
                <w:spacing w:val="-4"/>
                <w:szCs w:val="21"/>
              </w:rPr>
              <w:t>6</w:t>
            </w:r>
            <w:r>
              <w:rPr>
                <w:rFonts w:ascii="宋体" w:hAnsi="宋体"/>
                <w:b w:val="0"/>
                <w:bCs/>
                <w:spacing w:val="-4"/>
                <w:szCs w:val="21"/>
              </w:rPr>
              <w:t>9#</w:t>
            </w:r>
            <w:r>
              <w:rPr>
                <w:rFonts w:hint="eastAsia" w:ascii="宋体" w:hAnsi="宋体"/>
                <w:b w:val="0"/>
                <w:bCs/>
                <w:spacing w:val="-4"/>
                <w:szCs w:val="21"/>
              </w:rPr>
              <w:t>原材料中转</w:t>
            </w:r>
          </w:p>
          <w:p w14:paraId="6B01485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级、1</w:t>
            </w:r>
            <w:r>
              <w:rPr>
                <w:rFonts w:ascii="宋体" w:hAnsi="宋体"/>
                <w:b w:val="0"/>
                <w:bCs/>
                <w:spacing w:val="-4"/>
                <w:szCs w:val="21"/>
              </w:rPr>
              <w:t>000/</w:t>
            </w:r>
            <w:r>
              <w:rPr>
                <w:rFonts w:hint="eastAsia" w:ascii="宋体" w:hAnsi="宋体"/>
                <w:b w:val="0"/>
                <w:bCs/>
                <w:spacing w:val="-4"/>
                <w:szCs w:val="21"/>
              </w:rPr>
              <w:t>间）</w:t>
            </w:r>
          </w:p>
        </w:tc>
        <w:tc>
          <w:tcPr>
            <w:tcW w:w="374" w:type="pct"/>
            <w:shd w:val="clear" w:color="auto" w:fill="auto"/>
            <w:vAlign w:val="center"/>
          </w:tcPr>
          <w:p w14:paraId="2B41BC77">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69" w:type="pct"/>
            <w:shd w:val="clear" w:color="auto" w:fill="auto"/>
            <w:vAlign w:val="center"/>
          </w:tcPr>
          <w:p w14:paraId="13E7E49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7</w:t>
            </w:r>
            <w:r>
              <w:rPr>
                <w:rFonts w:ascii="宋体" w:hAnsi="宋体"/>
                <w:b w:val="0"/>
                <w:bCs/>
                <w:spacing w:val="-4"/>
                <w:kern w:val="0"/>
                <w:szCs w:val="21"/>
              </w:rPr>
              <w:t>1</w:t>
            </w:r>
          </w:p>
        </w:tc>
        <w:tc>
          <w:tcPr>
            <w:tcW w:w="397" w:type="pct"/>
            <w:vAlign w:val="center"/>
          </w:tcPr>
          <w:p w14:paraId="42395A02">
            <w:pPr>
              <w:jc w:val="center"/>
              <w:rPr>
                <w:rFonts w:ascii="宋体" w:hAnsi="宋体"/>
                <w:b w:val="0"/>
                <w:bCs/>
                <w:szCs w:val="21"/>
              </w:rPr>
            </w:pPr>
            <w:r>
              <w:rPr>
                <w:rFonts w:hint="eastAsia" w:ascii="宋体" w:hAnsi="宋体"/>
                <w:b w:val="0"/>
                <w:bCs/>
                <w:szCs w:val="21"/>
              </w:rPr>
              <w:t>双有</w:t>
            </w:r>
          </w:p>
        </w:tc>
        <w:tc>
          <w:tcPr>
            <w:tcW w:w="789" w:type="pct"/>
            <w:vAlign w:val="center"/>
          </w:tcPr>
          <w:p w14:paraId="2D3EE0C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r>
              <w:rPr>
                <w:rFonts w:hint="eastAsia" w:ascii="宋体" w:hAnsi="宋体" w:cs="宋体"/>
                <w:b w:val="0"/>
                <w:bCs/>
                <w:szCs w:val="21"/>
              </w:rPr>
              <w:t>、表5</w:t>
            </w:r>
            <w:r>
              <w:rPr>
                <w:rFonts w:ascii="宋体" w:hAnsi="宋体" w:cs="宋体"/>
                <w:b w:val="0"/>
                <w:bCs/>
                <w:szCs w:val="21"/>
              </w:rPr>
              <w:t>.2.8</w:t>
            </w:r>
          </w:p>
        </w:tc>
      </w:tr>
      <w:tr w14:paraId="2823F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0D8023B3">
            <w:pPr>
              <w:jc w:val="center"/>
              <w:rPr>
                <w:rFonts w:ascii="宋体" w:hAnsi="宋体"/>
                <w:b w:val="0"/>
                <w:bCs/>
              </w:rPr>
            </w:pPr>
          </w:p>
        </w:tc>
        <w:tc>
          <w:tcPr>
            <w:tcW w:w="367" w:type="pct"/>
            <w:vMerge w:val="continue"/>
            <w:shd w:val="clear" w:color="auto" w:fill="auto"/>
            <w:vAlign w:val="center"/>
          </w:tcPr>
          <w:p w14:paraId="07E634BD">
            <w:pPr>
              <w:jc w:val="center"/>
              <w:rPr>
                <w:rFonts w:ascii="宋体" w:hAnsi="宋体" w:cs="Arial"/>
                <w:b w:val="0"/>
                <w:bCs/>
                <w:szCs w:val="21"/>
              </w:rPr>
            </w:pPr>
          </w:p>
        </w:tc>
        <w:tc>
          <w:tcPr>
            <w:tcW w:w="513" w:type="pct"/>
            <w:vMerge w:val="continue"/>
            <w:shd w:val="clear" w:color="auto" w:fill="auto"/>
            <w:vAlign w:val="center"/>
          </w:tcPr>
          <w:p w14:paraId="2581FEAB">
            <w:pPr>
              <w:jc w:val="center"/>
              <w:rPr>
                <w:rFonts w:ascii="宋体" w:hAnsi="宋体" w:cs="Arial"/>
                <w:b w:val="0"/>
                <w:bCs/>
                <w:szCs w:val="21"/>
              </w:rPr>
            </w:pPr>
          </w:p>
        </w:tc>
        <w:tc>
          <w:tcPr>
            <w:tcW w:w="1316" w:type="pct"/>
            <w:shd w:val="clear" w:color="auto" w:fill="auto"/>
            <w:vAlign w:val="center"/>
          </w:tcPr>
          <w:p w14:paraId="0713AEF5">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2#</w:t>
            </w:r>
            <w:r>
              <w:rPr>
                <w:rFonts w:hint="eastAsia" w:ascii="宋体" w:hAnsi="宋体"/>
                <w:b w:val="0"/>
                <w:bCs/>
                <w:spacing w:val="-4"/>
                <w:szCs w:val="21"/>
              </w:rPr>
              <w:t>空板车间</w:t>
            </w:r>
          </w:p>
        </w:tc>
        <w:tc>
          <w:tcPr>
            <w:tcW w:w="374" w:type="pct"/>
            <w:shd w:val="clear" w:color="auto" w:fill="auto"/>
            <w:vAlign w:val="center"/>
          </w:tcPr>
          <w:p w14:paraId="192B8F66">
            <w:pPr>
              <w:jc w:val="center"/>
              <w:rPr>
                <w:rFonts w:ascii="宋体" w:hAnsi="宋体"/>
                <w:b w:val="0"/>
                <w:bCs/>
                <w:spacing w:val="-4"/>
                <w:kern w:val="0"/>
                <w:szCs w:val="21"/>
              </w:rPr>
            </w:pPr>
            <w:r>
              <w:rPr>
                <w:rFonts w:ascii="宋体" w:hAnsi="宋体"/>
                <w:b w:val="0"/>
                <w:bCs/>
                <w:spacing w:val="-4"/>
                <w:kern w:val="0"/>
                <w:szCs w:val="21"/>
              </w:rPr>
              <w:t>18</w:t>
            </w:r>
          </w:p>
        </w:tc>
        <w:tc>
          <w:tcPr>
            <w:tcW w:w="369" w:type="pct"/>
            <w:shd w:val="clear" w:color="auto" w:fill="auto"/>
            <w:vAlign w:val="center"/>
          </w:tcPr>
          <w:p w14:paraId="3728FDD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2</w:t>
            </w:r>
          </w:p>
        </w:tc>
        <w:tc>
          <w:tcPr>
            <w:tcW w:w="397" w:type="pct"/>
            <w:vAlign w:val="center"/>
          </w:tcPr>
          <w:p w14:paraId="3A9F0D61">
            <w:pPr>
              <w:jc w:val="center"/>
              <w:rPr>
                <w:rFonts w:ascii="宋体" w:hAnsi="宋体"/>
                <w:b w:val="0"/>
                <w:bCs/>
                <w:szCs w:val="21"/>
              </w:rPr>
            </w:pPr>
            <w:r>
              <w:rPr>
                <w:rFonts w:hint="eastAsia" w:ascii="宋体" w:hAnsi="宋体"/>
                <w:b w:val="0"/>
                <w:bCs/>
                <w:szCs w:val="21"/>
              </w:rPr>
              <w:t>单有</w:t>
            </w:r>
          </w:p>
        </w:tc>
        <w:tc>
          <w:tcPr>
            <w:tcW w:w="789" w:type="pct"/>
            <w:vAlign w:val="center"/>
          </w:tcPr>
          <w:p w14:paraId="02D107C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BA1A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08204437">
            <w:pPr>
              <w:jc w:val="center"/>
              <w:rPr>
                <w:rFonts w:ascii="宋体" w:hAnsi="宋体"/>
                <w:b w:val="0"/>
                <w:bCs/>
              </w:rPr>
            </w:pPr>
          </w:p>
        </w:tc>
        <w:tc>
          <w:tcPr>
            <w:tcW w:w="367" w:type="pct"/>
            <w:vMerge w:val="continue"/>
            <w:shd w:val="clear" w:color="auto" w:fill="auto"/>
            <w:vAlign w:val="center"/>
          </w:tcPr>
          <w:p w14:paraId="58E5980B">
            <w:pPr>
              <w:jc w:val="center"/>
              <w:rPr>
                <w:rFonts w:ascii="宋体" w:hAnsi="宋体" w:cs="Arial"/>
                <w:b w:val="0"/>
                <w:bCs/>
                <w:szCs w:val="21"/>
              </w:rPr>
            </w:pPr>
          </w:p>
        </w:tc>
        <w:tc>
          <w:tcPr>
            <w:tcW w:w="513" w:type="pct"/>
            <w:vMerge w:val="continue"/>
            <w:shd w:val="clear" w:color="auto" w:fill="auto"/>
            <w:vAlign w:val="center"/>
          </w:tcPr>
          <w:p w14:paraId="7B06C252">
            <w:pPr>
              <w:jc w:val="center"/>
              <w:rPr>
                <w:rFonts w:ascii="宋体" w:hAnsi="宋体" w:cs="Arial"/>
                <w:b w:val="0"/>
                <w:bCs/>
                <w:szCs w:val="21"/>
              </w:rPr>
            </w:pPr>
          </w:p>
        </w:tc>
        <w:tc>
          <w:tcPr>
            <w:tcW w:w="1316" w:type="pct"/>
            <w:shd w:val="clear" w:color="auto" w:fill="auto"/>
            <w:vAlign w:val="center"/>
          </w:tcPr>
          <w:p w14:paraId="4D59CC4F">
            <w:pPr>
              <w:jc w:val="center"/>
              <w:rPr>
                <w:rFonts w:ascii="宋体" w:hAnsi="宋体" w:cs="Arial"/>
                <w:b w:val="0"/>
                <w:bCs/>
                <w:szCs w:val="21"/>
              </w:rPr>
            </w:pPr>
            <w:r>
              <w:rPr>
                <w:rFonts w:ascii="宋体" w:hAnsi="宋体"/>
                <w:b w:val="0"/>
                <w:bCs/>
              </w:rPr>
              <w:t>73#</w:t>
            </w:r>
            <w:r>
              <w:rPr>
                <w:rFonts w:hint="eastAsia" w:ascii="宋体" w:hAnsi="宋体"/>
                <w:b w:val="0"/>
                <w:bCs/>
              </w:rPr>
              <w:t>自动混合</w:t>
            </w:r>
            <w:r>
              <w:rPr>
                <w:rFonts w:ascii="宋体" w:hAnsi="宋体"/>
                <w:b w:val="0"/>
                <w:bCs/>
              </w:rPr>
              <w:t>/</w:t>
            </w:r>
            <w:r>
              <w:rPr>
                <w:rFonts w:hint="eastAsia" w:ascii="宋体" w:hAnsi="宋体"/>
                <w:b w:val="0"/>
                <w:bCs/>
              </w:rPr>
              <w:t>上潮/装模制片</w:t>
            </w: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08FFCABE">
            <w:pPr>
              <w:jc w:val="center"/>
              <w:rPr>
                <w:rFonts w:ascii="宋体" w:hAnsi="宋体"/>
                <w:b w:val="0"/>
                <w:bCs/>
                <w:spacing w:val="-4"/>
                <w:kern w:val="0"/>
                <w:szCs w:val="21"/>
              </w:rPr>
            </w:pPr>
            <w:r>
              <w:rPr>
                <w:rFonts w:ascii="宋体" w:hAnsi="宋体"/>
                <w:b w:val="0"/>
                <w:bCs/>
                <w:spacing w:val="-4"/>
                <w:kern w:val="0"/>
                <w:szCs w:val="21"/>
              </w:rPr>
              <w:t>12</w:t>
            </w:r>
          </w:p>
        </w:tc>
        <w:tc>
          <w:tcPr>
            <w:tcW w:w="369" w:type="pct"/>
            <w:shd w:val="clear" w:color="auto" w:fill="auto"/>
            <w:vAlign w:val="center"/>
          </w:tcPr>
          <w:p w14:paraId="58119EE8">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4</w:t>
            </w:r>
          </w:p>
        </w:tc>
        <w:tc>
          <w:tcPr>
            <w:tcW w:w="397" w:type="pct"/>
            <w:vAlign w:val="center"/>
          </w:tcPr>
          <w:p w14:paraId="370A19DA">
            <w:pPr>
              <w:jc w:val="center"/>
              <w:rPr>
                <w:rFonts w:ascii="宋体" w:hAnsi="宋体"/>
                <w:b w:val="0"/>
                <w:bCs/>
                <w:szCs w:val="21"/>
              </w:rPr>
            </w:pPr>
            <w:r>
              <w:rPr>
                <w:rFonts w:hint="eastAsia" w:ascii="宋体" w:hAnsi="宋体"/>
                <w:b w:val="0"/>
                <w:bCs/>
                <w:szCs w:val="21"/>
              </w:rPr>
              <w:t>双有</w:t>
            </w:r>
          </w:p>
        </w:tc>
        <w:tc>
          <w:tcPr>
            <w:tcW w:w="789" w:type="pct"/>
            <w:vAlign w:val="center"/>
          </w:tcPr>
          <w:p w14:paraId="198E856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6917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52976302">
            <w:pPr>
              <w:jc w:val="center"/>
              <w:rPr>
                <w:rFonts w:ascii="宋体" w:hAnsi="宋体" w:cs="Arial"/>
                <w:b w:val="0"/>
                <w:bCs/>
                <w:szCs w:val="21"/>
              </w:rPr>
            </w:pPr>
            <w:r>
              <w:rPr>
                <w:rFonts w:ascii="宋体" w:hAnsi="宋体"/>
                <w:b w:val="0"/>
                <w:bCs/>
              </w:rPr>
              <w:t>73#</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67" w:type="pct"/>
            <w:vMerge w:val="restart"/>
            <w:shd w:val="clear" w:color="auto" w:fill="auto"/>
            <w:vAlign w:val="center"/>
          </w:tcPr>
          <w:p w14:paraId="14BE1E0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5C92549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74C34C10">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2#</w:t>
            </w:r>
            <w:r>
              <w:rPr>
                <w:rFonts w:hint="eastAsia" w:ascii="宋体" w:hAnsi="宋体"/>
                <w:b w:val="0"/>
                <w:bCs/>
                <w:spacing w:val="-4"/>
                <w:szCs w:val="21"/>
              </w:rPr>
              <w:t>空板车间</w:t>
            </w:r>
          </w:p>
        </w:tc>
        <w:tc>
          <w:tcPr>
            <w:tcW w:w="374" w:type="pct"/>
            <w:shd w:val="clear" w:color="auto" w:fill="auto"/>
            <w:vAlign w:val="center"/>
          </w:tcPr>
          <w:p w14:paraId="0349F8A7">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8</w:t>
            </w:r>
          </w:p>
        </w:tc>
        <w:tc>
          <w:tcPr>
            <w:tcW w:w="369" w:type="pct"/>
            <w:shd w:val="clear" w:color="auto" w:fill="auto"/>
            <w:vAlign w:val="center"/>
          </w:tcPr>
          <w:p w14:paraId="47D4D57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3</w:t>
            </w:r>
          </w:p>
        </w:tc>
        <w:tc>
          <w:tcPr>
            <w:tcW w:w="397" w:type="pct"/>
            <w:vAlign w:val="center"/>
          </w:tcPr>
          <w:p w14:paraId="4B0D216D">
            <w:pPr>
              <w:jc w:val="center"/>
              <w:rPr>
                <w:rFonts w:ascii="宋体" w:hAnsi="宋体"/>
                <w:b w:val="0"/>
                <w:bCs/>
                <w:szCs w:val="21"/>
              </w:rPr>
            </w:pPr>
            <w:r>
              <w:rPr>
                <w:rFonts w:hint="eastAsia" w:ascii="宋体" w:hAnsi="宋体"/>
                <w:b w:val="0"/>
                <w:bCs/>
                <w:szCs w:val="21"/>
              </w:rPr>
              <w:t>单有</w:t>
            </w:r>
          </w:p>
        </w:tc>
        <w:tc>
          <w:tcPr>
            <w:tcW w:w="789" w:type="pct"/>
            <w:vAlign w:val="center"/>
          </w:tcPr>
          <w:p w14:paraId="51C8271E">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B748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16D6C294">
            <w:pPr>
              <w:jc w:val="center"/>
              <w:rPr>
                <w:rFonts w:ascii="宋体" w:hAnsi="宋体"/>
                <w:b w:val="0"/>
                <w:bCs/>
              </w:rPr>
            </w:pPr>
          </w:p>
        </w:tc>
        <w:tc>
          <w:tcPr>
            <w:tcW w:w="367" w:type="pct"/>
            <w:vMerge w:val="continue"/>
            <w:shd w:val="clear" w:color="auto" w:fill="auto"/>
            <w:vAlign w:val="center"/>
          </w:tcPr>
          <w:p w14:paraId="47F35B64">
            <w:pPr>
              <w:jc w:val="center"/>
              <w:rPr>
                <w:rFonts w:ascii="宋体" w:hAnsi="宋体" w:cs="Arial"/>
                <w:b w:val="0"/>
                <w:bCs/>
                <w:szCs w:val="21"/>
              </w:rPr>
            </w:pPr>
          </w:p>
        </w:tc>
        <w:tc>
          <w:tcPr>
            <w:tcW w:w="513" w:type="pct"/>
            <w:vMerge w:val="continue"/>
            <w:shd w:val="clear" w:color="auto" w:fill="auto"/>
            <w:vAlign w:val="center"/>
          </w:tcPr>
          <w:p w14:paraId="5E05EAEF">
            <w:pPr>
              <w:jc w:val="center"/>
              <w:rPr>
                <w:rFonts w:ascii="宋体" w:hAnsi="宋体" w:cs="Arial"/>
                <w:b w:val="0"/>
                <w:bCs/>
                <w:szCs w:val="21"/>
              </w:rPr>
            </w:pPr>
          </w:p>
        </w:tc>
        <w:tc>
          <w:tcPr>
            <w:tcW w:w="1316" w:type="pct"/>
            <w:shd w:val="clear" w:color="auto" w:fill="auto"/>
            <w:vAlign w:val="center"/>
          </w:tcPr>
          <w:p w14:paraId="2412CA56">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4#</w:t>
            </w:r>
            <w:r>
              <w:rPr>
                <w:rFonts w:hint="eastAsia" w:ascii="宋体" w:hAnsi="宋体"/>
                <w:b w:val="0"/>
                <w:bCs/>
                <w:spacing w:val="-4"/>
                <w:szCs w:val="21"/>
              </w:rPr>
              <w:t>气泵间</w:t>
            </w:r>
          </w:p>
        </w:tc>
        <w:tc>
          <w:tcPr>
            <w:tcW w:w="374" w:type="pct"/>
            <w:shd w:val="clear" w:color="auto" w:fill="auto"/>
            <w:vAlign w:val="center"/>
          </w:tcPr>
          <w:p w14:paraId="7FE91437">
            <w:pPr>
              <w:jc w:val="center"/>
              <w:rPr>
                <w:rFonts w:ascii="宋体" w:hAnsi="宋体"/>
                <w:b w:val="0"/>
                <w:bCs/>
                <w:spacing w:val="-4"/>
                <w:kern w:val="0"/>
                <w:szCs w:val="21"/>
              </w:rPr>
            </w:pPr>
            <w:r>
              <w:rPr>
                <w:rFonts w:ascii="宋体" w:hAnsi="宋体"/>
                <w:b w:val="0"/>
                <w:bCs/>
                <w:spacing w:val="-4"/>
                <w:kern w:val="0"/>
                <w:szCs w:val="21"/>
              </w:rPr>
              <w:t>12</w:t>
            </w:r>
          </w:p>
        </w:tc>
        <w:tc>
          <w:tcPr>
            <w:tcW w:w="369" w:type="pct"/>
            <w:shd w:val="clear" w:color="auto" w:fill="auto"/>
            <w:vAlign w:val="center"/>
          </w:tcPr>
          <w:p w14:paraId="2BB96D0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5</w:t>
            </w:r>
          </w:p>
        </w:tc>
        <w:tc>
          <w:tcPr>
            <w:tcW w:w="397" w:type="pct"/>
            <w:vAlign w:val="center"/>
          </w:tcPr>
          <w:p w14:paraId="03997B4B">
            <w:pPr>
              <w:jc w:val="center"/>
              <w:rPr>
                <w:rFonts w:ascii="宋体" w:hAnsi="宋体"/>
                <w:b w:val="0"/>
                <w:bCs/>
                <w:szCs w:val="21"/>
              </w:rPr>
            </w:pPr>
            <w:r>
              <w:rPr>
                <w:rFonts w:hint="eastAsia" w:ascii="宋体" w:hAnsi="宋体"/>
                <w:b w:val="0"/>
                <w:bCs/>
                <w:szCs w:val="21"/>
              </w:rPr>
              <w:t>双有</w:t>
            </w:r>
          </w:p>
        </w:tc>
        <w:tc>
          <w:tcPr>
            <w:tcW w:w="789" w:type="pct"/>
            <w:vAlign w:val="center"/>
          </w:tcPr>
          <w:p w14:paraId="321BB17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3B7E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1A79236">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6#</w:t>
            </w:r>
            <w:r>
              <w:rPr>
                <w:rFonts w:hint="eastAsia" w:ascii="宋体" w:hAnsi="宋体" w:cs="Arial"/>
                <w:b w:val="0"/>
                <w:bCs/>
                <w:szCs w:val="21"/>
              </w:rPr>
              <w:t>制片中转</w:t>
            </w:r>
          </w:p>
        </w:tc>
        <w:tc>
          <w:tcPr>
            <w:tcW w:w="367" w:type="pct"/>
            <w:shd w:val="clear" w:color="auto" w:fill="auto"/>
            <w:vAlign w:val="center"/>
          </w:tcPr>
          <w:p w14:paraId="44A1226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74B24600">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63453C0">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5#</w:t>
            </w:r>
            <w:r>
              <w:rPr>
                <w:rFonts w:hint="eastAsia" w:ascii="宋体" w:hAnsi="宋体"/>
                <w:b w:val="0"/>
                <w:bCs/>
                <w:spacing w:val="-4"/>
                <w:szCs w:val="21"/>
              </w:rPr>
              <w:t>空板车间</w:t>
            </w:r>
          </w:p>
        </w:tc>
        <w:tc>
          <w:tcPr>
            <w:tcW w:w="374" w:type="pct"/>
            <w:shd w:val="clear" w:color="auto" w:fill="auto"/>
            <w:vAlign w:val="center"/>
          </w:tcPr>
          <w:p w14:paraId="507DE05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815341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97" w:type="pct"/>
            <w:vAlign w:val="center"/>
          </w:tcPr>
          <w:p w14:paraId="307D1EB1">
            <w:pPr>
              <w:jc w:val="center"/>
              <w:rPr>
                <w:rFonts w:ascii="宋体" w:hAnsi="宋体"/>
                <w:b w:val="0"/>
                <w:bCs/>
                <w:szCs w:val="21"/>
              </w:rPr>
            </w:pPr>
            <w:r>
              <w:rPr>
                <w:rFonts w:hint="eastAsia" w:ascii="宋体" w:hAnsi="宋体"/>
                <w:b w:val="0"/>
                <w:bCs/>
                <w:szCs w:val="21"/>
              </w:rPr>
              <w:t>双有</w:t>
            </w:r>
          </w:p>
        </w:tc>
        <w:tc>
          <w:tcPr>
            <w:tcW w:w="789" w:type="pct"/>
            <w:vAlign w:val="center"/>
          </w:tcPr>
          <w:p w14:paraId="4B0F443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3500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15071FB">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7#</w:t>
            </w:r>
            <w:r>
              <w:rPr>
                <w:rFonts w:hint="eastAsia" w:ascii="宋体" w:hAnsi="宋体" w:cs="Arial"/>
                <w:b w:val="0"/>
                <w:bCs/>
                <w:szCs w:val="21"/>
              </w:rPr>
              <w:t>制片中转</w:t>
            </w:r>
          </w:p>
        </w:tc>
        <w:tc>
          <w:tcPr>
            <w:tcW w:w="367" w:type="pct"/>
            <w:shd w:val="clear" w:color="auto" w:fill="auto"/>
            <w:vAlign w:val="center"/>
          </w:tcPr>
          <w:p w14:paraId="6631950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72F2E7F">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81788C5">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6#</w:t>
            </w:r>
            <w:r>
              <w:rPr>
                <w:rFonts w:hint="eastAsia" w:ascii="宋体" w:hAnsi="宋体"/>
                <w:b w:val="0"/>
                <w:bCs/>
                <w:spacing w:val="-4"/>
                <w:szCs w:val="21"/>
              </w:rPr>
              <w:t>制片中转</w:t>
            </w:r>
          </w:p>
          <w:p w14:paraId="09E69DC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74" w:type="pct"/>
            <w:shd w:val="clear" w:color="auto" w:fill="auto"/>
            <w:vAlign w:val="center"/>
          </w:tcPr>
          <w:p w14:paraId="6F3E7A5B">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4AE8EA5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97" w:type="pct"/>
            <w:vAlign w:val="center"/>
          </w:tcPr>
          <w:p w14:paraId="64722FF7">
            <w:pPr>
              <w:jc w:val="center"/>
              <w:rPr>
                <w:rFonts w:ascii="宋体" w:hAnsi="宋体"/>
                <w:b w:val="0"/>
                <w:bCs/>
                <w:szCs w:val="21"/>
              </w:rPr>
            </w:pPr>
            <w:r>
              <w:rPr>
                <w:rFonts w:hint="eastAsia" w:ascii="宋体" w:hAnsi="宋体"/>
                <w:b w:val="0"/>
                <w:bCs/>
                <w:szCs w:val="21"/>
              </w:rPr>
              <w:t>双有</w:t>
            </w:r>
          </w:p>
        </w:tc>
        <w:tc>
          <w:tcPr>
            <w:tcW w:w="789" w:type="pct"/>
            <w:vAlign w:val="center"/>
          </w:tcPr>
          <w:p w14:paraId="0BA7115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86C0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0A3FBBA">
            <w:pPr>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8#</w:t>
            </w:r>
            <w:r>
              <w:rPr>
                <w:rFonts w:hint="eastAsia" w:ascii="宋体" w:hAnsi="宋体" w:cs="Arial"/>
                <w:b w:val="0"/>
                <w:bCs/>
                <w:szCs w:val="21"/>
              </w:rPr>
              <w:t>片子中转</w:t>
            </w:r>
          </w:p>
        </w:tc>
        <w:tc>
          <w:tcPr>
            <w:tcW w:w="367" w:type="pct"/>
            <w:shd w:val="clear" w:color="auto" w:fill="auto"/>
            <w:vAlign w:val="center"/>
          </w:tcPr>
          <w:p w14:paraId="3DFCE71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2A39182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6B601A48">
            <w:pPr>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7#</w:t>
            </w:r>
            <w:r>
              <w:rPr>
                <w:rFonts w:hint="eastAsia" w:ascii="宋体" w:hAnsi="宋体"/>
                <w:b w:val="0"/>
                <w:bCs/>
                <w:spacing w:val="-4"/>
                <w:szCs w:val="21"/>
              </w:rPr>
              <w:t>制片中转</w:t>
            </w:r>
          </w:p>
          <w:p w14:paraId="60DD2A0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74" w:type="pct"/>
            <w:shd w:val="clear" w:color="auto" w:fill="auto"/>
            <w:vAlign w:val="center"/>
          </w:tcPr>
          <w:p w14:paraId="1FA126EE">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45F45A4">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97" w:type="pct"/>
            <w:vAlign w:val="center"/>
          </w:tcPr>
          <w:p w14:paraId="55FF5B80">
            <w:pPr>
              <w:jc w:val="center"/>
              <w:rPr>
                <w:rFonts w:ascii="宋体" w:hAnsi="宋体"/>
                <w:b w:val="0"/>
                <w:bCs/>
                <w:szCs w:val="21"/>
              </w:rPr>
            </w:pPr>
            <w:r>
              <w:rPr>
                <w:rFonts w:hint="eastAsia" w:ascii="宋体" w:hAnsi="宋体"/>
                <w:b w:val="0"/>
                <w:bCs/>
                <w:szCs w:val="21"/>
              </w:rPr>
              <w:t>双有</w:t>
            </w:r>
          </w:p>
        </w:tc>
        <w:tc>
          <w:tcPr>
            <w:tcW w:w="789" w:type="pct"/>
            <w:vAlign w:val="center"/>
          </w:tcPr>
          <w:p w14:paraId="40661CC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37AF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4354D3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r>
              <w:rPr>
                <w:rFonts w:hint="eastAsia" w:ascii="宋体" w:hAnsi="宋体" w:cs="Arial"/>
                <w:b w:val="0"/>
                <w:bCs/>
                <w:szCs w:val="21"/>
              </w:rPr>
              <w:t>压药</w:t>
            </w:r>
          </w:p>
        </w:tc>
        <w:tc>
          <w:tcPr>
            <w:tcW w:w="367" w:type="pct"/>
            <w:shd w:val="clear" w:color="auto" w:fill="auto"/>
            <w:vAlign w:val="center"/>
          </w:tcPr>
          <w:p w14:paraId="1BDF871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94EC7A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316" w:type="pct"/>
            <w:shd w:val="clear" w:color="auto" w:fill="auto"/>
            <w:vAlign w:val="center"/>
          </w:tcPr>
          <w:p w14:paraId="0E4E88B9">
            <w:pPr>
              <w:jc w:val="center"/>
              <w:rPr>
                <w:rFonts w:ascii="宋体" w:hAnsi="宋体"/>
                <w:b w:val="0"/>
                <w:bCs/>
                <w:spacing w:val="-4"/>
                <w:szCs w:val="21"/>
              </w:rPr>
            </w:pPr>
            <w:r>
              <w:rPr>
                <w:rFonts w:ascii="宋体" w:hAnsi="宋体"/>
                <w:b w:val="0"/>
                <w:bCs/>
                <w:spacing w:val="-4"/>
                <w:szCs w:val="21"/>
              </w:rPr>
              <w:t>78#</w:t>
            </w:r>
            <w:r>
              <w:rPr>
                <w:rFonts w:hint="eastAsia" w:ascii="宋体" w:hAnsi="宋体"/>
                <w:b w:val="0"/>
                <w:bCs/>
                <w:spacing w:val="-4"/>
                <w:szCs w:val="21"/>
              </w:rPr>
              <w:t>片字中转</w:t>
            </w:r>
          </w:p>
          <w:p w14:paraId="75DFCB04">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257C3FEE">
            <w:pPr>
              <w:jc w:val="center"/>
              <w:rPr>
                <w:rFonts w:ascii="宋体" w:hAnsi="宋体"/>
                <w:b w:val="0"/>
                <w:bCs/>
                <w:spacing w:val="-4"/>
                <w:kern w:val="0"/>
                <w:szCs w:val="21"/>
              </w:rPr>
            </w:pPr>
            <w:r>
              <w:rPr>
                <w:rFonts w:ascii="宋体" w:hAnsi="宋体"/>
                <w:b w:val="0"/>
                <w:bCs/>
                <w:spacing w:val="-4"/>
                <w:kern w:val="0"/>
                <w:szCs w:val="21"/>
              </w:rPr>
              <w:t>12</w:t>
            </w:r>
          </w:p>
        </w:tc>
        <w:tc>
          <w:tcPr>
            <w:tcW w:w="369" w:type="pct"/>
            <w:shd w:val="clear" w:color="auto" w:fill="auto"/>
            <w:vAlign w:val="center"/>
          </w:tcPr>
          <w:p w14:paraId="2AAD617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588090BB">
            <w:pPr>
              <w:jc w:val="center"/>
              <w:rPr>
                <w:rFonts w:ascii="宋体" w:hAnsi="宋体"/>
                <w:b w:val="0"/>
                <w:bCs/>
                <w:szCs w:val="21"/>
              </w:rPr>
            </w:pPr>
            <w:r>
              <w:rPr>
                <w:rFonts w:hint="eastAsia" w:ascii="宋体" w:hAnsi="宋体"/>
                <w:b w:val="0"/>
                <w:bCs/>
                <w:szCs w:val="21"/>
              </w:rPr>
              <w:t>双有</w:t>
            </w:r>
          </w:p>
        </w:tc>
        <w:tc>
          <w:tcPr>
            <w:tcW w:w="789" w:type="pct"/>
            <w:vAlign w:val="center"/>
          </w:tcPr>
          <w:p w14:paraId="573D3DD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99B3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F9400C7">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3#</w:t>
            </w:r>
            <w:r>
              <w:rPr>
                <w:rFonts w:hint="eastAsia" w:ascii="宋体" w:hAnsi="宋体" w:cs="Arial"/>
                <w:b w:val="0"/>
                <w:bCs/>
                <w:szCs w:val="21"/>
              </w:rPr>
              <w:t>凉片</w:t>
            </w:r>
          </w:p>
        </w:tc>
        <w:tc>
          <w:tcPr>
            <w:tcW w:w="367" w:type="pct"/>
            <w:shd w:val="clear" w:color="auto" w:fill="auto"/>
            <w:vAlign w:val="center"/>
          </w:tcPr>
          <w:p w14:paraId="6BEEC09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15F22B8">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316" w:type="pct"/>
            <w:shd w:val="clear" w:color="auto" w:fill="auto"/>
            <w:vAlign w:val="center"/>
          </w:tcPr>
          <w:p w14:paraId="79C3B9CB">
            <w:pPr>
              <w:jc w:val="center"/>
              <w:rPr>
                <w:rFonts w:ascii="宋体" w:hAnsi="宋体"/>
                <w:b w:val="0"/>
                <w:bCs/>
                <w:spacing w:val="-4"/>
                <w:szCs w:val="21"/>
              </w:rPr>
            </w:pPr>
            <w:r>
              <w:rPr>
                <w:rFonts w:hint="eastAsia" w:ascii="宋体" w:hAnsi="宋体"/>
                <w:b w:val="0"/>
                <w:bCs/>
                <w:spacing w:val="-4"/>
                <w:szCs w:val="21"/>
              </w:rPr>
              <w:t>8</w:t>
            </w:r>
            <w:r>
              <w:rPr>
                <w:rFonts w:ascii="宋体" w:hAnsi="宋体"/>
                <w:b w:val="0"/>
                <w:bCs/>
                <w:spacing w:val="-4"/>
                <w:szCs w:val="21"/>
              </w:rPr>
              <w:t>0#</w:t>
            </w:r>
            <w:r>
              <w:rPr>
                <w:rFonts w:hint="eastAsia" w:ascii="宋体" w:hAnsi="宋体"/>
                <w:b w:val="0"/>
                <w:bCs/>
                <w:spacing w:val="-4"/>
                <w:szCs w:val="21"/>
              </w:rPr>
              <w:t>压药</w:t>
            </w:r>
          </w:p>
          <w:p w14:paraId="64BB8F7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74" w:type="pct"/>
            <w:shd w:val="clear" w:color="auto" w:fill="auto"/>
            <w:vAlign w:val="center"/>
          </w:tcPr>
          <w:p w14:paraId="0A7C9A3C">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6935B1E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6</w:t>
            </w:r>
          </w:p>
        </w:tc>
        <w:tc>
          <w:tcPr>
            <w:tcW w:w="397" w:type="pct"/>
            <w:vAlign w:val="center"/>
          </w:tcPr>
          <w:p w14:paraId="4BF60CE2">
            <w:pPr>
              <w:jc w:val="center"/>
              <w:rPr>
                <w:rFonts w:ascii="宋体" w:hAnsi="宋体"/>
                <w:b w:val="0"/>
                <w:bCs/>
                <w:szCs w:val="21"/>
              </w:rPr>
            </w:pPr>
            <w:r>
              <w:rPr>
                <w:rFonts w:hint="eastAsia" w:ascii="宋体" w:hAnsi="宋体"/>
                <w:b w:val="0"/>
                <w:bCs/>
                <w:szCs w:val="21"/>
              </w:rPr>
              <w:t>双有</w:t>
            </w:r>
          </w:p>
        </w:tc>
        <w:tc>
          <w:tcPr>
            <w:tcW w:w="789" w:type="pct"/>
            <w:vAlign w:val="center"/>
          </w:tcPr>
          <w:p w14:paraId="3959158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6557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213D1CD">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4#</w:t>
            </w:r>
            <w:r>
              <w:rPr>
                <w:rFonts w:hint="eastAsia" w:ascii="宋体" w:hAnsi="宋体" w:cs="Arial"/>
                <w:b w:val="0"/>
                <w:bCs/>
                <w:szCs w:val="21"/>
              </w:rPr>
              <w:t>凉片</w:t>
            </w:r>
          </w:p>
        </w:tc>
        <w:tc>
          <w:tcPr>
            <w:tcW w:w="367" w:type="pct"/>
            <w:shd w:val="clear" w:color="auto" w:fill="auto"/>
            <w:vAlign w:val="center"/>
          </w:tcPr>
          <w:p w14:paraId="0D647B9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2E5383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316" w:type="pct"/>
            <w:shd w:val="clear" w:color="auto" w:fill="auto"/>
            <w:vAlign w:val="center"/>
          </w:tcPr>
          <w:p w14:paraId="0EA9E428">
            <w:pPr>
              <w:jc w:val="center"/>
              <w:rPr>
                <w:rFonts w:ascii="宋体" w:hAnsi="宋体"/>
                <w:b w:val="0"/>
                <w:bCs/>
                <w:spacing w:val="-4"/>
                <w:szCs w:val="21"/>
              </w:rPr>
            </w:pPr>
            <w:r>
              <w:rPr>
                <w:rFonts w:ascii="宋体" w:hAnsi="宋体"/>
                <w:b w:val="0"/>
                <w:bCs/>
                <w:spacing w:val="-4"/>
                <w:szCs w:val="21"/>
              </w:rPr>
              <w:t>83#</w:t>
            </w:r>
            <w:r>
              <w:rPr>
                <w:rFonts w:hint="eastAsia" w:ascii="宋体" w:hAnsi="宋体"/>
                <w:b w:val="0"/>
                <w:bCs/>
                <w:spacing w:val="-4"/>
                <w:szCs w:val="21"/>
              </w:rPr>
              <w:t>凉片</w:t>
            </w:r>
          </w:p>
          <w:p w14:paraId="26A28E07">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800kg</w:t>
            </w:r>
            <w:r>
              <w:rPr>
                <w:rFonts w:hint="eastAsia" w:ascii="宋体" w:hAnsi="宋体"/>
                <w:b w:val="0"/>
                <w:bCs/>
                <w:spacing w:val="-4"/>
                <w:szCs w:val="21"/>
              </w:rPr>
              <w:t>）</w:t>
            </w:r>
          </w:p>
        </w:tc>
        <w:tc>
          <w:tcPr>
            <w:tcW w:w="374" w:type="pct"/>
            <w:shd w:val="clear" w:color="auto" w:fill="auto"/>
            <w:vAlign w:val="center"/>
          </w:tcPr>
          <w:p w14:paraId="452F5E8F">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454B80B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9</w:t>
            </w:r>
          </w:p>
        </w:tc>
        <w:tc>
          <w:tcPr>
            <w:tcW w:w="397" w:type="pct"/>
            <w:vAlign w:val="center"/>
          </w:tcPr>
          <w:p w14:paraId="7C96EF55">
            <w:pPr>
              <w:jc w:val="center"/>
              <w:rPr>
                <w:rFonts w:ascii="宋体" w:hAnsi="宋体"/>
                <w:b w:val="0"/>
                <w:bCs/>
                <w:szCs w:val="21"/>
              </w:rPr>
            </w:pPr>
            <w:r>
              <w:rPr>
                <w:rFonts w:hint="eastAsia" w:ascii="宋体" w:hAnsi="宋体"/>
                <w:b w:val="0"/>
                <w:bCs/>
                <w:szCs w:val="21"/>
              </w:rPr>
              <w:t>双有</w:t>
            </w:r>
          </w:p>
        </w:tc>
        <w:tc>
          <w:tcPr>
            <w:tcW w:w="789" w:type="pct"/>
            <w:vAlign w:val="center"/>
          </w:tcPr>
          <w:p w14:paraId="456888D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FA0D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74FCEB6">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5#</w:t>
            </w:r>
            <w:r>
              <w:rPr>
                <w:rFonts w:hint="eastAsia" w:ascii="宋体" w:hAnsi="宋体" w:cs="Arial"/>
                <w:b w:val="0"/>
                <w:bCs/>
                <w:szCs w:val="21"/>
              </w:rPr>
              <w:t>凉片中转</w:t>
            </w:r>
          </w:p>
        </w:tc>
        <w:tc>
          <w:tcPr>
            <w:tcW w:w="367" w:type="pct"/>
            <w:shd w:val="clear" w:color="auto" w:fill="auto"/>
            <w:vAlign w:val="center"/>
          </w:tcPr>
          <w:p w14:paraId="3BB9E42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5716874">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4AC11942">
            <w:pPr>
              <w:jc w:val="center"/>
              <w:rPr>
                <w:rFonts w:ascii="宋体" w:hAnsi="宋体"/>
                <w:b w:val="0"/>
                <w:bCs/>
                <w:spacing w:val="-4"/>
                <w:szCs w:val="21"/>
              </w:rPr>
            </w:pPr>
            <w:r>
              <w:rPr>
                <w:rFonts w:ascii="宋体" w:hAnsi="宋体"/>
                <w:b w:val="0"/>
                <w:bCs/>
                <w:spacing w:val="-4"/>
                <w:szCs w:val="21"/>
              </w:rPr>
              <w:t>84#</w:t>
            </w:r>
            <w:r>
              <w:rPr>
                <w:rFonts w:hint="eastAsia" w:ascii="宋体" w:hAnsi="宋体"/>
                <w:b w:val="0"/>
                <w:bCs/>
                <w:spacing w:val="-4"/>
                <w:szCs w:val="21"/>
              </w:rPr>
              <w:t>凉片</w:t>
            </w:r>
          </w:p>
          <w:p w14:paraId="6CF2E12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800kg</w:t>
            </w:r>
            <w:r>
              <w:rPr>
                <w:rFonts w:hint="eastAsia" w:ascii="宋体" w:hAnsi="宋体"/>
                <w:b w:val="0"/>
                <w:bCs/>
                <w:spacing w:val="-4"/>
                <w:szCs w:val="21"/>
              </w:rPr>
              <w:t>）</w:t>
            </w:r>
          </w:p>
        </w:tc>
        <w:tc>
          <w:tcPr>
            <w:tcW w:w="374" w:type="pct"/>
            <w:shd w:val="clear" w:color="auto" w:fill="auto"/>
            <w:vAlign w:val="center"/>
          </w:tcPr>
          <w:p w14:paraId="3CB374E6">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69" w:type="pct"/>
            <w:shd w:val="clear" w:color="auto" w:fill="auto"/>
            <w:vAlign w:val="center"/>
          </w:tcPr>
          <w:p w14:paraId="4B98612A">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2FD45848">
            <w:pPr>
              <w:jc w:val="center"/>
              <w:rPr>
                <w:rFonts w:ascii="宋体" w:hAnsi="宋体"/>
                <w:b w:val="0"/>
                <w:bCs/>
                <w:szCs w:val="21"/>
              </w:rPr>
            </w:pPr>
            <w:r>
              <w:rPr>
                <w:rFonts w:hint="eastAsia" w:ascii="宋体" w:hAnsi="宋体"/>
                <w:b w:val="0"/>
                <w:bCs/>
                <w:szCs w:val="21"/>
              </w:rPr>
              <w:t>双有</w:t>
            </w:r>
          </w:p>
        </w:tc>
        <w:tc>
          <w:tcPr>
            <w:tcW w:w="789" w:type="pct"/>
            <w:vAlign w:val="center"/>
          </w:tcPr>
          <w:p w14:paraId="004B9BB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9AB5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0884A388">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7#</w:t>
            </w:r>
            <w:r>
              <w:rPr>
                <w:rFonts w:hint="eastAsia" w:ascii="宋体" w:hAnsi="宋体" w:cs="Arial"/>
                <w:b w:val="0"/>
                <w:bCs/>
                <w:szCs w:val="21"/>
              </w:rPr>
              <w:t>造粒</w:t>
            </w:r>
          </w:p>
        </w:tc>
        <w:tc>
          <w:tcPr>
            <w:tcW w:w="367" w:type="pct"/>
            <w:shd w:val="clear" w:color="auto" w:fill="auto"/>
            <w:vAlign w:val="center"/>
          </w:tcPr>
          <w:p w14:paraId="63824D3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8D9AC73">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71B96D59">
            <w:pPr>
              <w:jc w:val="center"/>
              <w:rPr>
                <w:rFonts w:ascii="宋体" w:hAnsi="宋体"/>
                <w:b w:val="0"/>
                <w:bCs/>
                <w:spacing w:val="-4"/>
                <w:szCs w:val="21"/>
              </w:rPr>
            </w:pPr>
            <w:r>
              <w:rPr>
                <w:rFonts w:ascii="宋体" w:hAnsi="宋体"/>
                <w:b w:val="0"/>
                <w:bCs/>
                <w:spacing w:val="-4"/>
                <w:szCs w:val="21"/>
              </w:rPr>
              <w:t>85#</w:t>
            </w:r>
            <w:r>
              <w:rPr>
                <w:rFonts w:hint="eastAsia" w:ascii="宋体" w:hAnsi="宋体"/>
                <w:b w:val="0"/>
                <w:bCs/>
                <w:spacing w:val="-4"/>
                <w:szCs w:val="21"/>
              </w:rPr>
              <w:t>凉片中转</w:t>
            </w:r>
          </w:p>
          <w:p w14:paraId="71A4EAA9">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5ECB54FF">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3988A15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49A347BF">
            <w:pPr>
              <w:jc w:val="center"/>
              <w:rPr>
                <w:rFonts w:ascii="宋体" w:hAnsi="宋体"/>
                <w:b w:val="0"/>
                <w:bCs/>
                <w:szCs w:val="21"/>
              </w:rPr>
            </w:pPr>
            <w:r>
              <w:rPr>
                <w:rFonts w:hint="eastAsia" w:ascii="宋体" w:hAnsi="宋体"/>
                <w:b w:val="0"/>
                <w:bCs/>
                <w:szCs w:val="21"/>
              </w:rPr>
              <w:t>双有</w:t>
            </w:r>
          </w:p>
        </w:tc>
        <w:tc>
          <w:tcPr>
            <w:tcW w:w="789" w:type="pct"/>
            <w:vAlign w:val="center"/>
          </w:tcPr>
          <w:p w14:paraId="180457D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A827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CE34FC4">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9#</w:t>
            </w:r>
            <w:r>
              <w:rPr>
                <w:rFonts w:hint="eastAsia" w:ascii="宋体" w:hAnsi="宋体" w:cs="Arial"/>
                <w:b w:val="0"/>
                <w:bCs/>
                <w:szCs w:val="21"/>
              </w:rPr>
              <w:t>造粒中转</w:t>
            </w:r>
          </w:p>
        </w:tc>
        <w:tc>
          <w:tcPr>
            <w:tcW w:w="367" w:type="pct"/>
            <w:shd w:val="clear" w:color="auto" w:fill="auto"/>
            <w:vAlign w:val="center"/>
          </w:tcPr>
          <w:p w14:paraId="7777F5E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022A299">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5BC49A3A">
            <w:pPr>
              <w:jc w:val="center"/>
              <w:rPr>
                <w:rFonts w:ascii="宋体" w:hAnsi="宋体"/>
                <w:b w:val="0"/>
                <w:bCs/>
                <w:spacing w:val="-4"/>
                <w:szCs w:val="21"/>
              </w:rPr>
            </w:pPr>
            <w:r>
              <w:rPr>
                <w:rFonts w:ascii="宋体" w:hAnsi="宋体"/>
                <w:b w:val="0"/>
                <w:bCs/>
                <w:spacing w:val="-4"/>
                <w:szCs w:val="21"/>
              </w:rPr>
              <w:t>87#</w:t>
            </w:r>
            <w:r>
              <w:rPr>
                <w:rFonts w:hint="eastAsia" w:ascii="宋体" w:hAnsi="宋体"/>
                <w:b w:val="0"/>
                <w:bCs/>
                <w:spacing w:val="-4"/>
                <w:szCs w:val="21"/>
              </w:rPr>
              <w:t>造粒</w:t>
            </w:r>
          </w:p>
          <w:p w14:paraId="205D8A5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3F90512B">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E86AF3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97" w:type="pct"/>
            <w:vAlign w:val="center"/>
          </w:tcPr>
          <w:p w14:paraId="2FFDC873">
            <w:pPr>
              <w:jc w:val="center"/>
              <w:rPr>
                <w:rFonts w:ascii="宋体" w:hAnsi="宋体"/>
                <w:b w:val="0"/>
                <w:bCs/>
                <w:szCs w:val="21"/>
              </w:rPr>
            </w:pPr>
            <w:r>
              <w:rPr>
                <w:rFonts w:hint="eastAsia" w:ascii="宋体" w:hAnsi="宋体"/>
                <w:b w:val="0"/>
                <w:bCs/>
                <w:szCs w:val="21"/>
              </w:rPr>
              <w:t>双有</w:t>
            </w:r>
          </w:p>
        </w:tc>
        <w:tc>
          <w:tcPr>
            <w:tcW w:w="789" w:type="pct"/>
            <w:vAlign w:val="center"/>
          </w:tcPr>
          <w:p w14:paraId="35FF9EF9">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F85BEEC">
        <w:tblPrEx>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B00E6A5">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0#</w:t>
            </w:r>
            <w:r>
              <w:rPr>
                <w:rFonts w:hint="eastAsia" w:ascii="宋体" w:hAnsi="宋体" w:cs="Arial"/>
                <w:b w:val="0"/>
                <w:bCs/>
                <w:szCs w:val="21"/>
              </w:rPr>
              <w:t>造粒中转</w:t>
            </w:r>
          </w:p>
        </w:tc>
        <w:tc>
          <w:tcPr>
            <w:tcW w:w="367" w:type="pct"/>
            <w:shd w:val="clear" w:color="auto" w:fill="auto"/>
            <w:vAlign w:val="center"/>
          </w:tcPr>
          <w:p w14:paraId="1C9D3CC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73098D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E648369">
            <w:pPr>
              <w:jc w:val="center"/>
              <w:rPr>
                <w:rFonts w:ascii="宋体" w:hAnsi="宋体"/>
                <w:b w:val="0"/>
                <w:bCs/>
                <w:spacing w:val="-4"/>
                <w:szCs w:val="21"/>
              </w:rPr>
            </w:pPr>
            <w:r>
              <w:rPr>
                <w:rFonts w:ascii="宋体" w:hAnsi="宋体"/>
                <w:b w:val="0"/>
                <w:bCs/>
                <w:spacing w:val="-4"/>
                <w:szCs w:val="21"/>
              </w:rPr>
              <w:t>89#</w:t>
            </w:r>
            <w:r>
              <w:rPr>
                <w:rFonts w:hint="eastAsia" w:ascii="宋体" w:hAnsi="宋体"/>
                <w:b w:val="0"/>
                <w:bCs/>
                <w:spacing w:val="-4"/>
                <w:szCs w:val="21"/>
              </w:rPr>
              <w:t>造粒中转</w:t>
            </w:r>
          </w:p>
          <w:p w14:paraId="71125764">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67AF8818">
            <w:pPr>
              <w:jc w:val="center"/>
              <w:rPr>
                <w:rFonts w:ascii="宋体" w:hAnsi="宋体"/>
                <w:b w:val="0"/>
                <w:bCs/>
                <w:spacing w:val="-4"/>
                <w:kern w:val="0"/>
                <w:szCs w:val="21"/>
              </w:rPr>
            </w:pPr>
            <w:r>
              <w:rPr>
                <w:rFonts w:ascii="宋体" w:hAnsi="宋体"/>
                <w:b w:val="0"/>
                <w:bCs/>
                <w:spacing w:val="-4"/>
                <w:kern w:val="0"/>
                <w:szCs w:val="21"/>
              </w:rPr>
              <w:t>16</w:t>
            </w:r>
          </w:p>
        </w:tc>
        <w:tc>
          <w:tcPr>
            <w:tcW w:w="369" w:type="pct"/>
            <w:shd w:val="clear" w:color="auto" w:fill="auto"/>
            <w:vAlign w:val="center"/>
          </w:tcPr>
          <w:p w14:paraId="5404E8CB">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97" w:type="pct"/>
            <w:vAlign w:val="center"/>
          </w:tcPr>
          <w:p w14:paraId="5B63990C">
            <w:pPr>
              <w:jc w:val="center"/>
              <w:rPr>
                <w:rFonts w:ascii="宋体" w:hAnsi="宋体"/>
                <w:b w:val="0"/>
                <w:bCs/>
                <w:szCs w:val="21"/>
              </w:rPr>
            </w:pPr>
            <w:r>
              <w:rPr>
                <w:rFonts w:hint="eastAsia" w:ascii="宋体" w:hAnsi="宋体"/>
                <w:b w:val="0"/>
                <w:bCs/>
                <w:szCs w:val="21"/>
              </w:rPr>
              <w:t>双有</w:t>
            </w:r>
          </w:p>
        </w:tc>
        <w:tc>
          <w:tcPr>
            <w:tcW w:w="789" w:type="pct"/>
            <w:vAlign w:val="center"/>
          </w:tcPr>
          <w:p w14:paraId="16F3516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5FA0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18FA1E8E">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1#</w:t>
            </w:r>
            <w:r>
              <w:rPr>
                <w:rFonts w:hint="eastAsia" w:ascii="宋体" w:hAnsi="宋体" w:cs="Arial"/>
                <w:b w:val="0"/>
                <w:bCs/>
                <w:szCs w:val="21"/>
              </w:rPr>
              <w:t>造粒中转</w:t>
            </w:r>
          </w:p>
        </w:tc>
        <w:tc>
          <w:tcPr>
            <w:tcW w:w="367" w:type="pct"/>
            <w:vMerge w:val="restart"/>
            <w:shd w:val="clear" w:color="auto" w:fill="auto"/>
            <w:vAlign w:val="center"/>
          </w:tcPr>
          <w:p w14:paraId="4E72F79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2B922D8F">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21EA9387">
            <w:pPr>
              <w:jc w:val="center"/>
              <w:rPr>
                <w:rFonts w:ascii="宋体" w:hAnsi="宋体"/>
                <w:b w:val="0"/>
                <w:bCs/>
                <w:spacing w:val="-4"/>
                <w:szCs w:val="21"/>
              </w:rPr>
            </w:pPr>
            <w:r>
              <w:rPr>
                <w:rFonts w:ascii="宋体" w:hAnsi="宋体"/>
                <w:b w:val="0"/>
                <w:bCs/>
                <w:spacing w:val="-4"/>
                <w:szCs w:val="21"/>
              </w:rPr>
              <w:t>90#</w:t>
            </w:r>
            <w:r>
              <w:rPr>
                <w:rFonts w:hint="eastAsia" w:ascii="宋体" w:hAnsi="宋体"/>
                <w:b w:val="0"/>
                <w:bCs/>
                <w:spacing w:val="-4"/>
                <w:szCs w:val="21"/>
              </w:rPr>
              <w:t>造粒中转</w:t>
            </w:r>
          </w:p>
          <w:p w14:paraId="3F2A6DF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59C8B6D4">
            <w:pPr>
              <w:jc w:val="center"/>
              <w:rPr>
                <w:rFonts w:ascii="宋体" w:hAnsi="宋体"/>
                <w:b w:val="0"/>
                <w:bCs/>
                <w:spacing w:val="-4"/>
                <w:kern w:val="0"/>
                <w:szCs w:val="21"/>
              </w:rPr>
            </w:pPr>
            <w:r>
              <w:rPr>
                <w:rFonts w:ascii="宋体" w:hAnsi="宋体"/>
                <w:b w:val="0"/>
                <w:bCs/>
                <w:spacing w:val="-4"/>
                <w:kern w:val="0"/>
                <w:szCs w:val="21"/>
              </w:rPr>
              <w:t>16</w:t>
            </w:r>
          </w:p>
        </w:tc>
        <w:tc>
          <w:tcPr>
            <w:tcW w:w="369" w:type="pct"/>
            <w:shd w:val="clear" w:color="auto" w:fill="auto"/>
            <w:vAlign w:val="center"/>
          </w:tcPr>
          <w:p w14:paraId="041ABBA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8</w:t>
            </w:r>
          </w:p>
        </w:tc>
        <w:tc>
          <w:tcPr>
            <w:tcW w:w="397" w:type="pct"/>
            <w:vAlign w:val="center"/>
          </w:tcPr>
          <w:p w14:paraId="109DF14E">
            <w:pPr>
              <w:jc w:val="center"/>
              <w:rPr>
                <w:rFonts w:ascii="宋体" w:hAnsi="宋体"/>
                <w:b w:val="0"/>
                <w:bCs/>
                <w:szCs w:val="21"/>
              </w:rPr>
            </w:pPr>
            <w:r>
              <w:rPr>
                <w:rFonts w:hint="eastAsia" w:ascii="宋体" w:hAnsi="宋体"/>
                <w:b w:val="0"/>
                <w:bCs/>
                <w:szCs w:val="21"/>
              </w:rPr>
              <w:t>双有</w:t>
            </w:r>
          </w:p>
        </w:tc>
        <w:tc>
          <w:tcPr>
            <w:tcW w:w="789" w:type="pct"/>
            <w:vAlign w:val="center"/>
          </w:tcPr>
          <w:p w14:paraId="163EE59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E735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62F72496">
            <w:pPr>
              <w:jc w:val="center"/>
              <w:rPr>
                <w:rFonts w:ascii="宋体" w:hAnsi="宋体" w:cs="Arial"/>
                <w:b w:val="0"/>
                <w:bCs/>
                <w:szCs w:val="21"/>
              </w:rPr>
            </w:pPr>
          </w:p>
        </w:tc>
        <w:tc>
          <w:tcPr>
            <w:tcW w:w="367" w:type="pct"/>
            <w:vMerge w:val="continue"/>
            <w:shd w:val="clear" w:color="auto" w:fill="auto"/>
            <w:vAlign w:val="center"/>
          </w:tcPr>
          <w:p w14:paraId="3E437140">
            <w:pPr>
              <w:jc w:val="center"/>
              <w:rPr>
                <w:rFonts w:ascii="宋体" w:hAnsi="宋体" w:cs="Arial"/>
                <w:b w:val="0"/>
                <w:bCs/>
                <w:szCs w:val="21"/>
              </w:rPr>
            </w:pPr>
          </w:p>
        </w:tc>
        <w:tc>
          <w:tcPr>
            <w:tcW w:w="513" w:type="pct"/>
            <w:vMerge w:val="continue"/>
            <w:shd w:val="clear" w:color="auto" w:fill="auto"/>
            <w:vAlign w:val="center"/>
          </w:tcPr>
          <w:p w14:paraId="3C5C6729">
            <w:pPr>
              <w:jc w:val="center"/>
              <w:rPr>
                <w:rFonts w:ascii="宋体" w:hAnsi="宋体" w:cs="Arial"/>
                <w:b w:val="0"/>
                <w:bCs/>
                <w:szCs w:val="21"/>
              </w:rPr>
            </w:pPr>
          </w:p>
        </w:tc>
        <w:tc>
          <w:tcPr>
            <w:tcW w:w="1316" w:type="pct"/>
            <w:shd w:val="clear" w:color="auto" w:fill="auto"/>
            <w:vAlign w:val="center"/>
          </w:tcPr>
          <w:p w14:paraId="3FEE719A">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3#</w:t>
            </w:r>
            <w:r>
              <w:rPr>
                <w:rFonts w:hint="eastAsia" w:ascii="宋体" w:hAnsi="宋体"/>
                <w:b w:val="0"/>
                <w:bCs/>
                <w:spacing w:val="-4"/>
                <w:szCs w:val="21"/>
              </w:rPr>
              <w:t>电控室</w:t>
            </w:r>
          </w:p>
        </w:tc>
        <w:tc>
          <w:tcPr>
            <w:tcW w:w="374" w:type="pct"/>
            <w:shd w:val="clear" w:color="auto" w:fill="auto"/>
            <w:vAlign w:val="center"/>
          </w:tcPr>
          <w:p w14:paraId="3988F56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563ACC0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8</w:t>
            </w:r>
          </w:p>
        </w:tc>
        <w:tc>
          <w:tcPr>
            <w:tcW w:w="397" w:type="pct"/>
            <w:vAlign w:val="center"/>
          </w:tcPr>
          <w:p w14:paraId="28B11190">
            <w:pPr>
              <w:jc w:val="center"/>
              <w:rPr>
                <w:rFonts w:ascii="宋体" w:hAnsi="宋体"/>
                <w:b w:val="0"/>
                <w:bCs/>
                <w:szCs w:val="21"/>
              </w:rPr>
            </w:pPr>
            <w:r>
              <w:rPr>
                <w:rFonts w:hint="eastAsia" w:ascii="宋体" w:hAnsi="宋体"/>
                <w:b w:val="0"/>
                <w:bCs/>
                <w:szCs w:val="21"/>
              </w:rPr>
              <w:t>双有</w:t>
            </w:r>
          </w:p>
        </w:tc>
        <w:tc>
          <w:tcPr>
            <w:tcW w:w="789" w:type="pct"/>
            <w:vAlign w:val="center"/>
          </w:tcPr>
          <w:p w14:paraId="2BFB9AEE">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9124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A32EBD2">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4#</w:t>
            </w:r>
            <w:r>
              <w:rPr>
                <w:rFonts w:hint="eastAsia" w:ascii="宋体" w:hAnsi="宋体" w:cs="Arial"/>
                <w:b w:val="0"/>
                <w:bCs/>
                <w:szCs w:val="21"/>
              </w:rPr>
              <w:t>抛光</w:t>
            </w:r>
          </w:p>
        </w:tc>
        <w:tc>
          <w:tcPr>
            <w:tcW w:w="367" w:type="pct"/>
            <w:shd w:val="clear" w:color="auto" w:fill="auto"/>
            <w:vAlign w:val="center"/>
          </w:tcPr>
          <w:p w14:paraId="6E8DCAE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0ADE42C">
            <w:pPr>
              <w:jc w:val="center"/>
              <w:rPr>
                <w:rFonts w:ascii="宋体" w:hAnsi="宋体" w:cs="Arial"/>
                <w:b w:val="0"/>
                <w:bCs/>
                <w:szCs w:val="21"/>
              </w:rPr>
            </w:pPr>
            <w:r>
              <w:rPr>
                <w:rFonts w:ascii="宋体" w:hAnsi="宋体" w:cs="Arial"/>
                <w:b w:val="0"/>
                <w:bCs/>
                <w:szCs w:val="21"/>
              </w:rPr>
              <w:t>250</w:t>
            </w:r>
          </w:p>
        </w:tc>
        <w:tc>
          <w:tcPr>
            <w:tcW w:w="1316" w:type="pct"/>
            <w:shd w:val="clear" w:color="auto" w:fill="auto"/>
            <w:vAlign w:val="center"/>
          </w:tcPr>
          <w:p w14:paraId="3A174753">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5#</w:t>
            </w:r>
            <w:r>
              <w:rPr>
                <w:rFonts w:hint="eastAsia" w:ascii="宋体" w:hAnsi="宋体"/>
                <w:b w:val="0"/>
                <w:bCs/>
                <w:spacing w:val="-4"/>
                <w:szCs w:val="21"/>
              </w:rPr>
              <w:t>抛光</w:t>
            </w:r>
          </w:p>
          <w:p w14:paraId="2A17FEB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74" w:type="pct"/>
            <w:shd w:val="clear" w:color="auto" w:fill="auto"/>
            <w:vAlign w:val="center"/>
          </w:tcPr>
          <w:p w14:paraId="75946C5A">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69" w:type="pct"/>
            <w:shd w:val="clear" w:color="auto" w:fill="auto"/>
            <w:vAlign w:val="center"/>
          </w:tcPr>
          <w:p w14:paraId="5A0DB4C6">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5ADD0857">
            <w:pPr>
              <w:jc w:val="center"/>
              <w:rPr>
                <w:rFonts w:ascii="宋体" w:hAnsi="宋体"/>
                <w:b w:val="0"/>
                <w:bCs/>
                <w:szCs w:val="21"/>
              </w:rPr>
            </w:pPr>
            <w:r>
              <w:rPr>
                <w:rFonts w:hint="eastAsia" w:ascii="宋体" w:hAnsi="宋体"/>
                <w:b w:val="0"/>
                <w:bCs/>
                <w:szCs w:val="21"/>
              </w:rPr>
              <w:t>双有</w:t>
            </w:r>
          </w:p>
        </w:tc>
        <w:tc>
          <w:tcPr>
            <w:tcW w:w="789" w:type="pct"/>
            <w:vAlign w:val="center"/>
          </w:tcPr>
          <w:p w14:paraId="6C95C779">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E90CD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E1E8740">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5#</w:t>
            </w:r>
            <w:r>
              <w:rPr>
                <w:rFonts w:hint="eastAsia" w:ascii="宋体" w:hAnsi="宋体" w:cs="Arial"/>
                <w:b w:val="0"/>
                <w:bCs/>
                <w:szCs w:val="21"/>
              </w:rPr>
              <w:t>抛光</w:t>
            </w:r>
          </w:p>
        </w:tc>
        <w:tc>
          <w:tcPr>
            <w:tcW w:w="367" w:type="pct"/>
            <w:shd w:val="clear" w:color="auto" w:fill="auto"/>
            <w:vAlign w:val="center"/>
          </w:tcPr>
          <w:p w14:paraId="543789F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71B41819">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316" w:type="pct"/>
            <w:shd w:val="clear" w:color="auto" w:fill="auto"/>
            <w:vAlign w:val="center"/>
          </w:tcPr>
          <w:p w14:paraId="250D7BB5">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6#</w:t>
            </w:r>
            <w:r>
              <w:rPr>
                <w:rFonts w:hint="eastAsia" w:ascii="宋体" w:hAnsi="宋体"/>
                <w:b w:val="0"/>
                <w:bCs/>
                <w:spacing w:val="-4"/>
                <w:szCs w:val="21"/>
              </w:rPr>
              <w:t>抛光</w:t>
            </w:r>
          </w:p>
          <w:p w14:paraId="114F95B7">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74" w:type="pct"/>
            <w:shd w:val="clear" w:color="auto" w:fill="auto"/>
            <w:vAlign w:val="center"/>
          </w:tcPr>
          <w:p w14:paraId="352F417B">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69" w:type="pct"/>
            <w:shd w:val="clear" w:color="auto" w:fill="auto"/>
            <w:vAlign w:val="center"/>
          </w:tcPr>
          <w:p w14:paraId="70EFE7C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97" w:type="pct"/>
            <w:vAlign w:val="center"/>
          </w:tcPr>
          <w:p w14:paraId="3E9B5379">
            <w:pPr>
              <w:jc w:val="center"/>
              <w:rPr>
                <w:rFonts w:ascii="宋体" w:hAnsi="宋体"/>
                <w:b w:val="0"/>
                <w:bCs/>
                <w:szCs w:val="21"/>
              </w:rPr>
            </w:pPr>
            <w:r>
              <w:rPr>
                <w:rFonts w:hint="eastAsia" w:ascii="宋体" w:hAnsi="宋体"/>
                <w:b w:val="0"/>
                <w:bCs/>
                <w:szCs w:val="21"/>
              </w:rPr>
              <w:t>双有</w:t>
            </w:r>
          </w:p>
        </w:tc>
        <w:tc>
          <w:tcPr>
            <w:tcW w:w="789" w:type="pct"/>
            <w:vAlign w:val="center"/>
          </w:tcPr>
          <w:p w14:paraId="67DE19C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EFA2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420D82B">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r>
              <w:rPr>
                <w:rFonts w:hint="eastAsia" w:ascii="宋体" w:hAnsi="宋体" w:cs="Arial"/>
                <w:b w:val="0"/>
                <w:bCs/>
                <w:szCs w:val="21"/>
              </w:rPr>
              <w:t>抛光</w:t>
            </w:r>
          </w:p>
        </w:tc>
        <w:tc>
          <w:tcPr>
            <w:tcW w:w="367" w:type="pct"/>
            <w:shd w:val="clear" w:color="auto" w:fill="auto"/>
            <w:vAlign w:val="center"/>
          </w:tcPr>
          <w:p w14:paraId="1B11B14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0C9D6F8">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316" w:type="pct"/>
            <w:shd w:val="clear" w:color="auto" w:fill="auto"/>
            <w:vAlign w:val="center"/>
          </w:tcPr>
          <w:p w14:paraId="2A489F18">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7#</w:t>
            </w:r>
            <w:r>
              <w:rPr>
                <w:rFonts w:hint="eastAsia" w:ascii="宋体" w:hAnsi="宋体"/>
                <w:b w:val="0"/>
                <w:bCs/>
                <w:spacing w:val="-4"/>
                <w:szCs w:val="21"/>
              </w:rPr>
              <w:t>抛光中转</w:t>
            </w:r>
          </w:p>
          <w:p w14:paraId="3F0C1BA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4E8CED5E">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F7B0EFC">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3</w:t>
            </w:r>
          </w:p>
        </w:tc>
        <w:tc>
          <w:tcPr>
            <w:tcW w:w="397" w:type="pct"/>
            <w:vAlign w:val="center"/>
          </w:tcPr>
          <w:p w14:paraId="7EFA993B">
            <w:pPr>
              <w:jc w:val="center"/>
              <w:rPr>
                <w:rFonts w:ascii="宋体" w:hAnsi="宋体"/>
                <w:b w:val="0"/>
                <w:bCs/>
                <w:szCs w:val="21"/>
              </w:rPr>
            </w:pPr>
            <w:r>
              <w:rPr>
                <w:rFonts w:hint="eastAsia" w:ascii="宋体" w:hAnsi="宋体"/>
                <w:b w:val="0"/>
                <w:bCs/>
                <w:szCs w:val="21"/>
              </w:rPr>
              <w:t>双有</w:t>
            </w:r>
          </w:p>
        </w:tc>
        <w:tc>
          <w:tcPr>
            <w:tcW w:w="789" w:type="pct"/>
            <w:vAlign w:val="center"/>
          </w:tcPr>
          <w:p w14:paraId="6ED57BC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CE7F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CCA9DB7">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7#</w:t>
            </w:r>
            <w:r>
              <w:rPr>
                <w:rFonts w:hint="eastAsia" w:ascii="宋体" w:hAnsi="宋体" w:cs="Arial"/>
                <w:b w:val="0"/>
                <w:bCs/>
                <w:szCs w:val="21"/>
              </w:rPr>
              <w:t>抛光中转</w:t>
            </w:r>
          </w:p>
        </w:tc>
        <w:tc>
          <w:tcPr>
            <w:tcW w:w="367" w:type="pct"/>
            <w:shd w:val="clear" w:color="auto" w:fill="auto"/>
            <w:vAlign w:val="center"/>
          </w:tcPr>
          <w:p w14:paraId="7411458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55A43F6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19212EA8">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8#</w:t>
            </w:r>
            <w:r>
              <w:rPr>
                <w:rFonts w:hint="eastAsia" w:ascii="宋体" w:hAnsi="宋体"/>
                <w:b w:val="0"/>
                <w:bCs/>
                <w:spacing w:val="-4"/>
                <w:szCs w:val="21"/>
              </w:rPr>
              <w:t>抛光中转</w:t>
            </w:r>
          </w:p>
          <w:p w14:paraId="2907AD8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26984332">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A56AF6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2A92EA64">
            <w:pPr>
              <w:jc w:val="center"/>
              <w:rPr>
                <w:rFonts w:ascii="宋体" w:hAnsi="宋体"/>
                <w:b w:val="0"/>
                <w:bCs/>
                <w:szCs w:val="21"/>
              </w:rPr>
            </w:pPr>
            <w:r>
              <w:rPr>
                <w:rFonts w:hint="eastAsia" w:ascii="宋体" w:hAnsi="宋体"/>
                <w:b w:val="0"/>
                <w:bCs/>
                <w:szCs w:val="21"/>
              </w:rPr>
              <w:t>双有</w:t>
            </w:r>
          </w:p>
        </w:tc>
        <w:tc>
          <w:tcPr>
            <w:tcW w:w="789" w:type="pct"/>
            <w:vAlign w:val="center"/>
          </w:tcPr>
          <w:p w14:paraId="6136C31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A085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B46CA5C">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8#</w:t>
            </w:r>
            <w:r>
              <w:rPr>
                <w:rFonts w:hint="eastAsia" w:ascii="宋体" w:hAnsi="宋体" w:cs="Arial"/>
                <w:b w:val="0"/>
                <w:bCs/>
                <w:szCs w:val="21"/>
              </w:rPr>
              <w:t>抛光中转</w:t>
            </w:r>
          </w:p>
        </w:tc>
        <w:tc>
          <w:tcPr>
            <w:tcW w:w="367" w:type="pct"/>
            <w:shd w:val="clear" w:color="auto" w:fill="auto"/>
            <w:vAlign w:val="center"/>
          </w:tcPr>
          <w:p w14:paraId="25CE0377">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B67B01D">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3DC381B">
            <w:pPr>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9#</w:t>
            </w:r>
            <w:r>
              <w:rPr>
                <w:rFonts w:hint="eastAsia" w:ascii="宋体" w:hAnsi="宋体"/>
                <w:b w:val="0"/>
                <w:bCs/>
                <w:spacing w:val="-4"/>
                <w:szCs w:val="21"/>
              </w:rPr>
              <w:t>抛光中转</w:t>
            </w:r>
          </w:p>
          <w:p w14:paraId="3261291E">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54733E69">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642E2C2B">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5A614848">
            <w:pPr>
              <w:jc w:val="center"/>
              <w:rPr>
                <w:rFonts w:ascii="宋体" w:hAnsi="宋体"/>
                <w:b w:val="0"/>
                <w:bCs/>
                <w:szCs w:val="21"/>
              </w:rPr>
            </w:pPr>
            <w:r>
              <w:rPr>
                <w:rFonts w:hint="eastAsia" w:ascii="宋体" w:hAnsi="宋体"/>
                <w:b w:val="0"/>
                <w:bCs/>
                <w:szCs w:val="21"/>
              </w:rPr>
              <w:t>双有</w:t>
            </w:r>
          </w:p>
        </w:tc>
        <w:tc>
          <w:tcPr>
            <w:tcW w:w="789" w:type="pct"/>
            <w:vAlign w:val="center"/>
          </w:tcPr>
          <w:p w14:paraId="611EEA1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0017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2C714323">
            <w:pPr>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9#</w:t>
            </w:r>
            <w:r>
              <w:rPr>
                <w:rFonts w:hint="eastAsia" w:ascii="宋体" w:hAnsi="宋体" w:cs="Arial"/>
                <w:b w:val="0"/>
                <w:bCs/>
                <w:szCs w:val="21"/>
              </w:rPr>
              <w:t>抛光中转</w:t>
            </w:r>
          </w:p>
        </w:tc>
        <w:tc>
          <w:tcPr>
            <w:tcW w:w="367" w:type="pct"/>
            <w:vMerge w:val="restart"/>
            <w:shd w:val="clear" w:color="auto" w:fill="auto"/>
            <w:vAlign w:val="center"/>
          </w:tcPr>
          <w:p w14:paraId="1029612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1E818517">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9DB8E5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00#</w:t>
            </w:r>
            <w:r>
              <w:rPr>
                <w:rFonts w:hint="eastAsia" w:ascii="宋体" w:hAnsi="宋体"/>
                <w:b w:val="0"/>
                <w:bCs/>
                <w:spacing w:val="-4"/>
                <w:szCs w:val="21"/>
              </w:rPr>
              <w:t>电控室</w:t>
            </w:r>
          </w:p>
        </w:tc>
        <w:tc>
          <w:tcPr>
            <w:tcW w:w="374" w:type="pct"/>
            <w:shd w:val="clear" w:color="auto" w:fill="auto"/>
            <w:vAlign w:val="center"/>
          </w:tcPr>
          <w:p w14:paraId="26F13272">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E28FCC9">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vAlign w:val="center"/>
          </w:tcPr>
          <w:p w14:paraId="5576556E">
            <w:pPr>
              <w:jc w:val="center"/>
              <w:rPr>
                <w:rFonts w:ascii="宋体" w:hAnsi="宋体"/>
                <w:b w:val="0"/>
                <w:bCs/>
                <w:szCs w:val="21"/>
              </w:rPr>
            </w:pPr>
            <w:r>
              <w:rPr>
                <w:rFonts w:hint="eastAsia" w:ascii="宋体" w:hAnsi="宋体"/>
                <w:b w:val="0"/>
                <w:bCs/>
                <w:szCs w:val="21"/>
              </w:rPr>
              <w:t>双有</w:t>
            </w:r>
          </w:p>
        </w:tc>
        <w:tc>
          <w:tcPr>
            <w:tcW w:w="789" w:type="pct"/>
            <w:vAlign w:val="center"/>
          </w:tcPr>
          <w:p w14:paraId="37B82F7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815E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42EB638C">
            <w:pPr>
              <w:jc w:val="center"/>
              <w:rPr>
                <w:rFonts w:ascii="宋体" w:hAnsi="宋体" w:cs="Arial"/>
                <w:b w:val="0"/>
                <w:bCs/>
                <w:szCs w:val="21"/>
              </w:rPr>
            </w:pPr>
          </w:p>
        </w:tc>
        <w:tc>
          <w:tcPr>
            <w:tcW w:w="367" w:type="pct"/>
            <w:vMerge w:val="continue"/>
            <w:shd w:val="clear" w:color="auto" w:fill="auto"/>
            <w:vAlign w:val="center"/>
          </w:tcPr>
          <w:p w14:paraId="5B56C1BB">
            <w:pPr>
              <w:jc w:val="center"/>
              <w:rPr>
                <w:rFonts w:ascii="宋体" w:hAnsi="宋体" w:cs="Arial"/>
                <w:b w:val="0"/>
                <w:bCs/>
                <w:szCs w:val="21"/>
              </w:rPr>
            </w:pPr>
          </w:p>
        </w:tc>
        <w:tc>
          <w:tcPr>
            <w:tcW w:w="513" w:type="pct"/>
            <w:vMerge w:val="continue"/>
            <w:shd w:val="clear" w:color="auto" w:fill="auto"/>
            <w:vAlign w:val="center"/>
          </w:tcPr>
          <w:p w14:paraId="2A5314E7">
            <w:pPr>
              <w:jc w:val="center"/>
              <w:rPr>
                <w:rFonts w:ascii="宋体" w:hAnsi="宋体" w:cs="Arial"/>
                <w:b w:val="0"/>
                <w:bCs/>
                <w:szCs w:val="21"/>
              </w:rPr>
            </w:pPr>
          </w:p>
        </w:tc>
        <w:tc>
          <w:tcPr>
            <w:tcW w:w="1316" w:type="pct"/>
            <w:shd w:val="clear" w:color="auto" w:fill="auto"/>
            <w:vAlign w:val="center"/>
          </w:tcPr>
          <w:p w14:paraId="50559FF5">
            <w:pPr>
              <w:jc w:val="center"/>
              <w:rPr>
                <w:rFonts w:ascii="宋体" w:hAnsi="宋体"/>
                <w:b w:val="0"/>
                <w:bCs/>
                <w:spacing w:val="-4"/>
                <w:szCs w:val="21"/>
              </w:rPr>
            </w:pPr>
            <w:r>
              <w:rPr>
                <w:rFonts w:ascii="宋体" w:hAnsi="宋体"/>
                <w:b w:val="0"/>
                <w:bCs/>
                <w:spacing w:val="-4"/>
                <w:szCs w:val="21"/>
              </w:rPr>
              <w:t>101#</w:t>
            </w:r>
            <w:r>
              <w:rPr>
                <w:rFonts w:hint="eastAsia" w:ascii="宋体" w:hAnsi="宋体"/>
                <w:b w:val="0"/>
                <w:bCs/>
                <w:spacing w:val="-4"/>
                <w:szCs w:val="21"/>
              </w:rPr>
              <w:t>筛选</w:t>
            </w:r>
          </w:p>
          <w:p w14:paraId="7FE6632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4475BCC2">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73D73B4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97" w:type="pct"/>
            <w:vAlign w:val="center"/>
          </w:tcPr>
          <w:p w14:paraId="230B47ED">
            <w:pPr>
              <w:jc w:val="center"/>
              <w:rPr>
                <w:rFonts w:ascii="宋体" w:hAnsi="宋体"/>
                <w:b w:val="0"/>
                <w:bCs/>
                <w:szCs w:val="21"/>
              </w:rPr>
            </w:pPr>
            <w:r>
              <w:rPr>
                <w:rFonts w:hint="eastAsia" w:ascii="宋体" w:hAnsi="宋体"/>
                <w:b w:val="0"/>
                <w:bCs/>
                <w:szCs w:val="21"/>
              </w:rPr>
              <w:t>双有</w:t>
            </w:r>
          </w:p>
        </w:tc>
        <w:tc>
          <w:tcPr>
            <w:tcW w:w="789" w:type="pct"/>
            <w:vAlign w:val="center"/>
          </w:tcPr>
          <w:p w14:paraId="02D31D4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B3A9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B005A5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01#</w:t>
            </w:r>
            <w:r>
              <w:rPr>
                <w:rFonts w:hint="eastAsia" w:ascii="宋体" w:hAnsi="宋体" w:cs="Arial"/>
                <w:b w:val="0"/>
                <w:bCs/>
                <w:szCs w:val="21"/>
              </w:rPr>
              <w:t>筛选</w:t>
            </w:r>
          </w:p>
        </w:tc>
        <w:tc>
          <w:tcPr>
            <w:tcW w:w="367" w:type="pct"/>
            <w:shd w:val="clear" w:color="auto" w:fill="auto"/>
            <w:vAlign w:val="center"/>
          </w:tcPr>
          <w:p w14:paraId="5797BFA8">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73A08571">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702C3217">
            <w:pPr>
              <w:jc w:val="center"/>
              <w:rPr>
                <w:rFonts w:ascii="宋体" w:hAnsi="宋体"/>
                <w:b w:val="0"/>
                <w:bCs/>
                <w:spacing w:val="-4"/>
                <w:szCs w:val="21"/>
              </w:rPr>
            </w:pPr>
            <w:r>
              <w:rPr>
                <w:rFonts w:ascii="宋体" w:hAnsi="宋体"/>
                <w:b w:val="0"/>
                <w:bCs/>
                <w:spacing w:val="-4"/>
                <w:szCs w:val="21"/>
              </w:rPr>
              <w:t>102#</w:t>
            </w:r>
            <w:r>
              <w:rPr>
                <w:rFonts w:hint="eastAsia" w:ascii="宋体" w:hAnsi="宋体"/>
                <w:b w:val="0"/>
                <w:bCs/>
                <w:spacing w:val="-4"/>
                <w:szCs w:val="21"/>
              </w:rPr>
              <w:t>筛选中转</w:t>
            </w:r>
          </w:p>
          <w:p w14:paraId="6A8A87E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5F8B8F6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0808C234">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97" w:type="pct"/>
            <w:vAlign w:val="center"/>
          </w:tcPr>
          <w:p w14:paraId="530EF452">
            <w:pPr>
              <w:jc w:val="center"/>
              <w:rPr>
                <w:rFonts w:ascii="宋体" w:hAnsi="宋体"/>
                <w:b w:val="0"/>
                <w:bCs/>
                <w:szCs w:val="21"/>
              </w:rPr>
            </w:pPr>
            <w:r>
              <w:rPr>
                <w:rFonts w:hint="eastAsia" w:ascii="宋体" w:hAnsi="宋体"/>
                <w:b w:val="0"/>
                <w:bCs/>
                <w:szCs w:val="21"/>
              </w:rPr>
              <w:t>双有</w:t>
            </w:r>
          </w:p>
        </w:tc>
        <w:tc>
          <w:tcPr>
            <w:tcW w:w="789" w:type="pct"/>
            <w:vAlign w:val="center"/>
          </w:tcPr>
          <w:p w14:paraId="7FBFC6C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82F04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12E29A9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02#</w:t>
            </w:r>
            <w:r>
              <w:rPr>
                <w:rFonts w:hint="eastAsia" w:ascii="宋体" w:hAnsi="宋体" w:cs="Arial"/>
                <w:b w:val="0"/>
                <w:bCs/>
                <w:szCs w:val="21"/>
              </w:rPr>
              <w:t>筛选中转</w:t>
            </w:r>
          </w:p>
        </w:tc>
        <w:tc>
          <w:tcPr>
            <w:tcW w:w="367" w:type="pct"/>
            <w:shd w:val="clear" w:color="auto" w:fill="auto"/>
            <w:vAlign w:val="center"/>
          </w:tcPr>
          <w:p w14:paraId="1A50577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73818D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5E1DDB2D">
            <w:pPr>
              <w:jc w:val="center"/>
              <w:rPr>
                <w:rFonts w:ascii="宋体" w:hAnsi="宋体"/>
                <w:b w:val="0"/>
                <w:bCs/>
                <w:spacing w:val="-4"/>
                <w:szCs w:val="21"/>
              </w:rPr>
            </w:pPr>
            <w:r>
              <w:rPr>
                <w:rFonts w:ascii="宋体" w:hAnsi="宋体"/>
                <w:b w:val="0"/>
                <w:bCs/>
                <w:spacing w:val="-4"/>
                <w:szCs w:val="21"/>
              </w:rPr>
              <w:t>103#</w:t>
            </w:r>
            <w:r>
              <w:rPr>
                <w:rFonts w:hint="eastAsia" w:ascii="宋体" w:hAnsi="宋体"/>
                <w:b w:val="0"/>
                <w:bCs/>
                <w:spacing w:val="-4"/>
                <w:szCs w:val="21"/>
              </w:rPr>
              <w:t>包装</w:t>
            </w:r>
          </w:p>
          <w:p w14:paraId="3A6E3CD7">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3220E8BC">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338D4BF7">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4EA80A23">
            <w:pPr>
              <w:jc w:val="center"/>
              <w:rPr>
                <w:rFonts w:ascii="宋体" w:hAnsi="宋体"/>
                <w:b w:val="0"/>
                <w:bCs/>
                <w:szCs w:val="21"/>
              </w:rPr>
            </w:pPr>
            <w:r>
              <w:rPr>
                <w:rFonts w:hint="eastAsia" w:ascii="宋体" w:hAnsi="宋体"/>
                <w:b w:val="0"/>
                <w:bCs/>
                <w:szCs w:val="21"/>
              </w:rPr>
              <w:t>双有</w:t>
            </w:r>
          </w:p>
        </w:tc>
        <w:tc>
          <w:tcPr>
            <w:tcW w:w="789" w:type="pct"/>
            <w:vAlign w:val="center"/>
          </w:tcPr>
          <w:p w14:paraId="1F99BE8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BD3A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EC8C89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03#</w:t>
            </w:r>
            <w:r>
              <w:rPr>
                <w:rFonts w:hint="eastAsia" w:ascii="宋体" w:hAnsi="宋体" w:cs="Arial"/>
                <w:b w:val="0"/>
                <w:bCs/>
                <w:szCs w:val="21"/>
              </w:rPr>
              <w:t>包装</w:t>
            </w:r>
          </w:p>
        </w:tc>
        <w:tc>
          <w:tcPr>
            <w:tcW w:w="367" w:type="pct"/>
            <w:shd w:val="clear" w:color="auto" w:fill="auto"/>
            <w:vAlign w:val="center"/>
          </w:tcPr>
          <w:p w14:paraId="27C36B1F">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EF15543">
            <w:pPr>
              <w:jc w:val="center"/>
              <w:rPr>
                <w:rFonts w:ascii="宋体" w:hAnsi="宋体" w:cs="Arial"/>
                <w:b w:val="0"/>
                <w:bCs/>
                <w:szCs w:val="21"/>
              </w:rPr>
            </w:pPr>
            <w:r>
              <w:rPr>
                <w:rFonts w:ascii="宋体" w:hAnsi="宋体" w:cs="Arial"/>
                <w:b w:val="0"/>
                <w:bCs/>
                <w:szCs w:val="21"/>
              </w:rPr>
              <w:t>80</w:t>
            </w:r>
          </w:p>
        </w:tc>
        <w:tc>
          <w:tcPr>
            <w:tcW w:w="1316" w:type="pct"/>
            <w:shd w:val="clear" w:color="auto" w:fill="auto"/>
            <w:vAlign w:val="center"/>
          </w:tcPr>
          <w:p w14:paraId="5B60AC60">
            <w:pPr>
              <w:jc w:val="center"/>
              <w:rPr>
                <w:rFonts w:ascii="宋体" w:hAnsi="宋体"/>
                <w:b w:val="0"/>
                <w:bCs/>
                <w:spacing w:val="-4"/>
                <w:szCs w:val="21"/>
              </w:rPr>
            </w:pPr>
            <w:r>
              <w:rPr>
                <w:rFonts w:ascii="宋体" w:hAnsi="宋体"/>
                <w:b w:val="0"/>
                <w:bCs/>
                <w:spacing w:val="-4"/>
                <w:szCs w:val="21"/>
              </w:rPr>
              <w:t>104#</w:t>
            </w:r>
            <w:r>
              <w:rPr>
                <w:rFonts w:hint="eastAsia" w:ascii="宋体" w:hAnsi="宋体"/>
                <w:b w:val="0"/>
                <w:bCs/>
                <w:spacing w:val="-4"/>
                <w:szCs w:val="21"/>
              </w:rPr>
              <w:t>包装中转</w:t>
            </w:r>
          </w:p>
          <w:p w14:paraId="26C1D231">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4A96A2E">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225B5263">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97" w:type="pct"/>
            <w:vAlign w:val="center"/>
          </w:tcPr>
          <w:p w14:paraId="24745431">
            <w:pPr>
              <w:jc w:val="center"/>
              <w:rPr>
                <w:rFonts w:ascii="宋体" w:hAnsi="宋体"/>
                <w:b w:val="0"/>
                <w:bCs/>
                <w:szCs w:val="21"/>
              </w:rPr>
            </w:pPr>
            <w:r>
              <w:rPr>
                <w:rFonts w:hint="eastAsia" w:ascii="宋体" w:hAnsi="宋体"/>
                <w:b w:val="0"/>
                <w:bCs/>
                <w:szCs w:val="21"/>
              </w:rPr>
              <w:t>双有</w:t>
            </w:r>
          </w:p>
        </w:tc>
        <w:tc>
          <w:tcPr>
            <w:tcW w:w="789" w:type="pct"/>
            <w:vAlign w:val="center"/>
          </w:tcPr>
          <w:p w14:paraId="1DCEA66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15DE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0C146D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04#</w:t>
            </w:r>
            <w:r>
              <w:rPr>
                <w:rFonts w:hint="eastAsia" w:ascii="宋体" w:hAnsi="宋体" w:cs="Arial"/>
                <w:b w:val="0"/>
                <w:bCs/>
                <w:szCs w:val="21"/>
              </w:rPr>
              <w:t>包装中转</w:t>
            </w:r>
          </w:p>
        </w:tc>
        <w:tc>
          <w:tcPr>
            <w:tcW w:w="367" w:type="pct"/>
            <w:shd w:val="clear" w:color="auto" w:fill="auto"/>
            <w:vAlign w:val="center"/>
          </w:tcPr>
          <w:p w14:paraId="31C74EA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620CDAF">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37F7FD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05#</w:t>
            </w:r>
            <w:r>
              <w:rPr>
                <w:rFonts w:hint="eastAsia" w:ascii="宋体" w:hAnsi="宋体"/>
                <w:b w:val="0"/>
                <w:bCs/>
                <w:spacing w:val="-4"/>
                <w:szCs w:val="21"/>
              </w:rPr>
              <w:t>包装材料间</w:t>
            </w:r>
          </w:p>
        </w:tc>
        <w:tc>
          <w:tcPr>
            <w:tcW w:w="374" w:type="pct"/>
            <w:shd w:val="clear" w:color="auto" w:fill="auto"/>
            <w:vAlign w:val="center"/>
          </w:tcPr>
          <w:p w14:paraId="7D57A5E7">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2684909F">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46ACE76C">
            <w:pPr>
              <w:jc w:val="center"/>
              <w:rPr>
                <w:rFonts w:ascii="宋体" w:hAnsi="宋体"/>
                <w:b w:val="0"/>
                <w:bCs/>
                <w:szCs w:val="21"/>
              </w:rPr>
            </w:pPr>
            <w:r>
              <w:rPr>
                <w:rFonts w:hint="eastAsia" w:ascii="宋体" w:hAnsi="宋体"/>
                <w:b w:val="0"/>
                <w:bCs/>
                <w:szCs w:val="21"/>
              </w:rPr>
              <w:t>双有</w:t>
            </w:r>
          </w:p>
        </w:tc>
        <w:tc>
          <w:tcPr>
            <w:tcW w:w="789" w:type="pct"/>
            <w:vAlign w:val="center"/>
          </w:tcPr>
          <w:p w14:paraId="7236F4E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EDF5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B5FC3AA">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07#</w:t>
            </w:r>
            <w:r>
              <w:rPr>
                <w:rFonts w:hint="eastAsia" w:ascii="宋体" w:hAnsi="宋体" w:cs="Arial"/>
                <w:b w:val="0"/>
                <w:bCs/>
                <w:szCs w:val="21"/>
              </w:rPr>
              <w:t>黑火药库</w:t>
            </w:r>
          </w:p>
        </w:tc>
        <w:tc>
          <w:tcPr>
            <w:tcW w:w="367" w:type="pct"/>
            <w:shd w:val="clear" w:color="auto" w:fill="auto"/>
            <w:vAlign w:val="center"/>
          </w:tcPr>
          <w:p w14:paraId="33E22A13">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674E22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400</w:t>
            </w:r>
          </w:p>
        </w:tc>
        <w:tc>
          <w:tcPr>
            <w:tcW w:w="1316" w:type="pct"/>
            <w:shd w:val="clear" w:color="auto" w:fill="auto"/>
            <w:vAlign w:val="center"/>
          </w:tcPr>
          <w:p w14:paraId="4D150EC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08#</w:t>
            </w:r>
            <w:r>
              <w:rPr>
                <w:rFonts w:hint="eastAsia" w:ascii="宋体" w:hAnsi="宋体"/>
                <w:b w:val="0"/>
                <w:bCs/>
                <w:spacing w:val="-4"/>
                <w:szCs w:val="21"/>
              </w:rPr>
              <w:t>黑火药库</w:t>
            </w:r>
          </w:p>
          <w:p w14:paraId="3BE4672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5000kg</w:t>
            </w:r>
            <w:r>
              <w:rPr>
                <w:rFonts w:hint="eastAsia" w:ascii="宋体" w:hAnsi="宋体"/>
                <w:b w:val="0"/>
                <w:bCs/>
                <w:spacing w:val="-4"/>
                <w:szCs w:val="21"/>
              </w:rPr>
              <w:t>）</w:t>
            </w:r>
          </w:p>
        </w:tc>
        <w:tc>
          <w:tcPr>
            <w:tcW w:w="374" w:type="pct"/>
            <w:shd w:val="clear" w:color="auto" w:fill="auto"/>
            <w:vAlign w:val="center"/>
          </w:tcPr>
          <w:p w14:paraId="4456C106">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69" w:type="pct"/>
            <w:shd w:val="clear" w:color="auto" w:fill="auto"/>
            <w:vAlign w:val="center"/>
          </w:tcPr>
          <w:p w14:paraId="4F37EC4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97" w:type="pct"/>
            <w:vAlign w:val="center"/>
          </w:tcPr>
          <w:p w14:paraId="2F71401B">
            <w:pPr>
              <w:jc w:val="center"/>
              <w:rPr>
                <w:rFonts w:ascii="宋体" w:hAnsi="宋体"/>
                <w:b w:val="0"/>
                <w:bCs/>
                <w:szCs w:val="21"/>
              </w:rPr>
            </w:pPr>
            <w:r>
              <w:rPr>
                <w:rFonts w:hint="eastAsia" w:ascii="宋体" w:hAnsi="宋体"/>
                <w:b w:val="0"/>
                <w:bCs/>
                <w:szCs w:val="21"/>
              </w:rPr>
              <w:t>双有</w:t>
            </w:r>
          </w:p>
        </w:tc>
        <w:tc>
          <w:tcPr>
            <w:tcW w:w="789" w:type="pct"/>
            <w:vAlign w:val="center"/>
          </w:tcPr>
          <w:p w14:paraId="26B5287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3FB31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A28620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08#</w:t>
            </w:r>
            <w:r>
              <w:rPr>
                <w:rFonts w:hint="eastAsia" w:ascii="宋体" w:hAnsi="宋体" w:cs="Arial"/>
                <w:b w:val="0"/>
                <w:bCs/>
                <w:szCs w:val="21"/>
              </w:rPr>
              <w:t>黑火药库</w:t>
            </w:r>
          </w:p>
        </w:tc>
        <w:tc>
          <w:tcPr>
            <w:tcW w:w="367" w:type="pct"/>
            <w:shd w:val="clear" w:color="auto" w:fill="auto"/>
            <w:vAlign w:val="center"/>
          </w:tcPr>
          <w:p w14:paraId="6A468F8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2FFDCD3F">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000</w:t>
            </w:r>
          </w:p>
        </w:tc>
        <w:tc>
          <w:tcPr>
            <w:tcW w:w="1316" w:type="pct"/>
            <w:shd w:val="clear" w:color="auto" w:fill="auto"/>
            <w:vAlign w:val="center"/>
          </w:tcPr>
          <w:p w14:paraId="36B7A621">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09#</w:t>
            </w:r>
            <w:r>
              <w:rPr>
                <w:rFonts w:hint="eastAsia" w:ascii="宋体" w:hAnsi="宋体"/>
                <w:b w:val="0"/>
                <w:bCs/>
                <w:spacing w:val="-4"/>
                <w:szCs w:val="21"/>
              </w:rPr>
              <w:t>黑火药库</w:t>
            </w:r>
          </w:p>
          <w:p w14:paraId="3E6D1B54">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74" w:type="pct"/>
            <w:shd w:val="clear" w:color="auto" w:fill="auto"/>
            <w:vAlign w:val="center"/>
          </w:tcPr>
          <w:p w14:paraId="7ABE2919">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69" w:type="pct"/>
            <w:shd w:val="clear" w:color="auto" w:fill="auto"/>
            <w:vAlign w:val="center"/>
          </w:tcPr>
          <w:p w14:paraId="6C3B9E23">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462EA0DF">
            <w:pPr>
              <w:jc w:val="center"/>
              <w:rPr>
                <w:rFonts w:ascii="宋体" w:hAnsi="宋体"/>
                <w:b w:val="0"/>
                <w:bCs/>
                <w:szCs w:val="21"/>
              </w:rPr>
            </w:pPr>
            <w:r>
              <w:rPr>
                <w:rFonts w:hint="eastAsia" w:ascii="宋体" w:hAnsi="宋体"/>
                <w:b w:val="0"/>
                <w:bCs/>
                <w:szCs w:val="21"/>
              </w:rPr>
              <w:t>双有</w:t>
            </w:r>
          </w:p>
        </w:tc>
        <w:tc>
          <w:tcPr>
            <w:tcW w:w="789" w:type="pct"/>
            <w:vAlign w:val="center"/>
          </w:tcPr>
          <w:p w14:paraId="05DE641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EBA4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3CC8B2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09#</w:t>
            </w:r>
            <w:r>
              <w:rPr>
                <w:rFonts w:hint="eastAsia" w:ascii="宋体" w:hAnsi="宋体" w:cs="Arial"/>
                <w:b w:val="0"/>
                <w:bCs/>
                <w:szCs w:val="21"/>
              </w:rPr>
              <w:t>黑火药库</w:t>
            </w:r>
          </w:p>
        </w:tc>
        <w:tc>
          <w:tcPr>
            <w:tcW w:w="367" w:type="pct"/>
            <w:shd w:val="clear" w:color="auto" w:fill="auto"/>
            <w:vAlign w:val="center"/>
          </w:tcPr>
          <w:p w14:paraId="690261D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B6FF0FD">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316" w:type="pct"/>
            <w:shd w:val="clear" w:color="auto" w:fill="auto"/>
            <w:vAlign w:val="center"/>
          </w:tcPr>
          <w:p w14:paraId="307CCDC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10#</w:t>
            </w:r>
            <w:r>
              <w:rPr>
                <w:rFonts w:hint="eastAsia" w:ascii="宋体" w:hAnsi="宋体"/>
                <w:b w:val="0"/>
                <w:bCs/>
                <w:spacing w:val="-4"/>
                <w:szCs w:val="21"/>
              </w:rPr>
              <w:t>黑火药库</w:t>
            </w:r>
          </w:p>
          <w:p w14:paraId="3EEE7FFE">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74" w:type="pct"/>
            <w:shd w:val="clear" w:color="auto" w:fill="auto"/>
            <w:vAlign w:val="center"/>
          </w:tcPr>
          <w:p w14:paraId="5EB0F80E">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4629278C">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97" w:type="pct"/>
            <w:vAlign w:val="center"/>
          </w:tcPr>
          <w:p w14:paraId="33DF065E">
            <w:pPr>
              <w:jc w:val="center"/>
              <w:rPr>
                <w:rFonts w:ascii="宋体" w:hAnsi="宋体"/>
                <w:b w:val="0"/>
                <w:bCs/>
                <w:szCs w:val="21"/>
              </w:rPr>
            </w:pPr>
            <w:r>
              <w:rPr>
                <w:rFonts w:hint="eastAsia" w:ascii="宋体" w:hAnsi="宋体"/>
                <w:b w:val="0"/>
                <w:bCs/>
                <w:szCs w:val="21"/>
              </w:rPr>
              <w:t>双有</w:t>
            </w:r>
          </w:p>
        </w:tc>
        <w:tc>
          <w:tcPr>
            <w:tcW w:w="789" w:type="pct"/>
            <w:vAlign w:val="center"/>
          </w:tcPr>
          <w:p w14:paraId="0E041C31">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05974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B5CF42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10#</w:t>
            </w:r>
            <w:r>
              <w:rPr>
                <w:rFonts w:hint="eastAsia" w:ascii="宋体" w:hAnsi="宋体" w:cs="Arial"/>
                <w:b w:val="0"/>
                <w:bCs/>
                <w:szCs w:val="21"/>
              </w:rPr>
              <w:t>黑火药库</w:t>
            </w:r>
          </w:p>
        </w:tc>
        <w:tc>
          <w:tcPr>
            <w:tcW w:w="367" w:type="pct"/>
            <w:shd w:val="clear" w:color="auto" w:fill="auto"/>
            <w:vAlign w:val="center"/>
          </w:tcPr>
          <w:p w14:paraId="180EF4A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0CD6465">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316" w:type="pct"/>
            <w:shd w:val="clear" w:color="auto" w:fill="auto"/>
            <w:vAlign w:val="center"/>
          </w:tcPr>
          <w:p w14:paraId="32913E79">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11#</w:t>
            </w:r>
            <w:r>
              <w:rPr>
                <w:rFonts w:hint="eastAsia" w:ascii="宋体" w:hAnsi="宋体"/>
                <w:b w:val="0"/>
                <w:bCs/>
                <w:spacing w:val="-4"/>
                <w:szCs w:val="21"/>
              </w:rPr>
              <w:t>黑火药库</w:t>
            </w:r>
          </w:p>
          <w:p w14:paraId="0916824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74" w:type="pct"/>
            <w:shd w:val="clear" w:color="auto" w:fill="auto"/>
            <w:vAlign w:val="center"/>
          </w:tcPr>
          <w:p w14:paraId="3F8F8001">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7F2E8D63">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vAlign w:val="center"/>
          </w:tcPr>
          <w:p w14:paraId="37F305CD">
            <w:pPr>
              <w:jc w:val="center"/>
              <w:rPr>
                <w:rFonts w:ascii="宋体" w:hAnsi="宋体"/>
                <w:b w:val="0"/>
                <w:bCs/>
                <w:szCs w:val="21"/>
              </w:rPr>
            </w:pPr>
            <w:r>
              <w:rPr>
                <w:rFonts w:hint="eastAsia" w:ascii="宋体" w:hAnsi="宋体"/>
                <w:b w:val="0"/>
                <w:bCs/>
                <w:szCs w:val="21"/>
              </w:rPr>
              <w:t>双有</w:t>
            </w:r>
          </w:p>
        </w:tc>
        <w:tc>
          <w:tcPr>
            <w:tcW w:w="789" w:type="pct"/>
            <w:vAlign w:val="center"/>
          </w:tcPr>
          <w:p w14:paraId="0132669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C491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1680C9E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11#</w:t>
            </w:r>
            <w:r>
              <w:rPr>
                <w:rFonts w:hint="eastAsia" w:ascii="宋体" w:hAnsi="宋体" w:cs="Arial"/>
                <w:b w:val="0"/>
                <w:bCs/>
                <w:szCs w:val="21"/>
              </w:rPr>
              <w:t>黑火药库</w:t>
            </w:r>
          </w:p>
        </w:tc>
        <w:tc>
          <w:tcPr>
            <w:tcW w:w="367" w:type="pct"/>
            <w:shd w:val="clear" w:color="auto" w:fill="auto"/>
            <w:vAlign w:val="center"/>
          </w:tcPr>
          <w:p w14:paraId="65CD809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7CAA569">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316" w:type="pct"/>
            <w:shd w:val="clear" w:color="auto" w:fill="auto"/>
            <w:vAlign w:val="center"/>
          </w:tcPr>
          <w:p w14:paraId="54386B8F">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12#</w:t>
            </w:r>
            <w:r>
              <w:rPr>
                <w:rFonts w:hint="eastAsia" w:ascii="宋体" w:hAnsi="宋体"/>
                <w:b w:val="0"/>
                <w:bCs/>
                <w:spacing w:val="-4"/>
                <w:szCs w:val="21"/>
              </w:rPr>
              <w:t>黑火药库</w:t>
            </w:r>
          </w:p>
          <w:p w14:paraId="1383328E">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74" w:type="pct"/>
            <w:shd w:val="clear" w:color="auto" w:fill="auto"/>
            <w:vAlign w:val="center"/>
          </w:tcPr>
          <w:p w14:paraId="2B3730C1">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69" w:type="pct"/>
            <w:shd w:val="clear" w:color="auto" w:fill="auto"/>
            <w:vAlign w:val="center"/>
          </w:tcPr>
          <w:p w14:paraId="7F56144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vAlign w:val="center"/>
          </w:tcPr>
          <w:p w14:paraId="2455FD62">
            <w:pPr>
              <w:jc w:val="center"/>
              <w:rPr>
                <w:rFonts w:ascii="宋体" w:hAnsi="宋体"/>
                <w:b w:val="0"/>
                <w:bCs/>
                <w:szCs w:val="21"/>
              </w:rPr>
            </w:pPr>
            <w:r>
              <w:rPr>
                <w:rFonts w:hint="eastAsia" w:ascii="宋体" w:hAnsi="宋体"/>
                <w:b w:val="0"/>
                <w:bCs/>
                <w:szCs w:val="21"/>
              </w:rPr>
              <w:t>双有</w:t>
            </w:r>
          </w:p>
        </w:tc>
        <w:tc>
          <w:tcPr>
            <w:tcW w:w="789" w:type="pct"/>
            <w:vAlign w:val="center"/>
          </w:tcPr>
          <w:p w14:paraId="11E6549F">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013AC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C18341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r>
              <w:rPr>
                <w:rFonts w:hint="eastAsia" w:ascii="宋体" w:hAnsi="宋体" w:cs="Arial"/>
                <w:b w:val="0"/>
                <w:bCs/>
                <w:szCs w:val="21"/>
              </w:rPr>
              <w:t>黑火药库</w:t>
            </w:r>
          </w:p>
        </w:tc>
        <w:tc>
          <w:tcPr>
            <w:tcW w:w="367" w:type="pct"/>
            <w:shd w:val="clear" w:color="auto" w:fill="auto"/>
            <w:vAlign w:val="center"/>
          </w:tcPr>
          <w:p w14:paraId="37940F1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6145F17">
            <w:pPr>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316" w:type="pct"/>
            <w:shd w:val="clear" w:color="auto" w:fill="auto"/>
            <w:vAlign w:val="center"/>
          </w:tcPr>
          <w:p w14:paraId="1690DED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13#</w:t>
            </w:r>
            <w:r>
              <w:rPr>
                <w:rFonts w:hint="eastAsia" w:ascii="宋体" w:hAnsi="宋体"/>
                <w:b w:val="0"/>
                <w:bCs/>
                <w:spacing w:val="-4"/>
                <w:szCs w:val="21"/>
              </w:rPr>
              <w:t>黑火药库</w:t>
            </w:r>
          </w:p>
          <w:p w14:paraId="4EC247CE">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2000kg</w:t>
            </w:r>
            <w:r>
              <w:rPr>
                <w:rFonts w:hint="eastAsia" w:ascii="宋体" w:hAnsi="宋体"/>
                <w:b w:val="0"/>
                <w:bCs/>
                <w:spacing w:val="-4"/>
                <w:szCs w:val="21"/>
              </w:rPr>
              <w:t>）</w:t>
            </w:r>
          </w:p>
        </w:tc>
        <w:tc>
          <w:tcPr>
            <w:tcW w:w="374" w:type="pct"/>
            <w:shd w:val="clear" w:color="auto" w:fill="auto"/>
            <w:vAlign w:val="center"/>
          </w:tcPr>
          <w:p w14:paraId="0E499849">
            <w:pPr>
              <w:jc w:val="center"/>
              <w:rPr>
                <w:rFonts w:ascii="宋体" w:hAnsi="宋体"/>
                <w:b w:val="0"/>
                <w:bCs/>
                <w:spacing w:val="-4"/>
                <w:kern w:val="0"/>
                <w:szCs w:val="21"/>
              </w:rPr>
            </w:pPr>
            <w:r>
              <w:rPr>
                <w:rFonts w:ascii="宋体" w:hAnsi="宋体"/>
                <w:b w:val="0"/>
                <w:bCs/>
                <w:spacing w:val="-4"/>
                <w:kern w:val="0"/>
                <w:szCs w:val="21"/>
              </w:rPr>
              <w:t>20</w:t>
            </w:r>
          </w:p>
        </w:tc>
        <w:tc>
          <w:tcPr>
            <w:tcW w:w="369" w:type="pct"/>
            <w:shd w:val="clear" w:color="auto" w:fill="auto"/>
            <w:vAlign w:val="center"/>
          </w:tcPr>
          <w:p w14:paraId="3863D1F5">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97" w:type="pct"/>
            <w:vAlign w:val="center"/>
          </w:tcPr>
          <w:p w14:paraId="687A68A3">
            <w:pPr>
              <w:jc w:val="center"/>
              <w:rPr>
                <w:rFonts w:ascii="宋体" w:hAnsi="宋体"/>
                <w:b w:val="0"/>
                <w:bCs/>
                <w:szCs w:val="21"/>
              </w:rPr>
            </w:pPr>
            <w:r>
              <w:rPr>
                <w:rFonts w:hint="eastAsia" w:ascii="宋体" w:hAnsi="宋体"/>
                <w:b w:val="0"/>
                <w:bCs/>
                <w:szCs w:val="21"/>
              </w:rPr>
              <w:t>双有</w:t>
            </w:r>
          </w:p>
        </w:tc>
        <w:tc>
          <w:tcPr>
            <w:tcW w:w="789" w:type="pct"/>
            <w:vAlign w:val="center"/>
          </w:tcPr>
          <w:p w14:paraId="3B0D1DBE">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F4FB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468DC77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13#</w:t>
            </w:r>
            <w:r>
              <w:rPr>
                <w:rFonts w:hint="eastAsia" w:ascii="宋体" w:hAnsi="宋体" w:cs="Arial"/>
                <w:b w:val="0"/>
                <w:bCs/>
                <w:szCs w:val="21"/>
              </w:rPr>
              <w:t>黑火药库</w:t>
            </w:r>
          </w:p>
        </w:tc>
        <w:tc>
          <w:tcPr>
            <w:tcW w:w="367" w:type="pct"/>
            <w:shd w:val="clear" w:color="auto" w:fill="auto"/>
            <w:vAlign w:val="center"/>
          </w:tcPr>
          <w:p w14:paraId="4828DE9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2F12AE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w:t>
            </w:r>
          </w:p>
        </w:tc>
        <w:tc>
          <w:tcPr>
            <w:tcW w:w="1316" w:type="pct"/>
            <w:shd w:val="clear" w:color="auto" w:fill="auto"/>
            <w:vAlign w:val="center"/>
          </w:tcPr>
          <w:p w14:paraId="590832D7">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14#</w:t>
            </w:r>
            <w:r>
              <w:rPr>
                <w:rFonts w:hint="eastAsia" w:ascii="宋体" w:hAnsi="宋体"/>
                <w:b w:val="0"/>
                <w:bCs/>
                <w:spacing w:val="-4"/>
                <w:szCs w:val="21"/>
              </w:rPr>
              <w:t>值班室</w:t>
            </w:r>
          </w:p>
        </w:tc>
        <w:tc>
          <w:tcPr>
            <w:tcW w:w="374" w:type="pct"/>
            <w:shd w:val="clear" w:color="auto" w:fill="auto"/>
            <w:vAlign w:val="center"/>
          </w:tcPr>
          <w:p w14:paraId="2A934829">
            <w:pPr>
              <w:jc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4</w:t>
            </w:r>
          </w:p>
        </w:tc>
        <w:tc>
          <w:tcPr>
            <w:tcW w:w="369" w:type="pct"/>
            <w:shd w:val="clear" w:color="auto" w:fill="auto"/>
            <w:vAlign w:val="center"/>
          </w:tcPr>
          <w:p w14:paraId="6F440F8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15</w:t>
            </w:r>
          </w:p>
        </w:tc>
        <w:tc>
          <w:tcPr>
            <w:tcW w:w="397" w:type="pct"/>
            <w:vAlign w:val="center"/>
          </w:tcPr>
          <w:p w14:paraId="2113B410">
            <w:pPr>
              <w:jc w:val="center"/>
              <w:rPr>
                <w:rFonts w:ascii="宋体" w:hAnsi="宋体"/>
                <w:b w:val="0"/>
                <w:bCs/>
                <w:szCs w:val="21"/>
              </w:rPr>
            </w:pPr>
            <w:r>
              <w:rPr>
                <w:rFonts w:hint="eastAsia" w:ascii="宋体" w:hAnsi="宋体"/>
                <w:b w:val="0"/>
                <w:bCs/>
                <w:szCs w:val="21"/>
              </w:rPr>
              <w:t>双有</w:t>
            </w:r>
          </w:p>
        </w:tc>
        <w:tc>
          <w:tcPr>
            <w:tcW w:w="789" w:type="pct"/>
            <w:vAlign w:val="center"/>
          </w:tcPr>
          <w:p w14:paraId="0BEF8862">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.3.6-2</w:t>
            </w:r>
          </w:p>
        </w:tc>
      </w:tr>
      <w:tr w14:paraId="547A0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148C5C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19#</w:t>
            </w:r>
            <w:r>
              <w:rPr>
                <w:rFonts w:hint="eastAsia" w:ascii="宋体" w:hAnsi="宋体" w:cs="Arial"/>
                <w:b w:val="0"/>
                <w:bCs/>
                <w:szCs w:val="21"/>
              </w:rPr>
              <w:t>包装中转</w:t>
            </w:r>
          </w:p>
        </w:tc>
        <w:tc>
          <w:tcPr>
            <w:tcW w:w="367" w:type="pct"/>
            <w:shd w:val="clear" w:color="auto" w:fill="auto"/>
            <w:vAlign w:val="center"/>
          </w:tcPr>
          <w:p w14:paraId="4FD8DC2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D81C098">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5C6628F">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33#</w:t>
            </w:r>
            <w:r>
              <w:rPr>
                <w:rFonts w:hint="eastAsia" w:ascii="宋体" w:hAnsi="宋体"/>
                <w:b w:val="0"/>
                <w:bCs/>
                <w:spacing w:val="-4"/>
                <w:szCs w:val="21"/>
              </w:rPr>
              <w:t>包装材料间/更衣室</w:t>
            </w:r>
          </w:p>
        </w:tc>
        <w:tc>
          <w:tcPr>
            <w:tcW w:w="374" w:type="pct"/>
            <w:shd w:val="clear" w:color="auto" w:fill="auto"/>
            <w:vAlign w:val="center"/>
          </w:tcPr>
          <w:p w14:paraId="26BFCB89">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69" w:type="pct"/>
            <w:shd w:val="clear" w:color="auto" w:fill="auto"/>
            <w:vAlign w:val="center"/>
          </w:tcPr>
          <w:p w14:paraId="26F01A77">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97" w:type="pct"/>
            <w:vAlign w:val="center"/>
          </w:tcPr>
          <w:p w14:paraId="64341CF2">
            <w:pPr>
              <w:jc w:val="center"/>
              <w:rPr>
                <w:rFonts w:ascii="宋体" w:hAnsi="宋体"/>
                <w:b w:val="0"/>
                <w:bCs/>
                <w:szCs w:val="21"/>
              </w:rPr>
            </w:pPr>
            <w:r>
              <w:rPr>
                <w:rFonts w:hint="eastAsia" w:ascii="宋体" w:hAnsi="宋体"/>
                <w:b w:val="0"/>
                <w:bCs/>
                <w:szCs w:val="21"/>
              </w:rPr>
              <w:t>单有</w:t>
            </w:r>
          </w:p>
        </w:tc>
        <w:tc>
          <w:tcPr>
            <w:tcW w:w="789" w:type="pct"/>
            <w:vAlign w:val="center"/>
          </w:tcPr>
          <w:p w14:paraId="3E47685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4F75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978B5CC">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r>
              <w:rPr>
                <w:rFonts w:hint="eastAsia" w:ascii="宋体" w:hAnsi="宋体" w:cs="Arial"/>
                <w:b w:val="0"/>
                <w:bCs/>
                <w:szCs w:val="21"/>
              </w:rPr>
              <w:t>包装中转</w:t>
            </w:r>
          </w:p>
        </w:tc>
        <w:tc>
          <w:tcPr>
            <w:tcW w:w="367" w:type="pct"/>
            <w:shd w:val="clear" w:color="auto" w:fill="auto"/>
            <w:vAlign w:val="center"/>
          </w:tcPr>
          <w:p w14:paraId="56E3471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82B6AD0">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4AD9A8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19#</w:t>
            </w:r>
            <w:r>
              <w:rPr>
                <w:rFonts w:hint="eastAsia" w:ascii="宋体" w:hAnsi="宋体"/>
                <w:b w:val="0"/>
                <w:bCs/>
                <w:spacing w:val="-4"/>
                <w:szCs w:val="21"/>
              </w:rPr>
              <w:t>包装中转</w:t>
            </w:r>
          </w:p>
          <w:p w14:paraId="730D4B1C">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600761D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6423C5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0610D1E3">
            <w:pPr>
              <w:jc w:val="center"/>
              <w:rPr>
                <w:rFonts w:ascii="宋体" w:hAnsi="宋体"/>
                <w:b w:val="0"/>
                <w:bCs/>
                <w:szCs w:val="21"/>
              </w:rPr>
            </w:pPr>
            <w:r>
              <w:rPr>
                <w:rFonts w:hint="eastAsia" w:ascii="宋体" w:hAnsi="宋体"/>
                <w:b w:val="0"/>
                <w:bCs/>
                <w:szCs w:val="21"/>
              </w:rPr>
              <w:t>双有</w:t>
            </w:r>
          </w:p>
        </w:tc>
        <w:tc>
          <w:tcPr>
            <w:tcW w:w="789" w:type="pct"/>
            <w:vAlign w:val="center"/>
          </w:tcPr>
          <w:p w14:paraId="4E50988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89BB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2012514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21#</w:t>
            </w:r>
            <w:r>
              <w:rPr>
                <w:rFonts w:hint="eastAsia" w:ascii="宋体" w:hAnsi="宋体" w:cs="Arial"/>
                <w:b w:val="0"/>
                <w:bCs/>
                <w:szCs w:val="21"/>
              </w:rPr>
              <w:t>包装中转</w:t>
            </w:r>
          </w:p>
        </w:tc>
        <w:tc>
          <w:tcPr>
            <w:tcW w:w="367" w:type="pct"/>
            <w:shd w:val="clear" w:color="auto" w:fill="auto"/>
            <w:vAlign w:val="center"/>
          </w:tcPr>
          <w:p w14:paraId="79C3BAA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64DC4732">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71A441B9">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20#</w:t>
            </w:r>
            <w:r>
              <w:rPr>
                <w:rFonts w:hint="eastAsia" w:ascii="宋体" w:hAnsi="宋体"/>
                <w:b w:val="0"/>
                <w:bCs/>
                <w:spacing w:val="-4"/>
                <w:szCs w:val="21"/>
              </w:rPr>
              <w:t>包装中转</w:t>
            </w:r>
          </w:p>
          <w:p w14:paraId="457A3A0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7D105CD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77C625C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97" w:type="pct"/>
            <w:vAlign w:val="center"/>
          </w:tcPr>
          <w:p w14:paraId="07A336F5">
            <w:pPr>
              <w:jc w:val="center"/>
              <w:rPr>
                <w:rFonts w:ascii="宋体" w:hAnsi="宋体"/>
                <w:b w:val="0"/>
                <w:bCs/>
                <w:szCs w:val="21"/>
              </w:rPr>
            </w:pPr>
            <w:r>
              <w:rPr>
                <w:rFonts w:hint="eastAsia" w:ascii="宋体" w:hAnsi="宋体"/>
                <w:b w:val="0"/>
                <w:bCs/>
                <w:szCs w:val="21"/>
              </w:rPr>
              <w:t>双有</w:t>
            </w:r>
          </w:p>
        </w:tc>
        <w:tc>
          <w:tcPr>
            <w:tcW w:w="789" w:type="pct"/>
            <w:vAlign w:val="center"/>
          </w:tcPr>
          <w:p w14:paraId="1B80006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3222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28AE5842">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22#</w:t>
            </w:r>
            <w:r>
              <w:rPr>
                <w:rFonts w:hint="eastAsia" w:ascii="宋体" w:hAnsi="宋体" w:cs="Arial"/>
                <w:b w:val="0"/>
                <w:bCs/>
                <w:szCs w:val="21"/>
              </w:rPr>
              <w:t>包装</w:t>
            </w:r>
          </w:p>
        </w:tc>
        <w:tc>
          <w:tcPr>
            <w:tcW w:w="367" w:type="pct"/>
            <w:vMerge w:val="restart"/>
            <w:shd w:val="clear" w:color="auto" w:fill="auto"/>
            <w:vAlign w:val="center"/>
          </w:tcPr>
          <w:p w14:paraId="437CA81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2049DC44">
            <w:pPr>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316" w:type="pct"/>
            <w:shd w:val="clear" w:color="auto" w:fill="auto"/>
            <w:vAlign w:val="center"/>
          </w:tcPr>
          <w:p w14:paraId="4C93E8F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21#</w:t>
            </w:r>
            <w:r>
              <w:rPr>
                <w:rFonts w:hint="eastAsia" w:ascii="宋体" w:hAnsi="宋体"/>
                <w:b w:val="0"/>
                <w:bCs/>
                <w:spacing w:val="-4"/>
                <w:szCs w:val="21"/>
              </w:rPr>
              <w:t>包装中转</w:t>
            </w:r>
          </w:p>
          <w:p w14:paraId="615DBB9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63F1E0CC">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5149EF9D">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1C7A3D64">
            <w:pPr>
              <w:jc w:val="center"/>
              <w:rPr>
                <w:rFonts w:ascii="宋体" w:hAnsi="宋体"/>
                <w:b w:val="0"/>
                <w:bCs/>
                <w:szCs w:val="21"/>
              </w:rPr>
            </w:pPr>
            <w:r>
              <w:rPr>
                <w:rFonts w:hint="eastAsia" w:ascii="宋体" w:hAnsi="宋体"/>
                <w:b w:val="0"/>
                <w:bCs/>
                <w:szCs w:val="21"/>
              </w:rPr>
              <w:t>双有</w:t>
            </w:r>
          </w:p>
        </w:tc>
        <w:tc>
          <w:tcPr>
            <w:tcW w:w="789" w:type="pct"/>
            <w:vAlign w:val="center"/>
          </w:tcPr>
          <w:p w14:paraId="1891F9A0">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BF7D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419308BA">
            <w:pPr>
              <w:jc w:val="center"/>
              <w:rPr>
                <w:rFonts w:ascii="宋体" w:hAnsi="宋体" w:cs="Arial"/>
                <w:b w:val="0"/>
                <w:bCs/>
                <w:szCs w:val="21"/>
              </w:rPr>
            </w:pPr>
          </w:p>
        </w:tc>
        <w:tc>
          <w:tcPr>
            <w:tcW w:w="367" w:type="pct"/>
            <w:vMerge w:val="continue"/>
            <w:shd w:val="clear" w:color="auto" w:fill="auto"/>
            <w:vAlign w:val="center"/>
          </w:tcPr>
          <w:p w14:paraId="40C2A06F">
            <w:pPr>
              <w:jc w:val="center"/>
              <w:rPr>
                <w:rFonts w:ascii="宋体" w:hAnsi="宋体" w:cs="Arial"/>
                <w:b w:val="0"/>
                <w:bCs/>
                <w:szCs w:val="21"/>
              </w:rPr>
            </w:pPr>
          </w:p>
        </w:tc>
        <w:tc>
          <w:tcPr>
            <w:tcW w:w="513" w:type="pct"/>
            <w:vMerge w:val="continue"/>
            <w:shd w:val="clear" w:color="auto" w:fill="auto"/>
            <w:vAlign w:val="center"/>
          </w:tcPr>
          <w:p w14:paraId="0591AC80">
            <w:pPr>
              <w:jc w:val="center"/>
              <w:rPr>
                <w:rFonts w:ascii="宋体" w:hAnsi="宋体" w:cs="Arial"/>
                <w:b w:val="0"/>
                <w:bCs/>
                <w:szCs w:val="21"/>
              </w:rPr>
            </w:pPr>
          </w:p>
        </w:tc>
        <w:tc>
          <w:tcPr>
            <w:tcW w:w="1316" w:type="pct"/>
            <w:shd w:val="clear" w:color="auto" w:fill="auto"/>
            <w:vAlign w:val="center"/>
          </w:tcPr>
          <w:p w14:paraId="40936CBD">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23#</w:t>
            </w:r>
            <w:r>
              <w:rPr>
                <w:rFonts w:hint="eastAsia" w:ascii="宋体" w:hAnsi="宋体"/>
                <w:b w:val="0"/>
                <w:bCs/>
                <w:spacing w:val="-4"/>
                <w:szCs w:val="21"/>
              </w:rPr>
              <w:t>工具间</w:t>
            </w:r>
          </w:p>
        </w:tc>
        <w:tc>
          <w:tcPr>
            <w:tcW w:w="374" w:type="pct"/>
            <w:shd w:val="clear" w:color="auto" w:fill="auto"/>
            <w:vAlign w:val="center"/>
          </w:tcPr>
          <w:p w14:paraId="72BF5803">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31A064A0">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97" w:type="pct"/>
            <w:vAlign w:val="center"/>
          </w:tcPr>
          <w:p w14:paraId="71411993">
            <w:pPr>
              <w:jc w:val="center"/>
              <w:rPr>
                <w:rFonts w:ascii="宋体" w:hAnsi="宋体"/>
                <w:b w:val="0"/>
                <w:bCs/>
                <w:szCs w:val="21"/>
              </w:rPr>
            </w:pPr>
            <w:r>
              <w:rPr>
                <w:rFonts w:hint="eastAsia" w:ascii="宋体" w:hAnsi="宋体"/>
                <w:b w:val="0"/>
                <w:bCs/>
                <w:szCs w:val="21"/>
              </w:rPr>
              <w:t>双有</w:t>
            </w:r>
          </w:p>
        </w:tc>
        <w:tc>
          <w:tcPr>
            <w:tcW w:w="789" w:type="pct"/>
            <w:vAlign w:val="center"/>
          </w:tcPr>
          <w:p w14:paraId="697F193B">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461D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restart"/>
            <w:shd w:val="clear" w:color="auto" w:fill="auto"/>
            <w:vAlign w:val="center"/>
          </w:tcPr>
          <w:p w14:paraId="7F0A943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24#</w:t>
            </w:r>
            <w:r>
              <w:rPr>
                <w:rFonts w:hint="eastAsia" w:ascii="宋体" w:hAnsi="宋体" w:cs="Arial"/>
                <w:b w:val="0"/>
                <w:bCs/>
                <w:szCs w:val="21"/>
              </w:rPr>
              <w:t>筛选中转</w:t>
            </w:r>
          </w:p>
        </w:tc>
        <w:tc>
          <w:tcPr>
            <w:tcW w:w="367" w:type="pct"/>
            <w:vMerge w:val="restart"/>
            <w:shd w:val="clear" w:color="auto" w:fill="auto"/>
            <w:vAlign w:val="center"/>
          </w:tcPr>
          <w:p w14:paraId="53E59D49">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vMerge w:val="restart"/>
            <w:shd w:val="clear" w:color="auto" w:fill="auto"/>
            <w:vAlign w:val="center"/>
          </w:tcPr>
          <w:p w14:paraId="2ACFCB1E">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00B01053">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22#</w:t>
            </w:r>
            <w:r>
              <w:rPr>
                <w:rFonts w:hint="eastAsia" w:ascii="宋体" w:hAnsi="宋体"/>
                <w:b w:val="0"/>
                <w:bCs/>
                <w:spacing w:val="-4"/>
                <w:szCs w:val="21"/>
              </w:rPr>
              <w:t>包装</w:t>
            </w:r>
          </w:p>
          <w:p w14:paraId="7D6EEC2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74" w:type="pct"/>
            <w:shd w:val="clear" w:color="auto" w:fill="auto"/>
            <w:vAlign w:val="center"/>
          </w:tcPr>
          <w:p w14:paraId="2365C619">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126D61C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9</w:t>
            </w:r>
          </w:p>
        </w:tc>
        <w:tc>
          <w:tcPr>
            <w:tcW w:w="397" w:type="pct"/>
            <w:vAlign w:val="center"/>
          </w:tcPr>
          <w:p w14:paraId="094C1D8E">
            <w:pPr>
              <w:jc w:val="center"/>
              <w:rPr>
                <w:rFonts w:ascii="宋体" w:hAnsi="宋体"/>
                <w:b w:val="0"/>
                <w:bCs/>
                <w:szCs w:val="21"/>
              </w:rPr>
            </w:pPr>
            <w:r>
              <w:rPr>
                <w:rFonts w:hint="eastAsia" w:ascii="宋体" w:hAnsi="宋体"/>
                <w:b w:val="0"/>
                <w:bCs/>
                <w:szCs w:val="21"/>
              </w:rPr>
              <w:t>双有</w:t>
            </w:r>
          </w:p>
        </w:tc>
        <w:tc>
          <w:tcPr>
            <w:tcW w:w="789" w:type="pct"/>
            <w:vAlign w:val="center"/>
          </w:tcPr>
          <w:p w14:paraId="48168E67">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BB4F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vMerge w:val="continue"/>
            <w:shd w:val="clear" w:color="auto" w:fill="auto"/>
            <w:vAlign w:val="center"/>
          </w:tcPr>
          <w:p w14:paraId="58E72259">
            <w:pPr>
              <w:jc w:val="center"/>
              <w:rPr>
                <w:rFonts w:ascii="宋体" w:hAnsi="宋体" w:cs="Arial"/>
                <w:b w:val="0"/>
                <w:bCs/>
                <w:szCs w:val="21"/>
              </w:rPr>
            </w:pPr>
          </w:p>
        </w:tc>
        <w:tc>
          <w:tcPr>
            <w:tcW w:w="367" w:type="pct"/>
            <w:vMerge w:val="continue"/>
            <w:shd w:val="clear" w:color="auto" w:fill="auto"/>
            <w:vAlign w:val="center"/>
          </w:tcPr>
          <w:p w14:paraId="361D8BE5">
            <w:pPr>
              <w:jc w:val="center"/>
              <w:rPr>
                <w:rFonts w:ascii="宋体" w:hAnsi="宋体" w:cs="Arial"/>
                <w:b w:val="0"/>
                <w:bCs/>
                <w:szCs w:val="21"/>
              </w:rPr>
            </w:pPr>
          </w:p>
        </w:tc>
        <w:tc>
          <w:tcPr>
            <w:tcW w:w="513" w:type="pct"/>
            <w:vMerge w:val="continue"/>
            <w:shd w:val="clear" w:color="auto" w:fill="auto"/>
            <w:vAlign w:val="center"/>
          </w:tcPr>
          <w:p w14:paraId="268CA8AF">
            <w:pPr>
              <w:jc w:val="center"/>
              <w:rPr>
                <w:rFonts w:ascii="宋体" w:hAnsi="宋体" w:cs="Arial"/>
                <w:b w:val="0"/>
                <w:bCs/>
                <w:szCs w:val="21"/>
              </w:rPr>
            </w:pPr>
          </w:p>
        </w:tc>
        <w:tc>
          <w:tcPr>
            <w:tcW w:w="1316" w:type="pct"/>
            <w:shd w:val="clear" w:color="auto" w:fill="auto"/>
            <w:vAlign w:val="center"/>
          </w:tcPr>
          <w:p w14:paraId="7D3008E7">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23#</w:t>
            </w:r>
            <w:r>
              <w:rPr>
                <w:rFonts w:hint="eastAsia" w:ascii="宋体" w:hAnsi="宋体"/>
                <w:b w:val="0"/>
                <w:bCs/>
                <w:spacing w:val="-4"/>
                <w:szCs w:val="21"/>
              </w:rPr>
              <w:t>工具间</w:t>
            </w:r>
          </w:p>
        </w:tc>
        <w:tc>
          <w:tcPr>
            <w:tcW w:w="374" w:type="pct"/>
            <w:shd w:val="clear" w:color="auto" w:fill="auto"/>
            <w:vAlign w:val="center"/>
          </w:tcPr>
          <w:p w14:paraId="36D28320">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44FD2A2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3</w:t>
            </w:r>
          </w:p>
        </w:tc>
        <w:tc>
          <w:tcPr>
            <w:tcW w:w="397" w:type="pct"/>
            <w:vAlign w:val="center"/>
          </w:tcPr>
          <w:p w14:paraId="3F481275">
            <w:pPr>
              <w:jc w:val="center"/>
              <w:rPr>
                <w:rFonts w:ascii="宋体" w:hAnsi="宋体"/>
                <w:b w:val="0"/>
                <w:bCs/>
                <w:szCs w:val="21"/>
              </w:rPr>
            </w:pPr>
            <w:r>
              <w:rPr>
                <w:rFonts w:hint="eastAsia" w:ascii="宋体" w:hAnsi="宋体"/>
                <w:b w:val="0"/>
                <w:bCs/>
                <w:szCs w:val="21"/>
              </w:rPr>
              <w:t>双有</w:t>
            </w:r>
          </w:p>
        </w:tc>
        <w:tc>
          <w:tcPr>
            <w:tcW w:w="789" w:type="pct"/>
            <w:vAlign w:val="center"/>
          </w:tcPr>
          <w:p w14:paraId="4AF8F3FC">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E76606E">
        <w:tblPrEx>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777946D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25#</w:t>
            </w:r>
            <w:r>
              <w:rPr>
                <w:rFonts w:hint="eastAsia" w:ascii="宋体" w:hAnsi="宋体" w:cs="Arial"/>
                <w:b w:val="0"/>
                <w:bCs/>
                <w:szCs w:val="21"/>
              </w:rPr>
              <w:t>筛选中转</w:t>
            </w:r>
          </w:p>
        </w:tc>
        <w:tc>
          <w:tcPr>
            <w:tcW w:w="367" w:type="pct"/>
            <w:shd w:val="clear" w:color="auto" w:fill="auto"/>
            <w:vAlign w:val="center"/>
          </w:tcPr>
          <w:p w14:paraId="029E8E01">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17BA7A55">
            <w:pPr>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316" w:type="pct"/>
            <w:shd w:val="clear" w:color="auto" w:fill="auto"/>
            <w:vAlign w:val="center"/>
          </w:tcPr>
          <w:p w14:paraId="67F3CAAC">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24#</w:t>
            </w:r>
            <w:r>
              <w:rPr>
                <w:rFonts w:hint="eastAsia" w:ascii="宋体" w:hAnsi="宋体"/>
                <w:b w:val="0"/>
                <w:bCs/>
                <w:spacing w:val="-4"/>
                <w:szCs w:val="21"/>
              </w:rPr>
              <w:t>筛选中转</w:t>
            </w:r>
          </w:p>
          <w:p w14:paraId="0EB3176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0794B77D">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69" w:type="pct"/>
            <w:shd w:val="clear" w:color="auto" w:fill="auto"/>
            <w:vAlign w:val="center"/>
          </w:tcPr>
          <w:p w14:paraId="6F4FE251">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97" w:type="pct"/>
            <w:vAlign w:val="center"/>
          </w:tcPr>
          <w:p w14:paraId="66AA2832">
            <w:pPr>
              <w:jc w:val="center"/>
              <w:rPr>
                <w:rFonts w:ascii="宋体" w:hAnsi="宋体"/>
                <w:b w:val="0"/>
                <w:bCs/>
                <w:szCs w:val="21"/>
              </w:rPr>
            </w:pPr>
            <w:r>
              <w:rPr>
                <w:rFonts w:hint="eastAsia" w:ascii="宋体" w:hAnsi="宋体"/>
                <w:b w:val="0"/>
                <w:bCs/>
                <w:szCs w:val="21"/>
              </w:rPr>
              <w:t>双有</w:t>
            </w:r>
          </w:p>
        </w:tc>
        <w:tc>
          <w:tcPr>
            <w:tcW w:w="789" w:type="pct"/>
            <w:vAlign w:val="center"/>
          </w:tcPr>
          <w:p w14:paraId="28D50039">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DDAA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E5E07A4">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26#</w:t>
            </w:r>
            <w:r>
              <w:rPr>
                <w:rFonts w:hint="eastAsia" w:ascii="宋体" w:hAnsi="宋体" w:cs="Arial"/>
                <w:b w:val="0"/>
                <w:bCs/>
                <w:szCs w:val="21"/>
              </w:rPr>
              <w:t>硝酸钾中转</w:t>
            </w:r>
          </w:p>
        </w:tc>
        <w:tc>
          <w:tcPr>
            <w:tcW w:w="367" w:type="pct"/>
            <w:shd w:val="clear" w:color="auto" w:fill="auto"/>
            <w:vAlign w:val="center"/>
          </w:tcPr>
          <w:p w14:paraId="28581AD0">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513" w:type="pct"/>
            <w:shd w:val="clear" w:color="auto" w:fill="auto"/>
            <w:vAlign w:val="center"/>
          </w:tcPr>
          <w:p w14:paraId="5709575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316" w:type="pct"/>
            <w:shd w:val="clear" w:color="auto" w:fill="auto"/>
            <w:vAlign w:val="center"/>
          </w:tcPr>
          <w:p w14:paraId="1C68337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25#</w:t>
            </w:r>
            <w:r>
              <w:rPr>
                <w:rFonts w:hint="eastAsia" w:ascii="宋体" w:hAnsi="宋体"/>
                <w:b w:val="0"/>
                <w:bCs/>
                <w:spacing w:val="-4"/>
                <w:szCs w:val="21"/>
              </w:rPr>
              <w:t>筛选中转</w:t>
            </w:r>
          </w:p>
          <w:p w14:paraId="648A4E8A">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74" w:type="pct"/>
            <w:shd w:val="clear" w:color="auto" w:fill="auto"/>
            <w:vAlign w:val="center"/>
          </w:tcPr>
          <w:p w14:paraId="28F3F1D4">
            <w:pPr>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69" w:type="pct"/>
            <w:shd w:val="clear" w:color="auto" w:fill="auto"/>
            <w:vAlign w:val="center"/>
          </w:tcPr>
          <w:p w14:paraId="319128DC">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97" w:type="pct"/>
            <w:vAlign w:val="center"/>
          </w:tcPr>
          <w:p w14:paraId="28D94768">
            <w:pPr>
              <w:jc w:val="center"/>
              <w:rPr>
                <w:rFonts w:ascii="宋体" w:hAnsi="宋体"/>
                <w:b w:val="0"/>
                <w:bCs/>
                <w:szCs w:val="21"/>
              </w:rPr>
            </w:pPr>
            <w:r>
              <w:rPr>
                <w:rFonts w:hint="eastAsia" w:ascii="宋体" w:hAnsi="宋体"/>
                <w:b w:val="0"/>
                <w:bCs/>
                <w:szCs w:val="21"/>
              </w:rPr>
              <w:t>双有</w:t>
            </w:r>
          </w:p>
        </w:tc>
        <w:tc>
          <w:tcPr>
            <w:tcW w:w="789" w:type="pct"/>
            <w:vAlign w:val="center"/>
          </w:tcPr>
          <w:p w14:paraId="32951F33">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、表5</w:t>
            </w:r>
            <w:r>
              <w:rPr>
                <w:rFonts w:ascii="宋体" w:hAnsi="宋体" w:cs="宋体"/>
                <w:b w:val="0"/>
                <w:bCs/>
                <w:szCs w:val="21"/>
              </w:rPr>
              <w:t>.2.3</w:t>
            </w:r>
          </w:p>
        </w:tc>
      </w:tr>
      <w:tr w14:paraId="76E80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683C92B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29#</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67" w:type="pct"/>
            <w:shd w:val="clear" w:color="auto" w:fill="auto"/>
            <w:vAlign w:val="center"/>
          </w:tcPr>
          <w:p w14:paraId="76D5EE7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082B3A75">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316" w:type="pct"/>
            <w:shd w:val="clear" w:color="auto" w:fill="auto"/>
            <w:vAlign w:val="center"/>
          </w:tcPr>
          <w:p w14:paraId="7D6E5685">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28#</w:t>
            </w:r>
            <w:r>
              <w:rPr>
                <w:rFonts w:hint="eastAsia" w:ascii="宋体" w:hAnsi="宋体"/>
                <w:b w:val="0"/>
                <w:bCs/>
                <w:spacing w:val="-4"/>
                <w:szCs w:val="21"/>
              </w:rPr>
              <w:t>电控室</w:t>
            </w:r>
          </w:p>
        </w:tc>
        <w:tc>
          <w:tcPr>
            <w:tcW w:w="374" w:type="pct"/>
            <w:shd w:val="clear" w:color="auto" w:fill="auto"/>
            <w:vAlign w:val="center"/>
          </w:tcPr>
          <w:p w14:paraId="0CFA191E">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71A23D7B">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5</w:t>
            </w:r>
          </w:p>
        </w:tc>
        <w:tc>
          <w:tcPr>
            <w:tcW w:w="397" w:type="pct"/>
            <w:vAlign w:val="center"/>
          </w:tcPr>
          <w:p w14:paraId="781D909D">
            <w:pPr>
              <w:jc w:val="center"/>
              <w:rPr>
                <w:rFonts w:ascii="宋体" w:hAnsi="宋体"/>
                <w:b w:val="0"/>
                <w:bCs/>
                <w:szCs w:val="21"/>
              </w:rPr>
            </w:pPr>
            <w:r>
              <w:rPr>
                <w:rFonts w:hint="eastAsia" w:ascii="宋体" w:hAnsi="宋体"/>
                <w:b w:val="0"/>
                <w:bCs/>
                <w:szCs w:val="21"/>
              </w:rPr>
              <w:t>双有</w:t>
            </w:r>
          </w:p>
        </w:tc>
        <w:tc>
          <w:tcPr>
            <w:tcW w:w="789" w:type="pct"/>
            <w:vAlign w:val="center"/>
          </w:tcPr>
          <w:p w14:paraId="2141DDD5">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1520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3E28DB05">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30#</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67" w:type="pct"/>
            <w:shd w:val="clear" w:color="auto" w:fill="auto"/>
            <w:vAlign w:val="center"/>
          </w:tcPr>
          <w:p w14:paraId="406713AD">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4D6AAAEA">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316" w:type="pct"/>
            <w:shd w:val="clear" w:color="auto" w:fill="auto"/>
            <w:vAlign w:val="center"/>
          </w:tcPr>
          <w:p w14:paraId="102BAF66">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29#</w:t>
            </w:r>
            <w:r>
              <w:rPr>
                <w:rFonts w:hint="eastAsia" w:ascii="宋体" w:hAnsi="宋体"/>
                <w:b w:val="0"/>
                <w:bCs/>
                <w:spacing w:val="-4"/>
                <w:szCs w:val="21"/>
              </w:rPr>
              <w:t>三味球磨/筛选</w:t>
            </w:r>
          </w:p>
          <w:p w14:paraId="76F48E1B">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74" w:type="pct"/>
            <w:shd w:val="clear" w:color="auto" w:fill="auto"/>
            <w:vAlign w:val="center"/>
          </w:tcPr>
          <w:p w14:paraId="1EFC888A">
            <w:pPr>
              <w:jc w:val="center"/>
              <w:rPr>
                <w:rFonts w:ascii="宋体" w:hAnsi="宋体"/>
                <w:b w:val="0"/>
                <w:bCs/>
                <w:spacing w:val="-4"/>
                <w:kern w:val="0"/>
                <w:szCs w:val="21"/>
              </w:rPr>
            </w:pPr>
            <w:r>
              <w:rPr>
                <w:rFonts w:ascii="宋体" w:hAnsi="宋体"/>
                <w:b w:val="0"/>
                <w:bCs/>
                <w:spacing w:val="-4"/>
                <w:kern w:val="0"/>
                <w:szCs w:val="21"/>
              </w:rPr>
              <w:t>12</w:t>
            </w:r>
          </w:p>
        </w:tc>
        <w:tc>
          <w:tcPr>
            <w:tcW w:w="369" w:type="pct"/>
            <w:shd w:val="clear" w:color="auto" w:fill="auto"/>
            <w:vAlign w:val="center"/>
          </w:tcPr>
          <w:p w14:paraId="590ECACE">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97" w:type="pct"/>
            <w:vAlign w:val="center"/>
          </w:tcPr>
          <w:p w14:paraId="27873547">
            <w:pPr>
              <w:jc w:val="center"/>
              <w:rPr>
                <w:rFonts w:ascii="宋体" w:hAnsi="宋体"/>
                <w:b w:val="0"/>
                <w:bCs/>
                <w:szCs w:val="21"/>
              </w:rPr>
            </w:pPr>
            <w:r>
              <w:rPr>
                <w:rFonts w:hint="eastAsia" w:ascii="宋体" w:hAnsi="宋体"/>
                <w:b w:val="0"/>
                <w:bCs/>
                <w:szCs w:val="21"/>
              </w:rPr>
              <w:t>双有</w:t>
            </w:r>
          </w:p>
        </w:tc>
        <w:tc>
          <w:tcPr>
            <w:tcW w:w="789" w:type="pct"/>
            <w:vAlign w:val="center"/>
          </w:tcPr>
          <w:p w14:paraId="0913A29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E1B9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pct"/>
            <w:shd w:val="clear" w:color="auto" w:fill="auto"/>
            <w:vAlign w:val="center"/>
          </w:tcPr>
          <w:p w14:paraId="541220F6">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31#</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67" w:type="pct"/>
            <w:shd w:val="clear" w:color="auto" w:fill="auto"/>
            <w:vAlign w:val="center"/>
          </w:tcPr>
          <w:p w14:paraId="568758EE">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216B7AF4">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316" w:type="pct"/>
            <w:shd w:val="clear" w:color="auto" w:fill="auto"/>
            <w:vAlign w:val="center"/>
          </w:tcPr>
          <w:p w14:paraId="3358A9F9">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30#</w:t>
            </w:r>
            <w:r>
              <w:rPr>
                <w:rFonts w:hint="eastAsia" w:ascii="宋体" w:hAnsi="宋体"/>
                <w:b w:val="0"/>
                <w:bCs/>
                <w:spacing w:val="-4"/>
                <w:szCs w:val="21"/>
              </w:rPr>
              <w:t>三味球磨/筛选</w:t>
            </w:r>
          </w:p>
          <w:p w14:paraId="6B7D8C4C">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74" w:type="pct"/>
            <w:shd w:val="clear" w:color="auto" w:fill="auto"/>
            <w:vAlign w:val="center"/>
          </w:tcPr>
          <w:p w14:paraId="4A7C2D74">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18E8A012">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8</w:t>
            </w:r>
          </w:p>
        </w:tc>
        <w:tc>
          <w:tcPr>
            <w:tcW w:w="397" w:type="pct"/>
            <w:vAlign w:val="center"/>
          </w:tcPr>
          <w:p w14:paraId="2F519FB7">
            <w:pPr>
              <w:jc w:val="center"/>
              <w:rPr>
                <w:rFonts w:ascii="宋体" w:hAnsi="宋体"/>
                <w:b w:val="0"/>
                <w:bCs/>
                <w:szCs w:val="21"/>
              </w:rPr>
            </w:pPr>
            <w:r>
              <w:rPr>
                <w:rFonts w:hint="eastAsia" w:ascii="宋体" w:hAnsi="宋体"/>
                <w:b w:val="0"/>
                <w:bCs/>
                <w:szCs w:val="21"/>
              </w:rPr>
              <w:t>双有</w:t>
            </w:r>
          </w:p>
        </w:tc>
        <w:tc>
          <w:tcPr>
            <w:tcW w:w="789" w:type="pct"/>
            <w:vAlign w:val="center"/>
          </w:tcPr>
          <w:p w14:paraId="69690CC4">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5F62498">
        <w:tblPrEx>
          <w:tblCellMar>
            <w:top w:w="0" w:type="dxa"/>
            <w:left w:w="108" w:type="dxa"/>
            <w:bottom w:w="0" w:type="dxa"/>
            <w:right w:w="108" w:type="dxa"/>
          </w:tblCellMar>
        </w:tblPrEx>
        <w:trPr>
          <w:cantSplit/>
          <w:trHeight w:val="684" w:hRule="atLeast"/>
          <w:jc w:val="center"/>
        </w:trPr>
        <w:tc>
          <w:tcPr>
            <w:tcW w:w="875" w:type="pct"/>
            <w:shd w:val="clear" w:color="auto" w:fill="auto"/>
            <w:vAlign w:val="center"/>
          </w:tcPr>
          <w:p w14:paraId="04036F3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32#</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67" w:type="pct"/>
            <w:shd w:val="clear" w:color="auto" w:fill="auto"/>
            <w:vAlign w:val="center"/>
          </w:tcPr>
          <w:p w14:paraId="12CEE39B">
            <w:pPr>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513" w:type="pct"/>
            <w:shd w:val="clear" w:color="auto" w:fill="auto"/>
            <w:vAlign w:val="center"/>
          </w:tcPr>
          <w:p w14:paraId="25FE7B7D">
            <w:pPr>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316" w:type="pct"/>
            <w:shd w:val="clear" w:color="auto" w:fill="auto"/>
            <w:vAlign w:val="center"/>
          </w:tcPr>
          <w:p w14:paraId="2ED43D82">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31#</w:t>
            </w:r>
            <w:r>
              <w:rPr>
                <w:rFonts w:hint="eastAsia" w:ascii="宋体" w:hAnsi="宋体"/>
                <w:b w:val="0"/>
                <w:bCs/>
                <w:spacing w:val="-4"/>
                <w:szCs w:val="21"/>
              </w:rPr>
              <w:t>三味球磨/筛选</w:t>
            </w:r>
          </w:p>
          <w:p w14:paraId="1F486890">
            <w:pPr>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74" w:type="pct"/>
            <w:shd w:val="clear" w:color="auto" w:fill="auto"/>
            <w:vAlign w:val="center"/>
          </w:tcPr>
          <w:p w14:paraId="37E028F7">
            <w:pPr>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69" w:type="pct"/>
            <w:shd w:val="clear" w:color="auto" w:fill="auto"/>
            <w:vAlign w:val="center"/>
          </w:tcPr>
          <w:p w14:paraId="2D905E9A">
            <w:pPr>
              <w:widowControl/>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9</w:t>
            </w:r>
          </w:p>
        </w:tc>
        <w:tc>
          <w:tcPr>
            <w:tcW w:w="397" w:type="pct"/>
            <w:vAlign w:val="center"/>
          </w:tcPr>
          <w:p w14:paraId="168A0FBE">
            <w:pPr>
              <w:jc w:val="center"/>
              <w:rPr>
                <w:rFonts w:ascii="宋体" w:hAnsi="宋体"/>
                <w:b w:val="0"/>
                <w:bCs/>
                <w:szCs w:val="21"/>
              </w:rPr>
            </w:pPr>
            <w:r>
              <w:rPr>
                <w:rFonts w:hint="eastAsia" w:ascii="宋体" w:hAnsi="宋体"/>
                <w:b w:val="0"/>
                <w:bCs/>
                <w:szCs w:val="21"/>
              </w:rPr>
              <w:t>双有</w:t>
            </w:r>
          </w:p>
        </w:tc>
        <w:tc>
          <w:tcPr>
            <w:tcW w:w="789" w:type="pct"/>
            <w:vAlign w:val="center"/>
          </w:tcPr>
          <w:p w14:paraId="498A9EAD">
            <w:pPr>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4B6E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7" w:hRule="atLeast"/>
          <w:jc w:val="center"/>
        </w:trPr>
        <w:tc>
          <w:tcPr>
            <w:tcW w:w="5000" w:type="pct"/>
            <w:gridSpan w:val="8"/>
            <w:shd w:val="clear" w:color="auto" w:fill="auto"/>
            <w:vAlign w:val="center"/>
          </w:tcPr>
          <w:p w14:paraId="2EE6BB94">
            <w:pPr>
              <w:ind w:firstLine="420" w:firstLineChars="200"/>
              <w:rPr>
                <w:rFonts w:ascii="宋体" w:hAnsi="宋体" w:cs="宋体"/>
                <w:b w:val="0"/>
                <w:bCs/>
                <w:szCs w:val="21"/>
              </w:rPr>
            </w:pPr>
            <w:r>
              <w:rPr>
                <w:rFonts w:hint="eastAsia" w:ascii="宋体" w:hAnsi="宋体" w:cs="宋体"/>
                <w:b w:val="0"/>
                <w:bCs/>
                <w:szCs w:val="21"/>
              </w:rPr>
              <w:t>备注：表中1</w:t>
            </w:r>
            <w:r>
              <w:rPr>
                <w:rFonts w:ascii="宋体" w:hAnsi="宋体" w:cs="宋体"/>
                <w:b w:val="0"/>
                <w:bCs/>
                <w:szCs w:val="21"/>
              </w:rPr>
              <w:t>7#</w:t>
            </w:r>
            <w:r>
              <w:rPr>
                <w:rFonts w:hint="eastAsia" w:ascii="宋体" w:hAnsi="宋体" w:cs="宋体"/>
                <w:b w:val="0"/>
                <w:bCs/>
                <w:szCs w:val="21"/>
              </w:rPr>
              <w:t>二味中转（1</w:t>
            </w:r>
            <w:r>
              <w:rPr>
                <w:rFonts w:ascii="宋体" w:hAnsi="宋体" w:cs="宋体"/>
                <w:b w:val="0"/>
                <w:bCs/>
                <w:szCs w:val="21"/>
              </w:rPr>
              <w:t>.3</w:t>
            </w:r>
            <w:r>
              <w:rPr>
                <w:rFonts w:hint="eastAsia" w:ascii="宋体" w:hAnsi="宋体" w:cs="宋体"/>
                <w:b w:val="0"/>
                <w:bCs/>
                <w:szCs w:val="21"/>
              </w:rPr>
              <w:t>级、1</w:t>
            </w:r>
            <w:r>
              <w:rPr>
                <w:rFonts w:ascii="宋体" w:hAnsi="宋体" w:cs="宋体"/>
                <w:b w:val="0"/>
                <w:bCs/>
                <w:szCs w:val="21"/>
              </w:rPr>
              <w:t>000kg</w:t>
            </w:r>
            <w:r>
              <w:rPr>
                <w:rFonts w:hint="eastAsia" w:ascii="宋体" w:hAnsi="宋体" w:cs="宋体"/>
                <w:b w:val="0"/>
                <w:bCs/>
                <w:szCs w:val="21"/>
              </w:rPr>
              <w:t>）与1</w:t>
            </w:r>
            <w:r>
              <w:rPr>
                <w:rFonts w:ascii="宋体" w:hAnsi="宋体" w:cs="宋体"/>
                <w:b w:val="0"/>
                <w:bCs/>
                <w:szCs w:val="21"/>
              </w:rPr>
              <w:t>6#</w:t>
            </w:r>
            <w:r>
              <w:rPr>
                <w:rFonts w:hint="eastAsia" w:ascii="宋体" w:hAnsi="宋体" w:cs="宋体"/>
                <w:b w:val="0"/>
                <w:bCs/>
                <w:szCs w:val="21"/>
              </w:rPr>
              <w:t>二味球磨（1</w:t>
            </w:r>
            <w:r>
              <w:rPr>
                <w:rFonts w:ascii="宋体" w:hAnsi="宋体" w:cs="宋体"/>
                <w:b w:val="0"/>
                <w:bCs/>
                <w:szCs w:val="21"/>
              </w:rPr>
              <w:t>.3</w:t>
            </w:r>
            <w:r>
              <w:rPr>
                <w:rFonts w:hint="eastAsia" w:ascii="宋体" w:hAnsi="宋体" w:cs="宋体"/>
                <w:b w:val="0"/>
                <w:bCs/>
                <w:szCs w:val="21"/>
              </w:rPr>
              <w:t>级、5</w:t>
            </w:r>
            <w:r>
              <w:rPr>
                <w:rFonts w:ascii="宋体" w:hAnsi="宋体" w:cs="宋体"/>
                <w:b w:val="0"/>
                <w:bCs/>
                <w:szCs w:val="21"/>
              </w:rPr>
              <w:t>00kg</w:t>
            </w:r>
            <w:r>
              <w:rPr>
                <w:rFonts w:hint="eastAsia" w:ascii="宋体" w:hAnsi="宋体" w:cs="宋体"/>
                <w:b w:val="0"/>
                <w:bCs/>
                <w:szCs w:val="21"/>
              </w:rPr>
              <w:t>），1</w:t>
            </w:r>
            <w:r>
              <w:rPr>
                <w:rFonts w:ascii="宋体" w:hAnsi="宋体" w:cs="宋体"/>
                <w:b w:val="0"/>
                <w:bCs/>
                <w:szCs w:val="21"/>
              </w:rPr>
              <w:t>9#</w:t>
            </w:r>
            <w:r>
              <w:rPr>
                <w:rFonts w:hint="eastAsia" w:ascii="宋体" w:hAnsi="宋体" w:cs="宋体"/>
                <w:b w:val="0"/>
                <w:bCs/>
                <w:szCs w:val="21"/>
              </w:rPr>
              <w:t>原材料中转（1</w:t>
            </w:r>
            <w:r>
              <w:rPr>
                <w:rFonts w:ascii="宋体" w:hAnsi="宋体" w:cs="宋体"/>
                <w:b w:val="0"/>
                <w:bCs/>
                <w:szCs w:val="21"/>
              </w:rPr>
              <w:t>.3</w:t>
            </w:r>
            <w:r>
              <w:rPr>
                <w:rFonts w:hint="eastAsia" w:ascii="宋体" w:hAnsi="宋体" w:cs="宋体"/>
                <w:b w:val="0"/>
                <w:bCs/>
                <w:szCs w:val="21"/>
              </w:rPr>
              <w:t>级、1</w:t>
            </w:r>
            <w:r>
              <w:rPr>
                <w:rFonts w:ascii="宋体" w:hAnsi="宋体" w:cs="宋体"/>
                <w:b w:val="0"/>
                <w:bCs/>
                <w:szCs w:val="21"/>
              </w:rPr>
              <w:t>000kg/</w:t>
            </w:r>
            <w:r>
              <w:rPr>
                <w:rFonts w:hint="eastAsia" w:ascii="宋体" w:hAnsi="宋体" w:cs="宋体"/>
                <w:b w:val="0"/>
                <w:bCs/>
                <w:szCs w:val="21"/>
              </w:rPr>
              <w:t>间）与2</w:t>
            </w:r>
            <w:r>
              <w:rPr>
                <w:rFonts w:ascii="宋体" w:hAnsi="宋体" w:cs="宋体"/>
                <w:b w:val="0"/>
                <w:bCs/>
                <w:szCs w:val="21"/>
              </w:rPr>
              <w:t>0#</w:t>
            </w:r>
            <w:r>
              <w:rPr>
                <w:rFonts w:hint="eastAsia" w:ascii="宋体" w:hAnsi="宋体" w:cs="宋体"/>
                <w:b w:val="0"/>
                <w:bCs/>
                <w:szCs w:val="21"/>
              </w:rPr>
              <w:t>电控室之间均设置防护屏障，故内部安全标准距离按G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所规定值的8</w:t>
            </w:r>
            <w:r>
              <w:rPr>
                <w:rFonts w:ascii="宋体" w:hAnsi="宋体" w:cs="宋体"/>
                <w:b w:val="0"/>
                <w:bCs/>
                <w:szCs w:val="21"/>
              </w:rPr>
              <w:t>0%</w:t>
            </w:r>
            <w:r>
              <w:rPr>
                <w:rFonts w:hint="eastAsia" w:ascii="宋体" w:hAnsi="宋体" w:cs="宋体"/>
                <w:b w:val="0"/>
                <w:bCs/>
                <w:szCs w:val="21"/>
              </w:rPr>
              <w:t>，且不小于1</w:t>
            </w:r>
            <w:r>
              <w:rPr>
                <w:rFonts w:ascii="宋体" w:hAnsi="宋体" w:cs="宋体"/>
                <w:b w:val="0"/>
                <w:bCs/>
                <w:szCs w:val="21"/>
              </w:rPr>
              <w:t>2</w:t>
            </w:r>
            <w:r>
              <w:rPr>
                <w:rFonts w:hint="eastAsia" w:ascii="宋体" w:hAnsi="宋体" w:cs="宋体"/>
                <w:b w:val="0"/>
                <w:bCs/>
                <w:szCs w:val="21"/>
              </w:rPr>
              <w:t>m。</w:t>
            </w:r>
          </w:p>
        </w:tc>
      </w:tr>
    </w:tbl>
    <w:p w14:paraId="57C3C523">
      <w:pPr>
        <w:spacing w:before="120" w:beforeLines="50" w:line="360" w:lineRule="auto"/>
        <w:ind w:firstLine="560" w:firstLineChars="200"/>
        <w:rPr>
          <w:bCs/>
        </w:rPr>
      </w:pPr>
      <w:r>
        <w:rPr>
          <w:rFonts w:ascii="宋体" w:hAnsi="宋体"/>
          <w:b w:val="0"/>
          <w:sz w:val="28"/>
          <w:szCs w:val="28"/>
        </w:rPr>
        <w:t>在对</w:t>
      </w:r>
      <w:r>
        <w:rPr>
          <w:rFonts w:hint="eastAsia" w:ascii="宋体" w:hAnsi="宋体"/>
          <w:b w:val="0"/>
          <w:sz w:val="28"/>
          <w:szCs w:val="28"/>
        </w:rPr>
        <w:t>该项目</w:t>
      </w:r>
      <w:r>
        <w:rPr>
          <w:rFonts w:ascii="宋体" w:hAnsi="宋体"/>
          <w:b w:val="0"/>
          <w:sz w:val="28"/>
          <w:szCs w:val="28"/>
        </w:rPr>
        <w:t>的</w:t>
      </w:r>
      <w:r>
        <w:rPr>
          <w:rFonts w:hint="eastAsia" w:ascii="宋体" w:hAnsi="宋体"/>
          <w:b w:val="0"/>
          <w:sz w:val="28"/>
          <w:szCs w:val="28"/>
        </w:rPr>
        <w:t>内部</w:t>
      </w:r>
      <w:r>
        <w:rPr>
          <w:rFonts w:ascii="宋体" w:hAnsi="宋体"/>
          <w:b w:val="0"/>
          <w:sz w:val="28"/>
          <w:szCs w:val="28"/>
        </w:rPr>
        <w:t>安全距离检查中，所检查项目</w:t>
      </w:r>
      <w:r>
        <w:rPr>
          <w:rFonts w:hint="eastAsia" w:ascii="宋体" w:hAnsi="宋体"/>
          <w:b w:val="0"/>
          <w:sz w:val="28"/>
          <w:szCs w:val="28"/>
        </w:rPr>
        <w:t>均能符合《烟花爆竹工程设计安全标准》（GB50161-2022）中内</w:t>
      </w:r>
      <w:r>
        <w:rPr>
          <w:rFonts w:ascii="宋体" w:hAnsi="宋体"/>
          <w:b w:val="0"/>
          <w:sz w:val="28"/>
          <w:szCs w:val="28"/>
        </w:rPr>
        <w:t>部距离</w:t>
      </w:r>
      <w:r>
        <w:rPr>
          <w:rFonts w:hint="eastAsia" w:ascii="宋体" w:hAnsi="宋体"/>
          <w:b w:val="0"/>
          <w:sz w:val="28"/>
          <w:szCs w:val="28"/>
        </w:rPr>
        <w:t>的标准要求。</w:t>
      </w:r>
    </w:p>
    <w:p w14:paraId="0C6EBE8A">
      <w:pPr>
        <w:keepNext w:val="0"/>
        <w:keepLines w:val="0"/>
        <w:pageBreakBefore w:val="0"/>
        <w:widowControl w:val="0"/>
        <w:kinsoku/>
        <w:wordWrap/>
        <w:overflowPunct/>
        <w:topLinePunct w:val="0"/>
        <w:autoSpaceDE/>
        <w:autoSpaceDN/>
        <w:bidi w:val="0"/>
        <w:spacing w:before="120" w:beforeLines="50" w:line="360" w:lineRule="auto"/>
        <w:textAlignment w:val="auto"/>
        <w:outlineLvl w:val="1"/>
        <w:rPr>
          <w:rFonts w:ascii="黑体" w:hAnsi="宋体" w:eastAsia="黑体"/>
          <w:b w:val="0"/>
          <w:bCs/>
          <w:snapToGrid w:val="0"/>
          <w:sz w:val="32"/>
          <w:szCs w:val="32"/>
        </w:rPr>
      </w:pPr>
      <w:bookmarkStart w:id="149" w:name="_Toc300344397"/>
      <w:bookmarkStart w:id="150" w:name="_Toc300329575"/>
      <w:bookmarkStart w:id="151" w:name="_Toc297251648"/>
      <w:bookmarkStart w:id="152" w:name="_Toc300256200"/>
      <w:bookmarkStart w:id="153" w:name="_Toc278054189"/>
      <w:bookmarkStart w:id="154" w:name="_Toc239191497"/>
      <w:r>
        <w:rPr>
          <w:rFonts w:hint="eastAsia" w:ascii="黑体" w:hAnsi="宋体" w:eastAsia="黑体"/>
          <w:b w:val="0"/>
          <w:bCs/>
          <w:snapToGrid w:val="0"/>
          <w:sz w:val="32"/>
          <w:szCs w:val="32"/>
        </w:rPr>
        <w:t>2.</w:t>
      </w:r>
      <w:r>
        <w:rPr>
          <w:rFonts w:ascii="黑体" w:hAnsi="宋体" w:eastAsia="黑体"/>
          <w:b w:val="0"/>
          <w:bCs/>
          <w:snapToGrid w:val="0"/>
          <w:sz w:val="32"/>
          <w:szCs w:val="32"/>
        </w:rPr>
        <w:t>8</w:t>
      </w:r>
      <w:bookmarkEnd w:id="149"/>
      <w:bookmarkEnd w:id="150"/>
      <w:bookmarkEnd w:id="151"/>
      <w:bookmarkEnd w:id="152"/>
      <w:bookmarkEnd w:id="153"/>
      <w:r>
        <w:rPr>
          <w:rFonts w:hint="eastAsia" w:ascii="黑体" w:hAnsi="宋体" w:eastAsia="黑体"/>
          <w:b w:val="0"/>
          <w:bCs/>
          <w:snapToGrid w:val="0"/>
          <w:sz w:val="32"/>
          <w:szCs w:val="32"/>
        </w:rPr>
        <w:t>公用工程</w:t>
      </w:r>
      <w:bookmarkEnd w:id="154"/>
    </w:p>
    <w:p w14:paraId="0F905A0D">
      <w:pPr>
        <w:pStyle w:val="7"/>
        <w:keepNext w:val="0"/>
        <w:keepLines w:val="0"/>
        <w:pageBreakBefore w:val="0"/>
        <w:widowControl w:val="0"/>
        <w:kinsoku/>
        <w:wordWrap/>
        <w:overflowPunct/>
        <w:topLinePunct w:val="0"/>
        <w:autoSpaceDE/>
        <w:autoSpaceDN/>
        <w:bidi w:val="0"/>
        <w:textAlignment w:val="auto"/>
        <w:rPr>
          <w:rFonts w:ascii="黑体" w:hAnsi="宋体" w:eastAsia="黑体"/>
          <w:b w:val="0"/>
          <w:bCs w:val="0"/>
          <w:snapToGrid w:val="0"/>
          <w:sz w:val="30"/>
          <w:szCs w:val="30"/>
        </w:rPr>
      </w:pPr>
      <w:bookmarkStart w:id="155" w:name="_Toc300329576"/>
      <w:bookmarkStart w:id="156" w:name="_Toc300256201"/>
      <w:bookmarkStart w:id="157" w:name="_Toc278054190"/>
      <w:bookmarkStart w:id="158" w:name="_Toc300344398"/>
      <w:bookmarkStart w:id="159" w:name="_Toc165038784"/>
      <w:r>
        <w:rPr>
          <w:rFonts w:hint="eastAsia" w:ascii="黑体" w:hAnsi="宋体" w:eastAsia="黑体"/>
          <w:b w:val="0"/>
          <w:bCs w:val="0"/>
          <w:snapToGrid w:val="0"/>
          <w:sz w:val="30"/>
          <w:szCs w:val="30"/>
        </w:rPr>
        <w:t>2.</w:t>
      </w:r>
      <w:r>
        <w:rPr>
          <w:rFonts w:ascii="黑体" w:hAnsi="宋体" w:eastAsia="黑体"/>
          <w:b w:val="0"/>
          <w:bCs w:val="0"/>
          <w:snapToGrid w:val="0"/>
          <w:sz w:val="30"/>
          <w:szCs w:val="30"/>
        </w:rPr>
        <w:t>8</w:t>
      </w:r>
      <w:r>
        <w:rPr>
          <w:rFonts w:hint="eastAsia" w:ascii="黑体" w:hAnsi="宋体" w:eastAsia="黑体"/>
          <w:b w:val="0"/>
          <w:bCs w:val="0"/>
          <w:snapToGrid w:val="0"/>
          <w:sz w:val="30"/>
          <w:szCs w:val="30"/>
        </w:rPr>
        <w:t>.1</w:t>
      </w:r>
      <w:bookmarkEnd w:id="155"/>
      <w:bookmarkEnd w:id="156"/>
      <w:bookmarkEnd w:id="157"/>
      <w:bookmarkEnd w:id="158"/>
      <w:bookmarkEnd w:id="159"/>
      <w:r>
        <w:rPr>
          <w:rFonts w:hint="eastAsia" w:ascii="黑体" w:hAnsi="宋体" w:eastAsia="黑体"/>
          <w:b w:val="0"/>
          <w:bCs w:val="0"/>
          <w:snapToGrid w:val="0"/>
          <w:sz w:val="30"/>
          <w:szCs w:val="30"/>
        </w:rPr>
        <w:t>给排水</w:t>
      </w:r>
    </w:p>
    <w:p w14:paraId="2FDB54C1">
      <w:pPr>
        <w:keepNext w:val="0"/>
        <w:keepLines w:val="0"/>
        <w:pageBreakBefore w:val="0"/>
        <w:widowControl w:val="0"/>
        <w:kinsoku/>
        <w:wordWrap/>
        <w:overflowPunct/>
        <w:topLinePunct w:val="0"/>
        <w:autoSpaceDE/>
        <w:autoSpaceDN/>
        <w:bidi w:val="0"/>
        <w:spacing w:line="360" w:lineRule="auto"/>
        <w:ind w:firstLine="560" w:firstLineChars="200"/>
        <w:jc w:val="left"/>
        <w:textAlignment w:val="auto"/>
        <w:rPr>
          <w:rFonts w:ascii="宋体" w:hAnsi="宋体"/>
          <w:b w:val="0"/>
          <w:sz w:val="28"/>
          <w:szCs w:val="28"/>
        </w:rPr>
      </w:pPr>
      <w:bookmarkStart w:id="160" w:name="_Toc300329577"/>
      <w:bookmarkStart w:id="161" w:name="_Toc165038785"/>
      <w:bookmarkStart w:id="162" w:name="_Toc300256202"/>
      <w:bookmarkStart w:id="163" w:name="_Toc278054191"/>
      <w:bookmarkStart w:id="164" w:name="_Toc300344399"/>
      <w:r>
        <w:rPr>
          <w:rFonts w:hint="eastAsia" w:ascii="宋体" w:hAnsi="宋体"/>
          <w:b w:val="0"/>
          <w:sz w:val="28"/>
          <w:szCs w:val="28"/>
        </w:rPr>
        <w:t>1）给水</w:t>
      </w:r>
    </w:p>
    <w:p w14:paraId="0C4F3427">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sz w:val="28"/>
          <w:szCs w:val="28"/>
        </w:rPr>
      </w:pPr>
      <w:r>
        <w:rPr>
          <w:rFonts w:hint="eastAsia" w:ascii="宋体" w:hAnsi="宋体"/>
          <w:b w:val="0"/>
          <w:sz w:val="28"/>
          <w:szCs w:val="28"/>
        </w:rPr>
        <w:t>该项目厂区内新设置</w:t>
      </w:r>
      <w:r>
        <w:rPr>
          <w:rFonts w:ascii="宋体" w:hAnsi="宋体"/>
          <w:b w:val="0"/>
          <w:snapToGrid w:val="0"/>
          <w:sz w:val="28"/>
          <w:szCs w:val="28"/>
        </w:rPr>
        <w:t>2</w:t>
      </w:r>
      <w:r>
        <w:rPr>
          <w:rFonts w:hint="eastAsia" w:ascii="宋体" w:hAnsi="宋体"/>
          <w:b w:val="0"/>
          <w:snapToGrid w:val="0"/>
          <w:sz w:val="28"/>
          <w:szCs w:val="28"/>
        </w:rPr>
        <w:t>座高位消防水池，蓄水量总约</w:t>
      </w:r>
      <w:r>
        <w:rPr>
          <w:rFonts w:ascii="宋体" w:hAnsi="宋体"/>
          <w:b w:val="0"/>
          <w:snapToGrid w:val="0"/>
          <w:sz w:val="28"/>
          <w:szCs w:val="28"/>
        </w:rPr>
        <w:t>400</w:t>
      </w:r>
      <w:r>
        <w:rPr>
          <w:rFonts w:hint="eastAsia" w:ascii="宋体" w:hAnsi="宋体"/>
          <w:b w:val="0"/>
          <w:snapToGrid w:val="0"/>
          <w:sz w:val="28"/>
          <w:szCs w:val="28"/>
        </w:rPr>
        <w:t>m</w:t>
      </w:r>
      <w:r>
        <w:rPr>
          <w:rFonts w:hint="eastAsia" w:ascii="宋体" w:hAnsi="宋体"/>
          <w:b w:val="0"/>
          <w:snapToGrid w:val="0"/>
          <w:sz w:val="28"/>
          <w:szCs w:val="28"/>
          <w:vertAlign w:val="superscript"/>
        </w:rPr>
        <w:t>3</w:t>
      </w:r>
      <w:r>
        <w:rPr>
          <w:rFonts w:hint="eastAsia" w:ascii="宋体" w:hAnsi="宋体"/>
          <w:b w:val="0"/>
          <w:snapToGrid w:val="0"/>
          <w:sz w:val="28"/>
          <w:szCs w:val="28"/>
        </w:rPr>
        <w:t>，</w:t>
      </w:r>
      <w:r>
        <w:rPr>
          <w:rFonts w:hint="eastAsia" w:ascii="宋体" w:hAnsi="宋体"/>
          <w:b w:val="0"/>
          <w:sz w:val="28"/>
          <w:szCs w:val="28"/>
        </w:rPr>
        <w:t>设置增压泵房供水，基本能满足火灾初期使用。</w:t>
      </w:r>
      <w:r>
        <w:rPr>
          <w:rFonts w:hint="eastAsia" w:ascii="宋体" w:hAnsi="宋体"/>
          <w:b w:val="0"/>
          <w:sz w:val="28"/>
          <w:szCs w:val="28"/>
          <w:lang w:val="en-GB"/>
        </w:rPr>
        <w:t>补充水</w:t>
      </w:r>
      <w:r>
        <w:rPr>
          <w:rFonts w:hint="eastAsia" w:ascii="宋体" w:hAnsi="宋体"/>
          <w:b w:val="0"/>
          <w:sz w:val="28"/>
          <w:szCs w:val="28"/>
        </w:rPr>
        <w:t>采用水井和厂区内水塘，使用水泵送到高位水池，同时</w:t>
      </w:r>
      <w:r>
        <w:rPr>
          <w:rFonts w:hint="eastAsia" w:ascii="宋体" w:hAnsi="宋体"/>
          <w:b w:val="0"/>
          <w:sz w:val="28"/>
          <w:szCs w:val="28"/>
          <w:lang w:val="en-GB"/>
        </w:rPr>
        <w:t>为消防管网提供不间断水源。黑火药生产线、黑火药库区的消防用水通过厂区预埋的管网连接于厂区内的消火栓出水，利用消防水带、消防水枪达到消防的目的。设置的消火栓距黑火药生产线最远处距离均不超过150m。黑火药库区采用厂区管网进行消防供水，满足消防要求</w:t>
      </w:r>
      <w:r>
        <w:rPr>
          <w:rFonts w:hint="eastAsia" w:ascii="宋体" w:hAnsi="宋体"/>
          <w:b w:val="0"/>
          <w:sz w:val="28"/>
          <w:szCs w:val="28"/>
        </w:rPr>
        <w:t>。</w:t>
      </w:r>
    </w:p>
    <w:p w14:paraId="55906CF2">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sz w:val="28"/>
          <w:szCs w:val="28"/>
        </w:rPr>
      </w:pPr>
      <w:r>
        <w:rPr>
          <w:rFonts w:hint="eastAsia" w:ascii="宋体" w:hAnsi="宋体"/>
          <w:b w:val="0"/>
          <w:sz w:val="28"/>
          <w:szCs w:val="28"/>
        </w:rPr>
        <w:t>黑火药生产线、黑火药库区消防给水设施保护范围不大于150m，项目配备消防水泵以及消防水带、消防水枪、灭火器等。消防水源和消防设施、设备能够满足消防需要，立足于在火灾初期及时扑救。</w:t>
      </w:r>
    </w:p>
    <w:p w14:paraId="20B06345">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sz w:val="28"/>
          <w:szCs w:val="28"/>
        </w:rPr>
      </w:pPr>
      <w:r>
        <w:rPr>
          <w:rFonts w:hint="eastAsia" w:ascii="宋体" w:hAnsi="宋体"/>
          <w:b w:val="0"/>
          <w:sz w:val="28"/>
          <w:szCs w:val="28"/>
        </w:rPr>
        <w:t>2）排水</w:t>
      </w:r>
    </w:p>
    <w:p w14:paraId="29DD225D">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sz w:val="28"/>
          <w:szCs w:val="28"/>
        </w:rPr>
      </w:pPr>
      <w:r>
        <w:rPr>
          <w:rFonts w:hint="eastAsia" w:ascii="宋体" w:hAnsi="宋体"/>
          <w:b w:val="0"/>
          <w:sz w:val="28"/>
          <w:szCs w:val="28"/>
        </w:rPr>
        <w:t>场地排水主要为雨水，拟采用明沟，依据地势，由高向低呈散形排放。有药废水经沉淀后拟采用暗管，经三级沉淀后排进污水处理池，管道应地埋，并保持畅通。</w:t>
      </w:r>
    </w:p>
    <w:p w14:paraId="237C0A86">
      <w:pPr>
        <w:pStyle w:val="7"/>
        <w:keepNext w:val="0"/>
        <w:keepLines w:val="0"/>
        <w:pageBreakBefore w:val="0"/>
        <w:widowControl w:val="0"/>
        <w:kinsoku/>
        <w:wordWrap/>
        <w:overflowPunct/>
        <w:topLinePunct w:val="0"/>
        <w:autoSpaceDE/>
        <w:autoSpaceDN/>
        <w:bidi w:val="0"/>
        <w:textAlignment w:val="auto"/>
        <w:rPr>
          <w:rFonts w:ascii="黑体" w:hAnsi="宋体" w:eastAsia="黑体"/>
          <w:b w:val="0"/>
          <w:bCs w:val="0"/>
          <w:snapToGrid w:val="0"/>
          <w:sz w:val="30"/>
          <w:szCs w:val="30"/>
        </w:rPr>
      </w:pPr>
      <w:r>
        <w:rPr>
          <w:rFonts w:hint="eastAsia" w:ascii="黑体" w:hAnsi="宋体" w:eastAsia="黑体"/>
          <w:b w:val="0"/>
          <w:bCs w:val="0"/>
          <w:snapToGrid w:val="0"/>
          <w:sz w:val="30"/>
          <w:szCs w:val="30"/>
        </w:rPr>
        <w:t>2.</w:t>
      </w:r>
      <w:r>
        <w:rPr>
          <w:rFonts w:ascii="黑体" w:hAnsi="宋体" w:eastAsia="黑体"/>
          <w:b w:val="0"/>
          <w:bCs w:val="0"/>
          <w:snapToGrid w:val="0"/>
          <w:sz w:val="30"/>
          <w:szCs w:val="30"/>
        </w:rPr>
        <w:t>8</w:t>
      </w:r>
      <w:r>
        <w:rPr>
          <w:rFonts w:hint="eastAsia" w:ascii="黑体" w:hAnsi="宋体" w:eastAsia="黑体"/>
          <w:b w:val="0"/>
          <w:bCs w:val="0"/>
          <w:snapToGrid w:val="0"/>
          <w:sz w:val="30"/>
          <w:szCs w:val="30"/>
        </w:rPr>
        <w:t>.2</w:t>
      </w:r>
      <w:bookmarkEnd w:id="160"/>
      <w:bookmarkEnd w:id="161"/>
      <w:bookmarkEnd w:id="162"/>
      <w:bookmarkEnd w:id="163"/>
      <w:bookmarkEnd w:id="164"/>
      <w:r>
        <w:rPr>
          <w:rFonts w:hint="eastAsia" w:ascii="黑体" w:hAnsi="宋体" w:eastAsia="黑体"/>
          <w:b w:val="0"/>
          <w:bCs w:val="0"/>
          <w:snapToGrid w:val="0"/>
          <w:sz w:val="30"/>
          <w:szCs w:val="30"/>
        </w:rPr>
        <w:t>供配电</w:t>
      </w:r>
    </w:p>
    <w:p w14:paraId="68AC8E1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宋体" w:hAnsi="宋体" w:cs="Arial"/>
          <w:b w:val="0"/>
          <w:sz w:val="28"/>
        </w:rPr>
      </w:pPr>
      <w:r>
        <w:rPr>
          <w:rFonts w:hint="eastAsia" w:ascii="宋体" w:hAnsi="宋体"/>
          <w:b w:val="0"/>
          <w:snapToGrid w:val="0"/>
          <w:sz w:val="28"/>
          <w:szCs w:val="28"/>
        </w:rPr>
        <w:t>该企业厂内设10KV变（配）电间，以380/220V回路为供电电源，负荷等级为三级负荷，电气线路由当地供电所设置安装，未存在私搭乱建行为；厂范围内的道路照明、无药工序的生产用电、粉碎、二味球磨、造粒、筛选、抛光、油压、自动混合/上潮/装模制片、三味球磨/筛选等工序的生产用电以及部分1.3级工房的照明等。粉碎、二味球磨、造粒、筛选、抛光、油压、自动混合/上潮/装模制片、三味球磨/筛选进户线在远离工房处换接电缆地埋至工房，进工房后穿管安装。</w:t>
      </w:r>
    </w:p>
    <w:p w14:paraId="3ED51421">
      <w:pPr>
        <w:pStyle w:val="7"/>
        <w:keepNext w:val="0"/>
        <w:keepLines w:val="0"/>
        <w:pageBreakBefore w:val="0"/>
        <w:widowControl w:val="0"/>
        <w:kinsoku/>
        <w:wordWrap/>
        <w:overflowPunct/>
        <w:topLinePunct w:val="0"/>
        <w:autoSpaceDE/>
        <w:autoSpaceDN/>
        <w:bidi w:val="0"/>
        <w:textAlignment w:val="auto"/>
        <w:rPr>
          <w:rFonts w:ascii="黑体" w:hAnsi="宋体" w:eastAsia="黑体"/>
          <w:b w:val="0"/>
          <w:bCs w:val="0"/>
          <w:snapToGrid w:val="0"/>
          <w:sz w:val="30"/>
          <w:szCs w:val="30"/>
        </w:rPr>
      </w:pPr>
      <w:bookmarkStart w:id="165" w:name="_Toc300344400"/>
      <w:bookmarkStart w:id="166" w:name="_Toc300256203"/>
      <w:bookmarkStart w:id="167" w:name="_Toc165038786"/>
      <w:bookmarkStart w:id="168" w:name="_Toc278054192"/>
      <w:bookmarkStart w:id="169" w:name="_Toc300329578"/>
      <w:r>
        <w:rPr>
          <w:rFonts w:ascii="黑体" w:hAnsi="宋体" w:eastAsia="黑体"/>
          <w:b w:val="0"/>
          <w:bCs w:val="0"/>
          <w:snapToGrid w:val="0"/>
          <w:sz w:val="30"/>
          <w:szCs w:val="30"/>
        </w:rPr>
        <w:t>2.8.</w:t>
      </w:r>
      <w:r>
        <w:rPr>
          <w:rFonts w:hint="eastAsia" w:ascii="黑体" w:hAnsi="宋体" w:eastAsia="黑体"/>
          <w:b w:val="0"/>
          <w:bCs w:val="0"/>
          <w:snapToGrid w:val="0"/>
          <w:sz w:val="30"/>
          <w:szCs w:val="30"/>
        </w:rPr>
        <w:t>3</w:t>
      </w:r>
      <w:bookmarkEnd w:id="165"/>
      <w:bookmarkEnd w:id="166"/>
      <w:bookmarkEnd w:id="167"/>
      <w:bookmarkEnd w:id="168"/>
      <w:bookmarkEnd w:id="169"/>
      <w:r>
        <w:rPr>
          <w:rFonts w:hint="eastAsia" w:ascii="黑体" w:hAnsi="宋体" w:eastAsia="黑体"/>
          <w:b w:val="0"/>
          <w:bCs w:val="0"/>
          <w:snapToGrid w:val="0"/>
          <w:sz w:val="30"/>
          <w:szCs w:val="30"/>
        </w:rPr>
        <w:t>道路运输</w:t>
      </w:r>
    </w:p>
    <w:p w14:paraId="0F71F9CD">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Cs/>
          <w:sz w:val="28"/>
          <w:szCs w:val="28"/>
          <w:lang w:val="en-GB"/>
        </w:rPr>
      </w:pPr>
      <w:r>
        <w:rPr>
          <w:rFonts w:hint="eastAsia" w:ascii="宋体" w:hAnsi="宋体"/>
          <w:b w:val="0"/>
          <w:sz w:val="28"/>
          <w:szCs w:val="28"/>
          <w:lang w:val="en-GB"/>
        </w:rPr>
        <w:t>该项目内设主要运输道路宽度约</w:t>
      </w:r>
      <w:r>
        <w:rPr>
          <w:rFonts w:hint="eastAsia" w:ascii="宋体" w:hAnsi="宋体"/>
          <w:b w:val="0"/>
          <w:sz w:val="28"/>
          <w:szCs w:val="28"/>
        </w:rPr>
        <w:t>3</w:t>
      </w:r>
      <w:r>
        <w:rPr>
          <w:rFonts w:hint="eastAsia" w:ascii="宋体" w:hAnsi="宋体"/>
          <w:b w:val="0"/>
          <w:sz w:val="28"/>
          <w:szCs w:val="28"/>
          <w:lang w:val="en-GB"/>
        </w:rPr>
        <w:t>m，大部分为水泥路面，连通各生产工库房和仓库。在库房前设置回车场，可以满足消防车辆和货车通行和回车</w:t>
      </w:r>
      <w:r>
        <w:rPr>
          <w:rFonts w:hint="eastAsia" w:ascii="宋体" w:hAnsi="宋体"/>
          <w:bCs/>
          <w:sz w:val="28"/>
          <w:szCs w:val="28"/>
          <w:lang w:val="en-GB"/>
        </w:rPr>
        <w:t>。</w:t>
      </w:r>
    </w:p>
    <w:p w14:paraId="2288EFB6">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bookmarkStart w:id="170" w:name="_Toc300329583"/>
      <w:bookmarkStart w:id="171" w:name="_Toc300256208"/>
      <w:bookmarkStart w:id="172" w:name="_Toc300344405"/>
      <w:bookmarkStart w:id="173" w:name="_Toc278054197"/>
      <w:r>
        <w:rPr>
          <w:rFonts w:hint="eastAsia" w:ascii="黑体" w:hAnsi="黑体" w:eastAsia="黑体" w:cs="宋体"/>
          <w:b w:val="0"/>
          <w:bCs w:val="0"/>
          <w:szCs w:val="28"/>
        </w:rPr>
        <w:t>2.8.</w:t>
      </w:r>
      <w:r>
        <w:rPr>
          <w:rFonts w:ascii="黑体" w:hAnsi="黑体" w:eastAsia="黑体" w:cs="宋体"/>
          <w:b w:val="0"/>
          <w:bCs w:val="0"/>
          <w:szCs w:val="28"/>
        </w:rPr>
        <w:t>4</w:t>
      </w:r>
      <w:r>
        <w:rPr>
          <w:rFonts w:hint="eastAsia" w:ascii="黑体" w:hAnsi="黑体" w:eastAsia="黑体" w:cs="宋体"/>
          <w:b w:val="0"/>
          <w:bCs w:val="0"/>
          <w:szCs w:val="28"/>
        </w:rPr>
        <w:t>防雷装置</w:t>
      </w:r>
    </w:p>
    <w:p w14:paraId="7A60E278">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cs="宋体"/>
          <w:b w:val="0"/>
          <w:sz w:val="28"/>
          <w:szCs w:val="28"/>
        </w:rPr>
      </w:pPr>
      <w:r>
        <w:rPr>
          <w:rFonts w:hint="eastAsia" w:ascii="宋体" w:hAnsi="宋体"/>
          <w:b w:val="0"/>
          <w:sz w:val="28"/>
          <w:szCs w:val="28"/>
          <w:lang w:val="en-GB"/>
        </w:rPr>
        <w:t>本次</w:t>
      </w:r>
      <w:r>
        <w:rPr>
          <w:rFonts w:hint="eastAsia" w:ascii="宋体" w:hAnsi="宋体"/>
          <w:b w:val="0"/>
          <w:sz w:val="28"/>
          <w:szCs w:val="28"/>
        </w:rPr>
        <w:t>泉水工区扩建项目</w:t>
      </w:r>
      <w:r>
        <w:rPr>
          <w:rFonts w:hint="eastAsia" w:ascii="宋体" w:hAnsi="宋体"/>
          <w:b w:val="0"/>
          <w:sz w:val="28"/>
          <w:szCs w:val="28"/>
          <w:lang w:val="en-GB"/>
        </w:rPr>
        <w:t>工</w:t>
      </w:r>
      <w:r>
        <w:rPr>
          <w:rFonts w:hint="eastAsia" w:ascii="宋体" w:hAnsi="宋体"/>
          <w:b w:val="0"/>
          <w:sz w:val="28"/>
          <w:szCs w:val="28"/>
        </w:rPr>
        <w:t>库</w:t>
      </w:r>
      <w:r>
        <w:rPr>
          <w:rFonts w:hint="eastAsia" w:ascii="宋体" w:hAnsi="宋体"/>
          <w:b w:val="0"/>
          <w:sz w:val="28"/>
          <w:szCs w:val="28"/>
          <w:lang w:val="en-GB"/>
        </w:rPr>
        <w:t>房拟依据标准根据不同的防雷类别采取相应的防雷措施，防雷装置</w:t>
      </w:r>
      <w:r>
        <w:rPr>
          <w:rFonts w:hint="eastAsia" w:ascii="宋体" w:hAnsi="宋体"/>
          <w:b w:val="0"/>
          <w:sz w:val="28"/>
          <w:szCs w:val="28"/>
        </w:rPr>
        <w:t>拟</w:t>
      </w:r>
      <w:r>
        <w:rPr>
          <w:rFonts w:hint="eastAsia" w:ascii="宋体" w:hAnsi="宋体"/>
          <w:b w:val="0"/>
          <w:sz w:val="28"/>
          <w:szCs w:val="28"/>
          <w:lang w:val="en-GB"/>
        </w:rPr>
        <w:t>委托有</w:t>
      </w:r>
      <w:r>
        <w:rPr>
          <w:rFonts w:hint="eastAsia" w:ascii="宋体" w:hAnsi="宋体"/>
          <w:b w:val="0"/>
          <w:sz w:val="28"/>
          <w:szCs w:val="28"/>
        </w:rPr>
        <w:t>相关</w:t>
      </w:r>
      <w:r>
        <w:rPr>
          <w:rFonts w:hint="eastAsia" w:ascii="宋体" w:hAnsi="宋体"/>
          <w:b w:val="0"/>
          <w:sz w:val="28"/>
          <w:szCs w:val="28"/>
          <w:lang w:val="en-GB"/>
        </w:rPr>
        <w:t>资质的单位进行设计、安装和检测</w:t>
      </w:r>
      <w:r>
        <w:rPr>
          <w:rFonts w:ascii="宋体" w:hAnsi="宋体" w:cs="宋体"/>
          <w:b w:val="0"/>
          <w:sz w:val="28"/>
          <w:szCs w:val="28"/>
        </w:rPr>
        <w:t>。</w:t>
      </w:r>
    </w:p>
    <w:p w14:paraId="71DD0F20">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r>
        <w:rPr>
          <w:rFonts w:hint="eastAsia" w:ascii="黑体" w:hAnsi="黑体" w:eastAsia="黑体" w:cs="宋体"/>
          <w:b w:val="0"/>
          <w:bCs w:val="0"/>
          <w:szCs w:val="28"/>
        </w:rPr>
        <w:t>2.8.</w:t>
      </w:r>
      <w:r>
        <w:rPr>
          <w:rFonts w:ascii="黑体" w:hAnsi="黑体" w:eastAsia="黑体" w:cs="宋体"/>
          <w:b w:val="0"/>
          <w:bCs w:val="0"/>
          <w:szCs w:val="28"/>
        </w:rPr>
        <w:t>5</w:t>
      </w:r>
      <w:r>
        <w:rPr>
          <w:rFonts w:hint="eastAsia" w:ascii="黑体" w:hAnsi="黑体" w:eastAsia="黑体" w:cs="宋体"/>
          <w:b w:val="0"/>
          <w:bCs w:val="0"/>
          <w:szCs w:val="28"/>
        </w:rPr>
        <w:t>导人体静电装置</w:t>
      </w:r>
    </w:p>
    <w:p w14:paraId="489A3071">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bCs/>
          <w:sz w:val="28"/>
          <w:szCs w:val="28"/>
          <w:lang w:val="en-GB"/>
        </w:rPr>
      </w:pPr>
      <w:r>
        <w:rPr>
          <w:rFonts w:hint="eastAsia" w:ascii="宋体" w:hAnsi="宋体"/>
          <w:b w:val="0"/>
          <w:bCs/>
          <w:sz w:val="28"/>
          <w:szCs w:val="28"/>
        </w:rPr>
        <w:t>该项目拟</w:t>
      </w:r>
      <w:r>
        <w:rPr>
          <w:rFonts w:hint="eastAsia" w:ascii="宋体" w:hAnsi="宋体"/>
          <w:b w:val="0"/>
          <w:bCs/>
          <w:sz w:val="28"/>
          <w:szCs w:val="28"/>
          <w:lang w:val="en-GB"/>
        </w:rPr>
        <w:t>在危险品工</w:t>
      </w:r>
      <w:r>
        <w:rPr>
          <w:rFonts w:hint="eastAsia" w:ascii="宋体" w:hAnsi="宋体"/>
          <w:b w:val="0"/>
          <w:bCs/>
          <w:sz w:val="28"/>
          <w:szCs w:val="28"/>
        </w:rPr>
        <w:t>库</w:t>
      </w:r>
      <w:r>
        <w:rPr>
          <w:rFonts w:hint="eastAsia" w:ascii="宋体" w:hAnsi="宋体"/>
          <w:b w:val="0"/>
          <w:bCs/>
          <w:sz w:val="28"/>
          <w:szCs w:val="28"/>
          <w:lang w:val="en-GB"/>
        </w:rPr>
        <w:t>房的出入口安装导静电装置，</w:t>
      </w:r>
      <w:r>
        <w:rPr>
          <w:rFonts w:ascii="宋体" w:hAnsi="宋体"/>
          <w:b w:val="0"/>
          <w:bCs/>
          <w:sz w:val="28"/>
          <w:szCs w:val="28"/>
          <w:lang w:bidi="ar"/>
        </w:rPr>
        <w:t>1.1</w:t>
      </w:r>
      <w:r>
        <w:rPr>
          <w:rFonts w:hint="eastAsia" w:ascii="宋体" w:hAnsi="宋体"/>
          <w:b w:val="0"/>
          <w:bCs/>
          <w:sz w:val="28"/>
          <w:szCs w:val="28"/>
          <w:lang w:bidi="ar"/>
        </w:rPr>
        <w:t>级工房拟采用导静电地面、工作台面，防静电工作台面拟采用铺设防静电</w:t>
      </w:r>
      <w:bookmarkStart w:id="174" w:name="OLE_LINK196"/>
      <w:bookmarkStart w:id="175" w:name="OLE_LINK144"/>
      <w:r>
        <w:rPr>
          <w:rFonts w:hint="eastAsia" w:ascii="宋体" w:hAnsi="宋体"/>
          <w:b w:val="0"/>
          <w:bCs/>
          <w:sz w:val="28"/>
          <w:szCs w:val="28"/>
          <w:lang w:bidi="ar"/>
        </w:rPr>
        <w:t>橡胶</w:t>
      </w:r>
      <w:bookmarkEnd w:id="174"/>
      <w:bookmarkEnd w:id="175"/>
      <w:r>
        <w:rPr>
          <w:rFonts w:hint="eastAsia" w:ascii="宋体" w:hAnsi="宋体"/>
          <w:b w:val="0"/>
          <w:bCs/>
          <w:sz w:val="28"/>
          <w:szCs w:val="28"/>
          <w:lang w:bidi="ar"/>
        </w:rPr>
        <w:t>板方式，防静电地面拟采用环氧树脂（或聚氨酯）自流平涂料地面，自流平涂料面下方应设静电接地网（带），或防静电地面采用铺设防静电橡胶板方式</w:t>
      </w:r>
      <w:r>
        <w:rPr>
          <w:rFonts w:hint="eastAsia" w:ascii="宋体" w:hAnsi="宋体"/>
          <w:b w:val="0"/>
          <w:bCs/>
          <w:sz w:val="28"/>
          <w:szCs w:val="28"/>
          <w:lang w:val="en-GB"/>
        </w:rPr>
        <w:t>。导静电装置的设置形式、接地方式等由设计单位确定。</w:t>
      </w:r>
    </w:p>
    <w:p w14:paraId="5E413597">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r>
        <w:rPr>
          <w:rFonts w:hint="eastAsia" w:ascii="黑体" w:hAnsi="黑体" w:eastAsia="黑体" w:cs="宋体"/>
          <w:b w:val="0"/>
          <w:bCs w:val="0"/>
          <w:szCs w:val="28"/>
        </w:rPr>
        <w:t>2.8.</w:t>
      </w:r>
      <w:r>
        <w:rPr>
          <w:rFonts w:ascii="黑体" w:hAnsi="黑体" w:eastAsia="黑体" w:cs="宋体"/>
          <w:b w:val="0"/>
          <w:bCs w:val="0"/>
          <w:szCs w:val="28"/>
        </w:rPr>
        <w:t>6</w:t>
      </w:r>
      <w:r>
        <w:rPr>
          <w:rFonts w:hint="eastAsia" w:ascii="黑体" w:hAnsi="黑体" w:eastAsia="黑体" w:cs="宋体"/>
          <w:b w:val="0"/>
          <w:bCs w:val="0"/>
          <w:szCs w:val="28"/>
        </w:rPr>
        <w:t>风险预警和防控系统</w:t>
      </w:r>
    </w:p>
    <w:p w14:paraId="06B1DA32">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bCs/>
          <w:sz w:val="28"/>
          <w:szCs w:val="28"/>
          <w:lang w:val="en-GB"/>
        </w:rPr>
      </w:pPr>
      <w:r>
        <w:rPr>
          <w:rFonts w:hint="eastAsia" w:ascii="宋体" w:hAnsi="宋体"/>
          <w:b w:val="0"/>
          <w:bCs/>
          <w:sz w:val="28"/>
          <w:szCs w:val="28"/>
        </w:rPr>
        <w:t>该项目拟</w:t>
      </w:r>
      <w:r>
        <w:rPr>
          <w:rFonts w:hint="eastAsia" w:ascii="宋体" w:hAnsi="宋体"/>
          <w:b w:val="0"/>
          <w:bCs/>
          <w:sz w:val="28"/>
          <w:szCs w:val="28"/>
          <w:lang w:val="en-GB"/>
        </w:rPr>
        <w:t>按照《烟花爆竹安全生产风险监测预警技术规范》（AQ4101-2026）安装视频监控及广播系统。主机设在办公楼，在值班室配置固定电话。</w:t>
      </w:r>
      <w:r>
        <w:rPr>
          <w:rFonts w:hint="eastAsia" w:ascii="宋体" w:hAnsi="宋体"/>
          <w:b w:val="0"/>
          <w:bCs/>
          <w:sz w:val="28"/>
          <w:szCs w:val="28"/>
        </w:rPr>
        <w:t>该项目拟</w:t>
      </w:r>
      <w:r>
        <w:rPr>
          <w:rFonts w:hint="eastAsia" w:ascii="宋体" w:hAnsi="宋体"/>
          <w:b w:val="0"/>
          <w:bCs/>
          <w:sz w:val="28"/>
          <w:szCs w:val="28"/>
          <w:lang w:val="en-GB"/>
        </w:rPr>
        <w:t>在新建工</w:t>
      </w:r>
      <w:r>
        <w:rPr>
          <w:rFonts w:hint="eastAsia" w:ascii="宋体" w:hAnsi="宋体"/>
          <w:b w:val="0"/>
          <w:bCs/>
          <w:sz w:val="28"/>
          <w:szCs w:val="28"/>
        </w:rPr>
        <w:t>库</w:t>
      </w:r>
      <w:r>
        <w:rPr>
          <w:rFonts w:hint="eastAsia" w:ascii="宋体" w:hAnsi="宋体"/>
          <w:b w:val="0"/>
          <w:bCs/>
          <w:sz w:val="28"/>
          <w:szCs w:val="28"/>
          <w:lang w:val="en-GB"/>
        </w:rPr>
        <w:t>房安装烟花爆竹风险预警系统。</w:t>
      </w:r>
    </w:p>
    <w:p w14:paraId="700C58B3">
      <w:pPr>
        <w:pStyle w:val="2"/>
        <w:keepNext w:val="0"/>
        <w:keepLines w:val="0"/>
        <w:pageBreakBefore w:val="0"/>
        <w:widowControl w:val="0"/>
        <w:kinsoku/>
        <w:wordWrap/>
        <w:overflowPunct/>
        <w:topLinePunct w:val="0"/>
        <w:autoSpaceDE/>
        <w:autoSpaceDN/>
        <w:bidi w:val="0"/>
        <w:ind w:firstLine="560"/>
        <w:textAlignment w:val="auto"/>
        <w:rPr>
          <w:rFonts w:ascii="宋体" w:hAnsi="宋体" w:eastAsia="宋体"/>
          <w:b w:val="0"/>
          <w:bCs/>
          <w:szCs w:val="28"/>
          <w:lang w:val="en-GB"/>
        </w:rPr>
      </w:pPr>
      <w:r>
        <w:rPr>
          <w:rFonts w:hint="eastAsia" w:ascii="宋体" w:hAnsi="宋体" w:eastAsia="宋体"/>
          <w:b w:val="0"/>
          <w:bCs/>
          <w:szCs w:val="28"/>
        </w:rPr>
        <w:t>该项目拟设置火灾报警系统：（1）危险品生产区和1.1级危险品仓库区设置手动火灾报警装置或火灾自动报警系统，值班室的固定电话可兼作火灾报警装置。（2）手动火灾报警装置选择带有电话插孔的手动火灾报</w:t>
      </w:r>
      <w:r>
        <w:rPr>
          <w:rFonts w:hint="eastAsia" w:ascii="宋体" w:hAnsi="宋体" w:eastAsia="宋体" w:cs="宋体"/>
          <w:b w:val="0"/>
          <w:bCs/>
          <w:szCs w:val="28"/>
        </w:rPr>
        <w:t>警按钮。火灾警报器均匀设置在报警区域内明显部位，其声压级不应小于60dB；在环境噪声大于60dB的场所，其声压级应高于背景噪声15dB。当火灾警报器采用壁挂方式安装时，其底边距地面高度应大于2.2m</w:t>
      </w:r>
      <w:r>
        <w:rPr>
          <w:rFonts w:hint="eastAsia" w:ascii="宋体" w:hAnsi="宋体" w:eastAsia="宋体"/>
          <w:b w:val="0"/>
          <w:bCs/>
          <w:szCs w:val="28"/>
          <w:lang w:val="en-GB"/>
        </w:rPr>
        <w:t>。</w:t>
      </w:r>
    </w:p>
    <w:p w14:paraId="24B3AF22">
      <w:pPr>
        <w:keepNext w:val="0"/>
        <w:keepLines w:val="0"/>
        <w:pageBreakBefore w:val="0"/>
        <w:widowControl w:val="0"/>
        <w:kinsoku/>
        <w:wordWrap/>
        <w:overflowPunct/>
        <w:topLinePunct w:val="0"/>
        <w:autoSpaceDE/>
        <w:autoSpaceDN/>
        <w:bidi w:val="0"/>
        <w:snapToGrid w:val="0"/>
        <w:spacing w:before="120" w:beforeLines="50" w:line="360" w:lineRule="auto"/>
        <w:textAlignment w:val="auto"/>
        <w:outlineLvl w:val="1"/>
        <w:rPr>
          <w:rFonts w:ascii="黑体" w:hAnsi="黑体" w:eastAsia="黑体" w:cs="楷体"/>
          <w:b w:val="0"/>
          <w:sz w:val="30"/>
          <w:szCs w:val="30"/>
        </w:rPr>
      </w:pPr>
      <w:bookmarkStart w:id="176" w:name="_Toc124539509"/>
      <w:bookmarkStart w:id="177" w:name="_Toc29412"/>
      <w:bookmarkStart w:id="178" w:name="_Toc65855298"/>
      <w:bookmarkStart w:id="179" w:name="_Toc7220"/>
      <w:bookmarkStart w:id="180" w:name="_Toc239191498"/>
      <w:r>
        <w:rPr>
          <w:rFonts w:hint="eastAsia" w:ascii="黑体" w:hAnsi="黑体" w:eastAsia="黑体" w:cs="楷体"/>
          <w:b w:val="0"/>
          <w:sz w:val="30"/>
          <w:szCs w:val="30"/>
        </w:rPr>
        <w:t>2.9</w:t>
      </w:r>
      <w:bookmarkEnd w:id="176"/>
      <w:bookmarkEnd w:id="177"/>
      <w:bookmarkEnd w:id="178"/>
      <w:bookmarkEnd w:id="179"/>
      <w:r>
        <w:rPr>
          <w:rFonts w:hint="eastAsia" w:ascii="黑体" w:hAnsi="黑体" w:eastAsia="黑体" w:cs="楷体"/>
          <w:b w:val="0"/>
          <w:sz w:val="30"/>
          <w:szCs w:val="30"/>
        </w:rPr>
        <w:t>企业安全管理情况</w:t>
      </w:r>
      <w:bookmarkEnd w:id="180"/>
    </w:p>
    <w:p w14:paraId="1C52789B">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bookmarkStart w:id="181" w:name="_Toc65855299"/>
      <w:r>
        <w:rPr>
          <w:rFonts w:hint="eastAsia" w:ascii="黑体" w:hAnsi="黑体" w:eastAsia="黑体" w:cs="宋体"/>
          <w:b w:val="0"/>
          <w:bCs w:val="0"/>
          <w:szCs w:val="28"/>
        </w:rPr>
        <w:t>2.</w:t>
      </w:r>
      <w:r>
        <w:rPr>
          <w:rFonts w:ascii="黑体" w:hAnsi="黑体" w:eastAsia="黑体" w:cs="宋体"/>
          <w:b w:val="0"/>
          <w:bCs w:val="0"/>
          <w:szCs w:val="28"/>
        </w:rPr>
        <w:t>9</w:t>
      </w:r>
      <w:r>
        <w:rPr>
          <w:rFonts w:hint="eastAsia" w:ascii="黑体" w:hAnsi="黑体" w:eastAsia="黑体" w:cs="宋体"/>
          <w:b w:val="0"/>
          <w:bCs w:val="0"/>
          <w:szCs w:val="28"/>
        </w:rPr>
        <w:t>.</w:t>
      </w:r>
      <w:r>
        <w:rPr>
          <w:rFonts w:ascii="黑体" w:hAnsi="黑体" w:eastAsia="黑体" w:cs="宋体"/>
          <w:b w:val="0"/>
          <w:bCs w:val="0"/>
          <w:szCs w:val="28"/>
        </w:rPr>
        <w:t>1</w:t>
      </w:r>
      <w:r>
        <w:rPr>
          <w:rFonts w:hint="eastAsia" w:ascii="黑体" w:hAnsi="黑体" w:eastAsia="黑体" w:cs="宋体"/>
          <w:b w:val="0"/>
          <w:bCs w:val="0"/>
          <w:szCs w:val="28"/>
        </w:rPr>
        <w:t>安全管理组织</w:t>
      </w:r>
    </w:p>
    <w:p w14:paraId="22E99034">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cs="宋体"/>
          <w:b w:val="0"/>
          <w:sz w:val="28"/>
          <w:szCs w:val="28"/>
        </w:rPr>
      </w:pPr>
      <w:r>
        <w:rPr>
          <w:rFonts w:hint="eastAsia" w:ascii="宋体" w:hAnsi="宋体"/>
          <w:b w:val="0"/>
          <w:sz w:val="28"/>
          <w:szCs w:val="28"/>
          <w:lang w:val="en-GB"/>
        </w:rPr>
        <w:t>该企业应建立安全生产组织机构及其安全生产网络，建立产品质量检验和应急救援组织机构，各部门负责人即是生产负责人同时也是安全生产责任人。企业实行负责人制</w:t>
      </w:r>
      <w:r>
        <w:rPr>
          <w:rFonts w:ascii="宋体" w:hAnsi="宋体" w:cs="宋体"/>
          <w:b w:val="0"/>
          <w:sz w:val="28"/>
          <w:szCs w:val="28"/>
        </w:rPr>
        <w:t>。</w:t>
      </w:r>
    </w:p>
    <w:p w14:paraId="754DCFB6">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r>
        <w:rPr>
          <w:rFonts w:hint="eastAsia" w:ascii="黑体" w:hAnsi="黑体" w:eastAsia="黑体" w:cs="宋体"/>
          <w:b w:val="0"/>
          <w:bCs w:val="0"/>
          <w:szCs w:val="28"/>
        </w:rPr>
        <w:t>2.</w:t>
      </w:r>
      <w:r>
        <w:rPr>
          <w:rFonts w:ascii="黑体" w:hAnsi="黑体" w:eastAsia="黑体" w:cs="宋体"/>
          <w:b w:val="0"/>
          <w:bCs w:val="0"/>
          <w:szCs w:val="28"/>
        </w:rPr>
        <w:t>9</w:t>
      </w:r>
      <w:r>
        <w:rPr>
          <w:rFonts w:hint="eastAsia" w:ascii="黑体" w:hAnsi="黑体" w:eastAsia="黑体" w:cs="宋体"/>
          <w:b w:val="0"/>
          <w:bCs w:val="0"/>
          <w:szCs w:val="28"/>
        </w:rPr>
        <w:t>.</w:t>
      </w:r>
      <w:r>
        <w:rPr>
          <w:rFonts w:ascii="黑体" w:hAnsi="黑体" w:eastAsia="黑体" w:cs="宋体"/>
          <w:b w:val="0"/>
          <w:bCs w:val="0"/>
          <w:szCs w:val="28"/>
        </w:rPr>
        <w:t>2</w:t>
      </w:r>
      <w:r>
        <w:rPr>
          <w:rFonts w:hint="eastAsia" w:ascii="黑体" w:hAnsi="黑体" w:eastAsia="黑体" w:cs="宋体"/>
          <w:b w:val="0"/>
          <w:bCs w:val="0"/>
          <w:szCs w:val="28"/>
        </w:rPr>
        <w:t>教育与培训及工伤保险</w:t>
      </w:r>
    </w:p>
    <w:p w14:paraId="45267B7E">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sz w:val="28"/>
          <w:szCs w:val="28"/>
          <w:lang w:val="en-GB"/>
        </w:rPr>
      </w:pPr>
      <w:r>
        <w:rPr>
          <w:rFonts w:hint="eastAsia" w:ascii="宋体" w:hAnsi="宋体"/>
          <w:b w:val="0"/>
          <w:sz w:val="28"/>
          <w:szCs w:val="28"/>
          <w:lang w:val="en-GB"/>
        </w:rPr>
        <w:t>该企业主要负责人、分管安全生产负责人和专职安全生产管理人员均需经相关部门培训考核合格并取得安全资格证书；特种作业人员需经过相关职能部门培训，并持证方能上岗；其它危险工序作业人员都必须参加相关专业中介机构的安全培训，无药工序作业人员通过本厂组织的三级培训教育后上岗。该企业应根据相关规定为从业人员购买工伤保险。</w:t>
      </w:r>
    </w:p>
    <w:p w14:paraId="705C6CB5">
      <w:pPr>
        <w:pStyle w:val="7"/>
        <w:keepNext w:val="0"/>
        <w:keepLines w:val="0"/>
        <w:pageBreakBefore w:val="0"/>
        <w:widowControl w:val="0"/>
        <w:kinsoku/>
        <w:wordWrap/>
        <w:overflowPunct/>
        <w:topLinePunct w:val="0"/>
        <w:autoSpaceDE/>
        <w:autoSpaceDN/>
        <w:bidi w:val="0"/>
        <w:textAlignment w:val="auto"/>
        <w:rPr>
          <w:rFonts w:ascii="黑体" w:hAnsi="黑体" w:eastAsia="黑体" w:cs="宋体"/>
          <w:b w:val="0"/>
          <w:bCs w:val="0"/>
          <w:szCs w:val="28"/>
        </w:rPr>
      </w:pPr>
      <w:r>
        <w:rPr>
          <w:rFonts w:hint="eastAsia" w:ascii="黑体" w:hAnsi="黑体" w:eastAsia="黑体" w:cs="宋体"/>
          <w:b w:val="0"/>
          <w:bCs w:val="0"/>
          <w:szCs w:val="28"/>
        </w:rPr>
        <w:t>2.</w:t>
      </w:r>
      <w:r>
        <w:rPr>
          <w:rFonts w:ascii="黑体" w:hAnsi="黑体" w:eastAsia="黑体" w:cs="宋体"/>
          <w:b w:val="0"/>
          <w:bCs w:val="0"/>
          <w:szCs w:val="28"/>
        </w:rPr>
        <w:t>9</w:t>
      </w:r>
      <w:r>
        <w:rPr>
          <w:rFonts w:hint="eastAsia" w:ascii="黑体" w:hAnsi="黑体" w:eastAsia="黑体" w:cs="宋体"/>
          <w:b w:val="0"/>
          <w:bCs w:val="0"/>
          <w:szCs w:val="28"/>
        </w:rPr>
        <w:t>.</w:t>
      </w:r>
      <w:r>
        <w:rPr>
          <w:rFonts w:ascii="黑体" w:hAnsi="黑体" w:eastAsia="黑体" w:cs="宋体"/>
          <w:b w:val="0"/>
          <w:bCs w:val="0"/>
          <w:szCs w:val="28"/>
        </w:rPr>
        <w:t>3</w:t>
      </w:r>
      <w:r>
        <w:rPr>
          <w:rFonts w:hint="eastAsia" w:ascii="黑体" w:hAnsi="黑体" w:eastAsia="黑体" w:cs="宋体"/>
          <w:b w:val="0"/>
          <w:bCs w:val="0"/>
          <w:szCs w:val="28"/>
        </w:rPr>
        <w:t>安全生产责任制、安全管理制度、安全操作规程和应急预案</w:t>
      </w:r>
    </w:p>
    <w:p w14:paraId="24C35716">
      <w:pPr>
        <w:pStyle w:val="30"/>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ascii="宋体" w:hAnsi="宋体" w:eastAsia="宋体"/>
          <w:b w:val="0"/>
          <w:bCs/>
          <w:sz w:val="28"/>
          <w:szCs w:val="28"/>
          <w:lang w:val="en-GB"/>
        </w:rPr>
      </w:pPr>
      <w:r>
        <w:rPr>
          <w:rFonts w:hint="eastAsia" w:ascii="宋体" w:hAnsi="宋体" w:eastAsia="宋体"/>
          <w:b w:val="0"/>
          <w:bCs/>
          <w:sz w:val="28"/>
          <w:szCs w:val="28"/>
          <w:lang w:val="en-GB"/>
        </w:rPr>
        <w:t>该企业应根据《中华人民共和国安全生产法》、《烟花爆竹安全管理条例》、《烟花爆竹生产企业安全生产许可证实施办法》、《烟花爆竹作业安全技术规程》等有关法律法规的要求，建立健全各项安全生产责任制、各项安全管理制度、各岗位相应的安全操作规程，其制定的各项安全生产责任制、安全管理制度、安全操作规程应与本企业生产相适应，内容具体全面，并能适用于企业的安全管理。</w:t>
      </w:r>
    </w:p>
    <w:p w14:paraId="74F0C03B">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cs="宋体"/>
          <w:b w:val="0"/>
          <w:bCs/>
          <w:sz w:val="28"/>
          <w:szCs w:val="28"/>
          <w:lang w:val="en-GB"/>
        </w:rPr>
      </w:pPr>
      <w:r>
        <w:rPr>
          <w:rFonts w:hint="eastAsia" w:ascii="宋体" w:hAnsi="宋体" w:cs="宋体"/>
          <w:b w:val="0"/>
          <w:bCs/>
          <w:sz w:val="28"/>
          <w:szCs w:val="28"/>
          <w:lang w:val="en-GB"/>
        </w:rPr>
        <w:t>1）安全生产责任制、安全管理制度、安全操作规程</w:t>
      </w:r>
    </w:p>
    <w:p w14:paraId="530B7E16">
      <w:pPr>
        <w:pStyle w:val="30"/>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ascii="宋体" w:hAnsi="宋体" w:eastAsia="宋体"/>
          <w:b w:val="0"/>
          <w:bCs/>
          <w:sz w:val="28"/>
          <w:szCs w:val="28"/>
          <w:lang w:val="en-GB"/>
        </w:rPr>
      </w:pPr>
      <w:r>
        <w:rPr>
          <w:rFonts w:hint="eastAsia" w:ascii="宋体" w:hAnsi="宋体" w:eastAsia="宋体"/>
          <w:b w:val="0"/>
          <w:bCs/>
          <w:sz w:val="28"/>
          <w:szCs w:val="28"/>
          <w:lang w:val="en-GB"/>
        </w:rPr>
        <w:t>（1）拟制定以下安全管理制度：《药物存储管理、领取管理和余（废）药处理制度》、《企业负责人及涉裸药生产线负责人值（带）班制度》、《特种作业人员管理制度》、《从业人员安全教育培训制度》、《安全检查和隐患排查治理制度》、《产品购销合同和销售流向登记管理制度》、《新产品、新药物研发管理制度》、《安全设施设备维护管理制度》、《原材料购买、检验、储存及使用管理制度》、《药物运输管理制度》、《易制爆化学品安全储存管理制度》、《职工考勤及外来人员（车辆）出入厂（库）区管理制度》、《厂（库）区门卫值班（守卫）制度》、《电瓶车使用安全管理制度》、《重大危险源（重点危险部位）监控管理制度》、《安全生产费用提取和使用制度》、《劳动防护用品配备、使用和管理制度》、《工作场所职业病危害防治制度》、《烟火药安全检测制度》、《动火作业审批制度》、《不合格产品的处置和跟踪制度》、《奖励与违规违章惩罚制度》、《职业卫生管理制度》、《安全生产例会制度》、《非正常情况下不得生产的规定》、《技术档案管理制度》、《工艺和技术管理制度》、《工（器）具管理制度》、《机械设备安装、维护和检修管理制度》、《安全用电管理制度》、《半成品储存、出入库管理制度》、《燃放试验管理制度》、《事故应急救援与演练制度》、《事故报告与调查处理制度》、《安全生产责任考核管理制度》、《安全生产奖惩制度》、《安全风险分级管控制度》等安全生产管理制度，制度内容具体、全面，责任应明确，符合国家有关法律、法规、标准的要求。其安全管理制度与企业生产的产品、所设的工序相适应，内容具体全面，并能适用于企业的安全管理。</w:t>
      </w:r>
    </w:p>
    <w:p w14:paraId="7AF0E622">
      <w:pPr>
        <w:pStyle w:val="30"/>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ascii="宋体" w:hAnsi="宋体" w:eastAsia="宋体"/>
          <w:b w:val="0"/>
          <w:bCs/>
          <w:sz w:val="28"/>
          <w:szCs w:val="28"/>
          <w:lang w:val="en-GB"/>
        </w:rPr>
      </w:pPr>
      <w:r>
        <w:rPr>
          <w:rFonts w:hint="eastAsia" w:ascii="宋体" w:hAnsi="宋体" w:eastAsia="宋体"/>
          <w:b w:val="0"/>
          <w:bCs/>
          <w:sz w:val="28"/>
          <w:szCs w:val="28"/>
        </w:rPr>
        <w:t>（2）拟制定以下安全生产责任制：《各部门安全生产责任制》、</w:t>
      </w:r>
      <w:r>
        <w:rPr>
          <w:rFonts w:ascii="宋体" w:hAnsi="宋体" w:eastAsia="宋体"/>
          <w:b w:val="0"/>
          <w:bCs/>
          <w:sz w:val="28"/>
          <w:szCs w:val="28"/>
        </w:rPr>
        <w:t>《</w:t>
      </w:r>
      <w:r>
        <w:rPr>
          <w:rFonts w:hint="eastAsia" w:ascii="宋体" w:hAnsi="宋体" w:eastAsia="宋体"/>
          <w:b w:val="0"/>
          <w:bCs/>
          <w:sz w:val="28"/>
          <w:szCs w:val="28"/>
        </w:rPr>
        <w:t>主要负责人安全生产责任制》、</w:t>
      </w:r>
      <w:r>
        <w:rPr>
          <w:rFonts w:ascii="宋体" w:hAnsi="宋体" w:eastAsia="宋体"/>
          <w:b w:val="0"/>
          <w:bCs/>
          <w:sz w:val="28"/>
          <w:szCs w:val="28"/>
        </w:rPr>
        <w:t>《</w:t>
      </w:r>
      <w:r>
        <w:rPr>
          <w:rFonts w:hint="eastAsia" w:ascii="宋体" w:hAnsi="宋体" w:eastAsia="宋体"/>
          <w:b w:val="0"/>
          <w:bCs/>
          <w:sz w:val="28"/>
          <w:szCs w:val="28"/>
        </w:rPr>
        <w:t>分管安全生产负责人安全生产责任制》、</w:t>
      </w:r>
      <w:r>
        <w:rPr>
          <w:rFonts w:ascii="宋体" w:hAnsi="宋体" w:eastAsia="宋体"/>
          <w:b w:val="0"/>
          <w:bCs/>
          <w:sz w:val="28"/>
          <w:szCs w:val="28"/>
        </w:rPr>
        <w:t>《</w:t>
      </w:r>
      <w:r>
        <w:rPr>
          <w:rFonts w:hint="eastAsia" w:ascii="宋体" w:hAnsi="宋体" w:eastAsia="宋体"/>
          <w:b w:val="0"/>
          <w:bCs/>
          <w:sz w:val="28"/>
          <w:szCs w:val="28"/>
        </w:rPr>
        <w:t>专职安全生产管理人员安全生产责任制》、《兼职安全员安全生产责任制》、《注册安全工程师安全生产责任制》、《特种作业人员安全生产责任制》、《生产工人安全生产责任制》</w:t>
      </w:r>
      <w:r>
        <w:rPr>
          <w:rFonts w:hint="eastAsia" w:ascii="宋体" w:hAnsi="宋体" w:eastAsia="宋体"/>
          <w:b w:val="0"/>
          <w:bCs/>
          <w:sz w:val="28"/>
          <w:szCs w:val="28"/>
          <w:lang w:val="en-GB"/>
        </w:rPr>
        <w:t>等安全生产生产责任制度，制度内容具体、全面，责任应明确，符合国家有关法律、法规、标准的要求。其安全生产责任制与企业生产的产品、所设的工序相适应，内容具体全面，并能适用于企业的安全管理。</w:t>
      </w:r>
    </w:p>
    <w:p w14:paraId="06B9A5E2">
      <w:pPr>
        <w:pStyle w:val="30"/>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ascii="宋体" w:hAnsi="宋体" w:eastAsia="宋体"/>
          <w:b w:val="0"/>
          <w:bCs/>
          <w:sz w:val="28"/>
          <w:szCs w:val="28"/>
          <w:lang w:val="en-GB"/>
        </w:rPr>
      </w:pPr>
      <w:r>
        <w:rPr>
          <w:rFonts w:hint="eastAsia" w:ascii="宋体" w:hAnsi="宋体" w:eastAsia="宋体"/>
          <w:b w:val="0"/>
          <w:bCs/>
          <w:sz w:val="28"/>
          <w:szCs w:val="28"/>
        </w:rPr>
        <w:t>（3）</w:t>
      </w:r>
      <w:r>
        <w:rPr>
          <w:rFonts w:hint="eastAsia" w:ascii="宋体" w:hAnsi="宋体" w:eastAsia="宋体"/>
          <w:b w:val="0"/>
          <w:bCs/>
          <w:sz w:val="28"/>
          <w:szCs w:val="28"/>
          <w:lang w:val="en-GB"/>
        </w:rPr>
        <w:t>拟制定以下安全操作规程：《原材料粉碎、称料安全操作规程》、《二味球磨安全操作规程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w:t>
      </w:r>
      <w:r>
        <w:rPr>
          <w:rFonts w:ascii="宋体" w:hAnsi="宋体" w:eastAsia="宋体"/>
          <w:b w:val="0"/>
          <w:bCs/>
          <w:sz w:val="28"/>
          <w:szCs w:val="28"/>
          <w:lang w:val="en-GB"/>
        </w:rPr>
        <w:t>《</w:t>
      </w:r>
      <w:r>
        <w:rPr>
          <w:rFonts w:hint="eastAsia" w:ascii="宋体" w:hAnsi="宋体" w:eastAsia="宋体"/>
          <w:b w:val="0"/>
          <w:bCs/>
          <w:sz w:val="28"/>
          <w:szCs w:val="28"/>
          <w:lang w:val="en-GB"/>
        </w:rPr>
        <w:t>自动混合/上潮/装模制片安全操作规程》、《凉片安全操作规程》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《压药安全操作规程》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《造粒安全操作规程》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《抛光</w:t>
      </w:r>
      <w:r>
        <w:rPr>
          <w:rFonts w:ascii="宋体" w:hAnsi="宋体" w:eastAsia="宋体"/>
          <w:b w:val="0"/>
          <w:bCs/>
          <w:sz w:val="28"/>
          <w:szCs w:val="28"/>
          <w:lang w:val="en-GB"/>
        </w:rPr>
        <w:t>安全操作规程》、</w:t>
      </w:r>
      <w:r>
        <w:rPr>
          <w:rFonts w:hint="eastAsia" w:ascii="宋体" w:hAnsi="宋体" w:eastAsia="宋体"/>
          <w:b w:val="0"/>
          <w:bCs/>
          <w:sz w:val="28"/>
          <w:szCs w:val="28"/>
          <w:lang w:val="en-GB"/>
        </w:rPr>
        <w:t>《三味球磨/筛选安全操作规程》、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运输、出入库</w:t>
      </w:r>
      <w:r>
        <w:rPr>
          <w:rFonts w:ascii="宋体" w:hAnsi="宋体" w:eastAsia="宋体"/>
          <w:b w:val="0"/>
          <w:bCs/>
          <w:sz w:val="28"/>
          <w:szCs w:val="28"/>
          <w:lang w:val="en-GB"/>
        </w:rPr>
        <w:t>安全操作规程</w:t>
      </w:r>
      <w:r>
        <w:rPr>
          <w:rFonts w:hint="eastAsia" w:ascii="宋体" w:hAnsi="宋体" w:eastAsia="宋体"/>
          <w:b w:val="0"/>
          <w:bCs/>
          <w:sz w:val="28"/>
          <w:szCs w:val="28"/>
          <w:lang w:val="en-GB"/>
        </w:rPr>
        <w:t>》</w:t>
      </w:r>
      <w:r>
        <w:rPr>
          <w:rFonts w:ascii="宋体" w:hAnsi="宋体" w:eastAsia="宋体"/>
          <w:b w:val="0"/>
          <w:bCs/>
          <w:sz w:val="28"/>
          <w:szCs w:val="28"/>
          <w:lang w:val="en-GB"/>
        </w:rPr>
        <w:t>、《</w:t>
      </w:r>
      <w:r>
        <w:rPr>
          <w:rFonts w:hint="eastAsia" w:ascii="宋体" w:hAnsi="宋体" w:eastAsia="宋体"/>
          <w:b w:val="0"/>
          <w:bCs/>
          <w:sz w:val="28"/>
          <w:szCs w:val="28"/>
          <w:lang w:val="en-GB"/>
        </w:rPr>
        <w:t>危险场所电气检修安装、机械设备维修</w:t>
      </w:r>
      <w:r>
        <w:rPr>
          <w:rFonts w:ascii="宋体" w:hAnsi="宋体" w:eastAsia="宋体"/>
          <w:b w:val="0"/>
          <w:bCs/>
          <w:sz w:val="28"/>
          <w:szCs w:val="28"/>
          <w:lang w:val="en-GB"/>
        </w:rPr>
        <w:t>安全操作规程》、</w:t>
      </w:r>
      <w:r>
        <w:rPr>
          <w:rFonts w:hint="eastAsia" w:ascii="宋体" w:hAnsi="宋体" w:eastAsia="宋体"/>
          <w:b w:val="0"/>
          <w:bCs/>
          <w:sz w:val="28"/>
          <w:szCs w:val="28"/>
          <w:lang w:val="en-GB"/>
        </w:rPr>
        <w:t>《卫生安全操作规程》、《门卫值班安全操作规程》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《余废药及报废产品销毁操作规程》、《电瓶车安全操作规程》</w:t>
      </w:r>
      <w:r>
        <w:rPr>
          <w:rFonts w:ascii="宋体" w:hAnsi="宋体" w:eastAsia="宋体"/>
          <w:b w:val="0"/>
          <w:bCs/>
          <w:sz w:val="28"/>
          <w:szCs w:val="28"/>
          <w:lang w:val="en-GB"/>
        </w:rPr>
        <w:t>、</w:t>
      </w:r>
      <w:r>
        <w:rPr>
          <w:rFonts w:hint="eastAsia" w:ascii="宋体" w:hAnsi="宋体" w:eastAsia="宋体"/>
          <w:b w:val="0"/>
          <w:bCs/>
          <w:sz w:val="28"/>
          <w:szCs w:val="28"/>
          <w:lang w:val="en-GB"/>
        </w:rPr>
        <w:t>《包装、成箱安全操作规程》等安全生产操作规程，操作</w:t>
      </w:r>
      <w:r>
        <w:rPr>
          <w:rFonts w:ascii="宋体" w:hAnsi="宋体" w:eastAsia="宋体"/>
          <w:b w:val="0"/>
          <w:bCs/>
          <w:sz w:val="28"/>
          <w:szCs w:val="28"/>
          <w:lang w:val="en-GB"/>
        </w:rPr>
        <w:t>规程</w:t>
      </w:r>
      <w:r>
        <w:rPr>
          <w:rFonts w:hint="eastAsia" w:ascii="宋体" w:hAnsi="宋体" w:eastAsia="宋体"/>
          <w:b w:val="0"/>
          <w:bCs/>
          <w:sz w:val="28"/>
          <w:szCs w:val="28"/>
          <w:lang w:val="en-GB"/>
        </w:rPr>
        <w:t>内容具体、全面，责任应明确，符合国家有关法律、法规、标准的要求。其操作规程与企业生产的产品、所设的工序相适应，内容具体全面，并能适用于企业的安全管理。</w:t>
      </w:r>
    </w:p>
    <w:p w14:paraId="1B1D8893">
      <w:pPr>
        <w:pStyle w:val="30"/>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ascii="宋体" w:hAnsi="宋体" w:eastAsia="宋体" w:cs="宋体"/>
          <w:b w:val="0"/>
          <w:bCs/>
          <w:sz w:val="28"/>
          <w:szCs w:val="28"/>
        </w:rPr>
      </w:pPr>
      <w:r>
        <w:rPr>
          <w:rFonts w:hint="eastAsia" w:ascii="宋体" w:hAnsi="宋体" w:eastAsia="宋体" w:cs="宋体"/>
          <w:b w:val="0"/>
          <w:bCs/>
          <w:sz w:val="28"/>
          <w:szCs w:val="28"/>
        </w:rPr>
        <w:t>2）</w:t>
      </w:r>
      <w:r>
        <w:rPr>
          <w:rFonts w:hint="eastAsia" w:ascii="宋体" w:hAnsi="宋体" w:eastAsia="宋体"/>
          <w:b w:val="0"/>
          <w:bCs/>
          <w:sz w:val="28"/>
          <w:szCs w:val="28"/>
        </w:rPr>
        <w:t>事故</w:t>
      </w:r>
      <w:r>
        <w:rPr>
          <w:rFonts w:hint="eastAsia" w:ascii="宋体" w:hAnsi="宋体" w:eastAsia="宋体"/>
          <w:b w:val="0"/>
          <w:bCs/>
          <w:sz w:val="28"/>
          <w:szCs w:val="28"/>
          <w:lang w:val="en-GB"/>
        </w:rPr>
        <w:t>应急预案</w:t>
      </w:r>
    </w:p>
    <w:p w14:paraId="570D2F17">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cs="宋体"/>
          <w:b w:val="0"/>
          <w:bCs/>
          <w:sz w:val="28"/>
          <w:szCs w:val="28"/>
          <w:lang w:val="en-GB"/>
        </w:rPr>
      </w:pPr>
      <w:r>
        <w:rPr>
          <w:rFonts w:hint="eastAsia" w:ascii="宋体" w:hAnsi="宋体" w:cs="宋体"/>
          <w:b w:val="0"/>
          <w:bCs/>
          <w:sz w:val="28"/>
          <w:szCs w:val="28"/>
        </w:rPr>
        <w:t>企业应根据厂内安全生产条件的变更对应急救援预案进行修订，及时去相关部门备案登记，</w:t>
      </w:r>
      <w:r>
        <w:rPr>
          <w:rFonts w:hint="eastAsia" w:ascii="宋体" w:hAnsi="宋体" w:cs="宋体"/>
          <w:b w:val="0"/>
          <w:bCs/>
          <w:sz w:val="28"/>
          <w:szCs w:val="28"/>
          <w:lang w:val="en-GB"/>
        </w:rPr>
        <w:t>并定期进行演练</w:t>
      </w:r>
      <w:r>
        <w:rPr>
          <w:rFonts w:hint="eastAsia" w:ascii="宋体" w:hAnsi="宋体" w:cs="宋体"/>
          <w:b w:val="0"/>
          <w:bCs/>
          <w:sz w:val="28"/>
          <w:szCs w:val="28"/>
        </w:rPr>
        <w:t>。</w:t>
      </w:r>
    </w:p>
    <w:p w14:paraId="2FD46E55">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cs="宋体"/>
          <w:b w:val="0"/>
          <w:bCs/>
          <w:sz w:val="28"/>
          <w:szCs w:val="28"/>
          <w:lang w:val="en-GB"/>
        </w:rPr>
      </w:pPr>
      <w:r>
        <w:rPr>
          <w:rFonts w:hint="eastAsia" w:ascii="宋体" w:hAnsi="宋体" w:cs="宋体"/>
          <w:b w:val="0"/>
          <w:bCs/>
          <w:sz w:val="28"/>
          <w:szCs w:val="28"/>
          <w:lang w:val="en-GB"/>
        </w:rPr>
        <w:t>《安全生产事故应急救援预案》</w:t>
      </w:r>
      <w:r>
        <w:rPr>
          <w:rFonts w:hint="eastAsia" w:ascii="宋体" w:hAnsi="宋体" w:cs="宋体"/>
          <w:b w:val="0"/>
          <w:bCs/>
          <w:sz w:val="28"/>
          <w:szCs w:val="28"/>
        </w:rPr>
        <w:t>应</w:t>
      </w:r>
      <w:r>
        <w:rPr>
          <w:rFonts w:hint="eastAsia" w:ascii="宋体" w:hAnsi="宋体" w:cs="宋体"/>
          <w:b w:val="0"/>
          <w:bCs/>
          <w:sz w:val="28"/>
          <w:szCs w:val="28"/>
          <w:lang w:val="en-GB"/>
        </w:rPr>
        <w:t>包括《生产经营单位安全生产事故应急预案编制导则》（GB/T29639-2020）要求的基本条款，编制目的明确、编制依据充分；</w:t>
      </w:r>
      <w:r>
        <w:rPr>
          <w:rFonts w:hint="eastAsia" w:ascii="宋体" w:hAnsi="宋体" w:cs="宋体"/>
          <w:b w:val="0"/>
          <w:bCs/>
          <w:sz w:val="28"/>
          <w:szCs w:val="28"/>
        </w:rPr>
        <w:t>应</w:t>
      </w:r>
      <w:r>
        <w:rPr>
          <w:rFonts w:hint="eastAsia" w:ascii="宋体" w:hAnsi="宋体" w:cs="宋体"/>
          <w:b w:val="0"/>
          <w:bCs/>
          <w:sz w:val="28"/>
          <w:szCs w:val="28"/>
          <w:lang w:val="en-GB"/>
        </w:rPr>
        <w:t>针对企业特点进行相应的危险、有害因素分析；</w:t>
      </w:r>
      <w:r>
        <w:rPr>
          <w:rFonts w:hint="eastAsia" w:ascii="宋体" w:hAnsi="宋体" w:cs="宋体"/>
          <w:b w:val="0"/>
          <w:bCs/>
          <w:sz w:val="28"/>
          <w:szCs w:val="28"/>
        </w:rPr>
        <w:t>建立</w:t>
      </w:r>
      <w:r>
        <w:rPr>
          <w:rFonts w:hint="eastAsia" w:ascii="宋体" w:hAnsi="宋体" w:cs="宋体"/>
          <w:b w:val="0"/>
          <w:bCs/>
          <w:sz w:val="28"/>
          <w:szCs w:val="28"/>
          <w:lang w:val="en-GB"/>
        </w:rPr>
        <w:t>健全的应急管理机构和职责；预防和预警到位；应急响应有分级、响应程序；信息发布、后期处置、保障措施、培训及演练、奖惩及附则</w:t>
      </w:r>
      <w:r>
        <w:rPr>
          <w:rFonts w:hint="eastAsia" w:ascii="宋体" w:hAnsi="宋体" w:cs="宋体"/>
          <w:b w:val="0"/>
          <w:bCs/>
          <w:sz w:val="28"/>
          <w:szCs w:val="28"/>
        </w:rPr>
        <w:t>应</w:t>
      </w:r>
      <w:r>
        <w:rPr>
          <w:rFonts w:hint="eastAsia" w:ascii="宋体" w:hAnsi="宋体" w:cs="宋体"/>
          <w:b w:val="0"/>
          <w:bCs/>
          <w:sz w:val="28"/>
          <w:szCs w:val="28"/>
          <w:lang w:val="en-GB"/>
        </w:rPr>
        <w:t>合理。</w:t>
      </w:r>
    </w:p>
    <w:p w14:paraId="039978B7">
      <w:pPr>
        <w:pStyle w:val="7"/>
        <w:keepNext w:val="0"/>
        <w:keepLines w:val="0"/>
        <w:pageBreakBefore w:val="0"/>
        <w:widowControl w:val="0"/>
        <w:kinsoku/>
        <w:wordWrap/>
        <w:overflowPunct/>
        <w:topLinePunct w:val="0"/>
        <w:autoSpaceDE/>
        <w:autoSpaceDN/>
        <w:bidi w:val="0"/>
        <w:jc w:val="both"/>
        <w:textAlignment w:val="auto"/>
        <w:rPr>
          <w:rFonts w:ascii="黑体" w:hAnsi="黑体" w:eastAsia="黑体" w:cs="宋体"/>
          <w:b w:val="0"/>
          <w:bCs w:val="0"/>
          <w:szCs w:val="28"/>
        </w:rPr>
      </w:pPr>
      <w:r>
        <w:rPr>
          <w:rFonts w:hint="eastAsia" w:ascii="黑体" w:hAnsi="黑体" w:eastAsia="黑体" w:cs="宋体"/>
          <w:b w:val="0"/>
          <w:bCs w:val="0"/>
          <w:szCs w:val="28"/>
        </w:rPr>
        <w:t>2.</w:t>
      </w:r>
      <w:r>
        <w:rPr>
          <w:rFonts w:ascii="黑体" w:hAnsi="黑体" w:eastAsia="黑体" w:cs="宋体"/>
          <w:b w:val="0"/>
          <w:bCs w:val="0"/>
          <w:szCs w:val="28"/>
        </w:rPr>
        <w:t>9</w:t>
      </w:r>
      <w:r>
        <w:rPr>
          <w:rFonts w:hint="eastAsia" w:ascii="黑体" w:hAnsi="黑体" w:eastAsia="黑体" w:cs="宋体"/>
          <w:b w:val="0"/>
          <w:bCs w:val="0"/>
          <w:szCs w:val="28"/>
        </w:rPr>
        <w:t>.</w:t>
      </w:r>
      <w:r>
        <w:rPr>
          <w:rFonts w:ascii="黑体" w:hAnsi="黑体" w:eastAsia="黑体" w:cs="宋体"/>
          <w:b w:val="0"/>
          <w:bCs w:val="0"/>
          <w:szCs w:val="28"/>
        </w:rPr>
        <w:t>4</w:t>
      </w:r>
      <w:r>
        <w:rPr>
          <w:rFonts w:hint="eastAsia" w:ascii="黑体" w:hAnsi="黑体" w:eastAsia="黑体" w:cs="宋体"/>
          <w:b w:val="0"/>
          <w:bCs w:val="0"/>
          <w:szCs w:val="28"/>
        </w:rPr>
        <w:t>劳动防护</w:t>
      </w:r>
    </w:p>
    <w:p w14:paraId="31B8C30C">
      <w:pPr>
        <w:pStyle w:val="2"/>
        <w:keepNext w:val="0"/>
        <w:keepLines w:val="0"/>
        <w:pageBreakBefore w:val="0"/>
        <w:widowControl w:val="0"/>
        <w:kinsoku/>
        <w:wordWrap/>
        <w:overflowPunct/>
        <w:topLinePunct w:val="0"/>
        <w:autoSpaceDE/>
        <w:autoSpaceDN/>
        <w:bidi w:val="0"/>
        <w:ind w:firstLine="560"/>
        <w:textAlignment w:val="auto"/>
        <w:rPr>
          <w:rFonts w:ascii="宋体" w:hAnsi="宋体" w:eastAsia="宋体"/>
          <w:b w:val="0"/>
          <w:bCs/>
          <w:szCs w:val="28"/>
          <w:lang w:val="en-GB"/>
        </w:rPr>
      </w:pPr>
      <w:r>
        <w:rPr>
          <w:rFonts w:hint="eastAsia" w:ascii="宋体" w:hAnsi="宋体" w:eastAsia="宋体"/>
          <w:b w:val="0"/>
          <w:bCs/>
          <w:szCs w:val="28"/>
          <w:lang w:val="en-GB"/>
        </w:rPr>
        <w:t>该企业应制定劳动防护用品配备、使用和管理制度和工作场所职业病危害防治制度，拟建立劳动防护用品发放台帐，拟为危险岗位人员配备防尘口罩、棉质工作服、工作手套等劳动防护用品。</w:t>
      </w:r>
    </w:p>
    <w:p w14:paraId="181F708A">
      <w:pPr>
        <w:pStyle w:val="7"/>
        <w:keepNext w:val="0"/>
        <w:keepLines w:val="0"/>
        <w:pageBreakBefore w:val="0"/>
        <w:widowControl w:val="0"/>
        <w:kinsoku/>
        <w:wordWrap/>
        <w:overflowPunct/>
        <w:topLinePunct w:val="0"/>
        <w:autoSpaceDE/>
        <w:autoSpaceDN/>
        <w:bidi w:val="0"/>
        <w:jc w:val="both"/>
        <w:textAlignment w:val="auto"/>
        <w:rPr>
          <w:rFonts w:ascii="黑体" w:hAnsi="黑体" w:eastAsia="黑体" w:cs="宋体"/>
          <w:b w:val="0"/>
          <w:bCs w:val="0"/>
          <w:szCs w:val="28"/>
        </w:rPr>
      </w:pPr>
      <w:r>
        <w:rPr>
          <w:rFonts w:hint="eastAsia" w:ascii="黑体" w:hAnsi="黑体" w:eastAsia="黑体" w:cs="宋体"/>
          <w:b w:val="0"/>
          <w:bCs w:val="0"/>
          <w:szCs w:val="28"/>
        </w:rPr>
        <w:t>2.</w:t>
      </w:r>
      <w:r>
        <w:rPr>
          <w:rFonts w:ascii="黑体" w:hAnsi="黑体" w:eastAsia="黑体" w:cs="宋体"/>
          <w:b w:val="0"/>
          <w:bCs w:val="0"/>
          <w:szCs w:val="28"/>
        </w:rPr>
        <w:t>9</w:t>
      </w:r>
      <w:r>
        <w:rPr>
          <w:rFonts w:hint="eastAsia" w:ascii="黑体" w:hAnsi="黑体" w:eastAsia="黑体" w:cs="宋体"/>
          <w:b w:val="0"/>
          <w:bCs w:val="0"/>
          <w:szCs w:val="28"/>
        </w:rPr>
        <w:t>.</w:t>
      </w:r>
      <w:r>
        <w:rPr>
          <w:rFonts w:ascii="黑体" w:hAnsi="黑体" w:eastAsia="黑体" w:cs="宋体"/>
          <w:b w:val="0"/>
          <w:bCs w:val="0"/>
          <w:szCs w:val="28"/>
        </w:rPr>
        <w:t>5</w:t>
      </w:r>
      <w:r>
        <w:rPr>
          <w:rFonts w:hint="eastAsia" w:ascii="黑体" w:hAnsi="黑体" w:eastAsia="黑体" w:cs="宋体"/>
          <w:b w:val="0"/>
          <w:bCs w:val="0"/>
          <w:szCs w:val="28"/>
        </w:rPr>
        <w:t>设备维护保养</w:t>
      </w:r>
    </w:p>
    <w:bookmarkEnd w:id="170"/>
    <w:bookmarkEnd w:id="171"/>
    <w:bookmarkEnd w:id="172"/>
    <w:bookmarkEnd w:id="173"/>
    <w:bookmarkEnd w:id="181"/>
    <w:p w14:paraId="092D150F">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b w:val="0"/>
          <w:bCs/>
          <w:lang w:val="zh-CN"/>
        </w:rPr>
        <w:sectPr>
          <w:footerReference r:id="rId11" w:type="default"/>
          <w:pgSz w:w="11906" w:h="16838"/>
          <w:pgMar w:top="1417" w:right="1417" w:bottom="1417" w:left="1417" w:header="851" w:footer="867" w:gutter="0"/>
          <w:pgBorders>
            <w:top w:val="none" w:sz="0" w:space="0"/>
            <w:left w:val="none" w:sz="0" w:space="0"/>
            <w:bottom w:val="none" w:sz="0" w:space="0"/>
            <w:right w:val="none" w:sz="0" w:space="0"/>
          </w:pgBorders>
          <w:pgNumType w:start="1"/>
          <w:cols w:space="720" w:num="1"/>
          <w:docGrid w:linePitch="312" w:charSpace="0"/>
        </w:sectPr>
      </w:pPr>
      <w:r>
        <w:rPr>
          <w:rFonts w:ascii="宋体" w:hAnsi="宋体"/>
          <w:b w:val="0"/>
          <w:bCs/>
          <w:sz w:val="28"/>
          <w:szCs w:val="28"/>
          <w:lang w:val="en-GB"/>
        </w:rPr>
        <w:t>为加强设备的维护与保养、贯彻“预防为主”和“维护与计划检修相结合”的原则，做到正确使用、精心维护，使设备经常处于良好状态，以保证设备的长周期、安全稳定运转，制定</w:t>
      </w:r>
      <w:r>
        <w:rPr>
          <w:rFonts w:hint="eastAsia" w:ascii="宋体" w:hAnsi="宋体"/>
          <w:b w:val="0"/>
          <w:bCs/>
          <w:sz w:val="28"/>
          <w:szCs w:val="28"/>
          <w:lang w:val="en-GB"/>
        </w:rPr>
        <w:t>设备维护保养</w:t>
      </w:r>
      <w:r>
        <w:rPr>
          <w:rFonts w:ascii="宋体" w:hAnsi="宋体"/>
          <w:b w:val="0"/>
          <w:bCs/>
          <w:sz w:val="28"/>
          <w:szCs w:val="28"/>
          <w:lang w:val="en-GB"/>
        </w:rPr>
        <w:t>制度</w:t>
      </w:r>
      <w:r>
        <w:rPr>
          <w:rFonts w:hint="eastAsia" w:ascii="宋体" w:hAnsi="宋体"/>
          <w:b w:val="0"/>
          <w:bCs/>
          <w:sz w:val="28"/>
          <w:szCs w:val="28"/>
          <w:lang w:val="en-GB"/>
        </w:rPr>
        <w:t>，并按制度进行施行。</w:t>
      </w:r>
    </w:p>
    <w:p w14:paraId="218D9966">
      <w:pPr>
        <w:keepNext/>
        <w:pageBreakBefore/>
        <w:widowControl/>
        <w:spacing w:before="120" w:beforeLines="50" w:line="360" w:lineRule="auto"/>
        <w:jc w:val="center"/>
        <w:outlineLvl w:val="0"/>
        <w:rPr>
          <w:rFonts w:ascii="黑体" w:hAnsi="宋体" w:eastAsia="黑体"/>
          <w:b w:val="0"/>
          <w:sz w:val="32"/>
          <w:szCs w:val="32"/>
        </w:rPr>
      </w:pPr>
      <w:bookmarkStart w:id="182" w:name="_Toc239191499"/>
      <w:bookmarkStart w:id="183" w:name="_Toc484637211"/>
      <w:bookmarkStart w:id="184" w:name="_Toc110569895"/>
      <w:r>
        <w:rPr>
          <w:rFonts w:hint="eastAsia" w:ascii="黑体" w:hAnsi="宋体" w:eastAsia="黑体"/>
          <w:b w:val="0"/>
          <w:sz w:val="32"/>
          <w:szCs w:val="32"/>
        </w:rPr>
        <w:t>第三章 主要危险、</w:t>
      </w:r>
      <w:r>
        <w:rPr>
          <w:rFonts w:ascii="黑体" w:hAnsi="宋体" w:eastAsia="黑体"/>
          <w:b w:val="0"/>
          <w:sz w:val="32"/>
          <w:szCs w:val="32"/>
        </w:rPr>
        <w:t>有害因素</w:t>
      </w:r>
      <w:r>
        <w:rPr>
          <w:rFonts w:hint="eastAsia" w:ascii="黑体" w:hAnsi="宋体" w:eastAsia="黑体"/>
          <w:b w:val="0"/>
          <w:sz w:val="32"/>
          <w:szCs w:val="32"/>
        </w:rPr>
        <w:t>辨识与分析</w:t>
      </w:r>
      <w:bookmarkEnd w:id="182"/>
      <w:bookmarkEnd w:id="183"/>
    </w:p>
    <w:p w14:paraId="50429354">
      <w:pPr>
        <w:keepNext/>
        <w:keepLines/>
        <w:spacing w:before="120" w:beforeLines="50" w:line="360" w:lineRule="auto"/>
        <w:outlineLvl w:val="1"/>
        <w:rPr>
          <w:rFonts w:ascii="黑体" w:hAnsi="黑体" w:eastAsia="黑体"/>
          <w:b w:val="0"/>
          <w:bCs/>
          <w:snapToGrid w:val="0"/>
          <w:sz w:val="32"/>
          <w:szCs w:val="32"/>
        </w:rPr>
      </w:pPr>
      <w:bookmarkStart w:id="185" w:name="_Toc271898745"/>
      <w:bookmarkStart w:id="186" w:name="_Toc202015901"/>
      <w:bookmarkStart w:id="187" w:name="_Toc188265294"/>
      <w:bookmarkStart w:id="188" w:name="_Toc173077654"/>
      <w:bookmarkStart w:id="189" w:name="_Toc294247807"/>
      <w:bookmarkStart w:id="190" w:name="_Toc335902395"/>
      <w:bookmarkStart w:id="191" w:name="_Toc227869281"/>
      <w:bookmarkStart w:id="192" w:name="_Toc239191500"/>
      <w:r>
        <w:rPr>
          <w:rFonts w:hint="eastAsia" w:ascii="黑体" w:hAnsi="黑体" w:eastAsia="黑体"/>
          <w:b w:val="0"/>
          <w:bCs/>
          <w:snapToGrid w:val="0"/>
          <w:sz w:val="32"/>
          <w:szCs w:val="32"/>
        </w:rPr>
        <w:t>3.1危险、有害因素分析方法</w:t>
      </w:r>
      <w:bookmarkEnd w:id="185"/>
      <w:bookmarkEnd w:id="186"/>
      <w:bookmarkEnd w:id="187"/>
      <w:bookmarkEnd w:id="188"/>
      <w:bookmarkEnd w:id="189"/>
      <w:bookmarkEnd w:id="190"/>
      <w:bookmarkEnd w:id="191"/>
      <w:bookmarkEnd w:id="192"/>
    </w:p>
    <w:p w14:paraId="251ADCFA">
      <w:pPr>
        <w:spacing w:line="360" w:lineRule="auto"/>
        <w:ind w:firstLine="560" w:firstLineChars="200"/>
        <w:rPr>
          <w:rFonts w:ascii="宋体" w:hAnsi="宋体"/>
          <w:b w:val="0"/>
          <w:bCs/>
          <w:sz w:val="28"/>
        </w:rPr>
      </w:pPr>
      <w:r>
        <w:rPr>
          <w:rFonts w:hint="eastAsia" w:ascii="宋体" w:hAnsi="宋体"/>
          <w:b w:val="0"/>
          <w:bCs/>
          <w:sz w:val="28"/>
          <w:lang w:val="en-GB"/>
        </w:rPr>
        <w:t>危险因素是指对人造成伤亡或对物造成突发性损害的因素；有害因素是指能影响人的身体健康，导致疾病，或对物造成慢性损害的因素。通常情况下，并不对两者加以区分，而统称为危险因素，主要指客观存在的危险、有害物质或能量超过临界值的设备、设施和场所</w:t>
      </w:r>
      <w:r>
        <w:rPr>
          <w:rFonts w:hint="eastAsia" w:ascii="宋体" w:hAnsi="宋体"/>
          <w:b w:val="0"/>
          <w:bCs/>
          <w:sz w:val="28"/>
        </w:rPr>
        <w:t>。</w:t>
      </w:r>
    </w:p>
    <w:p w14:paraId="129C2609">
      <w:pPr>
        <w:keepNext/>
        <w:keepLines/>
        <w:spacing w:before="120" w:beforeLines="50" w:line="360" w:lineRule="auto"/>
        <w:outlineLvl w:val="1"/>
        <w:rPr>
          <w:rFonts w:ascii="黑体" w:hAnsi="黑体" w:eastAsia="黑体"/>
          <w:b w:val="0"/>
          <w:bCs/>
          <w:snapToGrid w:val="0"/>
          <w:sz w:val="32"/>
          <w:szCs w:val="32"/>
        </w:rPr>
      </w:pPr>
      <w:bookmarkStart w:id="193" w:name="_Toc239191501"/>
      <w:r>
        <w:rPr>
          <w:rFonts w:hint="eastAsia" w:ascii="黑体" w:hAnsi="黑体" w:eastAsia="黑体"/>
          <w:b w:val="0"/>
          <w:bCs/>
          <w:snapToGrid w:val="0"/>
          <w:sz w:val="32"/>
          <w:szCs w:val="32"/>
        </w:rPr>
        <w:t>3.2扩建项目可能发生的生产事故分类</w:t>
      </w:r>
      <w:bookmarkEnd w:id="193"/>
    </w:p>
    <w:p w14:paraId="0B6BD820">
      <w:pPr>
        <w:spacing w:line="360" w:lineRule="auto"/>
        <w:ind w:firstLine="560" w:firstLineChars="200"/>
        <w:rPr>
          <w:rFonts w:ascii="宋体" w:hAnsi="宋体"/>
          <w:b w:val="0"/>
          <w:bCs/>
          <w:sz w:val="28"/>
        </w:rPr>
      </w:pPr>
      <w:r>
        <w:rPr>
          <w:rFonts w:hint="eastAsia" w:ascii="宋体" w:hAnsi="宋体"/>
          <w:b w:val="0"/>
          <w:bCs/>
          <w:sz w:val="28"/>
        </w:rPr>
        <w:t>该扩建项目可能发生的生产事故分类根据</w:t>
      </w:r>
      <w:r>
        <w:rPr>
          <w:rFonts w:hint="eastAsia" w:ascii="宋体" w:hAnsi="宋体"/>
          <w:b w:val="0"/>
          <w:bCs/>
          <w:sz w:val="28"/>
          <w:lang w:val="en-GB"/>
        </w:rPr>
        <w:t>《生产安全事故分类与编码》（</w:t>
      </w:r>
      <w:r>
        <w:rPr>
          <w:rFonts w:hint="eastAsia" w:ascii="宋体" w:hAnsi="宋体"/>
          <w:b w:val="0"/>
          <w:bCs/>
          <w:sz w:val="28"/>
        </w:rPr>
        <w:t>GB6441-2025</w:t>
      </w:r>
      <w:r>
        <w:rPr>
          <w:rFonts w:hint="eastAsia" w:ascii="宋体" w:hAnsi="宋体"/>
          <w:b w:val="0"/>
          <w:bCs/>
          <w:sz w:val="28"/>
          <w:lang w:val="en-GB"/>
        </w:rPr>
        <w:t>）</w:t>
      </w:r>
      <w:r>
        <w:rPr>
          <w:rFonts w:hint="eastAsia" w:ascii="宋体" w:hAnsi="宋体"/>
          <w:b w:val="0"/>
          <w:bCs/>
          <w:sz w:val="28"/>
        </w:rPr>
        <w:t>具体如表3.2-1：</w:t>
      </w:r>
    </w:p>
    <w:p w14:paraId="434F0796">
      <w:pPr>
        <w:pStyle w:val="2"/>
        <w:spacing w:line="240" w:lineRule="auto"/>
        <w:ind w:firstLine="0" w:firstLineChars="0"/>
        <w:jc w:val="center"/>
        <w:rPr>
          <w:rFonts w:ascii="黑体" w:hAnsi="黑体" w:eastAsia="黑体"/>
          <w:b w:val="0"/>
          <w:sz w:val="24"/>
          <w:szCs w:val="24"/>
        </w:rPr>
      </w:pPr>
      <w:r>
        <w:rPr>
          <w:rFonts w:hint="eastAsia" w:ascii="黑体" w:hAnsi="黑体" w:eastAsia="黑体"/>
          <w:b w:val="0"/>
          <w:sz w:val="24"/>
          <w:szCs w:val="24"/>
        </w:rPr>
        <w:t>表3.2-1扩建项目生产事故分类表</w:t>
      </w:r>
    </w:p>
    <w:tbl>
      <w:tblPr>
        <w:tblStyle w:val="703"/>
        <w:tblW w:w="83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543"/>
        <w:gridCol w:w="6104"/>
      </w:tblGrid>
      <w:tr w14:paraId="6BB09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671" w:type="dxa"/>
            <w:vAlign w:val="center"/>
          </w:tcPr>
          <w:p w14:paraId="49E2D5AA">
            <w:pPr>
              <w:jc w:val="center"/>
              <w:rPr>
                <w:rFonts w:ascii="宋体" w:hAnsi="宋体" w:cs="宋体"/>
                <w:szCs w:val="21"/>
              </w:rPr>
            </w:pPr>
            <w:r>
              <w:rPr>
                <w:rFonts w:hint="eastAsia" w:ascii="宋体" w:hAnsi="宋体" w:cs="宋体"/>
                <w:szCs w:val="21"/>
              </w:rPr>
              <w:t>序号</w:t>
            </w:r>
          </w:p>
        </w:tc>
        <w:tc>
          <w:tcPr>
            <w:tcW w:w="1543" w:type="dxa"/>
            <w:vAlign w:val="center"/>
          </w:tcPr>
          <w:p w14:paraId="1E2BC23C">
            <w:pPr>
              <w:jc w:val="center"/>
              <w:rPr>
                <w:rFonts w:ascii="宋体" w:hAnsi="宋体" w:cs="宋体"/>
                <w:szCs w:val="21"/>
              </w:rPr>
            </w:pPr>
            <w:r>
              <w:rPr>
                <w:rFonts w:hint="eastAsia" w:ascii="宋体" w:hAnsi="宋体" w:cs="宋体"/>
                <w:szCs w:val="21"/>
              </w:rPr>
              <w:t>事故类型</w:t>
            </w:r>
          </w:p>
        </w:tc>
        <w:tc>
          <w:tcPr>
            <w:tcW w:w="6104" w:type="dxa"/>
            <w:vAlign w:val="center"/>
          </w:tcPr>
          <w:p w14:paraId="0FC74BB8">
            <w:pPr>
              <w:jc w:val="center"/>
              <w:rPr>
                <w:rFonts w:ascii="宋体" w:hAnsi="宋体" w:cs="宋体"/>
                <w:szCs w:val="21"/>
              </w:rPr>
            </w:pPr>
            <w:r>
              <w:rPr>
                <w:rFonts w:hint="eastAsia" w:ascii="宋体" w:hAnsi="宋体" w:cs="宋体"/>
                <w:szCs w:val="21"/>
              </w:rPr>
              <w:t>说明</w:t>
            </w:r>
          </w:p>
        </w:tc>
      </w:tr>
      <w:tr w14:paraId="3DA14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707B4F7D">
            <w:pPr>
              <w:jc w:val="center"/>
              <w:rPr>
                <w:rFonts w:ascii="宋体" w:hAnsi="宋体" w:cs="宋体"/>
                <w:b w:val="0"/>
                <w:szCs w:val="21"/>
              </w:rPr>
            </w:pPr>
            <w:r>
              <w:rPr>
                <w:rFonts w:hint="eastAsia" w:ascii="宋体" w:hAnsi="宋体" w:cs="宋体"/>
                <w:b w:val="0"/>
                <w:szCs w:val="21"/>
              </w:rPr>
              <w:t>1</w:t>
            </w:r>
          </w:p>
        </w:tc>
        <w:tc>
          <w:tcPr>
            <w:tcW w:w="1543" w:type="dxa"/>
            <w:vAlign w:val="center"/>
          </w:tcPr>
          <w:p w14:paraId="45A56BEA">
            <w:pPr>
              <w:jc w:val="center"/>
              <w:rPr>
                <w:rFonts w:ascii="宋体" w:hAnsi="宋体" w:cs="宋体"/>
                <w:b w:val="0"/>
                <w:szCs w:val="21"/>
              </w:rPr>
            </w:pPr>
            <w:r>
              <w:rPr>
                <w:rFonts w:hint="eastAsia" w:ascii="宋体" w:hAnsi="宋体" w:cs="宋体"/>
                <w:b w:val="0"/>
                <w:szCs w:val="21"/>
                <w:shd w:val="clear" w:color="auto" w:fill="FFFFFF"/>
              </w:rPr>
              <w:t>火灾</w:t>
            </w:r>
          </w:p>
        </w:tc>
        <w:tc>
          <w:tcPr>
            <w:tcW w:w="6104" w:type="dxa"/>
            <w:vAlign w:val="center"/>
          </w:tcPr>
          <w:p w14:paraId="7629D36F">
            <w:pPr>
              <w:rPr>
                <w:rFonts w:ascii="宋体" w:hAnsi="宋体" w:cs="宋体"/>
                <w:b w:val="0"/>
                <w:szCs w:val="21"/>
              </w:rPr>
            </w:pPr>
            <w:r>
              <w:rPr>
                <w:rFonts w:hint="eastAsia" w:ascii="宋体" w:hAnsi="宋体" w:cs="宋体"/>
                <w:b w:val="0"/>
                <w:szCs w:val="21"/>
                <w:shd w:val="clear" w:color="auto" w:fill="FFFFFF"/>
              </w:rPr>
              <w:t>药物车间违规动火、药料自燃引发失控燃烧事故</w:t>
            </w:r>
          </w:p>
        </w:tc>
      </w:tr>
      <w:tr w14:paraId="76850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6FC52F68">
            <w:pPr>
              <w:jc w:val="center"/>
              <w:rPr>
                <w:rFonts w:ascii="宋体" w:hAnsi="宋体" w:cs="宋体"/>
                <w:b w:val="0"/>
                <w:szCs w:val="21"/>
              </w:rPr>
            </w:pPr>
            <w:r>
              <w:rPr>
                <w:rFonts w:hint="eastAsia" w:ascii="宋体" w:hAnsi="宋体" w:cs="宋体"/>
                <w:b w:val="0"/>
                <w:szCs w:val="21"/>
              </w:rPr>
              <w:t>2</w:t>
            </w:r>
          </w:p>
        </w:tc>
        <w:tc>
          <w:tcPr>
            <w:tcW w:w="1543" w:type="dxa"/>
            <w:vAlign w:val="center"/>
          </w:tcPr>
          <w:p w14:paraId="7AB88E88">
            <w:pPr>
              <w:jc w:val="center"/>
              <w:rPr>
                <w:rFonts w:ascii="宋体" w:hAnsi="宋体" w:cs="宋体"/>
                <w:b w:val="0"/>
                <w:szCs w:val="21"/>
              </w:rPr>
            </w:pPr>
            <w:r>
              <w:rPr>
                <w:rFonts w:hint="eastAsia" w:ascii="宋体" w:hAnsi="宋体" w:cs="宋体"/>
                <w:b w:val="0"/>
                <w:szCs w:val="21"/>
                <w:shd w:val="clear" w:color="auto" w:fill="FFFFFF"/>
              </w:rPr>
              <w:t>黑火药爆炸</w:t>
            </w:r>
          </w:p>
        </w:tc>
        <w:tc>
          <w:tcPr>
            <w:tcW w:w="6104" w:type="dxa"/>
            <w:vAlign w:val="center"/>
          </w:tcPr>
          <w:p w14:paraId="1540EB06">
            <w:pPr>
              <w:rPr>
                <w:rFonts w:ascii="宋体" w:hAnsi="宋体" w:cs="宋体"/>
                <w:b w:val="0"/>
                <w:szCs w:val="21"/>
              </w:rPr>
            </w:pPr>
            <w:r>
              <w:rPr>
                <w:rFonts w:hint="eastAsia" w:ascii="宋体" w:hAnsi="宋体" w:cs="宋体"/>
                <w:b w:val="0"/>
                <w:szCs w:val="21"/>
              </w:rPr>
              <w:t>黑火药在生产、存储、运输过程中发生爆炸造成的事故</w:t>
            </w:r>
          </w:p>
        </w:tc>
      </w:tr>
      <w:tr w14:paraId="08718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67D68498">
            <w:pPr>
              <w:jc w:val="center"/>
              <w:rPr>
                <w:rFonts w:ascii="宋体" w:hAnsi="宋体" w:cs="宋体"/>
                <w:b w:val="0"/>
                <w:szCs w:val="21"/>
              </w:rPr>
            </w:pPr>
            <w:r>
              <w:rPr>
                <w:rFonts w:hint="eastAsia" w:ascii="宋体" w:hAnsi="宋体" w:cs="宋体"/>
                <w:b w:val="0"/>
                <w:szCs w:val="21"/>
              </w:rPr>
              <w:t>3</w:t>
            </w:r>
          </w:p>
        </w:tc>
        <w:tc>
          <w:tcPr>
            <w:tcW w:w="1543" w:type="dxa"/>
            <w:vAlign w:val="center"/>
          </w:tcPr>
          <w:p w14:paraId="2BA9B9A0">
            <w:pPr>
              <w:jc w:val="center"/>
              <w:rPr>
                <w:rFonts w:ascii="宋体" w:hAnsi="宋体" w:cs="宋体"/>
                <w:b w:val="0"/>
                <w:szCs w:val="21"/>
              </w:rPr>
            </w:pPr>
            <w:r>
              <w:rPr>
                <w:rFonts w:hint="eastAsia" w:ascii="宋体" w:hAnsi="宋体" w:cs="宋体"/>
                <w:b w:val="0"/>
                <w:szCs w:val="21"/>
                <w:shd w:val="clear" w:color="auto" w:fill="FFFFFF"/>
              </w:rPr>
              <w:t>粉尘爆炸</w:t>
            </w:r>
          </w:p>
        </w:tc>
        <w:tc>
          <w:tcPr>
            <w:tcW w:w="6104" w:type="dxa"/>
            <w:vAlign w:val="center"/>
          </w:tcPr>
          <w:p w14:paraId="2942F303">
            <w:pPr>
              <w:rPr>
                <w:rFonts w:ascii="宋体" w:hAnsi="宋体" w:cs="宋体"/>
                <w:b w:val="0"/>
                <w:szCs w:val="21"/>
              </w:rPr>
            </w:pPr>
            <w:r>
              <w:rPr>
                <w:rFonts w:hint="eastAsia" w:ascii="宋体" w:hAnsi="宋体" w:cs="宋体"/>
                <w:b w:val="0"/>
                <w:szCs w:val="21"/>
                <w:shd w:val="clear" w:color="auto" w:fill="FFFFFF"/>
              </w:rPr>
              <w:t>药料粉碎等工序产生的可燃粉尘遇火源发生连锁爆炸</w:t>
            </w:r>
          </w:p>
        </w:tc>
      </w:tr>
      <w:tr w14:paraId="3CD81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71" w:type="dxa"/>
            <w:vAlign w:val="center"/>
          </w:tcPr>
          <w:p w14:paraId="05C6BFD9">
            <w:pPr>
              <w:jc w:val="center"/>
              <w:rPr>
                <w:rFonts w:ascii="宋体" w:hAnsi="宋体" w:cs="宋体"/>
                <w:b w:val="0"/>
                <w:szCs w:val="21"/>
              </w:rPr>
            </w:pPr>
            <w:r>
              <w:rPr>
                <w:rFonts w:hint="eastAsia" w:ascii="宋体" w:hAnsi="宋体" w:cs="宋体"/>
                <w:b w:val="0"/>
                <w:szCs w:val="21"/>
              </w:rPr>
              <w:t>4</w:t>
            </w:r>
          </w:p>
        </w:tc>
        <w:tc>
          <w:tcPr>
            <w:tcW w:w="1543" w:type="dxa"/>
            <w:vAlign w:val="center"/>
          </w:tcPr>
          <w:p w14:paraId="34BA9504">
            <w:pPr>
              <w:jc w:val="center"/>
              <w:rPr>
                <w:rFonts w:ascii="宋体" w:hAnsi="宋体" w:cs="宋体"/>
                <w:b w:val="0"/>
                <w:szCs w:val="21"/>
              </w:rPr>
            </w:pPr>
            <w:r>
              <w:rPr>
                <w:rFonts w:hint="eastAsia" w:ascii="宋体" w:hAnsi="宋体" w:cs="宋体"/>
                <w:b w:val="0"/>
                <w:szCs w:val="21"/>
                <w:shd w:val="clear" w:color="auto" w:fill="FFFFFF"/>
              </w:rPr>
              <w:t>其他可燃固体爆炸</w:t>
            </w:r>
          </w:p>
        </w:tc>
        <w:tc>
          <w:tcPr>
            <w:tcW w:w="6104" w:type="dxa"/>
            <w:vAlign w:val="center"/>
          </w:tcPr>
          <w:p w14:paraId="74F3823B">
            <w:pPr>
              <w:rPr>
                <w:rFonts w:ascii="宋体" w:hAnsi="宋体" w:cs="宋体"/>
                <w:b w:val="0"/>
                <w:szCs w:val="21"/>
              </w:rPr>
            </w:pPr>
            <w:r>
              <w:rPr>
                <w:rFonts w:hint="eastAsia" w:ascii="宋体" w:hAnsi="宋体" w:cs="宋体"/>
                <w:b w:val="0"/>
                <w:szCs w:val="21"/>
                <w:shd w:val="clear" w:color="auto" w:fill="FFFFFF"/>
              </w:rPr>
              <w:t>除粉尘、民用爆炸物品、烟花爆竹之外的可燃固体发生爆炸造成的事故</w:t>
            </w:r>
          </w:p>
        </w:tc>
      </w:tr>
      <w:tr w14:paraId="34C4A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71" w:type="dxa"/>
            <w:vAlign w:val="center"/>
          </w:tcPr>
          <w:p w14:paraId="483AAB2F">
            <w:pPr>
              <w:jc w:val="center"/>
              <w:rPr>
                <w:rFonts w:ascii="宋体" w:hAnsi="宋体" w:cs="宋体"/>
                <w:b w:val="0"/>
                <w:szCs w:val="21"/>
              </w:rPr>
            </w:pPr>
            <w:r>
              <w:rPr>
                <w:rFonts w:hint="eastAsia" w:ascii="宋体" w:hAnsi="宋体" w:cs="宋体"/>
                <w:b w:val="0"/>
                <w:szCs w:val="21"/>
              </w:rPr>
              <w:t>5</w:t>
            </w:r>
          </w:p>
        </w:tc>
        <w:tc>
          <w:tcPr>
            <w:tcW w:w="1543" w:type="dxa"/>
            <w:vAlign w:val="center"/>
          </w:tcPr>
          <w:p w14:paraId="0DC61813">
            <w:pPr>
              <w:jc w:val="center"/>
              <w:rPr>
                <w:rFonts w:ascii="宋体" w:hAnsi="宋体" w:cs="宋体"/>
                <w:b w:val="0"/>
                <w:szCs w:val="21"/>
              </w:rPr>
            </w:pPr>
            <w:r>
              <w:rPr>
                <w:rFonts w:hint="eastAsia" w:ascii="宋体" w:hAnsi="宋体" w:cs="宋体"/>
                <w:b w:val="0"/>
                <w:szCs w:val="21"/>
                <w:shd w:val="clear" w:color="auto" w:fill="FFFFFF"/>
              </w:rPr>
              <w:t>机械致害</w:t>
            </w:r>
          </w:p>
        </w:tc>
        <w:tc>
          <w:tcPr>
            <w:tcW w:w="6104" w:type="dxa"/>
            <w:vAlign w:val="center"/>
          </w:tcPr>
          <w:p w14:paraId="039636E5">
            <w:pPr>
              <w:rPr>
                <w:rFonts w:ascii="宋体" w:hAnsi="宋体" w:cs="宋体"/>
                <w:b w:val="0"/>
                <w:szCs w:val="21"/>
              </w:rPr>
            </w:pPr>
            <w:r>
              <w:rPr>
                <w:rFonts w:hint="eastAsia" w:ascii="宋体" w:hAnsi="宋体" w:cs="宋体"/>
                <w:b w:val="0"/>
                <w:szCs w:val="21"/>
                <w:shd w:val="clear" w:color="auto" w:fill="FFFFFF"/>
              </w:rPr>
              <w:t>机械设备运动或静止部件、工具等与人体接触引起的夹击、碰撞、剪切、卷入、割刺等伤害</w:t>
            </w:r>
          </w:p>
        </w:tc>
      </w:tr>
      <w:tr w14:paraId="3CB77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71" w:type="dxa"/>
            <w:vAlign w:val="center"/>
          </w:tcPr>
          <w:p w14:paraId="772865B6">
            <w:pPr>
              <w:jc w:val="center"/>
              <w:rPr>
                <w:rFonts w:ascii="宋体" w:hAnsi="宋体" w:cs="宋体"/>
                <w:b w:val="0"/>
                <w:szCs w:val="21"/>
              </w:rPr>
            </w:pPr>
            <w:r>
              <w:rPr>
                <w:rFonts w:hint="eastAsia" w:ascii="宋体" w:hAnsi="宋体" w:cs="宋体"/>
                <w:b w:val="0"/>
                <w:szCs w:val="21"/>
              </w:rPr>
              <w:t>6</w:t>
            </w:r>
          </w:p>
        </w:tc>
        <w:tc>
          <w:tcPr>
            <w:tcW w:w="1543" w:type="dxa"/>
            <w:vAlign w:val="center"/>
          </w:tcPr>
          <w:p w14:paraId="63D2F4FF">
            <w:pPr>
              <w:jc w:val="center"/>
              <w:rPr>
                <w:rFonts w:ascii="宋体" w:hAnsi="宋体" w:cs="宋体"/>
                <w:b w:val="0"/>
                <w:szCs w:val="21"/>
              </w:rPr>
            </w:pPr>
            <w:r>
              <w:rPr>
                <w:rFonts w:hint="eastAsia" w:ascii="宋体" w:hAnsi="宋体" w:cs="宋体"/>
                <w:b w:val="0"/>
                <w:szCs w:val="21"/>
                <w:shd w:val="clear" w:color="auto" w:fill="FFFFFF"/>
              </w:rPr>
              <w:t>起重致害</w:t>
            </w:r>
          </w:p>
        </w:tc>
        <w:tc>
          <w:tcPr>
            <w:tcW w:w="6104" w:type="dxa"/>
            <w:vAlign w:val="center"/>
          </w:tcPr>
          <w:p w14:paraId="2F0DBA79">
            <w:pPr>
              <w:rPr>
                <w:rFonts w:ascii="宋体" w:hAnsi="宋体" w:cs="宋体"/>
                <w:b w:val="0"/>
                <w:szCs w:val="21"/>
              </w:rPr>
            </w:pPr>
            <w:r>
              <w:rPr>
                <w:rFonts w:hint="eastAsia" w:ascii="宋体" w:hAnsi="宋体" w:cs="宋体"/>
                <w:b w:val="0"/>
                <w:szCs w:val="21"/>
                <w:shd w:val="clear" w:color="auto" w:fill="FFFFFF"/>
              </w:rPr>
              <w:t>起重设备在建筑施工、安拆、检修、试验及起重作业过程中因发生挤压、倾覆、折断、倒塌、部件坠落、吊具打击等造成的事故</w:t>
            </w:r>
          </w:p>
        </w:tc>
      </w:tr>
      <w:tr w14:paraId="42768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64DC69EA">
            <w:pPr>
              <w:jc w:val="center"/>
              <w:rPr>
                <w:rFonts w:ascii="宋体" w:hAnsi="宋体" w:cs="宋体"/>
                <w:b w:val="0"/>
                <w:szCs w:val="21"/>
              </w:rPr>
            </w:pPr>
            <w:r>
              <w:rPr>
                <w:rFonts w:hint="eastAsia" w:ascii="宋体" w:hAnsi="宋体" w:cs="宋体"/>
                <w:b w:val="0"/>
                <w:szCs w:val="21"/>
              </w:rPr>
              <w:t>7</w:t>
            </w:r>
          </w:p>
        </w:tc>
        <w:tc>
          <w:tcPr>
            <w:tcW w:w="1543" w:type="dxa"/>
            <w:vAlign w:val="center"/>
          </w:tcPr>
          <w:p w14:paraId="76D82234">
            <w:pPr>
              <w:jc w:val="center"/>
              <w:rPr>
                <w:rFonts w:ascii="宋体" w:hAnsi="宋体" w:cs="宋体"/>
                <w:b w:val="0"/>
                <w:szCs w:val="21"/>
              </w:rPr>
            </w:pPr>
            <w:r>
              <w:rPr>
                <w:rFonts w:hint="eastAsia" w:ascii="宋体" w:hAnsi="宋体" w:cs="宋体"/>
                <w:b w:val="0"/>
                <w:szCs w:val="21"/>
                <w:shd w:val="clear" w:color="auto" w:fill="FFFFFF"/>
              </w:rPr>
              <w:t>物体打击</w:t>
            </w:r>
          </w:p>
        </w:tc>
        <w:tc>
          <w:tcPr>
            <w:tcW w:w="6104" w:type="dxa"/>
            <w:vAlign w:val="center"/>
          </w:tcPr>
          <w:p w14:paraId="5CA509D1">
            <w:pPr>
              <w:rPr>
                <w:rFonts w:ascii="宋体" w:hAnsi="宋体" w:cs="宋体"/>
                <w:b w:val="0"/>
                <w:szCs w:val="21"/>
              </w:rPr>
            </w:pPr>
            <w:r>
              <w:rPr>
                <w:rFonts w:hint="eastAsia" w:ascii="宋体" w:hAnsi="宋体" w:cs="宋体"/>
                <w:b w:val="0"/>
                <w:szCs w:val="21"/>
                <w:shd w:val="clear" w:color="auto" w:fill="FFFFFF"/>
              </w:rPr>
              <w:t>在重力、应力或其他外力作用下物体由于惯性造成的事故</w:t>
            </w:r>
          </w:p>
        </w:tc>
      </w:tr>
      <w:tr w14:paraId="4D06A1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58ADB463">
            <w:pPr>
              <w:jc w:val="center"/>
              <w:rPr>
                <w:rFonts w:ascii="宋体" w:hAnsi="宋体" w:cs="宋体"/>
                <w:b w:val="0"/>
                <w:szCs w:val="21"/>
              </w:rPr>
            </w:pPr>
            <w:r>
              <w:rPr>
                <w:rFonts w:hint="eastAsia" w:ascii="宋体" w:hAnsi="宋体" w:cs="宋体"/>
                <w:b w:val="0"/>
                <w:szCs w:val="21"/>
              </w:rPr>
              <w:t>8</w:t>
            </w:r>
          </w:p>
        </w:tc>
        <w:tc>
          <w:tcPr>
            <w:tcW w:w="1543" w:type="dxa"/>
            <w:vAlign w:val="center"/>
          </w:tcPr>
          <w:p w14:paraId="1AEE1528">
            <w:pPr>
              <w:jc w:val="center"/>
              <w:rPr>
                <w:rFonts w:ascii="宋体" w:hAnsi="宋体" w:cs="宋体"/>
                <w:b w:val="0"/>
                <w:szCs w:val="21"/>
                <w:shd w:val="clear" w:color="auto" w:fill="FFFFFF"/>
              </w:rPr>
            </w:pPr>
            <w:r>
              <w:rPr>
                <w:rFonts w:hint="eastAsia" w:ascii="宋体" w:hAnsi="宋体" w:cs="宋体"/>
                <w:b w:val="0"/>
                <w:szCs w:val="21"/>
                <w:shd w:val="clear" w:color="auto" w:fill="FFFFFF"/>
              </w:rPr>
              <w:t>触电</w:t>
            </w:r>
          </w:p>
        </w:tc>
        <w:tc>
          <w:tcPr>
            <w:tcW w:w="6104" w:type="dxa"/>
            <w:vAlign w:val="center"/>
          </w:tcPr>
          <w:p w14:paraId="3AAE552E">
            <w:pPr>
              <w:rPr>
                <w:rFonts w:ascii="宋体" w:hAnsi="宋体" w:cs="宋体"/>
                <w:b w:val="0"/>
                <w:szCs w:val="21"/>
                <w:shd w:val="clear" w:color="auto" w:fill="FFFFFF"/>
              </w:rPr>
            </w:pPr>
            <w:r>
              <w:rPr>
                <w:rFonts w:hint="eastAsia" w:ascii="宋体" w:hAnsi="宋体" w:cs="宋体"/>
                <w:b w:val="0"/>
                <w:szCs w:val="21"/>
                <w:shd w:val="clear" w:color="auto" w:fill="FFFFFF"/>
              </w:rPr>
              <w:t>电流通过人体造成的伤害事故</w:t>
            </w:r>
          </w:p>
        </w:tc>
      </w:tr>
      <w:tr w14:paraId="56A5D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71" w:type="dxa"/>
            <w:vAlign w:val="center"/>
          </w:tcPr>
          <w:p w14:paraId="12743247">
            <w:pPr>
              <w:jc w:val="center"/>
              <w:rPr>
                <w:rFonts w:ascii="宋体" w:hAnsi="宋体" w:cs="宋体"/>
                <w:b w:val="0"/>
                <w:szCs w:val="21"/>
              </w:rPr>
            </w:pPr>
            <w:r>
              <w:rPr>
                <w:rFonts w:hint="eastAsia" w:ascii="宋体" w:hAnsi="宋体" w:cs="宋体"/>
                <w:b w:val="0"/>
                <w:szCs w:val="21"/>
              </w:rPr>
              <w:t>9</w:t>
            </w:r>
          </w:p>
        </w:tc>
        <w:tc>
          <w:tcPr>
            <w:tcW w:w="1543" w:type="dxa"/>
            <w:vAlign w:val="center"/>
          </w:tcPr>
          <w:p w14:paraId="0EB98086">
            <w:pPr>
              <w:jc w:val="center"/>
              <w:rPr>
                <w:rFonts w:ascii="宋体" w:hAnsi="宋体" w:cs="宋体"/>
                <w:b w:val="0"/>
                <w:szCs w:val="21"/>
                <w:shd w:val="clear" w:color="auto" w:fill="FFFFFF"/>
              </w:rPr>
            </w:pPr>
            <w:r>
              <w:rPr>
                <w:rFonts w:hint="eastAsia" w:ascii="宋体" w:hAnsi="宋体" w:cs="宋体"/>
                <w:b w:val="0"/>
                <w:szCs w:val="21"/>
                <w:shd w:val="clear" w:color="auto" w:fill="FFFFFF"/>
              </w:rPr>
              <w:t>淹溺</w:t>
            </w:r>
          </w:p>
        </w:tc>
        <w:tc>
          <w:tcPr>
            <w:tcW w:w="6104" w:type="dxa"/>
            <w:vAlign w:val="center"/>
          </w:tcPr>
          <w:p w14:paraId="7D844707">
            <w:pPr>
              <w:rPr>
                <w:rFonts w:ascii="宋体" w:hAnsi="宋体" w:cs="宋体"/>
                <w:b w:val="0"/>
                <w:szCs w:val="21"/>
                <w:shd w:val="clear" w:color="auto" w:fill="FFFFFF"/>
              </w:rPr>
            </w:pPr>
            <w:r>
              <w:rPr>
                <w:rFonts w:hint="eastAsia" w:ascii="宋体" w:hAnsi="宋体" w:cs="宋体"/>
                <w:b w:val="0"/>
                <w:szCs w:val="21"/>
                <w:shd w:val="clear" w:color="auto" w:fill="FFFFFF"/>
              </w:rPr>
              <w:t>消防水池、高位水池清洗或维护等造成液体淹没呼吸道导致的窒息伤害</w:t>
            </w:r>
          </w:p>
        </w:tc>
      </w:tr>
      <w:tr w14:paraId="2E4E8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33AE87FF">
            <w:pPr>
              <w:jc w:val="center"/>
              <w:rPr>
                <w:rFonts w:ascii="宋体" w:hAnsi="宋体" w:cs="宋体"/>
                <w:b w:val="0"/>
                <w:szCs w:val="21"/>
              </w:rPr>
            </w:pPr>
            <w:r>
              <w:rPr>
                <w:rFonts w:hint="eastAsia" w:ascii="宋体" w:hAnsi="宋体" w:cs="宋体"/>
                <w:b w:val="0"/>
                <w:szCs w:val="21"/>
              </w:rPr>
              <w:t>10</w:t>
            </w:r>
          </w:p>
        </w:tc>
        <w:tc>
          <w:tcPr>
            <w:tcW w:w="1543" w:type="dxa"/>
            <w:vAlign w:val="center"/>
          </w:tcPr>
          <w:p w14:paraId="49A41136">
            <w:pPr>
              <w:jc w:val="center"/>
              <w:rPr>
                <w:rFonts w:ascii="宋体" w:hAnsi="宋体" w:cs="宋体"/>
                <w:b w:val="0"/>
                <w:szCs w:val="21"/>
                <w:shd w:val="clear" w:color="auto" w:fill="FFFFFF"/>
              </w:rPr>
            </w:pPr>
            <w:r>
              <w:rPr>
                <w:rFonts w:hint="eastAsia" w:ascii="宋体" w:hAnsi="宋体" w:cs="宋体"/>
                <w:b w:val="0"/>
                <w:szCs w:val="21"/>
                <w:shd w:val="clear" w:color="auto" w:fill="FFFFFF"/>
              </w:rPr>
              <w:t>灼烫</w:t>
            </w:r>
          </w:p>
        </w:tc>
        <w:tc>
          <w:tcPr>
            <w:tcW w:w="6104" w:type="dxa"/>
            <w:vAlign w:val="center"/>
          </w:tcPr>
          <w:p w14:paraId="36351AB6">
            <w:pPr>
              <w:rPr>
                <w:rFonts w:ascii="宋体" w:hAnsi="宋体" w:cs="宋体"/>
                <w:b w:val="0"/>
                <w:szCs w:val="21"/>
                <w:shd w:val="clear" w:color="auto" w:fill="FFFFFF"/>
              </w:rPr>
            </w:pPr>
            <w:r>
              <w:rPr>
                <w:rFonts w:hint="eastAsia" w:ascii="宋体" w:hAnsi="宋体" w:cs="宋体"/>
                <w:b w:val="0"/>
                <w:szCs w:val="21"/>
                <w:shd w:val="clear" w:color="auto" w:fill="FFFFFF"/>
              </w:rPr>
              <w:t>高温物体或物质接触人体造成的伤害</w:t>
            </w:r>
          </w:p>
        </w:tc>
      </w:tr>
      <w:tr w14:paraId="53740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15902935">
            <w:pPr>
              <w:jc w:val="center"/>
              <w:rPr>
                <w:rFonts w:ascii="宋体" w:hAnsi="宋体" w:cs="宋体"/>
                <w:b w:val="0"/>
                <w:szCs w:val="21"/>
              </w:rPr>
            </w:pPr>
            <w:r>
              <w:rPr>
                <w:rFonts w:hint="eastAsia" w:ascii="宋体" w:hAnsi="宋体" w:cs="宋体"/>
                <w:b w:val="0"/>
                <w:szCs w:val="21"/>
              </w:rPr>
              <w:t>11</w:t>
            </w:r>
          </w:p>
        </w:tc>
        <w:tc>
          <w:tcPr>
            <w:tcW w:w="1543" w:type="dxa"/>
            <w:vAlign w:val="center"/>
          </w:tcPr>
          <w:p w14:paraId="568991BF">
            <w:pPr>
              <w:jc w:val="center"/>
              <w:rPr>
                <w:rFonts w:ascii="宋体" w:hAnsi="宋体" w:cs="宋体"/>
                <w:b w:val="0"/>
                <w:szCs w:val="21"/>
                <w:shd w:val="clear" w:color="auto" w:fill="FFFFFF"/>
              </w:rPr>
            </w:pPr>
            <w:r>
              <w:rPr>
                <w:rFonts w:hint="eastAsia" w:ascii="宋体" w:hAnsi="宋体" w:cs="宋体"/>
                <w:b w:val="0"/>
                <w:szCs w:val="21"/>
                <w:shd w:val="clear" w:color="auto" w:fill="FFFFFF"/>
              </w:rPr>
              <w:t>高处坠落</w:t>
            </w:r>
          </w:p>
        </w:tc>
        <w:tc>
          <w:tcPr>
            <w:tcW w:w="6104" w:type="dxa"/>
            <w:vAlign w:val="center"/>
          </w:tcPr>
          <w:p w14:paraId="76A92EC4">
            <w:pPr>
              <w:rPr>
                <w:rFonts w:ascii="宋体" w:hAnsi="宋体" w:cs="宋体"/>
                <w:b w:val="0"/>
                <w:szCs w:val="21"/>
                <w:shd w:val="clear" w:color="auto" w:fill="FFFFFF"/>
              </w:rPr>
            </w:pPr>
            <w:r>
              <w:rPr>
                <w:rFonts w:hint="eastAsia" w:ascii="宋体" w:hAnsi="宋体" w:cs="宋体"/>
                <w:b w:val="0"/>
                <w:szCs w:val="21"/>
                <w:shd w:val="clear" w:color="auto" w:fill="FFFFFF"/>
              </w:rPr>
              <w:t>从高处跌落导致的伤害，包括脚手架、检修屋顶作业坠落等</w:t>
            </w:r>
          </w:p>
        </w:tc>
      </w:tr>
      <w:tr w14:paraId="62FCB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247D89F3">
            <w:pPr>
              <w:jc w:val="center"/>
              <w:rPr>
                <w:rFonts w:ascii="宋体" w:hAnsi="宋体" w:cs="宋体"/>
                <w:b w:val="0"/>
                <w:szCs w:val="21"/>
              </w:rPr>
            </w:pPr>
            <w:r>
              <w:rPr>
                <w:rFonts w:hint="eastAsia" w:ascii="宋体" w:hAnsi="宋体" w:cs="宋体"/>
                <w:b w:val="0"/>
                <w:szCs w:val="21"/>
              </w:rPr>
              <w:t>12</w:t>
            </w:r>
          </w:p>
        </w:tc>
        <w:tc>
          <w:tcPr>
            <w:tcW w:w="1543" w:type="dxa"/>
            <w:vAlign w:val="center"/>
          </w:tcPr>
          <w:p w14:paraId="7F2201D8">
            <w:pPr>
              <w:jc w:val="center"/>
              <w:rPr>
                <w:rFonts w:ascii="宋体" w:hAnsi="宋体" w:cs="宋体"/>
                <w:b w:val="0"/>
                <w:szCs w:val="21"/>
                <w:shd w:val="clear" w:color="auto" w:fill="FFFFFF"/>
              </w:rPr>
            </w:pPr>
            <w:r>
              <w:rPr>
                <w:rFonts w:hint="eastAsia" w:ascii="宋体" w:hAnsi="宋体" w:cs="宋体"/>
                <w:b w:val="0"/>
                <w:szCs w:val="21"/>
                <w:shd w:val="clear" w:color="auto" w:fill="FFFFFF"/>
              </w:rPr>
              <w:t>跌落</w:t>
            </w:r>
          </w:p>
        </w:tc>
        <w:tc>
          <w:tcPr>
            <w:tcW w:w="6104" w:type="dxa"/>
            <w:vAlign w:val="center"/>
          </w:tcPr>
          <w:p w14:paraId="56ADC21D">
            <w:pPr>
              <w:rPr>
                <w:rFonts w:ascii="宋体" w:hAnsi="宋体" w:cs="宋体"/>
                <w:b w:val="0"/>
                <w:szCs w:val="21"/>
                <w:shd w:val="clear" w:color="auto" w:fill="FFFFFF"/>
              </w:rPr>
            </w:pPr>
            <w:r>
              <w:rPr>
                <w:rFonts w:hint="eastAsia" w:ascii="宋体" w:hAnsi="宋体" w:cs="宋体"/>
                <w:b w:val="0"/>
                <w:szCs w:val="21"/>
                <w:shd w:val="clear" w:color="auto" w:fill="FFFFFF"/>
              </w:rPr>
              <w:t>2米以下的车间地面滑倒、绊倒、操作台检修导致人员摔伤</w:t>
            </w:r>
          </w:p>
        </w:tc>
      </w:tr>
      <w:tr w14:paraId="45E85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14C95564">
            <w:pPr>
              <w:jc w:val="center"/>
              <w:rPr>
                <w:rFonts w:ascii="宋体" w:hAnsi="宋体" w:cs="宋体"/>
                <w:b w:val="0"/>
                <w:szCs w:val="21"/>
              </w:rPr>
            </w:pPr>
            <w:r>
              <w:rPr>
                <w:rFonts w:hint="eastAsia" w:ascii="宋体" w:hAnsi="宋体" w:cs="宋体"/>
                <w:b w:val="0"/>
                <w:szCs w:val="21"/>
              </w:rPr>
              <w:t>13</w:t>
            </w:r>
          </w:p>
        </w:tc>
        <w:tc>
          <w:tcPr>
            <w:tcW w:w="1543" w:type="dxa"/>
            <w:vAlign w:val="center"/>
          </w:tcPr>
          <w:p w14:paraId="0ADDA14B">
            <w:pPr>
              <w:jc w:val="center"/>
              <w:rPr>
                <w:rFonts w:ascii="宋体" w:hAnsi="宋体" w:cs="宋体"/>
                <w:b w:val="0"/>
                <w:szCs w:val="21"/>
                <w:shd w:val="clear" w:color="auto" w:fill="FFFFFF"/>
              </w:rPr>
            </w:pPr>
            <w:r>
              <w:rPr>
                <w:rFonts w:hint="eastAsia" w:ascii="宋体" w:hAnsi="宋体" w:cs="宋体"/>
                <w:b w:val="0"/>
                <w:szCs w:val="21"/>
                <w:shd w:val="clear" w:color="auto" w:fill="FFFFFF"/>
              </w:rPr>
              <w:t>坍塌</w:t>
            </w:r>
          </w:p>
        </w:tc>
        <w:tc>
          <w:tcPr>
            <w:tcW w:w="6104" w:type="dxa"/>
            <w:vAlign w:val="center"/>
          </w:tcPr>
          <w:p w14:paraId="7381640E">
            <w:pPr>
              <w:rPr>
                <w:rFonts w:ascii="宋体" w:hAnsi="宋体" w:cs="宋体"/>
                <w:b w:val="0"/>
                <w:szCs w:val="21"/>
                <w:shd w:val="clear" w:color="auto" w:fill="FFFFFF"/>
              </w:rPr>
            </w:pPr>
            <w:r>
              <w:rPr>
                <w:rFonts w:hint="eastAsia" w:ascii="宋体" w:hAnsi="宋体" w:cs="宋体"/>
                <w:b w:val="0"/>
                <w:szCs w:val="21"/>
                <w:shd w:val="clear" w:color="auto" w:fill="FFFFFF"/>
              </w:rPr>
              <w:t>建筑物、构筑物或土石方倒塌伤害</w:t>
            </w:r>
          </w:p>
        </w:tc>
      </w:tr>
      <w:tr w14:paraId="6D44F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7D00EC4E">
            <w:pPr>
              <w:jc w:val="center"/>
              <w:rPr>
                <w:rFonts w:ascii="宋体" w:hAnsi="宋体" w:cs="宋体"/>
                <w:b w:val="0"/>
                <w:szCs w:val="21"/>
              </w:rPr>
            </w:pPr>
            <w:r>
              <w:rPr>
                <w:rFonts w:hint="eastAsia" w:ascii="宋体" w:hAnsi="宋体" w:cs="宋体"/>
                <w:b w:val="0"/>
                <w:szCs w:val="21"/>
              </w:rPr>
              <w:t>14</w:t>
            </w:r>
          </w:p>
        </w:tc>
        <w:tc>
          <w:tcPr>
            <w:tcW w:w="1543" w:type="dxa"/>
            <w:vAlign w:val="center"/>
          </w:tcPr>
          <w:p w14:paraId="27765DEE">
            <w:pPr>
              <w:jc w:val="center"/>
              <w:rPr>
                <w:rFonts w:ascii="宋体" w:hAnsi="宋体" w:cs="宋体"/>
                <w:b w:val="0"/>
                <w:szCs w:val="21"/>
                <w:shd w:val="clear" w:color="auto" w:fill="FFFFFF"/>
              </w:rPr>
            </w:pPr>
            <w:r>
              <w:rPr>
                <w:rFonts w:hint="eastAsia" w:ascii="宋体" w:hAnsi="宋体" w:cs="宋体"/>
                <w:b w:val="0"/>
                <w:szCs w:val="21"/>
                <w:shd w:val="clear" w:color="auto" w:fill="FFFFFF"/>
              </w:rPr>
              <w:t>中毒</w:t>
            </w:r>
          </w:p>
        </w:tc>
        <w:tc>
          <w:tcPr>
            <w:tcW w:w="6104" w:type="dxa"/>
            <w:vAlign w:val="center"/>
          </w:tcPr>
          <w:p w14:paraId="02FE3507">
            <w:pPr>
              <w:rPr>
                <w:rFonts w:ascii="宋体" w:hAnsi="宋体" w:cs="宋体"/>
                <w:b w:val="0"/>
                <w:szCs w:val="21"/>
                <w:shd w:val="clear" w:color="auto" w:fill="FFFFFF"/>
              </w:rPr>
            </w:pPr>
            <w:r>
              <w:rPr>
                <w:rFonts w:hint="eastAsia" w:ascii="宋体" w:hAnsi="宋体" w:cs="宋体"/>
                <w:b w:val="0"/>
                <w:szCs w:val="21"/>
                <w:shd w:val="clear" w:color="auto" w:fill="FFFFFF"/>
              </w:rPr>
              <w:t>有毒物质侵入人体造成的伤害，溶剂库、粉碎车间有毒气体积累等</w:t>
            </w:r>
          </w:p>
        </w:tc>
      </w:tr>
      <w:tr w14:paraId="17E86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1" w:type="dxa"/>
            <w:vAlign w:val="center"/>
          </w:tcPr>
          <w:p w14:paraId="0AE612C3">
            <w:pPr>
              <w:jc w:val="center"/>
              <w:rPr>
                <w:rFonts w:ascii="宋体" w:hAnsi="宋体" w:cs="宋体"/>
                <w:b w:val="0"/>
                <w:szCs w:val="21"/>
              </w:rPr>
            </w:pPr>
            <w:r>
              <w:rPr>
                <w:rFonts w:hint="eastAsia" w:ascii="宋体" w:hAnsi="宋体" w:cs="宋体"/>
                <w:b w:val="0"/>
                <w:szCs w:val="21"/>
              </w:rPr>
              <w:t>15</w:t>
            </w:r>
          </w:p>
        </w:tc>
        <w:tc>
          <w:tcPr>
            <w:tcW w:w="1543" w:type="dxa"/>
            <w:vAlign w:val="center"/>
          </w:tcPr>
          <w:p w14:paraId="376A7B69">
            <w:pPr>
              <w:jc w:val="center"/>
              <w:rPr>
                <w:rFonts w:ascii="宋体" w:hAnsi="宋体" w:cs="宋体"/>
                <w:b w:val="0"/>
                <w:szCs w:val="21"/>
                <w:shd w:val="clear" w:color="auto" w:fill="FFFFFF"/>
              </w:rPr>
            </w:pPr>
            <w:r>
              <w:rPr>
                <w:rFonts w:hint="eastAsia" w:ascii="宋体" w:hAnsi="宋体" w:cs="宋体"/>
                <w:b w:val="0"/>
                <w:szCs w:val="21"/>
                <w:shd w:val="clear" w:color="auto" w:fill="FFFFFF"/>
              </w:rPr>
              <w:t>滑坡</w:t>
            </w:r>
          </w:p>
        </w:tc>
        <w:tc>
          <w:tcPr>
            <w:tcW w:w="6104" w:type="dxa"/>
            <w:vAlign w:val="center"/>
          </w:tcPr>
          <w:p w14:paraId="0B0D4A4F">
            <w:pPr>
              <w:rPr>
                <w:rFonts w:ascii="宋体" w:hAnsi="宋体" w:cs="宋体"/>
                <w:b w:val="0"/>
                <w:szCs w:val="21"/>
                <w:shd w:val="clear" w:color="auto" w:fill="FFFFFF"/>
              </w:rPr>
            </w:pPr>
            <w:r>
              <w:rPr>
                <w:rFonts w:hint="eastAsia" w:ascii="宋体" w:hAnsi="宋体" w:cs="宋体"/>
                <w:b w:val="0"/>
                <w:szCs w:val="21"/>
                <w:shd w:val="clear" w:color="auto" w:fill="FFFFFF"/>
              </w:rPr>
              <w:t>依山建设的厂区周边边坡失稳下滑，冲击工房</w:t>
            </w:r>
          </w:p>
        </w:tc>
      </w:tr>
      <w:tr w14:paraId="4AF27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71" w:type="dxa"/>
            <w:vAlign w:val="center"/>
          </w:tcPr>
          <w:p w14:paraId="48B920F8">
            <w:pPr>
              <w:jc w:val="center"/>
              <w:rPr>
                <w:rFonts w:ascii="宋体" w:hAnsi="宋体" w:cs="宋体"/>
                <w:b w:val="0"/>
                <w:szCs w:val="21"/>
              </w:rPr>
            </w:pPr>
            <w:r>
              <w:rPr>
                <w:rFonts w:hint="eastAsia" w:ascii="宋体" w:hAnsi="宋体" w:cs="宋体"/>
                <w:b w:val="0"/>
                <w:szCs w:val="21"/>
              </w:rPr>
              <w:t>16</w:t>
            </w:r>
          </w:p>
        </w:tc>
        <w:tc>
          <w:tcPr>
            <w:tcW w:w="1543" w:type="dxa"/>
            <w:vAlign w:val="center"/>
          </w:tcPr>
          <w:p w14:paraId="0132B2EC">
            <w:pPr>
              <w:jc w:val="center"/>
              <w:rPr>
                <w:rFonts w:ascii="宋体" w:hAnsi="宋体" w:cs="宋体"/>
                <w:b w:val="0"/>
                <w:szCs w:val="21"/>
                <w:shd w:val="clear" w:color="auto" w:fill="FFFFFF"/>
              </w:rPr>
            </w:pPr>
            <w:r>
              <w:rPr>
                <w:rFonts w:hint="eastAsia" w:ascii="宋体" w:hAnsi="宋体" w:cs="宋体"/>
                <w:b w:val="0"/>
                <w:szCs w:val="21"/>
                <w:shd w:val="clear" w:color="auto" w:fill="FFFFFF"/>
              </w:rPr>
              <w:t>厂(场)内车辆致害</w:t>
            </w:r>
          </w:p>
        </w:tc>
        <w:tc>
          <w:tcPr>
            <w:tcW w:w="6104" w:type="dxa"/>
            <w:vAlign w:val="center"/>
          </w:tcPr>
          <w:p w14:paraId="1106BFA2">
            <w:pPr>
              <w:rPr>
                <w:rFonts w:ascii="宋体" w:hAnsi="宋体" w:cs="宋体"/>
                <w:b w:val="0"/>
                <w:szCs w:val="21"/>
                <w:shd w:val="clear" w:color="auto" w:fill="FFFFFF"/>
              </w:rPr>
            </w:pPr>
            <w:r>
              <w:rPr>
                <w:rFonts w:hint="eastAsia" w:ascii="宋体" w:hAnsi="宋体" w:cs="宋体"/>
                <w:b w:val="0"/>
                <w:szCs w:val="21"/>
                <w:shd w:val="clear" w:color="auto" w:fill="FFFFFF"/>
              </w:rPr>
              <w:t>企业厂内机动车辆行驶中引发的事故</w:t>
            </w:r>
          </w:p>
        </w:tc>
      </w:tr>
      <w:tr w14:paraId="39773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71" w:type="dxa"/>
            <w:vAlign w:val="center"/>
          </w:tcPr>
          <w:p w14:paraId="51D8DB52">
            <w:pPr>
              <w:jc w:val="center"/>
              <w:rPr>
                <w:rFonts w:ascii="宋体" w:hAnsi="宋体" w:cs="宋体"/>
                <w:b w:val="0"/>
                <w:szCs w:val="21"/>
              </w:rPr>
            </w:pPr>
            <w:r>
              <w:rPr>
                <w:rFonts w:hint="eastAsia" w:ascii="宋体" w:hAnsi="宋体" w:cs="宋体"/>
                <w:b w:val="0"/>
                <w:szCs w:val="21"/>
              </w:rPr>
              <w:t>1</w:t>
            </w:r>
            <w:r>
              <w:rPr>
                <w:rFonts w:ascii="宋体" w:hAnsi="宋体" w:cs="宋体"/>
                <w:b w:val="0"/>
                <w:szCs w:val="21"/>
              </w:rPr>
              <w:t>8</w:t>
            </w:r>
          </w:p>
        </w:tc>
        <w:tc>
          <w:tcPr>
            <w:tcW w:w="1543" w:type="dxa"/>
            <w:vAlign w:val="center"/>
          </w:tcPr>
          <w:p w14:paraId="0762CBBC">
            <w:pPr>
              <w:jc w:val="center"/>
              <w:rPr>
                <w:rFonts w:ascii="宋体" w:hAnsi="宋体" w:cs="宋体"/>
                <w:b w:val="0"/>
                <w:szCs w:val="21"/>
                <w:shd w:val="clear" w:color="auto" w:fill="FFFFFF"/>
              </w:rPr>
            </w:pPr>
            <w:r>
              <w:rPr>
                <w:rFonts w:hint="eastAsia" w:ascii="宋体" w:hAnsi="宋体" w:cs="宋体"/>
                <w:b w:val="0"/>
                <w:szCs w:val="21"/>
                <w:shd w:val="clear" w:color="auto" w:fill="FFFFFF"/>
              </w:rPr>
              <w:t>其他</w:t>
            </w:r>
          </w:p>
        </w:tc>
        <w:tc>
          <w:tcPr>
            <w:tcW w:w="6104" w:type="dxa"/>
            <w:vAlign w:val="center"/>
          </w:tcPr>
          <w:p w14:paraId="742E90D5">
            <w:pPr>
              <w:rPr>
                <w:rFonts w:ascii="宋体" w:hAnsi="宋体" w:cs="宋体"/>
                <w:b w:val="0"/>
                <w:szCs w:val="21"/>
                <w:shd w:val="clear" w:color="auto" w:fill="FFFFFF"/>
              </w:rPr>
            </w:pPr>
            <w:r>
              <w:rPr>
                <w:rFonts w:hint="eastAsia" w:ascii="宋体" w:hAnsi="宋体" w:cs="宋体"/>
                <w:b w:val="0"/>
                <w:szCs w:val="21"/>
                <w:shd w:val="clear" w:color="auto" w:fill="FFFFFF"/>
              </w:rPr>
              <w:t>未包含在上述分类中的伤害，如动物伤害、极端天气伤害等</w:t>
            </w:r>
          </w:p>
        </w:tc>
      </w:tr>
    </w:tbl>
    <w:p w14:paraId="2E3874AC">
      <w:pPr>
        <w:keepNext/>
        <w:keepLines/>
        <w:spacing w:before="120" w:beforeLines="50" w:line="360" w:lineRule="auto"/>
        <w:outlineLvl w:val="1"/>
        <w:rPr>
          <w:rFonts w:ascii="黑体" w:hAnsi="黑体" w:eastAsia="黑体"/>
          <w:b w:val="0"/>
          <w:bCs/>
          <w:snapToGrid w:val="0"/>
          <w:sz w:val="32"/>
          <w:szCs w:val="32"/>
        </w:rPr>
      </w:pPr>
      <w:bookmarkStart w:id="194" w:name="_Toc83159005"/>
      <w:bookmarkStart w:id="195" w:name="_Toc294247808"/>
      <w:bookmarkStart w:id="196" w:name="_Toc188265295"/>
      <w:bookmarkStart w:id="197" w:name="_Toc335902396"/>
      <w:bookmarkStart w:id="198" w:name="_Toc202015902"/>
      <w:bookmarkStart w:id="199" w:name="_Toc173077655"/>
      <w:bookmarkStart w:id="200" w:name="_Toc271898746"/>
      <w:bookmarkStart w:id="201" w:name="_Toc227869282"/>
      <w:bookmarkStart w:id="202" w:name="_Toc239191502"/>
      <w:r>
        <w:rPr>
          <w:rFonts w:hint="eastAsia" w:ascii="黑体" w:hAnsi="黑体" w:eastAsia="黑体"/>
          <w:b w:val="0"/>
          <w:bCs/>
          <w:snapToGrid w:val="0"/>
          <w:sz w:val="32"/>
          <w:szCs w:val="32"/>
        </w:rPr>
        <w:t>3.3主要原料、半成品、成品的危险有害因素分析</w:t>
      </w:r>
      <w:bookmarkEnd w:id="194"/>
      <w:bookmarkEnd w:id="195"/>
      <w:bookmarkEnd w:id="196"/>
      <w:bookmarkEnd w:id="197"/>
      <w:bookmarkEnd w:id="198"/>
      <w:bookmarkEnd w:id="199"/>
      <w:bookmarkEnd w:id="200"/>
      <w:bookmarkEnd w:id="201"/>
      <w:bookmarkEnd w:id="202"/>
    </w:p>
    <w:p w14:paraId="46E0BFC1">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黑火药生产中使用的原材料主要为氧化剂、还原剂（可燃物）。该企业拟生产的</w:t>
      </w:r>
      <w:r>
        <w:rPr>
          <w:rFonts w:hint="eastAsia" w:ascii="宋体" w:hAnsi="宋体" w:cs="Arial"/>
          <w:b w:val="0"/>
          <w:sz w:val="28"/>
        </w:rPr>
        <w:t>黑火药（粒状）、黑火药（粉状）产品生产所需原辅材料基本为：氧化剂（硝酸钾），还原剂（硫磺、木炭）。</w:t>
      </w:r>
    </w:p>
    <w:p w14:paraId="37291DB7">
      <w:pPr>
        <w:spacing w:line="360" w:lineRule="auto"/>
        <w:outlineLvl w:val="2"/>
        <w:rPr>
          <w:rFonts w:ascii="黑体" w:hAnsi="黑体" w:eastAsia="黑体"/>
          <w:b w:val="0"/>
          <w:sz w:val="30"/>
          <w:szCs w:val="30"/>
        </w:rPr>
      </w:pPr>
      <w:bookmarkStart w:id="203" w:name="_Toc294247645"/>
      <w:bookmarkStart w:id="204" w:name="_Toc181194063"/>
      <w:bookmarkStart w:id="205" w:name="_Toc148036985"/>
      <w:bookmarkStart w:id="206" w:name="_Toc294247809"/>
      <w:bookmarkStart w:id="207" w:name="_Toc145275190"/>
      <w:bookmarkStart w:id="208" w:name="_Toc58946816"/>
      <w:bookmarkStart w:id="209" w:name="_Toc173077656"/>
      <w:bookmarkStart w:id="210" w:name="_Toc271898747"/>
      <w:bookmarkStart w:id="211" w:name="_Toc58861984"/>
      <w:bookmarkStart w:id="212" w:name="_Toc188265296"/>
      <w:bookmarkStart w:id="213" w:name="_Toc202015903"/>
      <w:bookmarkStart w:id="214" w:name="_Toc60129099"/>
      <w:bookmarkStart w:id="215" w:name="_Toc335902397"/>
      <w:r>
        <w:rPr>
          <w:rFonts w:ascii="黑体" w:hAnsi="黑体" w:eastAsia="黑体"/>
          <w:b w:val="0"/>
          <w:sz w:val="30"/>
          <w:szCs w:val="30"/>
        </w:rPr>
        <w:t>3.</w:t>
      </w:r>
      <w:r>
        <w:rPr>
          <w:rFonts w:hint="eastAsia" w:ascii="黑体" w:hAnsi="黑体" w:eastAsia="黑体"/>
          <w:b w:val="0"/>
          <w:sz w:val="30"/>
          <w:szCs w:val="30"/>
        </w:rPr>
        <w:t>3</w:t>
      </w:r>
      <w:r>
        <w:rPr>
          <w:rFonts w:ascii="黑体" w:hAnsi="黑体" w:eastAsia="黑体"/>
          <w:b w:val="0"/>
          <w:sz w:val="30"/>
          <w:szCs w:val="30"/>
        </w:rPr>
        <w:t>.1</w:t>
      </w:r>
      <w:r>
        <w:rPr>
          <w:rFonts w:hint="eastAsia" w:ascii="黑体" w:hAnsi="黑体" w:eastAsia="黑体"/>
          <w:b w:val="0"/>
          <w:sz w:val="30"/>
          <w:szCs w:val="30"/>
        </w:rPr>
        <w:t>氧化剂</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3F65BDB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氧化剂提供黑火药燃烧时需要的氧，一般电负性大的物质都可作氧化剂。氧化剂可以是含氧氧化剂，也可以是无氧氧化剂。黑火药用氧化剂大多数是含氧氧化剂，黑火药燃烧时有自供氧系统，即可以在隔绝空气的条件下燃烧，把反应进行到底。</w:t>
      </w:r>
    </w:p>
    <w:p w14:paraId="3D2BCCDA">
      <w:pPr>
        <w:spacing w:line="360" w:lineRule="auto"/>
        <w:ind w:firstLine="560" w:firstLineChars="200"/>
        <w:rPr>
          <w:rFonts w:ascii="黑体" w:hAnsi="宋体" w:eastAsia="黑体"/>
          <w:b w:val="0"/>
          <w:sz w:val="24"/>
        </w:rPr>
      </w:pPr>
      <w:r>
        <w:rPr>
          <w:rFonts w:hint="eastAsia" w:ascii="宋体" w:hAnsi="宋体"/>
          <w:b w:val="0"/>
          <w:snapToGrid w:val="0"/>
          <w:sz w:val="28"/>
          <w:szCs w:val="28"/>
        </w:rPr>
        <w:t>不同氧化剂助燃能力不同，在其特性中能反映出来，具体如下表3.</w:t>
      </w:r>
      <w:r>
        <w:rPr>
          <w:rFonts w:ascii="宋体" w:hAnsi="宋体"/>
          <w:b w:val="0"/>
          <w:snapToGrid w:val="0"/>
          <w:sz w:val="28"/>
          <w:szCs w:val="28"/>
        </w:rPr>
        <w:t>3</w:t>
      </w:r>
      <w:r>
        <w:rPr>
          <w:rFonts w:hint="eastAsia" w:ascii="宋体" w:hAnsi="宋体"/>
          <w:b w:val="0"/>
          <w:snapToGrid w:val="0"/>
          <w:sz w:val="28"/>
          <w:szCs w:val="28"/>
        </w:rPr>
        <w:t>-1。表中熔点反映出氧化剂的热稳定性,因为熔点低的相应分解温度也低。分解出的初生态氧，活性很高，很容易与还原剂反应将烟火药点燃。表中分解温度能反映出与熔点高的还原剂的反应活性。而在与熔点低的还原剂的反应中（如硫），则点火温度取决于还原剂的熔点和反应活化能。该企业使用的氧化剂的危险有害因素及应对措施表述如下文。</w:t>
      </w:r>
    </w:p>
    <w:p w14:paraId="545EA9F3">
      <w:pPr>
        <w:jc w:val="center"/>
        <w:rPr>
          <w:rFonts w:ascii="黑体" w:hAnsi="宋体" w:eastAsia="黑体"/>
          <w:b w:val="0"/>
          <w:sz w:val="24"/>
        </w:rPr>
      </w:pPr>
      <w:r>
        <w:rPr>
          <w:rFonts w:hint="eastAsia" w:ascii="黑体" w:hAnsi="宋体" w:eastAsia="黑体"/>
          <w:b w:val="0"/>
          <w:sz w:val="24"/>
        </w:rPr>
        <w:t>表3.3-1 氧化剂特性表</w:t>
      </w:r>
    </w:p>
    <w:tbl>
      <w:tblPr>
        <w:tblStyle w:val="88"/>
        <w:tblW w:w="52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7"/>
        <w:gridCol w:w="851"/>
        <w:gridCol w:w="1278"/>
        <w:gridCol w:w="1212"/>
        <w:gridCol w:w="908"/>
        <w:gridCol w:w="846"/>
        <w:gridCol w:w="4111"/>
      </w:tblGrid>
      <w:tr w14:paraId="6E3F5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236" w:type="pct"/>
            <w:tcBorders>
              <w:top w:val="single" w:color="auto" w:sz="12" w:space="0"/>
            </w:tcBorders>
            <w:vAlign w:val="center"/>
          </w:tcPr>
          <w:p w14:paraId="4EAAB88D">
            <w:pPr>
              <w:spacing w:line="240" w:lineRule="exact"/>
              <w:jc w:val="center"/>
              <w:rPr>
                <w:rFonts w:ascii="宋体"/>
                <w:bCs/>
                <w:szCs w:val="21"/>
              </w:rPr>
            </w:pPr>
            <w:bookmarkStart w:id="216" w:name="_Toc109360858"/>
            <w:r>
              <w:rPr>
                <w:rFonts w:hint="eastAsia" w:ascii="宋体" w:hAnsi="宋体"/>
                <w:bCs/>
                <w:szCs w:val="21"/>
              </w:rPr>
              <w:t>序号</w:t>
            </w:r>
          </w:p>
        </w:tc>
        <w:tc>
          <w:tcPr>
            <w:tcW w:w="440" w:type="pct"/>
            <w:tcBorders>
              <w:top w:val="single" w:color="auto" w:sz="12" w:space="0"/>
            </w:tcBorders>
            <w:vAlign w:val="center"/>
          </w:tcPr>
          <w:p w14:paraId="0676DAEF">
            <w:pPr>
              <w:spacing w:line="240" w:lineRule="exact"/>
              <w:jc w:val="center"/>
              <w:rPr>
                <w:rFonts w:ascii="宋体" w:hAnsi="宋体"/>
                <w:bCs/>
                <w:szCs w:val="21"/>
              </w:rPr>
            </w:pPr>
            <w:r>
              <w:rPr>
                <w:rFonts w:hint="eastAsia" w:ascii="宋体" w:hAnsi="宋体"/>
                <w:bCs/>
                <w:szCs w:val="21"/>
              </w:rPr>
              <w:t>物质</w:t>
            </w:r>
          </w:p>
          <w:p w14:paraId="18B9B0E8">
            <w:pPr>
              <w:spacing w:line="240" w:lineRule="exact"/>
              <w:jc w:val="center"/>
              <w:rPr>
                <w:rFonts w:ascii="宋体"/>
                <w:bCs/>
                <w:szCs w:val="21"/>
              </w:rPr>
            </w:pPr>
            <w:r>
              <w:rPr>
                <w:rFonts w:hint="eastAsia" w:ascii="宋体" w:hAnsi="宋体"/>
                <w:bCs/>
                <w:szCs w:val="21"/>
              </w:rPr>
              <w:t>名称</w:t>
            </w:r>
          </w:p>
        </w:tc>
        <w:tc>
          <w:tcPr>
            <w:tcW w:w="661" w:type="pct"/>
            <w:tcBorders>
              <w:top w:val="single" w:color="auto" w:sz="12" w:space="0"/>
            </w:tcBorders>
            <w:vAlign w:val="center"/>
          </w:tcPr>
          <w:p w14:paraId="26C482F5">
            <w:pPr>
              <w:spacing w:line="240" w:lineRule="exact"/>
              <w:jc w:val="center"/>
              <w:rPr>
                <w:rFonts w:ascii="宋体"/>
                <w:bCs/>
                <w:szCs w:val="21"/>
              </w:rPr>
            </w:pPr>
            <w:r>
              <w:rPr>
                <w:rFonts w:hint="eastAsia" w:ascii="宋体" w:hAnsi="宋体"/>
                <w:bCs/>
                <w:kern w:val="0"/>
                <w:szCs w:val="21"/>
              </w:rPr>
              <w:t>危险化学品目录序号</w:t>
            </w:r>
          </w:p>
        </w:tc>
        <w:tc>
          <w:tcPr>
            <w:tcW w:w="627" w:type="pct"/>
            <w:tcBorders>
              <w:top w:val="single" w:color="auto" w:sz="12" w:space="0"/>
            </w:tcBorders>
            <w:vAlign w:val="center"/>
          </w:tcPr>
          <w:p w14:paraId="5BE0C034">
            <w:pPr>
              <w:spacing w:line="240" w:lineRule="exact"/>
              <w:jc w:val="center"/>
              <w:rPr>
                <w:rFonts w:ascii="宋体"/>
                <w:bCs/>
                <w:szCs w:val="21"/>
              </w:rPr>
            </w:pPr>
            <w:r>
              <w:rPr>
                <w:rFonts w:ascii="宋体" w:hAnsi="宋体"/>
                <w:bCs/>
                <w:szCs w:val="21"/>
              </w:rPr>
              <w:t>CAS</w:t>
            </w:r>
            <w:r>
              <w:rPr>
                <w:rFonts w:hint="eastAsia" w:ascii="宋体" w:hAnsi="宋体"/>
                <w:bCs/>
                <w:szCs w:val="21"/>
              </w:rPr>
              <w:t>号</w:t>
            </w:r>
          </w:p>
        </w:tc>
        <w:tc>
          <w:tcPr>
            <w:tcW w:w="470" w:type="pct"/>
            <w:tcBorders>
              <w:top w:val="single" w:color="auto" w:sz="12" w:space="0"/>
            </w:tcBorders>
            <w:vAlign w:val="center"/>
          </w:tcPr>
          <w:p w14:paraId="583A6481">
            <w:pPr>
              <w:spacing w:line="240" w:lineRule="exact"/>
              <w:jc w:val="center"/>
              <w:rPr>
                <w:rFonts w:ascii="宋体"/>
                <w:bCs/>
                <w:szCs w:val="21"/>
              </w:rPr>
            </w:pPr>
            <w:r>
              <w:rPr>
                <w:rFonts w:hint="eastAsia" w:ascii="宋体" w:hAnsi="宋体"/>
                <w:bCs/>
                <w:szCs w:val="21"/>
              </w:rPr>
              <w:t>闪点</w:t>
            </w:r>
          </w:p>
        </w:tc>
        <w:tc>
          <w:tcPr>
            <w:tcW w:w="438" w:type="pct"/>
            <w:tcBorders>
              <w:top w:val="single" w:color="auto" w:sz="12" w:space="0"/>
            </w:tcBorders>
            <w:vAlign w:val="center"/>
          </w:tcPr>
          <w:p w14:paraId="532E8BFE">
            <w:pPr>
              <w:spacing w:line="240" w:lineRule="exact"/>
              <w:jc w:val="center"/>
              <w:rPr>
                <w:rFonts w:ascii="宋体"/>
                <w:bCs/>
                <w:szCs w:val="21"/>
              </w:rPr>
            </w:pPr>
            <w:r>
              <w:rPr>
                <w:rFonts w:hint="eastAsia" w:ascii="宋体" w:hAnsi="宋体"/>
                <w:bCs/>
                <w:szCs w:val="21"/>
              </w:rPr>
              <w:t>火险等级</w:t>
            </w:r>
          </w:p>
        </w:tc>
        <w:tc>
          <w:tcPr>
            <w:tcW w:w="2127" w:type="pct"/>
            <w:tcBorders>
              <w:top w:val="single" w:color="auto" w:sz="12" w:space="0"/>
            </w:tcBorders>
            <w:vAlign w:val="center"/>
          </w:tcPr>
          <w:p w14:paraId="3BBD7507">
            <w:pPr>
              <w:spacing w:line="240" w:lineRule="exact"/>
              <w:jc w:val="center"/>
              <w:rPr>
                <w:rFonts w:ascii="宋体"/>
                <w:bCs/>
                <w:szCs w:val="21"/>
              </w:rPr>
            </w:pPr>
            <w:r>
              <w:rPr>
                <w:rFonts w:hint="eastAsia" w:ascii="宋体" w:hAnsi="宋体"/>
                <w:bCs/>
                <w:kern w:val="0"/>
                <w:szCs w:val="21"/>
              </w:rPr>
              <w:t>主要危害特性</w:t>
            </w:r>
          </w:p>
        </w:tc>
      </w:tr>
      <w:tr w14:paraId="6486D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6" w:type="pct"/>
            <w:vAlign w:val="center"/>
          </w:tcPr>
          <w:p w14:paraId="0F854243">
            <w:pPr>
              <w:spacing w:line="240" w:lineRule="exact"/>
              <w:jc w:val="center"/>
              <w:rPr>
                <w:rFonts w:ascii="宋体"/>
                <w:b w:val="0"/>
                <w:szCs w:val="21"/>
              </w:rPr>
            </w:pPr>
            <w:r>
              <w:rPr>
                <w:rFonts w:ascii="宋体"/>
                <w:b w:val="0"/>
                <w:szCs w:val="21"/>
              </w:rPr>
              <w:t>1</w:t>
            </w:r>
          </w:p>
        </w:tc>
        <w:tc>
          <w:tcPr>
            <w:tcW w:w="440" w:type="pct"/>
            <w:vAlign w:val="center"/>
          </w:tcPr>
          <w:p w14:paraId="064BC169">
            <w:pPr>
              <w:spacing w:line="240" w:lineRule="exact"/>
              <w:jc w:val="center"/>
              <w:rPr>
                <w:rFonts w:ascii="宋体"/>
                <w:b w:val="0"/>
                <w:szCs w:val="21"/>
              </w:rPr>
            </w:pPr>
            <w:r>
              <w:rPr>
                <w:rFonts w:hint="eastAsia" w:ascii="宋体" w:hAnsi="宋体"/>
                <w:b w:val="0"/>
                <w:szCs w:val="21"/>
              </w:rPr>
              <w:t>硝酸钾</w:t>
            </w:r>
          </w:p>
        </w:tc>
        <w:tc>
          <w:tcPr>
            <w:tcW w:w="661" w:type="pct"/>
            <w:vAlign w:val="center"/>
          </w:tcPr>
          <w:p w14:paraId="23478E0C">
            <w:pPr>
              <w:spacing w:line="240" w:lineRule="exact"/>
              <w:jc w:val="center"/>
              <w:rPr>
                <w:rFonts w:ascii="宋体"/>
                <w:b w:val="0"/>
                <w:szCs w:val="21"/>
              </w:rPr>
            </w:pPr>
            <w:r>
              <w:rPr>
                <w:rFonts w:ascii="宋体" w:hAnsi="宋体"/>
                <w:b w:val="0"/>
                <w:szCs w:val="21"/>
              </w:rPr>
              <w:t>2303</w:t>
            </w:r>
          </w:p>
        </w:tc>
        <w:tc>
          <w:tcPr>
            <w:tcW w:w="627" w:type="pct"/>
            <w:vAlign w:val="center"/>
          </w:tcPr>
          <w:p w14:paraId="0B211EFB">
            <w:pPr>
              <w:spacing w:line="240" w:lineRule="exact"/>
              <w:jc w:val="center"/>
              <w:rPr>
                <w:rFonts w:ascii="宋体"/>
                <w:b w:val="0"/>
                <w:szCs w:val="21"/>
              </w:rPr>
            </w:pPr>
            <w:r>
              <w:rPr>
                <w:rFonts w:ascii="宋体" w:hAnsi="宋体"/>
                <w:b w:val="0"/>
                <w:szCs w:val="21"/>
              </w:rPr>
              <w:t>7757-79-1</w:t>
            </w:r>
          </w:p>
        </w:tc>
        <w:tc>
          <w:tcPr>
            <w:tcW w:w="470" w:type="pct"/>
            <w:vAlign w:val="center"/>
          </w:tcPr>
          <w:p w14:paraId="10AE34A4">
            <w:pPr>
              <w:spacing w:line="240" w:lineRule="exact"/>
              <w:jc w:val="center"/>
              <w:rPr>
                <w:rFonts w:ascii="宋体"/>
                <w:b w:val="0"/>
                <w:szCs w:val="21"/>
              </w:rPr>
            </w:pPr>
            <w:r>
              <w:rPr>
                <w:rFonts w:hint="eastAsia" w:ascii="宋体" w:hAnsi="宋体"/>
                <w:b w:val="0"/>
                <w:szCs w:val="21"/>
              </w:rPr>
              <w:t>无意义</w:t>
            </w:r>
          </w:p>
        </w:tc>
        <w:tc>
          <w:tcPr>
            <w:tcW w:w="438" w:type="pct"/>
            <w:vAlign w:val="center"/>
          </w:tcPr>
          <w:p w14:paraId="06262690">
            <w:pPr>
              <w:spacing w:line="240" w:lineRule="exact"/>
              <w:jc w:val="center"/>
              <w:rPr>
                <w:rFonts w:ascii="宋体"/>
                <w:b w:val="0"/>
                <w:szCs w:val="21"/>
              </w:rPr>
            </w:pPr>
            <w:r>
              <w:rPr>
                <w:rFonts w:hint="eastAsia" w:ascii="宋体" w:hAnsi="宋体"/>
                <w:b w:val="0"/>
                <w:szCs w:val="21"/>
              </w:rPr>
              <w:t>乙类</w:t>
            </w:r>
          </w:p>
        </w:tc>
        <w:tc>
          <w:tcPr>
            <w:tcW w:w="2127" w:type="pct"/>
            <w:vAlign w:val="center"/>
          </w:tcPr>
          <w:p w14:paraId="00A21186">
            <w:pPr>
              <w:spacing w:line="240" w:lineRule="exact"/>
              <w:rPr>
                <w:rFonts w:ascii="宋体"/>
                <w:b w:val="0"/>
                <w:szCs w:val="21"/>
              </w:rPr>
            </w:pPr>
            <w:r>
              <w:rPr>
                <w:rFonts w:hint="eastAsia" w:ascii="宋体" w:hAnsi="宋体"/>
                <w:b w:val="0"/>
                <w:szCs w:val="21"/>
              </w:rPr>
              <w:t>强氧化剂，助燃，遇可燃物着火时，能助长火势。与有机物、还原剂、易燃物如硫、磷等接触或混合时有引起燃烧爆炸的危险。</w:t>
            </w:r>
          </w:p>
        </w:tc>
      </w:tr>
      <w:bookmarkEnd w:id="216"/>
    </w:tbl>
    <w:p w14:paraId="253636B6">
      <w:pPr>
        <w:spacing w:before="120" w:beforeLines="50" w:line="360" w:lineRule="auto"/>
        <w:ind w:firstLine="562" w:firstLineChars="200"/>
        <w:rPr>
          <w:rFonts w:ascii="宋体" w:hAnsi="宋体"/>
          <w:snapToGrid w:val="0"/>
          <w:sz w:val="28"/>
          <w:szCs w:val="28"/>
        </w:rPr>
      </w:pPr>
      <w:bookmarkStart w:id="217" w:name="_Toc109360859"/>
      <w:r>
        <w:rPr>
          <w:rFonts w:hint="eastAsia" w:ascii="宋体" w:hAnsi="宋体"/>
          <w:snapToGrid w:val="0"/>
          <w:sz w:val="28"/>
          <w:szCs w:val="28"/>
        </w:rPr>
        <w:t>硝酸钾</w:t>
      </w:r>
      <w:bookmarkEnd w:id="217"/>
    </w:p>
    <w:p w14:paraId="2BDDA874">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硝酸钾物性参数及对其危险的应对措施列于表3.3-</w:t>
      </w:r>
      <w:r>
        <w:rPr>
          <w:rFonts w:ascii="宋体" w:hAnsi="宋体"/>
          <w:b w:val="0"/>
          <w:snapToGrid w:val="0"/>
          <w:sz w:val="28"/>
          <w:szCs w:val="28"/>
        </w:rPr>
        <w:t>2</w:t>
      </w:r>
      <w:r>
        <w:rPr>
          <w:rFonts w:hint="eastAsia" w:ascii="宋体" w:hAnsi="宋体"/>
          <w:b w:val="0"/>
          <w:snapToGrid w:val="0"/>
          <w:sz w:val="28"/>
          <w:szCs w:val="28"/>
        </w:rPr>
        <w:t>。</w:t>
      </w:r>
    </w:p>
    <w:p w14:paraId="719436CA">
      <w:pPr>
        <w:jc w:val="center"/>
        <w:rPr>
          <w:rFonts w:ascii="黑体" w:hAnsi="宋体" w:eastAsia="黑体"/>
          <w:b w:val="0"/>
          <w:sz w:val="24"/>
        </w:rPr>
      </w:pPr>
      <w:r>
        <w:rPr>
          <w:rFonts w:hint="eastAsia" w:ascii="黑体" w:hAnsi="宋体" w:eastAsia="黑体"/>
          <w:b w:val="0"/>
          <w:sz w:val="24"/>
        </w:rPr>
        <w:t>表3.3-</w:t>
      </w:r>
      <w:r>
        <w:rPr>
          <w:rFonts w:ascii="黑体" w:hAnsi="宋体" w:eastAsia="黑体"/>
          <w:b w:val="0"/>
          <w:sz w:val="24"/>
        </w:rPr>
        <w:t>2</w:t>
      </w:r>
      <w:r>
        <w:rPr>
          <w:rFonts w:hint="eastAsia" w:ascii="黑体" w:hAnsi="宋体" w:eastAsia="黑体"/>
          <w:b w:val="0"/>
          <w:sz w:val="24"/>
        </w:rPr>
        <w:t xml:space="preserve"> 硝酸钾的物性参数及对危险的应对措施</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8270"/>
      </w:tblGrid>
      <w:tr w14:paraId="7EEE2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5E06DC9E">
            <w:pPr>
              <w:jc w:val="center"/>
              <w:rPr>
                <w:rFonts w:ascii="宋体" w:hAnsi="宋体"/>
                <w:b w:val="0"/>
                <w:szCs w:val="21"/>
              </w:rPr>
            </w:pPr>
            <w:r>
              <w:rPr>
                <w:rFonts w:hint="eastAsia" w:ascii="宋体" w:hAnsi="宋体"/>
                <w:b w:val="0"/>
                <w:szCs w:val="21"/>
              </w:rPr>
              <w:t>标 识</w:t>
            </w:r>
          </w:p>
        </w:tc>
        <w:tc>
          <w:tcPr>
            <w:tcW w:w="4452" w:type="pct"/>
          </w:tcPr>
          <w:p w14:paraId="484A6F57">
            <w:pPr>
              <w:adjustRightInd w:val="0"/>
              <w:snapToGrid w:val="0"/>
              <w:rPr>
                <w:rFonts w:ascii="宋体" w:hAnsi="宋体"/>
                <w:b w:val="0"/>
                <w:szCs w:val="21"/>
              </w:rPr>
            </w:pPr>
            <w:r>
              <w:rPr>
                <w:rFonts w:hint="eastAsia" w:ascii="宋体" w:hAnsi="宋体"/>
                <w:b w:val="0"/>
                <w:szCs w:val="21"/>
              </w:rPr>
              <w:t>中文名称：硝酸钾，</w:t>
            </w:r>
            <w:r>
              <w:rPr>
                <w:rFonts w:ascii="宋体" w:hAnsi="宋体"/>
                <w:b w:val="0"/>
                <w:szCs w:val="21"/>
              </w:rPr>
              <w:t>火硝</w:t>
            </w:r>
            <w:r>
              <w:rPr>
                <w:rFonts w:hint="eastAsia" w:ascii="宋体" w:hAnsi="宋体"/>
                <w:b w:val="0"/>
                <w:szCs w:val="21"/>
              </w:rPr>
              <w:t xml:space="preserve">                     英文名：potassium nitrate</w:t>
            </w:r>
          </w:p>
          <w:p w14:paraId="6A9E438E">
            <w:pPr>
              <w:adjustRightInd w:val="0"/>
              <w:snapToGrid w:val="0"/>
              <w:rPr>
                <w:rFonts w:ascii="宋体" w:hAnsi="宋体"/>
                <w:b w:val="0"/>
                <w:szCs w:val="21"/>
              </w:rPr>
            </w:pPr>
            <w:r>
              <w:rPr>
                <w:rFonts w:hint="eastAsia" w:ascii="宋体" w:hAnsi="宋体"/>
                <w:b w:val="0"/>
                <w:szCs w:val="21"/>
              </w:rPr>
              <w:t>分 子 式：KNO</w:t>
            </w:r>
            <w:r>
              <w:rPr>
                <w:rFonts w:hint="eastAsia" w:ascii="宋体" w:hAnsi="宋体"/>
                <w:b w:val="0"/>
                <w:szCs w:val="21"/>
                <w:vertAlign w:val="subscript"/>
              </w:rPr>
              <w:t>3</w:t>
            </w:r>
            <w:r>
              <w:rPr>
                <w:rFonts w:hint="eastAsia" w:ascii="宋体" w:hAnsi="宋体"/>
                <w:b w:val="0"/>
                <w:szCs w:val="21"/>
              </w:rPr>
              <w:t>；                           分子量：101.10；</w:t>
            </w:r>
          </w:p>
          <w:p w14:paraId="54928E74">
            <w:pPr>
              <w:adjustRightInd w:val="0"/>
              <w:snapToGrid w:val="0"/>
              <w:rPr>
                <w:rFonts w:ascii="宋体" w:hAnsi="宋体"/>
                <w:b w:val="0"/>
                <w:szCs w:val="21"/>
              </w:rPr>
            </w:pPr>
            <w:r>
              <w:rPr>
                <w:rFonts w:hint="eastAsia" w:ascii="宋体" w:hAnsi="宋体"/>
                <w:b w:val="0"/>
                <w:szCs w:val="21"/>
              </w:rPr>
              <w:t>危险化学品目录序号：2303；                 UN编号：1486；</w:t>
            </w:r>
          </w:p>
          <w:p w14:paraId="156FD940">
            <w:pPr>
              <w:adjustRightInd w:val="0"/>
              <w:snapToGrid w:val="0"/>
              <w:rPr>
                <w:rFonts w:ascii="宋体" w:hAnsi="宋体"/>
                <w:b w:val="0"/>
                <w:szCs w:val="21"/>
              </w:rPr>
            </w:pPr>
            <w:r>
              <w:rPr>
                <w:rFonts w:ascii="宋体" w:hAnsi="宋体"/>
                <w:b w:val="0"/>
                <w:szCs w:val="21"/>
              </w:rPr>
              <w:t>CAS</w:t>
            </w:r>
            <w:r>
              <w:rPr>
                <w:rFonts w:hint="eastAsia" w:ascii="宋体" w:hAnsi="宋体"/>
                <w:b w:val="0"/>
                <w:szCs w:val="21"/>
              </w:rPr>
              <w:t>号：7757-79-1</w:t>
            </w:r>
          </w:p>
        </w:tc>
      </w:tr>
      <w:tr w14:paraId="4C9B1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1299D958">
            <w:pPr>
              <w:jc w:val="center"/>
              <w:rPr>
                <w:rFonts w:ascii="宋体" w:hAnsi="宋体"/>
                <w:b w:val="0"/>
                <w:szCs w:val="21"/>
              </w:rPr>
            </w:pPr>
            <w:r>
              <w:rPr>
                <w:rFonts w:ascii="宋体" w:hAnsi="宋体"/>
                <w:b w:val="0"/>
                <w:szCs w:val="21"/>
              </w:rPr>
              <w:t>理</w:t>
            </w:r>
            <w:r>
              <w:rPr>
                <w:rFonts w:hint="eastAsia" w:ascii="宋体" w:hAnsi="宋体"/>
                <w:b w:val="0"/>
                <w:szCs w:val="21"/>
              </w:rPr>
              <w:t xml:space="preserve"> </w:t>
            </w:r>
            <w:r>
              <w:rPr>
                <w:rFonts w:ascii="宋体" w:hAnsi="宋体"/>
                <w:b w:val="0"/>
                <w:szCs w:val="21"/>
              </w:rPr>
              <w:t>化</w:t>
            </w:r>
          </w:p>
          <w:p w14:paraId="3333D152">
            <w:pPr>
              <w:jc w:val="center"/>
              <w:rPr>
                <w:rFonts w:ascii="宋体" w:hAnsi="宋体"/>
                <w:b w:val="0"/>
                <w:szCs w:val="21"/>
              </w:rPr>
            </w:pPr>
            <w:r>
              <w:rPr>
                <w:rFonts w:hint="eastAsia" w:ascii="宋体" w:hAnsi="宋体"/>
                <w:b w:val="0"/>
                <w:szCs w:val="21"/>
              </w:rPr>
              <w:t>性 质</w:t>
            </w:r>
          </w:p>
        </w:tc>
        <w:tc>
          <w:tcPr>
            <w:tcW w:w="4452" w:type="pct"/>
            <w:vAlign w:val="center"/>
          </w:tcPr>
          <w:p w14:paraId="65F21426">
            <w:pPr>
              <w:adjustRightInd w:val="0"/>
              <w:snapToGrid w:val="0"/>
              <w:rPr>
                <w:rFonts w:ascii="宋体" w:hAnsi="宋体"/>
                <w:b w:val="0"/>
                <w:szCs w:val="21"/>
              </w:rPr>
            </w:pPr>
            <w:r>
              <w:rPr>
                <w:rFonts w:ascii="宋体" w:hAnsi="宋体"/>
                <w:b w:val="0"/>
                <w:szCs w:val="21"/>
              </w:rPr>
              <w:t>外观性状：无色透明斜方或三方晶系颗粒或白色粉末</w:t>
            </w:r>
            <w:r>
              <w:rPr>
                <w:rFonts w:hint="eastAsia" w:ascii="宋体" w:hAnsi="宋体"/>
                <w:b w:val="0"/>
                <w:szCs w:val="21"/>
              </w:rPr>
              <w:t xml:space="preserve">     熔    点（℃）：334；</w:t>
            </w:r>
          </w:p>
          <w:p w14:paraId="12FBDC16">
            <w:pPr>
              <w:adjustRightInd w:val="0"/>
              <w:snapToGrid w:val="0"/>
              <w:rPr>
                <w:rFonts w:ascii="宋体" w:hAnsi="宋体"/>
                <w:b w:val="0"/>
                <w:szCs w:val="21"/>
              </w:rPr>
            </w:pPr>
            <w:r>
              <w:rPr>
                <w:rFonts w:hint="eastAsia" w:ascii="宋体" w:hAnsi="宋体"/>
                <w:b w:val="0"/>
                <w:szCs w:val="21"/>
              </w:rPr>
              <w:t>溶 解 性：溶于水、稀乙醇、甘油，不溶于无水乙醇和乙醚。在水中的溶解度随水温上升而剧烈增大。</w:t>
            </w:r>
          </w:p>
          <w:p w14:paraId="6336E925">
            <w:pPr>
              <w:adjustRightInd w:val="0"/>
              <w:snapToGrid w:val="0"/>
              <w:rPr>
                <w:rFonts w:ascii="宋体" w:hAnsi="宋体"/>
                <w:b w:val="0"/>
                <w:szCs w:val="21"/>
              </w:rPr>
            </w:pPr>
            <w:r>
              <w:rPr>
                <w:rFonts w:hint="eastAsia" w:ascii="宋体" w:hAnsi="宋体"/>
                <w:b w:val="0"/>
                <w:szCs w:val="21"/>
              </w:rPr>
              <w:t>禁 忌 物：强还原剂、强酸、易燃或可燃物、活性金属粉末</w:t>
            </w:r>
          </w:p>
        </w:tc>
      </w:tr>
      <w:tr w14:paraId="3EC84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73CC337B">
            <w:pPr>
              <w:jc w:val="center"/>
              <w:rPr>
                <w:rFonts w:ascii="宋体" w:hAnsi="宋体"/>
                <w:b w:val="0"/>
                <w:szCs w:val="21"/>
              </w:rPr>
            </w:pPr>
            <w:r>
              <w:rPr>
                <w:rFonts w:hint="eastAsia" w:ascii="宋体" w:hAnsi="宋体"/>
                <w:b w:val="0"/>
                <w:szCs w:val="21"/>
              </w:rPr>
              <w:t>危险有害特性</w:t>
            </w:r>
          </w:p>
        </w:tc>
        <w:tc>
          <w:tcPr>
            <w:tcW w:w="4452" w:type="pct"/>
          </w:tcPr>
          <w:p w14:paraId="7BDFDEA8">
            <w:pPr>
              <w:adjustRightInd w:val="0"/>
              <w:snapToGrid w:val="0"/>
              <w:rPr>
                <w:rFonts w:ascii="宋体" w:hAnsi="宋体"/>
                <w:b w:val="0"/>
                <w:szCs w:val="21"/>
              </w:rPr>
            </w:pPr>
            <w:r>
              <w:rPr>
                <w:rFonts w:hint="eastAsia" w:ascii="宋体" w:hAnsi="宋体"/>
                <w:b w:val="0"/>
                <w:szCs w:val="21"/>
              </w:rPr>
              <w:t xml:space="preserve">燃烧爆炸性：燃 烧 性：不燃           稳 定 性：稳定   </w:t>
            </w:r>
          </w:p>
          <w:p w14:paraId="566DBF4D">
            <w:pPr>
              <w:adjustRightInd w:val="0"/>
              <w:snapToGrid w:val="0"/>
              <w:rPr>
                <w:rFonts w:ascii="宋体" w:hAnsi="宋体"/>
                <w:b w:val="0"/>
                <w:szCs w:val="21"/>
              </w:rPr>
            </w:pPr>
            <w:r>
              <w:rPr>
                <w:rFonts w:ascii="宋体" w:hAnsi="宋体"/>
                <w:b w:val="0"/>
                <w:szCs w:val="21"/>
              </w:rPr>
              <w:t>在400</w:t>
            </w:r>
            <w:r>
              <w:rPr>
                <w:rFonts w:hint="eastAsia" w:ascii="宋体" w:hAnsi="宋体"/>
                <w:b w:val="0"/>
                <w:szCs w:val="21"/>
              </w:rPr>
              <w:t>℃</w:t>
            </w:r>
            <w:r>
              <w:rPr>
                <w:rFonts w:ascii="宋体" w:hAnsi="宋体"/>
                <w:b w:val="0"/>
                <w:szCs w:val="21"/>
              </w:rPr>
              <w:t>分解并放出氧。在空气中不潮解</w:t>
            </w:r>
            <w:r>
              <w:rPr>
                <w:rFonts w:hint="eastAsia" w:ascii="宋体" w:hAnsi="宋体"/>
                <w:b w:val="0"/>
                <w:szCs w:val="21"/>
              </w:rPr>
              <w:t>。</w:t>
            </w:r>
            <w:r>
              <w:rPr>
                <w:rFonts w:ascii="宋体" w:hAnsi="宋体"/>
                <w:b w:val="0"/>
                <w:szCs w:val="21"/>
              </w:rPr>
              <w:t>本品</w:t>
            </w:r>
            <w:r>
              <w:rPr>
                <w:rFonts w:hint="eastAsia" w:ascii="宋体" w:hAnsi="宋体"/>
                <w:b w:val="0"/>
                <w:szCs w:val="21"/>
              </w:rPr>
              <w:t>为强氧化剂，</w:t>
            </w:r>
            <w:r>
              <w:rPr>
                <w:rFonts w:ascii="宋体" w:hAnsi="宋体"/>
                <w:b w:val="0"/>
                <w:szCs w:val="21"/>
              </w:rPr>
              <w:t>助燃，</w:t>
            </w:r>
            <w:r>
              <w:rPr>
                <w:rFonts w:hint="eastAsia" w:ascii="宋体" w:hAnsi="宋体"/>
                <w:b w:val="0"/>
                <w:szCs w:val="21"/>
              </w:rPr>
              <w:t>遇可燃物着火时，能助长火势。与有机物、还原剂、易燃物如硫、磷等接触或混合时有引起燃烧爆炸的危险。燃烧分解时，放出有毒的氮氧化物。受热分解，放出氧气。</w:t>
            </w:r>
          </w:p>
          <w:p w14:paraId="4B50D8F2">
            <w:pPr>
              <w:adjustRightInd w:val="0"/>
              <w:snapToGrid w:val="0"/>
              <w:rPr>
                <w:rFonts w:ascii="宋体" w:hAnsi="宋体"/>
                <w:b w:val="0"/>
                <w:szCs w:val="21"/>
              </w:rPr>
            </w:pPr>
            <w:r>
              <w:rPr>
                <w:rFonts w:hint="eastAsia" w:ascii="宋体" w:hAnsi="宋体"/>
                <w:b w:val="0"/>
                <w:szCs w:val="21"/>
              </w:rPr>
              <w:t>健康危害：</w:t>
            </w:r>
            <w:r>
              <w:rPr>
                <w:rFonts w:ascii="宋体" w:hAnsi="宋体"/>
                <w:b w:val="0"/>
                <w:szCs w:val="21"/>
              </w:rPr>
              <w:t>具刺激性</w:t>
            </w:r>
            <w:r>
              <w:rPr>
                <w:rFonts w:hint="eastAsia" w:ascii="宋体" w:hAnsi="宋体"/>
                <w:b w:val="0"/>
                <w:szCs w:val="21"/>
              </w:rPr>
              <w:t>，吸入、食入、经皮吸收。吸入本品粉尘对呼吸道有刺激性，高浓度吸入可引起肺水肿。大量接触可引起高铁血红蛋白血症，影响血液携氧能力，出现头痛、头晕、紫绀、恶心、呕吐。重者引起呼吸紊乱、虚脱，甚至死亡。口服引起剧烈腹痛、呕吐、血便、休克、全身抽搐、昏迷，甚至死亡。对皮肤和眼睛有强烈刺激性，甚至造成灼伤。皮肤反复接触引起皮肤干燥、皲裂和皮疹。</w:t>
            </w:r>
          </w:p>
          <w:p w14:paraId="779F8BEF">
            <w:pPr>
              <w:adjustRightInd w:val="0"/>
              <w:snapToGrid w:val="0"/>
              <w:rPr>
                <w:rFonts w:ascii="宋体" w:hAnsi="宋体"/>
                <w:b w:val="0"/>
                <w:szCs w:val="21"/>
              </w:rPr>
            </w:pPr>
            <w:r>
              <w:rPr>
                <w:rFonts w:ascii="宋体" w:hAnsi="宋体"/>
                <w:b w:val="0"/>
                <w:szCs w:val="21"/>
              </w:rPr>
              <w:t>其它有害作用： 该物质对环境可能有危害，在地下水中有蓄积作用。</w:t>
            </w:r>
          </w:p>
        </w:tc>
      </w:tr>
      <w:tr w14:paraId="4266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25A76ECF">
            <w:pPr>
              <w:jc w:val="center"/>
              <w:rPr>
                <w:rFonts w:ascii="宋体" w:hAnsi="宋体"/>
                <w:b w:val="0"/>
                <w:szCs w:val="21"/>
              </w:rPr>
            </w:pPr>
            <w:r>
              <w:rPr>
                <w:rFonts w:hint="eastAsia" w:ascii="宋体" w:hAnsi="宋体"/>
                <w:b w:val="0"/>
                <w:szCs w:val="21"/>
              </w:rPr>
              <w:t>急救</w:t>
            </w:r>
          </w:p>
        </w:tc>
        <w:tc>
          <w:tcPr>
            <w:tcW w:w="4452" w:type="pct"/>
          </w:tcPr>
          <w:p w14:paraId="2352C5AE">
            <w:pPr>
              <w:adjustRightInd w:val="0"/>
              <w:snapToGrid w:val="0"/>
              <w:rPr>
                <w:rFonts w:ascii="宋体" w:hAnsi="宋体"/>
                <w:b w:val="0"/>
                <w:szCs w:val="21"/>
              </w:rPr>
            </w:pPr>
            <w:r>
              <w:rPr>
                <w:rFonts w:ascii="宋体" w:hAnsi="宋体"/>
                <w:b w:val="0"/>
                <w:szCs w:val="21"/>
              </w:rPr>
              <w:t>消防措施：</w:t>
            </w:r>
            <w:r>
              <w:rPr>
                <w:rFonts w:hint="eastAsia" w:ascii="宋体" w:hAnsi="宋体"/>
                <w:b w:val="0"/>
                <w:szCs w:val="21"/>
              </w:rPr>
              <w:t>消防人员须佩戴防毒面具、穿全身消防服。</w:t>
            </w:r>
            <w:r>
              <w:rPr>
                <w:rFonts w:ascii="宋体" w:hAnsi="宋体"/>
                <w:b w:val="0"/>
                <w:szCs w:val="21"/>
              </w:rPr>
              <w:t>在上风向灭火。</w:t>
            </w:r>
            <w:r>
              <w:rPr>
                <w:rFonts w:hint="eastAsia" w:ascii="宋体" w:hAnsi="宋体"/>
                <w:b w:val="0"/>
                <w:szCs w:val="21"/>
              </w:rPr>
              <w:t>用雾状水、砂土灭火。切勿将水流直接射至熔融物，以免引起严重的流淌火灾或引起剧烈的沸溅。</w:t>
            </w:r>
          </w:p>
          <w:p w14:paraId="39766CD1">
            <w:pPr>
              <w:adjustRightInd w:val="0"/>
              <w:snapToGrid w:val="0"/>
              <w:rPr>
                <w:rFonts w:ascii="宋体" w:hAnsi="宋体"/>
                <w:b w:val="0"/>
                <w:szCs w:val="21"/>
              </w:rPr>
            </w:pPr>
            <w:r>
              <w:rPr>
                <w:rFonts w:hint="eastAsia" w:ascii="宋体" w:hAnsi="宋体"/>
                <w:b w:val="0"/>
                <w:szCs w:val="21"/>
              </w:rPr>
              <w:t>皮肤接触：立即脱去被污染的衣着，用大量流动清水冲洗，至少15分钟。就医。</w:t>
            </w:r>
          </w:p>
          <w:p w14:paraId="0F396825">
            <w:pPr>
              <w:adjustRightInd w:val="0"/>
              <w:snapToGrid w:val="0"/>
              <w:rPr>
                <w:rFonts w:ascii="宋体" w:hAnsi="宋体"/>
                <w:b w:val="0"/>
                <w:szCs w:val="21"/>
              </w:rPr>
            </w:pPr>
            <w:r>
              <w:rPr>
                <w:rFonts w:hint="eastAsia" w:ascii="宋体" w:hAnsi="宋体"/>
                <w:b w:val="0"/>
                <w:szCs w:val="21"/>
              </w:rPr>
              <w:t>眼睛接触：立即提起眼睑，用大量流动清水或生理盐水彻底冲洗至少15分钟。就医。</w:t>
            </w:r>
          </w:p>
          <w:p w14:paraId="285CFB3B">
            <w:pPr>
              <w:adjustRightInd w:val="0"/>
              <w:snapToGrid w:val="0"/>
              <w:rPr>
                <w:rFonts w:ascii="宋体" w:hAnsi="宋体"/>
                <w:b w:val="0"/>
                <w:szCs w:val="21"/>
              </w:rPr>
            </w:pPr>
            <w:r>
              <w:rPr>
                <w:rFonts w:hint="eastAsia" w:ascii="宋体" w:hAnsi="宋体"/>
                <w:b w:val="0"/>
                <w:szCs w:val="21"/>
              </w:rPr>
              <w:t>吸    入：迅速脱离现场至空气新鲜处。保持呼吸道通畅。如呼吸困难，给输氧。如呼吸停止，立即进行人工呼吸。就医。</w:t>
            </w:r>
          </w:p>
          <w:p w14:paraId="121ECB39">
            <w:pPr>
              <w:adjustRightInd w:val="0"/>
              <w:snapToGrid w:val="0"/>
              <w:rPr>
                <w:rFonts w:ascii="宋体" w:hAnsi="宋体"/>
                <w:b w:val="0"/>
                <w:szCs w:val="21"/>
              </w:rPr>
            </w:pPr>
            <w:r>
              <w:rPr>
                <w:rFonts w:hint="eastAsia" w:ascii="宋体" w:hAnsi="宋体"/>
                <w:b w:val="0"/>
                <w:szCs w:val="21"/>
              </w:rPr>
              <w:t>食    入：误服者用水漱口，给饮牛奶或蛋清。就医</w:t>
            </w:r>
          </w:p>
        </w:tc>
      </w:tr>
      <w:tr w14:paraId="4CF92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02961690">
            <w:pPr>
              <w:jc w:val="center"/>
              <w:rPr>
                <w:rFonts w:ascii="宋体" w:hAnsi="宋体"/>
                <w:b w:val="0"/>
                <w:szCs w:val="21"/>
              </w:rPr>
            </w:pPr>
            <w:r>
              <w:rPr>
                <w:rFonts w:hint="eastAsia" w:ascii="宋体" w:hAnsi="宋体"/>
                <w:b w:val="0"/>
                <w:szCs w:val="21"/>
              </w:rPr>
              <w:t>防护</w:t>
            </w:r>
          </w:p>
        </w:tc>
        <w:tc>
          <w:tcPr>
            <w:tcW w:w="4452" w:type="pct"/>
          </w:tcPr>
          <w:p w14:paraId="52EC43FD">
            <w:pPr>
              <w:adjustRightInd w:val="0"/>
              <w:snapToGrid w:val="0"/>
              <w:rPr>
                <w:rFonts w:ascii="宋体" w:hAnsi="宋体"/>
                <w:b w:val="0"/>
                <w:szCs w:val="21"/>
              </w:rPr>
            </w:pPr>
            <w:r>
              <w:rPr>
                <w:rFonts w:ascii="宋体" w:hAnsi="宋体"/>
                <w:b w:val="0"/>
                <w:szCs w:val="21"/>
              </w:rPr>
              <w:t>生产过程密闭，加强通风。提供安全淋浴和洗眼设备。可能接触其粉尘时，建议佩戴头罩型电动送风过滤式防尘呼吸器。呼吸系统防护中已作防护。穿聚乙烯防毒服。戴氯丁橡胶手套。工作现场禁止吸烟、进食和饮水。工作完毕，淋浴更衣。保持良好的卫生习惯。</w:t>
            </w:r>
          </w:p>
        </w:tc>
      </w:tr>
      <w:tr w14:paraId="0992D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0DF9A41B">
            <w:pPr>
              <w:jc w:val="center"/>
              <w:rPr>
                <w:rFonts w:ascii="宋体" w:hAnsi="宋体"/>
                <w:b w:val="0"/>
                <w:szCs w:val="21"/>
              </w:rPr>
            </w:pPr>
            <w:r>
              <w:rPr>
                <w:rFonts w:hint="eastAsia" w:ascii="宋体" w:hAnsi="宋体"/>
                <w:b w:val="0"/>
                <w:szCs w:val="21"/>
              </w:rPr>
              <w:t>泄 露</w:t>
            </w:r>
          </w:p>
          <w:p w14:paraId="3D195BFA">
            <w:pPr>
              <w:jc w:val="center"/>
              <w:rPr>
                <w:rFonts w:ascii="宋体" w:hAnsi="宋体"/>
                <w:b w:val="0"/>
                <w:szCs w:val="21"/>
              </w:rPr>
            </w:pPr>
            <w:r>
              <w:rPr>
                <w:rFonts w:ascii="宋体" w:hAnsi="宋体"/>
                <w:b w:val="0"/>
                <w:szCs w:val="21"/>
              </w:rPr>
              <w:t>处</w:t>
            </w:r>
            <w:r>
              <w:rPr>
                <w:rFonts w:hint="eastAsia" w:ascii="宋体" w:hAnsi="宋体"/>
                <w:b w:val="0"/>
                <w:szCs w:val="21"/>
              </w:rPr>
              <w:t xml:space="preserve"> </w:t>
            </w:r>
            <w:r>
              <w:rPr>
                <w:rFonts w:ascii="宋体" w:hAnsi="宋体"/>
                <w:b w:val="0"/>
                <w:szCs w:val="21"/>
              </w:rPr>
              <w:t>理</w:t>
            </w:r>
          </w:p>
        </w:tc>
        <w:tc>
          <w:tcPr>
            <w:tcW w:w="4452" w:type="pct"/>
          </w:tcPr>
          <w:p w14:paraId="10EA5A31">
            <w:pPr>
              <w:adjustRightInd w:val="0"/>
              <w:snapToGrid w:val="0"/>
              <w:rPr>
                <w:rFonts w:ascii="宋体" w:hAnsi="宋体"/>
                <w:b w:val="0"/>
                <w:szCs w:val="21"/>
              </w:rPr>
            </w:pPr>
            <w:r>
              <w:rPr>
                <w:rFonts w:ascii="宋体" w:hAnsi="宋体"/>
                <w:b w:val="0"/>
                <w:szCs w:val="21"/>
              </w:rPr>
              <w:t>隔离泄漏污染区，限制出入。建议应急处理人员戴防尘面具（全面罩），穿防毒服。不要直接接触泄漏物。勿使泄漏物与有机物、还原剂、易燃物接触。小量泄漏：用大量水冲洗，洗水稀释后放入废水系统。大量泄漏：用塑料布、帆布覆盖。然后收集回收或运至废物处理场所处置。</w:t>
            </w:r>
          </w:p>
        </w:tc>
      </w:tr>
      <w:tr w14:paraId="6D4B8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607C3B8C">
            <w:pPr>
              <w:jc w:val="center"/>
              <w:rPr>
                <w:rFonts w:ascii="宋体" w:hAnsi="宋体"/>
                <w:b w:val="0"/>
                <w:szCs w:val="21"/>
              </w:rPr>
            </w:pPr>
            <w:r>
              <w:rPr>
                <w:rFonts w:ascii="宋体" w:hAnsi="宋体"/>
                <w:b w:val="0"/>
                <w:szCs w:val="21"/>
              </w:rPr>
              <w:t>储</w:t>
            </w:r>
            <w:r>
              <w:rPr>
                <w:rFonts w:hint="eastAsia" w:ascii="宋体" w:hAnsi="宋体"/>
                <w:b w:val="0"/>
                <w:szCs w:val="21"/>
              </w:rPr>
              <w:t xml:space="preserve"> </w:t>
            </w:r>
            <w:r>
              <w:rPr>
                <w:rFonts w:ascii="宋体" w:hAnsi="宋体"/>
                <w:b w:val="0"/>
                <w:szCs w:val="21"/>
              </w:rPr>
              <w:t>运</w:t>
            </w:r>
          </w:p>
        </w:tc>
        <w:tc>
          <w:tcPr>
            <w:tcW w:w="4452" w:type="pct"/>
          </w:tcPr>
          <w:p w14:paraId="1905431A">
            <w:pPr>
              <w:adjustRightInd w:val="0"/>
              <w:snapToGrid w:val="0"/>
              <w:rPr>
                <w:rFonts w:ascii="宋体" w:hAnsi="宋体"/>
                <w:b w:val="0"/>
                <w:szCs w:val="21"/>
              </w:rPr>
            </w:pPr>
            <w:r>
              <w:rPr>
                <w:rFonts w:hint="eastAsia" w:ascii="宋体" w:hAnsi="宋体"/>
                <w:b w:val="0"/>
                <w:szCs w:val="21"/>
              </w:rPr>
              <w:t>储存于阴凉、干燥、通风良好的</w:t>
            </w:r>
            <w:r>
              <w:rPr>
                <w:rFonts w:ascii="宋体" w:hAnsi="宋体"/>
                <w:b w:val="0"/>
                <w:szCs w:val="21"/>
              </w:rPr>
              <w:t>库房</w:t>
            </w:r>
            <w:r>
              <w:rPr>
                <w:rFonts w:hint="eastAsia" w:ascii="宋体" w:hAnsi="宋体"/>
                <w:b w:val="0"/>
                <w:szCs w:val="21"/>
              </w:rPr>
              <w:t>。远离火种、热源。</w:t>
            </w:r>
            <w:r>
              <w:rPr>
                <w:rFonts w:ascii="宋体" w:hAnsi="宋体"/>
                <w:b w:val="0"/>
                <w:szCs w:val="21"/>
              </w:rPr>
              <w:t>库温不超过30</w:t>
            </w:r>
            <w:r>
              <w:rPr>
                <w:rFonts w:hint="eastAsia" w:ascii="宋体" w:hAnsi="宋体"/>
                <w:b w:val="0"/>
                <w:szCs w:val="21"/>
              </w:rPr>
              <w:t>℃</w:t>
            </w:r>
            <w:r>
              <w:rPr>
                <w:rFonts w:ascii="宋体" w:hAnsi="宋体"/>
                <w:b w:val="0"/>
                <w:szCs w:val="21"/>
              </w:rPr>
              <w:t>，相对湿度不超过80％。</w:t>
            </w:r>
            <w:r>
              <w:rPr>
                <w:rFonts w:hint="eastAsia" w:ascii="宋体" w:hAnsi="宋体"/>
                <w:b w:val="0"/>
                <w:szCs w:val="21"/>
              </w:rPr>
              <w:t>应与易燃或可燃物、还原剂、</w:t>
            </w:r>
            <w:r>
              <w:rPr>
                <w:rFonts w:ascii="宋体" w:hAnsi="宋体"/>
                <w:b w:val="0"/>
                <w:szCs w:val="21"/>
              </w:rPr>
              <w:t>酸类、活性金属粉末</w:t>
            </w:r>
            <w:r>
              <w:rPr>
                <w:rFonts w:hint="eastAsia" w:ascii="宋体" w:hAnsi="宋体"/>
                <w:b w:val="0"/>
                <w:szCs w:val="21"/>
              </w:rPr>
              <w:t>、硫、磷等分开存放。切忌混储混运。搬运时要轻装轻卸，防止包装及容器损坏。</w:t>
            </w:r>
            <w:r>
              <w:rPr>
                <w:rFonts w:ascii="宋体" w:hAnsi="宋体"/>
                <w:b w:val="0"/>
                <w:szCs w:val="21"/>
              </w:rPr>
              <w:t>储区应备有合适的材料收容泄漏物。</w:t>
            </w:r>
          </w:p>
          <w:p w14:paraId="79EBFCBB">
            <w:pPr>
              <w:adjustRightInd w:val="0"/>
              <w:snapToGrid w:val="0"/>
              <w:rPr>
                <w:rFonts w:ascii="宋体" w:hAnsi="宋体"/>
                <w:b w:val="0"/>
                <w:szCs w:val="21"/>
              </w:rPr>
            </w:pPr>
            <w:r>
              <w:rPr>
                <w:rFonts w:ascii="宋体" w:hAnsi="宋体"/>
                <w:b w:val="0"/>
                <w:szCs w:val="21"/>
              </w:rPr>
              <w:t>运输时单独装运，运输过程中要确保容器不泄漏、不倒塌、不坠落、不损坏。运输时运输车辆应配备相应品种和数量的消防器材。严禁与酸类、易燃物、有机物、还原剂、自燃物品、遇湿易燃物品等并车混运。运输时车速不宜过快，不得强行超车。运输车辆装卸前后，应彻底清扫、洗净，严禁混入有机物、易燃物等杂质。</w:t>
            </w:r>
          </w:p>
        </w:tc>
      </w:tr>
    </w:tbl>
    <w:p w14:paraId="0651E48E">
      <w:pPr>
        <w:spacing w:before="120" w:beforeLines="50" w:line="360" w:lineRule="auto"/>
        <w:outlineLvl w:val="2"/>
        <w:rPr>
          <w:rFonts w:ascii="黑体" w:hAnsi="黑体" w:eastAsia="黑体"/>
          <w:b w:val="0"/>
          <w:sz w:val="30"/>
          <w:szCs w:val="30"/>
        </w:rPr>
      </w:pPr>
      <w:bookmarkStart w:id="218" w:name="_Toc202015904"/>
      <w:bookmarkStart w:id="219" w:name="_Toc188265299"/>
      <w:bookmarkStart w:id="220" w:name="_Toc335902398"/>
      <w:bookmarkStart w:id="221" w:name="_Toc294247646"/>
      <w:bookmarkStart w:id="222" w:name="_Toc271898748"/>
      <w:bookmarkStart w:id="223" w:name="_Toc181194064"/>
      <w:bookmarkStart w:id="224" w:name="_Toc60129100"/>
      <w:bookmarkStart w:id="225" w:name="_Toc294247810"/>
      <w:bookmarkStart w:id="226" w:name="_Toc173077657"/>
      <w:bookmarkStart w:id="227" w:name="_Toc145275191"/>
      <w:bookmarkStart w:id="228" w:name="_Toc58946817"/>
      <w:bookmarkStart w:id="229" w:name="_Toc148036986"/>
      <w:bookmarkStart w:id="230" w:name="_Toc58861985"/>
      <w:r>
        <w:rPr>
          <w:rFonts w:ascii="黑体" w:hAnsi="黑体" w:eastAsia="黑体"/>
          <w:b w:val="0"/>
          <w:sz w:val="30"/>
          <w:szCs w:val="30"/>
        </w:rPr>
        <w:t>3.3.2</w:t>
      </w:r>
      <w:r>
        <w:rPr>
          <w:rFonts w:hint="eastAsia" w:ascii="黑体" w:hAnsi="黑体" w:eastAsia="黑体"/>
          <w:b w:val="0"/>
          <w:sz w:val="30"/>
          <w:szCs w:val="30"/>
        </w:rPr>
        <w:t>还原剂</w:t>
      </w:r>
      <w:bookmarkEnd w:id="218"/>
      <w:bookmarkEnd w:id="219"/>
      <w:r>
        <w:rPr>
          <w:rFonts w:hint="eastAsia" w:ascii="黑体" w:hAnsi="黑体" w:eastAsia="黑体"/>
          <w:b w:val="0"/>
          <w:sz w:val="30"/>
          <w:szCs w:val="30"/>
        </w:rPr>
        <w:t>（可燃物）</w:t>
      </w:r>
      <w:bookmarkEnd w:id="220"/>
      <w:bookmarkEnd w:id="221"/>
      <w:bookmarkEnd w:id="222"/>
      <w:bookmarkEnd w:id="223"/>
      <w:bookmarkEnd w:id="224"/>
      <w:bookmarkEnd w:id="225"/>
      <w:bookmarkEnd w:id="226"/>
      <w:bookmarkEnd w:id="227"/>
      <w:bookmarkEnd w:id="228"/>
      <w:bookmarkEnd w:id="229"/>
      <w:bookmarkEnd w:id="230"/>
    </w:p>
    <w:p w14:paraId="0EB9BDD5">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还原剂是黑火药的能源组分，燃烧热的大小影响黑火药的性能，也影响事故危害的轻重程度。还原剂运输、储存、使用中最重要的危险、有害因素是粉尘燃烧爆炸。仓库通风和在库外使用是最重要的两条安全措施。当然分库存储，严禁违反规定混存，包装严密，码堆合理等也是必须遵守的。该企业使用的各还原剂的特性表如下表3.3-</w:t>
      </w:r>
      <w:r>
        <w:rPr>
          <w:rFonts w:ascii="宋体" w:hAnsi="宋体"/>
          <w:b w:val="0"/>
          <w:snapToGrid w:val="0"/>
          <w:sz w:val="28"/>
          <w:szCs w:val="28"/>
        </w:rPr>
        <w:t>3</w:t>
      </w:r>
      <w:r>
        <w:rPr>
          <w:rFonts w:hint="eastAsia" w:ascii="宋体" w:hAnsi="宋体"/>
          <w:b w:val="0"/>
          <w:snapToGrid w:val="0"/>
          <w:sz w:val="28"/>
          <w:szCs w:val="28"/>
        </w:rPr>
        <w:t>，其物性参数及应对措施分述如下文。</w:t>
      </w:r>
    </w:p>
    <w:p w14:paraId="0313AD9D">
      <w:pPr>
        <w:rPr>
          <w:rFonts w:hint="eastAsia" w:ascii="黑体" w:hAnsi="宋体" w:eastAsia="黑体"/>
          <w:b w:val="0"/>
          <w:sz w:val="24"/>
        </w:rPr>
      </w:pPr>
      <w:r>
        <w:rPr>
          <w:rFonts w:hint="eastAsia" w:ascii="黑体" w:hAnsi="宋体" w:eastAsia="黑体"/>
          <w:b w:val="0"/>
          <w:sz w:val="24"/>
        </w:rPr>
        <w:br w:type="page"/>
      </w:r>
    </w:p>
    <w:p w14:paraId="06B4483C">
      <w:pPr>
        <w:jc w:val="center"/>
        <w:rPr>
          <w:rFonts w:ascii="黑体" w:hAnsi="宋体" w:eastAsia="黑体"/>
          <w:b w:val="0"/>
          <w:sz w:val="24"/>
        </w:rPr>
      </w:pPr>
      <w:r>
        <w:rPr>
          <w:rFonts w:hint="eastAsia" w:ascii="黑体" w:hAnsi="宋体" w:eastAsia="黑体"/>
          <w:b w:val="0"/>
          <w:sz w:val="24"/>
        </w:rPr>
        <w:t>表3.3-</w:t>
      </w:r>
      <w:r>
        <w:rPr>
          <w:rFonts w:ascii="黑体" w:hAnsi="宋体" w:eastAsia="黑体"/>
          <w:b w:val="0"/>
          <w:sz w:val="24"/>
        </w:rPr>
        <w:t xml:space="preserve">3 </w:t>
      </w:r>
      <w:r>
        <w:rPr>
          <w:rFonts w:hint="eastAsia" w:ascii="黑体" w:hAnsi="宋体" w:eastAsia="黑体"/>
          <w:b w:val="0"/>
          <w:sz w:val="24"/>
        </w:rPr>
        <w:t xml:space="preserve"> 还原剂特性表</w:t>
      </w:r>
    </w:p>
    <w:tbl>
      <w:tblPr>
        <w:tblStyle w:val="88"/>
        <w:tblW w:w="5254" w:type="pct"/>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005"/>
        <w:gridCol w:w="980"/>
        <w:gridCol w:w="1275"/>
        <w:gridCol w:w="956"/>
        <w:gridCol w:w="773"/>
        <w:gridCol w:w="4197"/>
      </w:tblGrid>
      <w:tr w14:paraId="6FC37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94" w:type="pct"/>
            <w:tcBorders>
              <w:top w:val="single" w:color="auto" w:sz="12" w:space="0"/>
            </w:tcBorders>
            <w:vAlign w:val="center"/>
          </w:tcPr>
          <w:p w14:paraId="4D43CD95">
            <w:pPr>
              <w:spacing w:line="240" w:lineRule="exact"/>
              <w:jc w:val="center"/>
              <w:rPr>
                <w:rFonts w:ascii="宋体" w:hAnsi="宋体"/>
                <w:bCs/>
                <w:szCs w:val="21"/>
              </w:rPr>
            </w:pPr>
            <w:bookmarkStart w:id="231" w:name="_Toc202015905"/>
            <w:bookmarkStart w:id="232" w:name="_Toc188265300"/>
            <w:r>
              <w:rPr>
                <w:rFonts w:hint="eastAsia" w:ascii="宋体" w:hAnsi="宋体"/>
                <w:bCs/>
                <w:szCs w:val="21"/>
              </w:rPr>
              <w:t>序号</w:t>
            </w:r>
          </w:p>
        </w:tc>
        <w:tc>
          <w:tcPr>
            <w:tcW w:w="515" w:type="pct"/>
            <w:tcBorders>
              <w:top w:val="single" w:color="auto" w:sz="12" w:space="0"/>
            </w:tcBorders>
            <w:vAlign w:val="center"/>
          </w:tcPr>
          <w:p w14:paraId="3D32B847">
            <w:pPr>
              <w:spacing w:line="240" w:lineRule="exact"/>
              <w:jc w:val="center"/>
              <w:rPr>
                <w:rFonts w:ascii="宋体" w:hAnsi="宋体"/>
                <w:bCs/>
                <w:szCs w:val="21"/>
              </w:rPr>
            </w:pPr>
            <w:r>
              <w:rPr>
                <w:rFonts w:hint="eastAsia" w:ascii="宋体" w:hAnsi="宋体"/>
                <w:bCs/>
                <w:szCs w:val="21"/>
              </w:rPr>
              <w:t>物质</w:t>
            </w:r>
          </w:p>
          <w:p w14:paraId="5DD44BE4">
            <w:pPr>
              <w:spacing w:line="240" w:lineRule="exact"/>
              <w:jc w:val="center"/>
              <w:rPr>
                <w:rFonts w:ascii="宋体" w:hAnsi="宋体"/>
                <w:bCs/>
                <w:szCs w:val="21"/>
              </w:rPr>
            </w:pPr>
            <w:r>
              <w:rPr>
                <w:rFonts w:hint="eastAsia" w:ascii="宋体" w:hAnsi="宋体"/>
                <w:bCs/>
                <w:szCs w:val="21"/>
              </w:rPr>
              <w:t>名称</w:t>
            </w:r>
          </w:p>
        </w:tc>
        <w:tc>
          <w:tcPr>
            <w:tcW w:w="502" w:type="pct"/>
            <w:tcBorders>
              <w:top w:val="single" w:color="auto" w:sz="12" w:space="0"/>
            </w:tcBorders>
            <w:vAlign w:val="center"/>
          </w:tcPr>
          <w:p w14:paraId="34704A56">
            <w:pPr>
              <w:spacing w:line="240" w:lineRule="exact"/>
              <w:jc w:val="center"/>
              <w:rPr>
                <w:rFonts w:ascii="宋体" w:hAnsi="宋体"/>
                <w:bCs/>
                <w:szCs w:val="21"/>
              </w:rPr>
            </w:pPr>
            <w:r>
              <w:rPr>
                <w:rFonts w:hint="eastAsia" w:ascii="宋体" w:hAnsi="宋体"/>
                <w:bCs/>
                <w:kern w:val="0"/>
                <w:szCs w:val="21"/>
              </w:rPr>
              <w:t>危险化学品目录序号</w:t>
            </w:r>
          </w:p>
        </w:tc>
        <w:tc>
          <w:tcPr>
            <w:tcW w:w="653" w:type="pct"/>
            <w:tcBorders>
              <w:top w:val="single" w:color="auto" w:sz="12" w:space="0"/>
            </w:tcBorders>
            <w:vAlign w:val="center"/>
          </w:tcPr>
          <w:p w14:paraId="52E09D48">
            <w:pPr>
              <w:spacing w:line="240" w:lineRule="exact"/>
              <w:jc w:val="center"/>
              <w:rPr>
                <w:rFonts w:ascii="宋体" w:hAnsi="宋体"/>
                <w:bCs/>
                <w:szCs w:val="21"/>
              </w:rPr>
            </w:pPr>
            <w:r>
              <w:rPr>
                <w:rFonts w:ascii="宋体" w:hAnsi="宋体"/>
                <w:bCs/>
                <w:szCs w:val="21"/>
              </w:rPr>
              <w:t>CAS</w:t>
            </w:r>
            <w:r>
              <w:rPr>
                <w:rFonts w:hint="eastAsia" w:ascii="宋体" w:hAnsi="宋体"/>
                <w:bCs/>
                <w:szCs w:val="21"/>
              </w:rPr>
              <w:t>号</w:t>
            </w:r>
          </w:p>
        </w:tc>
        <w:tc>
          <w:tcPr>
            <w:tcW w:w="490" w:type="pct"/>
            <w:tcBorders>
              <w:top w:val="single" w:color="auto" w:sz="12" w:space="0"/>
            </w:tcBorders>
            <w:vAlign w:val="center"/>
          </w:tcPr>
          <w:p w14:paraId="0DFEBD68">
            <w:pPr>
              <w:spacing w:line="240" w:lineRule="exact"/>
              <w:jc w:val="center"/>
              <w:rPr>
                <w:rFonts w:ascii="宋体" w:hAnsi="宋体"/>
                <w:bCs/>
                <w:szCs w:val="21"/>
              </w:rPr>
            </w:pPr>
            <w:r>
              <w:rPr>
                <w:rFonts w:hint="eastAsia" w:ascii="宋体" w:hAnsi="宋体"/>
                <w:bCs/>
                <w:szCs w:val="21"/>
              </w:rPr>
              <w:t>闪点</w:t>
            </w:r>
          </w:p>
        </w:tc>
        <w:tc>
          <w:tcPr>
            <w:tcW w:w="396" w:type="pct"/>
            <w:tcBorders>
              <w:top w:val="single" w:color="auto" w:sz="12" w:space="0"/>
            </w:tcBorders>
            <w:vAlign w:val="center"/>
          </w:tcPr>
          <w:p w14:paraId="00B507FE">
            <w:pPr>
              <w:spacing w:line="240" w:lineRule="exact"/>
              <w:jc w:val="center"/>
              <w:rPr>
                <w:rFonts w:ascii="宋体" w:hAnsi="宋体"/>
                <w:bCs/>
                <w:szCs w:val="21"/>
              </w:rPr>
            </w:pPr>
            <w:r>
              <w:rPr>
                <w:rFonts w:hint="eastAsia" w:ascii="宋体" w:hAnsi="宋体"/>
                <w:bCs/>
                <w:szCs w:val="21"/>
              </w:rPr>
              <w:t>火险等级</w:t>
            </w:r>
          </w:p>
        </w:tc>
        <w:tc>
          <w:tcPr>
            <w:tcW w:w="2150" w:type="pct"/>
            <w:tcBorders>
              <w:top w:val="single" w:color="auto" w:sz="12" w:space="0"/>
            </w:tcBorders>
            <w:vAlign w:val="center"/>
          </w:tcPr>
          <w:p w14:paraId="3C003A25">
            <w:pPr>
              <w:spacing w:line="240" w:lineRule="exact"/>
              <w:jc w:val="center"/>
              <w:rPr>
                <w:rFonts w:ascii="宋体" w:hAnsi="宋体"/>
                <w:bCs/>
                <w:szCs w:val="21"/>
              </w:rPr>
            </w:pPr>
            <w:r>
              <w:rPr>
                <w:rFonts w:hint="eastAsia" w:ascii="宋体" w:hAnsi="宋体"/>
                <w:bCs/>
                <w:kern w:val="0"/>
                <w:szCs w:val="21"/>
              </w:rPr>
              <w:t>主要危害特性</w:t>
            </w:r>
          </w:p>
        </w:tc>
      </w:tr>
      <w:tr w14:paraId="2DA01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4" w:type="pct"/>
            <w:vAlign w:val="center"/>
          </w:tcPr>
          <w:p w14:paraId="37D26D28">
            <w:pPr>
              <w:spacing w:line="240" w:lineRule="exact"/>
              <w:jc w:val="center"/>
              <w:rPr>
                <w:rFonts w:ascii="宋体" w:hAnsi="宋体"/>
                <w:b w:val="0"/>
                <w:szCs w:val="21"/>
              </w:rPr>
            </w:pPr>
            <w:r>
              <w:rPr>
                <w:rFonts w:ascii="宋体" w:hAnsi="宋体"/>
                <w:b w:val="0"/>
                <w:szCs w:val="21"/>
              </w:rPr>
              <w:t>1</w:t>
            </w:r>
          </w:p>
        </w:tc>
        <w:tc>
          <w:tcPr>
            <w:tcW w:w="515" w:type="pct"/>
            <w:vAlign w:val="center"/>
          </w:tcPr>
          <w:p w14:paraId="1EB269E1">
            <w:pPr>
              <w:spacing w:line="240" w:lineRule="exact"/>
              <w:jc w:val="center"/>
              <w:rPr>
                <w:rFonts w:ascii="宋体" w:hAnsi="宋体"/>
                <w:b w:val="0"/>
                <w:szCs w:val="21"/>
              </w:rPr>
            </w:pPr>
            <w:r>
              <w:rPr>
                <w:rFonts w:hint="eastAsia" w:ascii="宋体" w:hAnsi="宋体"/>
                <w:b w:val="0"/>
                <w:szCs w:val="21"/>
              </w:rPr>
              <w:t>硫磺</w:t>
            </w:r>
          </w:p>
        </w:tc>
        <w:tc>
          <w:tcPr>
            <w:tcW w:w="502" w:type="pct"/>
            <w:vAlign w:val="center"/>
          </w:tcPr>
          <w:p w14:paraId="3D94A81E">
            <w:pPr>
              <w:spacing w:line="240" w:lineRule="exact"/>
              <w:jc w:val="center"/>
              <w:rPr>
                <w:rFonts w:ascii="宋体" w:hAnsi="宋体"/>
                <w:b w:val="0"/>
                <w:szCs w:val="21"/>
              </w:rPr>
            </w:pPr>
            <w:r>
              <w:rPr>
                <w:rFonts w:ascii="宋体" w:hAnsi="宋体"/>
                <w:b w:val="0"/>
                <w:szCs w:val="21"/>
              </w:rPr>
              <w:t>803</w:t>
            </w:r>
          </w:p>
        </w:tc>
        <w:tc>
          <w:tcPr>
            <w:tcW w:w="653" w:type="pct"/>
            <w:vAlign w:val="center"/>
          </w:tcPr>
          <w:p w14:paraId="0B025667">
            <w:pPr>
              <w:spacing w:line="240" w:lineRule="exact"/>
              <w:jc w:val="center"/>
              <w:rPr>
                <w:rFonts w:ascii="宋体" w:hAnsi="宋体"/>
                <w:b w:val="0"/>
                <w:szCs w:val="21"/>
              </w:rPr>
            </w:pPr>
            <w:r>
              <w:rPr>
                <w:rFonts w:ascii="宋体" w:hAnsi="宋体"/>
                <w:b w:val="0"/>
                <w:szCs w:val="21"/>
              </w:rPr>
              <w:t>7704-34-9</w:t>
            </w:r>
          </w:p>
        </w:tc>
        <w:tc>
          <w:tcPr>
            <w:tcW w:w="490" w:type="pct"/>
            <w:vAlign w:val="center"/>
          </w:tcPr>
          <w:p w14:paraId="73B9562D">
            <w:pPr>
              <w:spacing w:line="240" w:lineRule="exact"/>
              <w:jc w:val="center"/>
              <w:rPr>
                <w:rFonts w:ascii="宋体" w:hAnsi="宋体"/>
                <w:b w:val="0"/>
                <w:szCs w:val="21"/>
              </w:rPr>
            </w:pPr>
            <w:r>
              <w:rPr>
                <w:rFonts w:ascii="宋体" w:hAnsi="宋体"/>
                <w:b w:val="0"/>
                <w:szCs w:val="21"/>
              </w:rPr>
              <w:t>207.2</w:t>
            </w:r>
            <w:r>
              <w:rPr>
                <w:rFonts w:ascii="宋体" w:hAnsi="宋体"/>
                <w:b w:val="0"/>
                <w:szCs w:val="21"/>
                <w:vertAlign w:val="superscript"/>
              </w:rPr>
              <w:t>0</w:t>
            </w:r>
            <w:r>
              <w:rPr>
                <w:rFonts w:ascii="宋体" w:hAnsi="宋体"/>
                <w:b w:val="0"/>
                <w:szCs w:val="21"/>
              </w:rPr>
              <w:t>(</w:t>
            </w:r>
            <w:r>
              <w:rPr>
                <w:rFonts w:hint="eastAsia" w:ascii="宋体" w:hAnsi="宋体"/>
                <w:b w:val="0"/>
                <w:szCs w:val="21"/>
              </w:rPr>
              <w:t>闭式</w:t>
            </w:r>
            <w:r>
              <w:rPr>
                <w:rFonts w:ascii="宋体" w:hAnsi="宋体"/>
                <w:b w:val="0"/>
                <w:szCs w:val="21"/>
              </w:rPr>
              <w:t>)</w:t>
            </w:r>
          </w:p>
        </w:tc>
        <w:tc>
          <w:tcPr>
            <w:tcW w:w="396" w:type="pct"/>
            <w:vAlign w:val="center"/>
          </w:tcPr>
          <w:p w14:paraId="282BF55C">
            <w:pPr>
              <w:spacing w:line="240" w:lineRule="exact"/>
              <w:jc w:val="center"/>
              <w:rPr>
                <w:rFonts w:ascii="宋体" w:hAnsi="宋体"/>
                <w:b w:val="0"/>
                <w:szCs w:val="21"/>
              </w:rPr>
            </w:pPr>
            <w:r>
              <w:rPr>
                <w:rFonts w:hint="eastAsia" w:ascii="宋体" w:hAnsi="宋体"/>
                <w:b w:val="0"/>
                <w:szCs w:val="21"/>
              </w:rPr>
              <w:t>乙类</w:t>
            </w:r>
          </w:p>
        </w:tc>
        <w:tc>
          <w:tcPr>
            <w:tcW w:w="2150" w:type="pct"/>
            <w:vAlign w:val="center"/>
          </w:tcPr>
          <w:p w14:paraId="39708B63">
            <w:pPr>
              <w:spacing w:line="240" w:lineRule="exact"/>
              <w:rPr>
                <w:rFonts w:ascii="宋体" w:hAnsi="宋体"/>
                <w:b w:val="0"/>
                <w:szCs w:val="21"/>
              </w:rPr>
            </w:pPr>
            <w:r>
              <w:rPr>
                <w:rFonts w:hint="eastAsia" w:ascii="宋体" w:hAnsi="宋体"/>
                <w:b w:val="0"/>
                <w:szCs w:val="21"/>
              </w:rPr>
              <w:t>与氯酸钾的混合物为敏感度很高的爆炸性物质，稍经撞击、摩擦就会爆炸。本品为热和电的不良导体，在使用、储运过程中易产生静电荷，可导致硫尘起火。</w:t>
            </w:r>
          </w:p>
        </w:tc>
      </w:tr>
      <w:tr w14:paraId="46BA2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4" w:type="pct"/>
            <w:tcBorders>
              <w:bottom w:val="single" w:color="auto" w:sz="12" w:space="0"/>
            </w:tcBorders>
            <w:vAlign w:val="center"/>
          </w:tcPr>
          <w:p w14:paraId="7236A8C7">
            <w:pPr>
              <w:spacing w:line="240" w:lineRule="exact"/>
              <w:jc w:val="center"/>
              <w:rPr>
                <w:rFonts w:ascii="宋体" w:hAnsi="宋体"/>
                <w:b w:val="0"/>
                <w:szCs w:val="21"/>
              </w:rPr>
            </w:pPr>
            <w:r>
              <w:rPr>
                <w:rFonts w:ascii="宋体" w:hAnsi="宋体"/>
                <w:b w:val="0"/>
                <w:szCs w:val="21"/>
              </w:rPr>
              <w:t>2</w:t>
            </w:r>
          </w:p>
        </w:tc>
        <w:tc>
          <w:tcPr>
            <w:tcW w:w="515" w:type="pct"/>
            <w:tcBorders>
              <w:bottom w:val="single" w:color="auto" w:sz="12" w:space="0"/>
            </w:tcBorders>
            <w:vAlign w:val="center"/>
          </w:tcPr>
          <w:p w14:paraId="35F5C597">
            <w:pPr>
              <w:spacing w:line="240" w:lineRule="exact"/>
              <w:jc w:val="center"/>
              <w:rPr>
                <w:rFonts w:ascii="宋体" w:hAnsi="宋体"/>
                <w:b w:val="0"/>
                <w:szCs w:val="21"/>
              </w:rPr>
            </w:pPr>
            <w:r>
              <w:rPr>
                <w:rFonts w:hint="eastAsia" w:ascii="宋体" w:hAnsi="宋体"/>
                <w:b w:val="0"/>
                <w:szCs w:val="21"/>
              </w:rPr>
              <w:t>木炭</w:t>
            </w:r>
          </w:p>
        </w:tc>
        <w:tc>
          <w:tcPr>
            <w:tcW w:w="502" w:type="pct"/>
            <w:tcBorders>
              <w:bottom w:val="single" w:color="auto" w:sz="12" w:space="0"/>
            </w:tcBorders>
            <w:vAlign w:val="center"/>
          </w:tcPr>
          <w:p w14:paraId="30AA0FE4">
            <w:pPr>
              <w:spacing w:line="240" w:lineRule="exact"/>
              <w:jc w:val="center"/>
              <w:rPr>
                <w:rFonts w:ascii="宋体" w:hAnsi="宋体"/>
                <w:b w:val="0"/>
                <w:szCs w:val="21"/>
              </w:rPr>
            </w:pPr>
            <w:r>
              <w:rPr>
                <w:rFonts w:ascii="宋体" w:hAnsi="宋体"/>
                <w:b w:val="0"/>
                <w:szCs w:val="21"/>
              </w:rPr>
              <w:t>--</w:t>
            </w:r>
          </w:p>
        </w:tc>
        <w:tc>
          <w:tcPr>
            <w:tcW w:w="653" w:type="pct"/>
            <w:tcBorders>
              <w:bottom w:val="single" w:color="auto" w:sz="12" w:space="0"/>
            </w:tcBorders>
            <w:vAlign w:val="center"/>
          </w:tcPr>
          <w:p w14:paraId="07307619">
            <w:pPr>
              <w:spacing w:line="240" w:lineRule="exact"/>
              <w:jc w:val="center"/>
              <w:rPr>
                <w:rFonts w:ascii="宋体" w:hAnsi="宋体"/>
                <w:b w:val="0"/>
                <w:szCs w:val="21"/>
              </w:rPr>
            </w:pPr>
            <w:r>
              <w:rPr>
                <w:rFonts w:ascii="宋体" w:hAnsi="宋体"/>
                <w:b w:val="0"/>
                <w:szCs w:val="21"/>
              </w:rPr>
              <w:t>--</w:t>
            </w:r>
          </w:p>
        </w:tc>
        <w:tc>
          <w:tcPr>
            <w:tcW w:w="490" w:type="pct"/>
            <w:tcBorders>
              <w:bottom w:val="single" w:color="auto" w:sz="12" w:space="0"/>
            </w:tcBorders>
            <w:vAlign w:val="center"/>
          </w:tcPr>
          <w:p w14:paraId="692F4F82">
            <w:pPr>
              <w:spacing w:line="240" w:lineRule="exact"/>
              <w:jc w:val="center"/>
              <w:rPr>
                <w:rFonts w:ascii="宋体" w:hAnsi="宋体"/>
                <w:b w:val="0"/>
                <w:szCs w:val="21"/>
              </w:rPr>
            </w:pPr>
            <w:r>
              <w:rPr>
                <w:rFonts w:hint="eastAsia" w:ascii="宋体" w:hAnsi="宋体"/>
                <w:b w:val="0"/>
                <w:szCs w:val="21"/>
              </w:rPr>
              <w:t>无意义</w:t>
            </w:r>
          </w:p>
        </w:tc>
        <w:tc>
          <w:tcPr>
            <w:tcW w:w="396" w:type="pct"/>
            <w:tcBorders>
              <w:bottom w:val="single" w:color="auto" w:sz="12" w:space="0"/>
            </w:tcBorders>
            <w:vAlign w:val="center"/>
          </w:tcPr>
          <w:p w14:paraId="570A116E">
            <w:pPr>
              <w:spacing w:line="240" w:lineRule="exact"/>
              <w:jc w:val="center"/>
              <w:rPr>
                <w:rFonts w:ascii="宋体" w:hAnsi="宋体"/>
                <w:b w:val="0"/>
                <w:szCs w:val="21"/>
              </w:rPr>
            </w:pPr>
            <w:r>
              <w:rPr>
                <w:rFonts w:ascii="宋体" w:hAnsi="宋体"/>
                <w:b w:val="0"/>
                <w:szCs w:val="21"/>
              </w:rPr>
              <w:t>--</w:t>
            </w:r>
          </w:p>
        </w:tc>
        <w:tc>
          <w:tcPr>
            <w:tcW w:w="2150" w:type="pct"/>
            <w:tcBorders>
              <w:bottom w:val="single" w:color="auto" w:sz="12" w:space="0"/>
            </w:tcBorders>
            <w:vAlign w:val="center"/>
          </w:tcPr>
          <w:p w14:paraId="384B95AF">
            <w:pPr>
              <w:spacing w:line="240" w:lineRule="exact"/>
              <w:rPr>
                <w:rFonts w:ascii="宋体" w:hAnsi="宋体"/>
                <w:b w:val="0"/>
                <w:szCs w:val="21"/>
              </w:rPr>
            </w:pPr>
            <w:r>
              <w:rPr>
                <w:rFonts w:hint="eastAsia" w:ascii="宋体" w:hAnsi="宋体"/>
                <w:b w:val="0"/>
                <w:szCs w:val="21"/>
              </w:rPr>
              <w:t>本品为可燃剂，常温下化学性质稳定，高温时化学活泼性高。粉尘接触明火有轻度的爆炸性。在空气中易缓慢地发热和自燃。有时从原料中夹杂无机物，对皮肤、粘膜及呼吸道有一定的刺激。</w:t>
            </w:r>
          </w:p>
        </w:tc>
      </w:tr>
    </w:tbl>
    <w:p w14:paraId="6DF2D547">
      <w:pPr>
        <w:spacing w:before="120" w:beforeLines="50" w:line="360" w:lineRule="auto"/>
        <w:ind w:firstLine="562" w:firstLineChars="200"/>
        <w:rPr>
          <w:rFonts w:ascii="宋体" w:hAnsi="宋体"/>
          <w:snapToGrid w:val="0"/>
          <w:sz w:val="28"/>
          <w:szCs w:val="28"/>
        </w:rPr>
      </w:pPr>
      <w:r>
        <w:rPr>
          <w:rFonts w:hint="eastAsia" w:ascii="宋体" w:hAnsi="宋体"/>
          <w:snapToGrid w:val="0"/>
          <w:sz w:val="28"/>
          <w:szCs w:val="28"/>
        </w:rPr>
        <w:t>1）硫磺</w:t>
      </w:r>
      <w:bookmarkEnd w:id="231"/>
      <w:bookmarkEnd w:id="232"/>
    </w:p>
    <w:p w14:paraId="17ECE4B4">
      <w:pPr>
        <w:spacing w:line="360" w:lineRule="auto"/>
        <w:ind w:firstLine="560" w:firstLineChars="200"/>
        <w:rPr>
          <w:rFonts w:ascii="黑体" w:hAnsi="宋体" w:eastAsia="黑体"/>
          <w:b w:val="0"/>
          <w:sz w:val="24"/>
        </w:rPr>
      </w:pPr>
      <w:r>
        <w:rPr>
          <w:rFonts w:hint="eastAsia" w:ascii="宋体" w:hAnsi="宋体"/>
          <w:b w:val="0"/>
          <w:snapToGrid w:val="0"/>
          <w:sz w:val="28"/>
          <w:szCs w:val="28"/>
        </w:rPr>
        <w:t>硫磺是活泼元素，属易燃、自燃物品，物性参数及对其危险的应对措施列于表3.3-</w:t>
      </w:r>
      <w:r>
        <w:rPr>
          <w:rFonts w:ascii="宋体" w:hAnsi="宋体"/>
          <w:b w:val="0"/>
          <w:snapToGrid w:val="0"/>
          <w:sz w:val="28"/>
          <w:szCs w:val="28"/>
        </w:rPr>
        <w:t>4</w:t>
      </w:r>
      <w:r>
        <w:rPr>
          <w:rFonts w:hint="eastAsia" w:ascii="宋体" w:hAnsi="宋体"/>
          <w:b w:val="0"/>
          <w:snapToGrid w:val="0"/>
          <w:sz w:val="28"/>
          <w:szCs w:val="28"/>
        </w:rPr>
        <w:t>。</w:t>
      </w:r>
    </w:p>
    <w:p w14:paraId="760E940C">
      <w:pPr>
        <w:jc w:val="center"/>
        <w:rPr>
          <w:rFonts w:ascii="黑体" w:hAnsi="宋体" w:eastAsia="黑体"/>
          <w:b w:val="0"/>
          <w:sz w:val="24"/>
        </w:rPr>
      </w:pPr>
      <w:r>
        <w:rPr>
          <w:rFonts w:hint="eastAsia" w:ascii="黑体" w:hAnsi="宋体" w:eastAsia="黑体"/>
          <w:b w:val="0"/>
          <w:sz w:val="24"/>
        </w:rPr>
        <w:t>表3.3-</w:t>
      </w:r>
      <w:r>
        <w:rPr>
          <w:rFonts w:ascii="黑体" w:hAnsi="宋体" w:eastAsia="黑体"/>
          <w:b w:val="0"/>
          <w:sz w:val="24"/>
        </w:rPr>
        <w:t>4</w:t>
      </w:r>
      <w:r>
        <w:rPr>
          <w:rFonts w:hint="eastAsia" w:ascii="黑体" w:hAnsi="宋体" w:eastAsia="黑体"/>
          <w:b w:val="0"/>
          <w:sz w:val="24"/>
        </w:rPr>
        <w:t xml:space="preserve"> 硫磺的物性参数及对危险的应对措施</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8270"/>
      </w:tblGrid>
      <w:tr w14:paraId="31319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28527537">
            <w:pPr>
              <w:adjustRightInd w:val="0"/>
              <w:snapToGrid w:val="0"/>
              <w:spacing w:line="240" w:lineRule="exact"/>
              <w:jc w:val="center"/>
              <w:rPr>
                <w:rFonts w:ascii="宋体" w:hAnsi="宋体"/>
                <w:b w:val="0"/>
                <w:bCs/>
                <w:szCs w:val="21"/>
              </w:rPr>
            </w:pPr>
            <w:r>
              <w:rPr>
                <w:rFonts w:hint="eastAsia" w:ascii="宋体" w:hAnsi="宋体"/>
                <w:b w:val="0"/>
                <w:bCs/>
                <w:szCs w:val="21"/>
              </w:rPr>
              <w:t>标 识</w:t>
            </w:r>
          </w:p>
        </w:tc>
        <w:tc>
          <w:tcPr>
            <w:tcW w:w="4452" w:type="pct"/>
          </w:tcPr>
          <w:p w14:paraId="7E678556">
            <w:pPr>
              <w:adjustRightInd w:val="0"/>
              <w:snapToGrid w:val="0"/>
              <w:spacing w:line="240" w:lineRule="exact"/>
              <w:rPr>
                <w:rFonts w:ascii="宋体" w:hAnsi="宋体"/>
                <w:b w:val="0"/>
                <w:szCs w:val="21"/>
              </w:rPr>
            </w:pPr>
            <w:r>
              <w:rPr>
                <w:rFonts w:hint="eastAsia" w:ascii="宋体" w:hAnsi="宋体"/>
                <w:b w:val="0"/>
                <w:szCs w:val="21"/>
              </w:rPr>
              <w:t>中文名称：硫磺,硫磺块,硫磺粉                  英文名：Sulfur</w:t>
            </w:r>
          </w:p>
          <w:p w14:paraId="64732395">
            <w:pPr>
              <w:adjustRightInd w:val="0"/>
              <w:snapToGrid w:val="0"/>
              <w:spacing w:line="240" w:lineRule="exact"/>
              <w:rPr>
                <w:rFonts w:ascii="宋体" w:hAnsi="宋体"/>
                <w:b w:val="0"/>
                <w:szCs w:val="21"/>
              </w:rPr>
            </w:pPr>
            <w:r>
              <w:rPr>
                <w:rFonts w:hint="eastAsia" w:ascii="宋体" w:hAnsi="宋体"/>
                <w:b w:val="0"/>
                <w:szCs w:val="21"/>
              </w:rPr>
              <w:t xml:space="preserve">分 子 式：S；                                 分子量：32.06；    </w:t>
            </w:r>
          </w:p>
          <w:p w14:paraId="30290856">
            <w:pPr>
              <w:adjustRightInd w:val="0"/>
              <w:snapToGrid w:val="0"/>
              <w:spacing w:line="240" w:lineRule="exact"/>
              <w:rPr>
                <w:rFonts w:ascii="宋体" w:hAnsi="宋体"/>
                <w:b w:val="0"/>
                <w:szCs w:val="21"/>
              </w:rPr>
            </w:pPr>
            <w:r>
              <w:rPr>
                <w:rFonts w:hint="eastAsia" w:ascii="宋体" w:hAnsi="宋体"/>
                <w:b w:val="0"/>
                <w:szCs w:val="21"/>
              </w:rPr>
              <w:t>危险化学品目录：1290；                        UN编号：1350；</w:t>
            </w:r>
            <w:r>
              <w:rPr>
                <w:rFonts w:ascii="宋体" w:hAnsi="宋体"/>
                <w:b w:val="0"/>
                <w:szCs w:val="21"/>
              </w:rPr>
              <w:t xml:space="preserve"> </w:t>
            </w:r>
            <w:r>
              <w:rPr>
                <w:rFonts w:hint="eastAsia" w:ascii="宋体" w:hAnsi="宋体"/>
                <w:b w:val="0"/>
                <w:szCs w:val="21"/>
              </w:rPr>
              <w:t xml:space="preserve">  </w:t>
            </w:r>
          </w:p>
        </w:tc>
      </w:tr>
      <w:tr w14:paraId="7DEE6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55D6A7FC">
            <w:pPr>
              <w:adjustRightInd w:val="0"/>
              <w:snapToGrid w:val="0"/>
              <w:spacing w:line="240" w:lineRule="exact"/>
              <w:jc w:val="center"/>
              <w:rPr>
                <w:rFonts w:ascii="宋体" w:hAnsi="宋体"/>
                <w:b w:val="0"/>
                <w:bCs/>
                <w:szCs w:val="21"/>
              </w:rPr>
            </w:pPr>
            <w:r>
              <w:rPr>
                <w:rFonts w:ascii="宋体" w:hAnsi="宋体"/>
                <w:b w:val="0"/>
                <w:bCs/>
                <w:szCs w:val="21"/>
              </w:rPr>
              <w:t>理</w:t>
            </w:r>
            <w:r>
              <w:rPr>
                <w:rFonts w:hint="eastAsia" w:ascii="宋体" w:hAnsi="宋体"/>
                <w:b w:val="0"/>
                <w:bCs/>
                <w:szCs w:val="21"/>
              </w:rPr>
              <w:t xml:space="preserve"> </w:t>
            </w:r>
            <w:r>
              <w:rPr>
                <w:rFonts w:ascii="宋体" w:hAnsi="宋体"/>
                <w:b w:val="0"/>
                <w:bCs/>
                <w:szCs w:val="21"/>
              </w:rPr>
              <w:t>化</w:t>
            </w:r>
          </w:p>
          <w:p w14:paraId="26F75427">
            <w:pPr>
              <w:adjustRightInd w:val="0"/>
              <w:snapToGrid w:val="0"/>
              <w:spacing w:line="240" w:lineRule="exact"/>
              <w:jc w:val="center"/>
              <w:rPr>
                <w:rFonts w:ascii="宋体" w:hAnsi="宋体"/>
                <w:b w:val="0"/>
                <w:bCs/>
                <w:szCs w:val="21"/>
              </w:rPr>
            </w:pPr>
            <w:r>
              <w:rPr>
                <w:rFonts w:hint="eastAsia" w:ascii="宋体" w:hAnsi="宋体"/>
                <w:b w:val="0"/>
                <w:bCs/>
                <w:szCs w:val="21"/>
              </w:rPr>
              <w:t>性 质</w:t>
            </w:r>
          </w:p>
        </w:tc>
        <w:tc>
          <w:tcPr>
            <w:tcW w:w="4452" w:type="pct"/>
          </w:tcPr>
          <w:p w14:paraId="79641B54">
            <w:pPr>
              <w:adjustRightInd w:val="0"/>
              <w:snapToGrid w:val="0"/>
              <w:spacing w:line="240" w:lineRule="exact"/>
              <w:rPr>
                <w:rFonts w:ascii="宋体" w:hAnsi="宋体"/>
                <w:b w:val="0"/>
                <w:szCs w:val="21"/>
              </w:rPr>
            </w:pPr>
            <w:r>
              <w:rPr>
                <w:rFonts w:ascii="宋体" w:hAnsi="宋体"/>
                <w:b w:val="0"/>
                <w:szCs w:val="21"/>
              </w:rPr>
              <w:t>外观性状：</w:t>
            </w:r>
            <w:r>
              <w:rPr>
                <w:rFonts w:hint="eastAsia" w:ascii="宋体" w:hAnsi="宋体"/>
                <w:b w:val="0"/>
                <w:szCs w:val="21"/>
              </w:rPr>
              <w:t>淡黄色脆性结晶或粉末，有特殊臭味。    相对密度（g/cm</w:t>
            </w:r>
            <w:r>
              <w:rPr>
                <w:rFonts w:hint="eastAsia" w:ascii="宋体" w:hAnsi="宋体"/>
                <w:b w:val="0"/>
                <w:szCs w:val="21"/>
                <w:vertAlign w:val="superscript"/>
              </w:rPr>
              <w:t>3</w:t>
            </w:r>
            <w:r>
              <w:rPr>
                <w:rFonts w:hint="eastAsia" w:ascii="宋体" w:hAnsi="宋体"/>
                <w:b w:val="0"/>
                <w:szCs w:val="21"/>
              </w:rPr>
              <w:t>）：2.0（水=1）；</w:t>
            </w:r>
          </w:p>
          <w:p w14:paraId="10796A71">
            <w:pPr>
              <w:adjustRightInd w:val="0"/>
              <w:snapToGrid w:val="0"/>
              <w:spacing w:line="240" w:lineRule="exact"/>
              <w:rPr>
                <w:rFonts w:ascii="宋体" w:hAnsi="宋体"/>
                <w:b w:val="0"/>
                <w:szCs w:val="21"/>
              </w:rPr>
            </w:pPr>
            <w:r>
              <w:rPr>
                <w:rFonts w:hint="eastAsia" w:ascii="宋体" w:hAnsi="宋体"/>
                <w:b w:val="0"/>
                <w:szCs w:val="21"/>
              </w:rPr>
              <w:t xml:space="preserve">熔    点（℃）：119；                            沸    点（℃）：444.6   </w:t>
            </w:r>
          </w:p>
          <w:p w14:paraId="1CF52D85">
            <w:pPr>
              <w:adjustRightInd w:val="0"/>
              <w:snapToGrid w:val="0"/>
              <w:spacing w:line="240" w:lineRule="exact"/>
              <w:rPr>
                <w:rFonts w:ascii="宋体" w:hAnsi="宋体"/>
                <w:b w:val="0"/>
                <w:szCs w:val="21"/>
              </w:rPr>
            </w:pPr>
            <w:r>
              <w:rPr>
                <w:rFonts w:hint="eastAsia" w:ascii="宋体" w:hAnsi="宋体"/>
                <w:b w:val="0"/>
                <w:szCs w:val="21"/>
              </w:rPr>
              <w:t>临界温度（℃）：1040                             临界压力(Mpa)：11.75</w:t>
            </w:r>
          </w:p>
          <w:p w14:paraId="04E01133">
            <w:pPr>
              <w:adjustRightInd w:val="0"/>
              <w:snapToGrid w:val="0"/>
              <w:spacing w:line="240" w:lineRule="exact"/>
              <w:rPr>
                <w:rFonts w:ascii="宋体" w:hAnsi="宋体"/>
                <w:b w:val="0"/>
                <w:szCs w:val="21"/>
              </w:rPr>
            </w:pPr>
            <w:r>
              <w:rPr>
                <w:rFonts w:hint="eastAsia" w:ascii="宋体" w:hAnsi="宋体"/>
                <w:b w:val="0"/>
                <w:szCs w:val="21"/>
              </w:rPr>
              <w:t xml:space="preserve">饱和蒸汽压（kPa）：0.13(183.8℃)                 最小引燃能量（mJ）：15 </w:t>
            </w:r>
          </w:p>
          <w:p w14:paraId="230088C0">
            <w:pPr>
              <w:adjustRightInd w:val="0"/>
              <w:snapToGrid w:val="0"/>
              <w:spacing w:line="240" w:lineRule="exact"/>
              <w:rPr>
                <w:rFonts w:ascii="宋体" w:hAnsi="宋体"/>
                <w:b w:val="0"/>
                <w:szCs w:val="21"/>
              </w:rPr>
            </w:pPr>
            <w:r>
              <w:rPr>
                <w:rFonts w:hint="eastAsia" w:ascii="宋体" w:hAnsi="宋体"/>
                <w:b w:val="0"/>
                <w:szCs w:val="21"/>
              </w:rPr>
              <w:t>最大爆炸压力：0.415 M</w:t>
            </w:r>
            <w:r>
              <w:rPr>
                <w:rFonts w:ascii="宋体" w:hAnsi="宋体"/>
                <w:b w:val="0"/>
                <w:szCs w:val="21"/>
              </w:rPr>
              <w:t>p</w:t>
            </w:r>
            <w:r>
              <w:rPr>
                <w:rFonts w:hint="eastAsia" w:ascii="宋体" w:hAnsi="宋体"/>
                <w:b w:val="0"/>
                <w:szCs w:val="21"/>
              </w:rPr>
              <w:t>a                         禁 忌 物：强氧化剂</w:t>
            </w:r>
          </w:p>
          <w:p w14:paraId="668B0291">
            <w:pPr>
              <w:adjustRightInd w:val="0"/>
              <w:snapToGrid w:val="0"/>
              <w:spacing w:line="240" w:lineRule="exact"/>
              <w:rPr>
                <w:rFonts w:ascii="宋体" w:hAnsi="宋体"/>
                <w:b w:val="0"/>
                <w:szCs w:val="21"/>
              </w:rPr>
            </w:pPr>
            <w:r>
              <w:rPr>
                <w:rFonts w:hint="eastAsia" w:ascii="宋体" w:hAnsi="宋体"/>
                <w:b w:val="0"/>
                <w:szCs w:val="21"/>
              </w:rPr>
              <w:t>溶 解 性：不溶于水，微溶于乙醇、醚，易溶于二硫化碳。</w:t>
            </w:r>
          </w:p>
        </w:tc>
      </w:tr>
      <w:tr w14:paraId="4BBC5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3DD346C2">
            <w:pPr>
              <w:adjustRightInd w:val="0"/>
              <w:snapToGrid w:val="0"/>
              <w:spacing w:line="240" w:lineRule="exact"/>
              <w:jc w:val="center"/>
              <w:rPr>
                <w:rFonts w:ascii="宋体" w:hAnsi="宋体"/>
                <w:b w:val="0"/>
                <w:bCs/>
                <w:szCs w:val="21"/>
              </w:rPr>
            </w:pPr>
            <w:r>
              <w:rPr>
                <w:rFonts w:hint="eastAsia" w:ascii="宋体" w:hAnsi="宋体"/>
                <w:b w:val="0"/>
                <w:bCs/>
                <w:szCs w:val="21"/>
              </w:rPr>
              <w:t>危险有害特性</w:t>
            </w:r>
          </w:p>
        </w:tc>
        <w:tc>
          <w:tcPr>
            <w:tcW w:w="4452" w:type="pct"/>
          </w:tcPr>
          <w:p w14:paraId="6D4E5C1D">
            <w:pPr>
              <w:adjustRightInd w:val="0"/>
              <w:snapToGrid w:val="0"/>
              <w:spacing w:line="240" w:lineRule="exact"/>
              <w:rPr>
                <w:rFonts w:ascii="宋体" w:hAnsi="宋体"/>
                <w:b w:val="0"/>
                <w:szCs w:val="21"/>
              </w:rPr>
            </w:pPr>
            <w:r>
              <w:rPr>
                <w:rFonts w:hint="eastAsia" w:ascii="宋体" w:hAnsi="宋体"/>
                <w:b w:val="0"/>
                <w:szCs w:val="21"/>
              </w:rPr>
              <w:t>燃烧爆炸性：燃 烧 性：易燃              闪    点（℃）：207.2(闭式)</w:t>
            </w:r>
          </w:p>
          <w:p w14:paraId="7230A3FE">
            <w:pPr>
              <w:adjustRightInd w:val="0"/>
              <w:snapToGrid w:val="0"/>
              <w:spacing w:line="240" w:lineRule="exact"/>
              <w:rPr>
                <w:rFonts w:ascii="宋体" w:hAnsi="宋体"/>
                <w:b w:val="0"/>
                <w:szCs w:val="21"/>
              </w:rPr>
            </w:pPr>
            <w:r>
              <w:rPr>
                <w:rFonts w:hint="eastAsia" w:ascii="宋体" w:hAnsi="宋体"/>
                <w:b w:val="0"/>
                <w:szCs w:val="21"/>
              </w:rPr>
              <w:t>引燃温度（℃）：232                      爆炸下限（mg/m</w:t>
            </w:r>
            <w:r>
              <w:rPr>
                <w:rFonts w:hint="eastAsia" w:ascii="宋体" w:hAnsi="宋体"/>
                <w:b w:val="0"/>
                <w:szCs w:val="21"/>
                <w:vertAlign w:val="superscript"/>
              </w:rPr>
              <w:t>3</w:t>
            </w:r>
            <w:r>
              <w:rPr>
                <w:rFonts w:hint="eastAsia" w:ascii="宋体" w:hAnsi="宋体"/>
                <w:b w:val="0"/>
                <w:szCs w:val="21"/>
              </w:rPr>
              <w:t xml:space="preserve">）：35 </w:t>
            </w:r>
          </w:p>
          <w:p w14:paraId="4F1030FF">
            <w:pPr>
              <w:adjustRightInd w:val="0"/>
              <w:snapToGrid w:val="0"/>
              <w:spacing w:line="240" w:lineRule="exact"/>
              <w:rPr>
                <w:rFonts w:ascii="宋体" w:hAnsi="宋体"/>
                <w:b w:val="0"/>
                <w:szCs w:val="21"/>
              </w:rPr>
            </w:pPr>
            <w:r>
              <w:rPr>
                <w:rFonts w:hint="eastAsia" w:ascii="宋体" w:hAnsi="宋体"/>
                <w:b w:val="0"/>
                <w:szCs w:val="21"/>
              </w:rPr>
              <w:t xml:space="preserve">稳 定 性：常温下稳定 </w:t>
            </w:r>
          </w:p>
          <w:p w14:paraId="3B348BDE">
            <w:pPr>
              <w:adjustRightInd w:val="0"/>
              <w:snapToGrid w:val="0"/>
              <w:spacing w:line="240" w:lineRule="exact"/>
              <w:rPr>
                <w:rFonts w:ascii="宋体" w:hAnsi="宋体"/>
                <w:b w:val="0"/>
                <w:szCs w:val="21"/>
              </w:rPr>
            </w:pPr>
            <w:r>
              <w:rPr>
                <w:rFonts w:hint="eastAsia" w:ascii="宋体" w:hAnsi="宋体"/>
                <w:b w:val="0"/>
                <w:szCs w:val="21"/>
              </w:rPr>
              <w:t xml:space="preserve">   本品在正常情况下燃速缓慢,</w:t>
            </w:r>
            <w:r>
              <w:rPr>
                <w:rFonts w:ascii="宋体" w:hAnsi="宋体"/>
                <w:b w:val="0"/>
                <w:szCs w:val="21"/>
              </w:rPr>
              <w:t xml:space="preserve"> 在空气中燃烧生成二氧化硫，</w:t>
            </w:r>
            <w:r>
              <w:rPr>
                <w:rFonts w:hint="eastAsia" w:ascii="宋体" w:hAnsi="宋体"/>
                <w:b w:val="0"/>
                <w:szCs w:val="21"/>
              </w:rPr>
              <w:t>如与氧化剂混合,燃烧大大加快。</w:t>
            </w:r>
            <w:r>
              <w:rPr>
                <w:rFonts w:ascii="宋体" w:hAnsi="宋体"/>
                <w:b w:val="0"/>
                <w:szCs w:val="21"/>
              </w:rPr>
              <w:t>硫磺</w:t>
            </w:r>
            <w:r>
              <w:rPr>
                <w:rFonts w:hint="eastAsia" w:ascii="宋体" w:hAnsi="宋体"/>
                <w:b w:val="0"/>
                <w:szCs w:val="21"/>
              </w:rPr>
              <w:t>。与卤素、金属粉末等接触剧烈反应。与氯酸钾的混合物为敏感度很高的爆炸性物质，稍经撞击、摩擦就会爆炸。本品为热和电的不良导体，在使用、储运过程中易产生静电荷，可导致硫尘起火。其粉尘或蒸气与空气或氧化剂混合形成爆炸性混合物。当空气中含硫磺粉尘7mg/l时，遇明火就会引起爆炸。</w:t>
            </w:r>
            <w:r>
              <w:rPr>
                <w:rFonts w:ascii="宋体" w:hAnsi="宋体"/>
                <w:b w:val="0"/>
                <w:szCs w:val="21"/>
              </w:rPr>
              <w:t xml:space="preserve">  </w:t>
            </w:r>
          </w:p>
          <w:p w14:paraId="69E68655">
            <w:pPr>
              <w:adjustRightInd w:val="0"/>
              <w:snapToGrid w:val="0"/>
              <w:spacing w:line="240" w:lineRule="exact"/>
              <w:rPr>
                <w:rFonts w:ascii="宋体" w:hAnsi="宋体"/>
                <w:b w:val="0"/>
                <w:szCs w:val="21"/>
              </w:rPr>
            </w:pPr>
            <w:r>
              <w:rPr>
                <w:rFonts w:hint="eastAsia" w:ascii="宋体" w:hAnsi="宋体"/>
                <w:b w:val="0"/>
                <w:szCs w:val="21"/>
              </w:rPr>
              <w:t>健康危害：可吸入、食入、经皮吸收。因其能在肠内部分转化为硫化氢而被吸收，故大量口服可导致硫化氢中毒。急性硫化氢中毒的全身毒作用表现为中枢神经系统症状，有头痛、头晕、乏力、呕吐、共济失调、昏迷等。本品可引起眼结膜炎、皮肤湿疹。对皮肤有弱刺激性。生产中长期吸入硫粉尘一般无明显毒性作用。</w:t>
            </w:r>
          </w:p>
        </w:tc>
      </w:tr>
      <w:tr w14:paraId="04F43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1470ACCE">
            <w:pPr>
              <w:adjustRightInd w:val="0"/>
              <w:snapToGrid w:val="0"/>
              <w:spacing w:line="240" w:lineRule="exact"/>
              <w:jc w:val="center"/>
              <w:rPr>
                <w:rFonts w:ascii="宋体" w:hAnsi="宋体"/>
                <w:b w:val="0"/>
                <w:bCs/>
                <w:szCs w:val="21"/>
              </w:rPr>
            </w:pPr>
            <w:r>
              <w:rPr>
                <w:rFonts w:hint="eastAsia" w:ascii="宋体" w:hAnsi="宋体"/>
                <w:b w:val="0"/>
                <w:bCs/>
                <w:szCs w:val="21"/>
              </w:rPr>
              <w:t>急救</w:t>
            </w:r>
          </w:p>
        </w:tc>
        <w:tc>
          <w:tcPr>
            <w:tcW w:w="4452" w:type="pct"/>
            <w:vAlign w:val="center"/>
          </w:tcPr>
          <w:p w14:paraId="41A22863">
            <w:pPr>
              <w:adjustRightInd w:val="0"/>
              <w:snapToGrid w:val="0"/>
              <w:spacing w:line="240" w:lineRule="exact"/>
              <w:rPr>
                <w:rFonts w:ascii="宋体" w:hAnsi="宋体"/>
                <w:b w:val="0"/>
                <w:szCs w:val="21"/>
              </w:rPr>
            </w:pPr>
            <w:r>
              <w:rPr>
                <w:rFonts w:ascii="宋体" w:hAnsi="宋体"/>
                <w:b w:val="0"/>
                <w:szCs w:val="21"/>
              </w:rPr>
              <w:t>消防措施：</w:t>
            </w:r>
            <w:r>
              <w:rPr>
                <w:rFonts w:hint="eastAsia" w:ascii="宋体" w:hAnsi="宋体"/>
                <w:b w:val="0"/>
                <w:szCs w:val="21"/>
              </w:rPr>
              <w:t>遇小火用砂土闷熄。遇大火可用雾状水、泡沫灭火。</w:t>
            </w:r>
          </w:p>
        </w:tc>
      </w:tr>
      <w:tr w14:paraId="5E08F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280ACBA4">
            <w:pPr>
              <w:adjustRightInd w:val="0"/>
              <w:snapToGrid w:val="0"/>
              <w:spacing w:line="240" w:lineRule="exact"/>
              <w:jc w:val="center"/>
              <w:rPr>
                <w:rFonts w:ascii="宋体" w:hAnsi="宋体"/>
                <w:b w:val="0"/>
                <w:bCs/>
                <w:szCs w:val="21"/>
              </w:rPr>
            </w:pPr>
            <w:r>
              <w:rPr>
                <w:rFonts w:hint="eastAsia" w:ascii="宋体" w:hAnsi="宋体"/>
                <w:b w:val="0"/>
                <w:bCs/>
                <w:szCs w:val="21"/>
              </w:rPr>
              <w:t>防护</w:t>
            </w:r>
          </w:p>
        </w:tc>
        <w:tc>
          <w:tcPr>
            <w:tcW w:w="4452" w:type="pct"/>
            <w:vAlign w:val="center"/>
          </w:tcPr>
          <w:p w14:paraId="413309BA">
            <w:pPr>
              <w:adjustRightInd w:val="0"/>
              <w:snapToGrid w:val="0"/>
              <w:spacing w:line="240" w:lineRule="exact"/>
              <w:rPr>
                <w:rFonts w:ascii="宋体" w:hAnsi="宋体"/>
                <w:b w:val="0"/>
                <w:szCs w:val="21"/>
              </w:rPr>
            </w:pPr>
            <w:r>
              <w:rPr>
                <w:rFonts w:hint="eastAsia" w:ascii="宋体" w:hAnsi="宋体"/>
                <w:b w:val="0"/>
                <w:szCs w:val="21"/>
              </w:rPr>
              <w:t>有粉尘时应穿戴好劳动护品。</w:t>
            </w:r>
          </w:p>
        </w:tc>
      </w:tr>
      <w:tr w14:paraId="3921A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1848E883">
            <w:pPr>
              <w:adjustRightInd w:val="0"/>
              <w:snapToGrid w:val="0"/>
              <w:spacing w:line="240" w:lineRule="exact"/>
              <w:jc w:val="center"/>
              <w:rPr>
                <w:rFonts w:ascii="宋体" w:hAnsi="宋体"/>
                <w:b w:val="0"/>
                <w:bCs/>
                <w:szCs w:val="21"/>
              </w:rPr>
            </w:pPr>
            <w:r>
              <w:rPr>
                <w:rFonts w:hint="eastAsia" w:ascii="宋体" w:hAnsi="宋体"/>
                <w:b w:val="0"/>
                <w:bCs/>
                <w:szCs w:val="21"/>
              </w:rPr>
              <w:t>泄 露</w:t>
            </w:r>
          </w:p>
          <w:p w14:paraId="400CA3CF">
            <w:pPr>
              <w:adjustRightInd w:val="0"/>
              <w:snapToGrid w:val="0"/>
              <w:spacing w:line="240" w:lineRule="exact"/>
              <w:jc w:val="center"/>
              <w:rPr>
                <w:rFonts w:ascii="宋体" w:hAnsi="宋体"/>
                <w:b w:val="0"/>
                <w:bCs/>
                <w:szCs w:val="21"/>
              </w:rPr>
            </w:pPr>
            <w:r>
              <w:rPr>
                <w:rFonts w:ascii="宋体" w:hAnsi="宋体"/>
                <w:b w:val="0"/>
                <w:bCs/>
                <w:szCs w:val="21"/>
              </w:rPr>
              <w:t>处</w:t>
            </w:r>
            <w:r>
              <w:rPr>
                <w:rFonts w:hint="eastAsia" w:ascii="宋体" w:hAnsi="宋体"/>
                <w:b w:val="0"/>
                <w:bCs/>
                <w:szCs w:val="21"/>
              </w:rPr>
              <w:t xml:space="preserve"> </w:t>
            </w:r>
            <w:r>
              <w:rPr>
                <w:rFonts w:ascii="宋体" w:hAnsi="宋体"/>
                <w:b w:val="0"/>
                <w:bCs/>
                <w:szCs w:val="21"/>
              </w:rPr>
              <w:t>理</w:t>
            </w:r>
          </w:p>
        </w:tc>
        <w:tc>
          <w:tcPr>
            <w:tcW w:w="4452" w:type="pct"/>
            <w:vAlign w:val="center"/>
          </w:tcPr>
          <w:p w14:paraId="3FF51B35">
            <w:pPr>
              <w:adjustRightInd w:val="0"/>
              <w:snapToGrid w:val="0"/>
              <w:spacing w:line="240" w:lineRule="exact"/>
              <w:rPr>
                <w:rFonts w:ascii="宋体" w:hAnsi="宋体"/>
                <w:b w:val="0"/>
                <w:szCs w:val="21"/>
              </w:rPr>
            </w:pPr>
            <w:r>
              <w:rPr>
                <w:rFonts w:ascii="宋体" w:hAnsi="宋体"/>
                <w:b w:val="0"/>
                <w:szCs w:val="21"/>
              </w:rPr>
              <w:t>隔离泄漏污染区，限制出入。切断火源。建议应急处理人员戴防尘面具（全面罩），穿一般作业工作服。不要直接接触泄漏物。小量泄漏：避免扬尘，用洁净的铲子收集于干燥、洁净、有盖的容器中，转移至安全场所。大量泄漏：用塑料布、帆布覆盖。使用无火花工具收集回收或运至废物处理场所处置。</w:t>
            </w:r>
          </w:p>
        </w:tc>
      </w:tr>
      <w:tr w14:paraId="72E35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5AF8C72E">
            <w:pPr>
              <w:adjustRightInd w:val="0"/>
              <w:snapToGrid w:val="0"/>
              <w:spacing w:line="240" w:lineRule="exact"/>
              <w:jc w:val="center"/>
              <w:rPr>
                <w:rFonts w:ascii="宋体" w:hAnsi="宋体"/>
                <w:b w:val="0"/>
                <w:bCs/>
                <w:szCs w:val="21"/>
              </w:rPr>
            </w:pPr>
            <w:r>
              <w:rPr>
                <w:rFonts w:ascii="宋体" w:hAnsi="宋体"/>
                <w:b w:val="0"/>
                <w:bCs/>
                <w:szCs w:val="21"/>
              </w:rPr>
              <w:t>储</w:t>
            </w:r>
            <w:r>
              <w:rPr>
                <w:rFonts w:hint="eastAsia" w:ascii="宋体" w:hAnsi="宋体"/>
                <w:b w:val="0"/>
                <w:bCs/>
                <w:szCs w:val="21"/>
              </w:rPr>
              <w:t xml:space="preserve"> </w:t>
            </w:r>
            <w:r>
              <w:rPr>
                <w:rFonts w:ascii="宋体" w:hAnsi="宋体"/>
                <w:b w:val="0"/>
                <w:bCs/>
                <w:szCs w:val="21"/>
              </w:rPr>
              <w:t>运</w:t>
            </w:r>
          </w:p>
        </w:tc>
        <w:tc>
          <w:tcPr>
            <w:tcW w:w="4452" w:type="pct"/>
          </w:tcPr>
          <w:p w14:paraId="14FE17CA">
            <w:pPr>
              <w:adjustRightInd w:val="0"/>
              <w:snapToGrid w:val="0"/>
              <w:spacing w:line="240" w:lineRule="exact"/>
              <w:rPr>
                <w:rFonts w:ascii="宋体" w:hAnsi="宋体"/>
                <w:b w:val="0"/>
                <w:szCs w:val="21"/>
              </w:rPr>
            </w:pPr>
            <w:r>
              <w:rPr>
                <w:rFonts w:hint="eastAsia" w:ascii="宋体" w:hAnsi="宋体"/>
                <w:b w:val="0"/>
                <w:szCs w:val="21"/>
              </w:rPr>
              <w:t>储存于阴凉、通风、干燥的库房内。隔绝火种、远离热源。包装必须密封。切忌与氧化剂和磷等物品混储混运。搬运时要轻装轻卸，防止包装及容器损坏。</w:t>
            </w:r>
          </w:p>
        </w:tc>
      </w:tr>
    </w:tbl>
    <w:p w14:paraId="17CCBCCF">
      <w:pPr>
        <w:spacing w:before="120" w:beforeLines="50" w:line="360" w:lineRule="auto"/>
        <w:ind w:firstLine="562" w:firstLineChars="200"/>
        <w:rPr>
          <w:rFonts w:ascii="宋体" w:hAnsi="宋体"/>
          <w:snapToGrid w:val="0"/>
          <w:sz w:val="28"/>
          <w:szCs w:val="28"/>
        </w:rPr>
      </w:pPr>
      <w:bookmarkStart w:id="233" w:name="_Toc188265303"/>
      <w:bookmarkStart w:id="234" w:name="_Toc202015906"/>
      <w:r>
        <w:rPr>
          <w:rFonts w:hint="eastAsia" w:ascii="宋体" w:hAnsi="宋体"/>
          <w:snapToGrid w:val="0"/>
          <w:sz w:val="28"/>
          <w:szCs w:val="28"/>
        </w:rPr>
        <w:br w:type="page"/>
      </w:r>
      <w:r>
        <w:rPr>
          <w:rFonts w:hint="eastAsia" w:ascii="宋体" w:hAnsi="宋体"/>
          <w:snapToGrid w:val="0"/>
          <w:sz w:val="28"/>
          <w:szCs w:val="28"/>
        </w:rPr>
        <w:t>2）木炭</w:t>
      </w:r>
      <w:bookmarkEnd w:id="233"/>
      <w:bookmarkEnd w:id="234"/>
    </w:p>
    <w:p w14:paraId="247419F5">
      <w:pPr>
        <w:spacing w:line="360" w:lineRule="auto"/>
        <w:ind w:firstLine="560" w:firstLineChars="200"/>
        <w:rPr>
          <w:rFonts w:ascii="宋体" w:hAnsi="宋体"/>
          <w:b w:val="0"/>
          <w:snapToGrid w:val="0"/>
          <w:sz w:val="28"/>
          <w:szCs w:val="28"/>
        </w:rPr>
      </w:pPr>
      <w:bookmarkStart w:id="235" w:name="_Toc109360865"/>
      <w:r>
        <w:rPr>
          <w:rFonts w:hint="eastAsia" w:ascii="宋体" w:hAnsi="宋体"/>
          <w:b w:val="0"/>
          <w:snapToGrid w:val="0"/>
          <w:sz w:val="28"/>
          <w:szCs w:val="28"/>
        </w:rPr>
        <w:t>木炭物性参数及对其危险的应对措施列于表3.3-</w:t>
      </w:r>
      <w:r>
        <w:rPr>
          <w:rFonts w:ascii="宋体" w:hAnsi="宋体"/>
          <w:b w:val="0"/>
          <w:snapToGrid w:val="0"/>
          <w:sz w:val="28"/>
          <w:szCs w:val="28"/>
        </w:rPr>
        <w:t>5</w:t>
      </w:r>
      <w:r>
        <w:rPr>
          <w:rFonts w:hint="eastAsia" w:ascii="宋体" w:hAnsi="宋体"/>
          <w:b w:val="0"/>
          <w:snapToGrid w:val="0"/>
          <w:sz w:val="28"/>
          <w:szCs w:val="28"/>
        </w:rPr>
        <w:t>。</w:t>
      </w:r>
    </w:p>
    <w:p w14:paraId="15148DCB">
      <w:pPr>
        <w:jc w:val="center"/>
        <w:rPr>
          <w:rFonts w:ascii="黑体" w:hAnsi="宋体" w:eastAsia="黑体"/>
          <w:b w:val="0"/>
          <w:sz w:val="24"/>
        </w:rPr>
      </w:pPr>
      <w:r>
        <w:rPr>
          <w:rFonts w:hint="eastAsia" w:ascii="黑体" w:hAnsi="宋体" w:eastAsia="黑体"/>
          <w:b w:val="0"/>
          <w:sz w:val="24"/>
        </w:rPr>
        <w:t>表3.3-</w:t>
      </w:r>
      <w:r>
        <w:rPr>
          <w:rFonts w:ascii="黑体" w:hAnsi="宋体" w:eastAsia="黑体"/>
          <w:b w:val="0"/>
          <w:sz w:val="24"/>
        </w:rPr>
        <w:t>5</w:t>
      </w:r>
      <w:r>
        <w:rPr>
          <w:rFonts w:hint="eastAsia" w:ascii="黑体" w:hAnsi="宋体" w:eastAsia="黑体"/>
          <w:b w:val="0"/>
          <w:sz w:val="24"/>
        </w:rPr>
        <w:t>木炭的物性参数及对危险的应对措施</w:t>
      </w:r>
    </w:p>
    <w:tbl>
      <w:tblPr>
        <w:tblStyle w:val="88"/>
        <w:tblW w:w="490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8121"/>
      </w:tblGrid>
      <w:tr w14:paraId="3C3B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547" w:type="pct"/>
            <w:vAlign w:val="center"/>
          </w:tcPr>
          <w:p w14:paraId="50906AA7">
            <w:pPr>
              <w:jc w:val="center"/>
              <w:rPr>
                <w:rFonts w:ascii="宋体" w:hAnsi="宋体"/>
                <w:b w:val="0"/>
              </w:rPr>
            </w:pPr>
            <w:r>
              <w:rPr>
                <w:rFonts w:hint="eastAsia" w:ascii="宋体" w:hAnsi="宋体"/>
                <w:b w:val="0"/>
              </w:rPr>
              <w:t>标 识</w:t>
            </w:r>
          </w:p>
        </w:tc>
        <w:tc>
          <w:tcPr>
            <w:tcW w:w="4452" w:type="pct"/>
            <w:vAlign w:val="center"/>
          </w:tcPr>
          <w:p w14:paraId="4F587490">
            <w:pPr>
              <w:adjustRightInd w:val="0"/>
              <w:snapToGrid w:val="0"/>
              <w:rPr>
                <w:rFonts w:ascii="宋体" w:hAnsi="宋体"/>
                <w:b w:val="0"/>
                <w:szCs w:val="21"/>
              </w:rPr>
            </w:pPr>
            <w:r>
              <w:rPr>
                <w:rFonts w:hint="eastAsia" w:ascii="宋体" w:hAnsi="宋体"/>
                <w:b w:val="0"/>
                <w:szCs w:val="21"/>
              </w:rPr>
              <w:t xml:space="preserve">中文名称：木炭                                  </w:t>
            </w:r>
            <w:r>
              <w:rPr>
                <w:rFonts w:ascii="宋体" w:hAnsi="宋体"/>
                <w:b w:val="0"/>
                <w:szCs w:val="21"/>
              </w:rPr>
              <w:t>分子</w:t>
            </w:r>
            <w:r>
              <w:rPr>
                <w:rFonts w:hint="eastAsia" w:ascii="宋体" w:hAnsi="宋体"/>
                <w:b w:val="0"/>
                <w:szCs w:val="21"/>
              </w:rPr>
              <w:t>代表</w:t>
            </w:r>
            <w:r>
              <w:rPr>
                <w:rFonts w:ascii="宋体" w:hAnsi="宋体"/>
                <w:b w:val="0"/>
                <w:szCs w:val="21"/>
              </w:rPr>
              <w:t>式</w:t>
            </w:r>
            <w:r>
              <w:rPr>
                <w:rFonts w:hint="eastAsia" w:ascii="宋体" w:hAnsi="宋体"/>
                <w:b w:val="0"/>
                <w:szCs w:val="21"/>
              </w:rPr>
              <w:t xml:space="preserve">：C    </w:t>
            </w:r>
          </w:p>
          <w:p w14:paraId="0F7CA7BC">
            <w:pPr>
              <w:adjustRightInd w:val="0"/>
              <w:snapToGrid w:val="0"/>
              <w:rPr>
                <w:rFonts w:ascii="宋体" w:hAnsi="宋体"/>
                <w:b w:val="0"/>
                <w:szCs w:val="21"/>
              </w:rPr>
            </w:pPr>
            <w:r>
              <w:rPr>
                <w:rFonts w:hint="eastAsia" w:ascii="宋体" w:hAnsi="宋体"/>
                <w:b w:val="0"/>
                <w:szCs w:val="21"/>
              </w:rPr>
              <w:t>分子量：12；                                    UN编号：1361；</w:t>
            </w:r>
          </w:p>
        </w:tc>
      </w:tr>
      <w:tr w14:paraId="3B116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547" w:type="pct"/>
            <w:vAlign w:val="center"/>
          </w:tcPr>
          <w:p w14:paraId="53DA3901">
            <w:pPr>
              <w:jc w:val="center"/>
              <w:rPr>
                <w:rFonts w:ascii="宋体" w:hAnsi="宋体"/>
                <w:b w:val="0"/>
              </w:rPr>
            </w:pPr>
            <w:r>
              <w:rPr>
                <w:rFonts w:ascii="宋体" w:hAnsi="宋体"/>
                <w:b w:val="0"/>
              </w:rPr>
              <w:t>理</w:t>
            </w:r>
            <w:r>
              <w:rPr>
                <w:rFonts w:hint="eastAsia" w:ascii="宋体" w:hAnsi="宋体"/>
                <w:b w:val="0"/>
              </w:rPr>
              <w:t xml:space="preserve"> </w:t>
            </w:r>
            <w:r>
              <w:rPr>
                <w:rFonts w:ascii="宋体" w:hAnsi="宋体"/>
                <w:b w:val="0"/>
              </w:rPr>
              <w:t>化</w:t>
            </w:r>
          </w:p>
          <w:p w14:paraId="75C9C8C1">
            <w:pPr>
              <w:jc w:val="center"/>
              <w:rPr>
                <w:rFonts w:ascii="宋体" w:hAnsi="宋体"/>
                <w:b w:val="0"/>
              </w:rPr>
            </w:pPr>
            <w:r>
              <w:rPr>
                <w:rFonts w:hint="eastAsia" w:ascii="宋体" w:hAnsi="宋体"/>
                <w:b w:val="0"/>
              </w:rPr>
              <w:t>性 质</w:t>
            </w:r>
          </w:p>
        </w:tc>
        <w:tc>
          <w:tcPr>
            <w:tcW w:w="4452" w:type="pct"/>
            <w:vAlign w:val="center"/>
          </w:tcPr>
          <w:p w14:paraId="59279BCF">
            <w:pPr>
              <w:adjustRightInd w:val="0"/>
              <w:snapToGrid w:val="0"/>
              <w:rPr>
                <w:rFonts w:ascii="宋体" w:hAnsi="宋体"/>
                <w:b w:val="0"/>
                <w:szCs w:val="21"/>
              </w:rPr>
            </w:pPr>
            <w:r>
              <w:rPr>
                <w:rFonts w:ascii="宋体" w:hAnsi="宋体"/>
                <w:b w:val="0"/>
                <w:szCs w:val="21"/>
              </w:rPr>
              <w:t>外观性状：</w:t>
            </w:r>
            <w:r>
              <w:rPr>
                <w:rFonts w:hint="eastAsia" w:ascii="宋体" w:hAnsi="宋体"/>
                <w:b w:val="0"/>
                <w:szCs w:val="21"/>
              </w:rPr>
              <w:t>黑色粉末或颗粒二种。内部呈极多的孔状物质。</w:t>
            </w:r>
          </w:p>
          <w:p w14:paraId="5F912C3D">
            <w:pPr>
              <w:adjustRightInd w:val="0"/>
              <w:snapToGrid w:val="0"/>
              <w:rPr>
                <w:rFonts w:ascii="宋体" w:hAnsi="宋体"/>
                <w:b w:val="0"/>
                <w:szCs w:val="21"/>
              </w:rPr>
            </w:pPr>
            <w:r>
              <w:rPr>
                <w:rFonts w:hint="eastAsia" w:ascii="宋体" w:hAnsi="宋体"/>
                <w:b w:val="0"/>
                <w:szCs w:val="21"/>
              </w:rPr>
              <w:t>相对密度（g/cm</w:t>
            </w:r>
            <w:r>
              <w:rPr>
                <w:rFonts w:hint="eastAsia" w:ascii="宋体" w:hAnsi="宋体"/>
                <w:b w:val="0"/>
                <w:szCs w:val="21"/>
                <w:vertAlign w:val="superscript"/>
              </w:rPr>
              <w:t>3</w:t>
            </w:r>
            <w:r>
              <w:rPr>
                <w:rFonts w:hint="eastAsia" w:ascii="宋体" w:hAnsi="宋体"/>
                <w:b w:val="0"/>
                <w:szCs w:val="21"/>
              </w:rPr>
              <w:t>）：0</w:t>
            </w:r>
            <w:r>
              <w:rPr>
                <w:rFonts w:ascii="宋体" w:hAnsi="宋体"/>
                <w:b w:val="0"/>
                <w:szCs w:val="21"/>
              </w:rPr>
              <w:t>.</w:t>
            </w:r>
            <w:r>
              <w:rPr>
                <w:rFonts w:hint="eastAsia" w:ascii="宋体" w:hAnsi="宋体"/>
                <w:b w:val="0"/>
                <w:szCs w:val="21"/>
              </w:rPr>
              <w:t>08～0.45（视原材料来源和制造方法不同各异）；</w:t>
            </w:r>
          </w:p>
          <w:p w14:paraId="5F5B0A68">
            <w:pPr>
              <w:adjustRightInd w:val="0"/>
              <w:snapToGrid w:val="0"/>
              <w:rPr>
                <w:rFonts w:ascii="宋体" w:hAnsi="宋体"/>
                <w:b w:val="0"/>
                <w:szCs w:val="21"/>
              </w:rPr>
            </w:pPr>
            <w:r>
              <w:rPr>
                <w:rFonts w:hint="eastAsia" w:ascii="宋体" w:hAnsi="宋体"/>
                <w:b w:val="0"/>
                <w:szCs w:val="21"/>
              </w:rPr>
              <w:t xml:space="preserve">熔    点（℃）：&gt;3500；                 沸    点（℃）：&gt;4000   </w:t>
            </w:r>
          </w:p>
          <w:p w14:paraId="42AB275A">
            <w:pPr>
              <w:adjustRightInd w:val="0"/>
              <w:snapToGrid w:val="0"/>
              <w:rPr>
                <w:rFonts w:ascii="宋体" w:hAnsi="宋体"/>
                <w:b w:val="0"/>
                <w:szCs w:val="21"/>
              </w:rPr>
            </w:pPr>
            <w:r>
              <w:rPr>
                <w:rFonts w:hint="eastAsia" w:ascii="宋体" w:hAnsi="宋体"/>
                <w:b w:val="0"/>
                <w:szCs w:val="21"/>
              </w:rPr>
              <w:t xml:space="preserve">溶 解 性：不溶于水和任何溶剂。 </w:t>
            </w:r>
          </w:p>
        </w:tc>
      </w:tr>
      <w:tr w14:paraId="1395D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547" w:type="pct"/>
            <w:vAlign w:val="center"/>
          </w:tcPr>
          <w:p w14:paraId="268CBA02">
            <w:pPr>
              <w:jc w:val="center"/>
              <w:rPr>
                <w:rFonts w:ascii="宋体" w:hAnsi="宋体"/>
                <w:b w:val="0"/>
              </w:rPr>
            </w:pPr>
            <w:r>
              <w:rPr>
                <w:rFonts w:hint="eastAsia" w:ascii="宋体" w:hAnsi="宋体"/>
                <w:b w:val="0"/>
              </w:rPr>
              <w:t>危险有害特性</w:t>
            </w:r>
          </w:p>
        </w:tc>
        <w:tc>
          <w:tcPr>
            <w:tcW w:w="4452" w:type="pct"/>
            <w:vAlign w:val="center"/>
          </w:tcPr>
          <w:p w14:paraId="7FC8A681">
            <w:pPr>
              <w:adjustRightInd w:val="0"/>
              <w:snapToGrid w:val="0"/>
              <w:rPr>
                <w:rFonts w:ascii="宋体" w:hAnsi="宋体"/>
                <w:b w:val="0"/>
                <w:szCs w:val="21"/>
              </w:rPr>
            </w:pPr>
            <w:r>
              <w:rPr>
                <w:rFonts w:hint="eastAsia" w:ascii="宋体" w:hAnsi="宋体"/>
                <w:b w:val="0"/>
                <w:szCs w:val="21"/>
              </w:rPr>
              <w:t>燃烧爆炸性：本品为可燃剂，常温下化学性质稳定，高温时化学活泼性高。粉尘接触明火有轻度的爆炸性。在空气中易缓慢地发热和自燃。</w:t>
            </w:r>
          </w:p>
          <w:p w14:paraId="4FA8A384">
            <w:pPr>
              <w:adjustRightInd w:val="0"/>
              <w:snapToGrid w:val="0"/>
              <w:rPr>
                <w:rFonts w:ascii="宋体" w:hAnsi="宋体"/>
                <w:b w:val="0"/>
                <w:szCs w:val="21"/>
              </w:rPr>
            </w:pPr>
            <w:r>
              <w:rPr>
                <w:rFonts w:hint="eastAsia" w:ascii="宋体" w:hAnsi="宋体"/>
                <w:b w:val="0"/>
                <w:szCs w:val="21"/>
              </w:rPr>
              <w:t>健康危害：属基本无毒物质。但有时从原料中夹杂无机物，对皮肤、粘膜及呼吸道有一定的刺激。</w:t>
            </w:r>
          </w:p>
        </w:tc>
      </w:tr>
      <w:tr w14:paraId="304EA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47" w:type="pct"/>
            <w:vAlign w:val="center"/>
          </w:tcPr>
          <w:p w14:paraId="75F87D6F">
            <w:pPr>
              <w:jc w:val="center"/>
              <w:rPr>
                <w:rFonts w:ascii="宋体" w:hAnsi="宋体"/>
                <w:b w:val="0"/>
              </w:rPr>
            </w:pPr>
            <w:r>
              <w:rPr>
                <w:rFonts w:hint="eastAsia" w:ascii="宋体" w:hAnsi="宋体"/>
                <w:b w:val="0"/>
              </w:rPr>
              <w:t>急救</w:t>
            </w:r>
          </w:p>
        </w:tc>
        <w:tc>
          <w:tcPr>
            <w:tcW w:w="4452" w:type="pct"/>
            <w:vAlign w:val="center"/>
          </w:tcPr>
          <w:p w14:paraId="58F0FE0A">
            <w:pPr>
              <w:adjustRightInd w:val="0"/>
              <w:snapToGrid w:val="0"/>
              <w:rPr>
                <w:rFonts w:ascii="宋体" w:hAnsi="宋体"/>
                <w:b w:val="0"/>
                <w:szCs w:val="21"/>
              </w:rPr>
            </w:pPr>
            <w:r>
              <w:rPr>
                <w:rFonts w:ascii="宋体" w:hAnsi="宋体"/>
                <w:b w:val="0"/>
                <w:szCs w:val="21"/>
              </w:rPr>
              <w:t>消防措施：失火时</w:t>
            </w:r>
            <w:r>
              <w:rPr>
                <w:rFonts w:hint="eastAsia" w:ascii="宋体" w:hAnsi="宋体"/>
                <w:b w:val="0"/>
                <w:szCs w:val="21"/>
              </w:rPr>
              <w:t>可</w:t>
            </w:r>
            <w:r>
              <w:rPr>
                <w:rFonts w:ascii="宋体" w:hAnsi="宋体"/>
                <w:b w:val="0"/>
                <w:szCs w:val="21"/>
              </w:rPr>
              <w:t>用</w:t>
            </w:r>
            <w:r>
              <w:rPr>
                <w:rFonts w:hint="eastAsia" w:ascii="宋体" w:hAnsi="宋体"/>
                <w:b w:val="0"/>
                <w:szCs w:val="21"/>
              </w:rPr>
              <w:t>水、</w:t>
            </w:r>
            <w:r>
              <w:rPr>
                <w:rFonts w:ascii="宋体" w:hAnsi="宋体"/>
                <w:b w:val="0"/>
                <w:szCs w:val="21"/>
              </w:rPr>
              <w:t>砂土</w:t>
            </w:r>
            <w:r>
              <w:rPr>
                <w:rFonts w:hint="eastAsia" w:ascii="宋体" w:hAnsi="宋体"/>
                <w:b w:val="0"/>
                <w:szCs w:val="21"/>
              </w:rPr>
              <w:t>、各类灭火器</w:t>
            </w:r>
            <w:r>
              <w:rPr>
                <w:rFonts w:ascii="宋体" w:hAnsi="宋体"/>
                <w:b w:val="0"/>
                <w:szCs w:val="21"/>
              </w:rPr>
              <w:t>扑救。</w:t>
            </w:r>
          </w:p>
        </w:tc>
      </w:tr>
      <w:tr w14:paraId="6F56E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47" w:type="pct"/>
            <w:vAlign w:val="center"/>
          </w:tcPr>
          <w:p w14:paraId="53D2B06C">
            <w:pPr>
              <w:jc w:val="center"/>
              <w:rPr>
                <w:rFonts w:ascii="宋体" w:hAnsi="宋体"/>
                <w:b w:val="0"/>
              </w:rPr>
            </w:pPr>
            <w:r>
              <w:rPr>
                <w:rFonts w:hint="eastAsia" w:ascii="宋体" w:hAnsi="宋体"/>
                <w:b w:val="0"/>
              </w:rPr>
              <w:t>防护</w:t>
            </w:r>
          </w:p>
        </w:tc>
        <w:tc>
          <w:tcPr>
            <w:tcW w:w="4452" w:type="pct"/>
            <w:vAlign w:val="center"/>
          </w:tcPr>
          <w:p w14:paraId="54C6F2A1">
            <w:pPr>
              <w:adjustRightInd w:val="0"/>
              <w:snapToGrid w:val="0"/>
              <w:rPr>
                <w:rFonts w:ascii="宋体" w:hAnsi="宋体"/>
                <w:b w:val="0"/>
                <w:szCs w:val="21"/>
              </w:rPr>
            </w:pPr>
            <w:r>
              <w:rPr>
                <w:rFonts w:hint="eastAsia" w:ascii="宋体" w:hAnsi="宋体"/>
                <w:b w:val="0"/>
                <w:szCs w:val="21"/>
              </w:rPr>
              <w:t>有粉尘时应穿戴好劳动护品。</w:t>
            </w:r>
          </w:p>
        </w:tc>
      </w:tr>
      <w:tr w14:paraId="1ED6D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547" w:type="pct"/>
            <w:vAlign w:val="center"/>
          </w:tcPr>
          <w:p w14:paraId="74769131">
            <w:pPr>
              <w:jc w:val="center"/>
              <w:rPr>
                <w:rFonts w:ascii="宋体" w:hAnsi="宋体"/>
                <w:b w:val="0"/>
              </w:rPr>
            </w:pPr>
            <w:r>
              <w:rPr>
                <w:rFonts w:ascii="宋体" w:hAnsi="宋体"/>
                <w:b w:val="0"/>
              </w:rPr>
              <w:t>储</w:t>
            </w:r>
            <w:r>
              <w:rPr>
                <w:rFonts w:hint="eastAsia" w:ascii="宋体" w:hAnsi="宋体"/>
                <w:b w:val="0"/>
              </w:rPr>
              <w:t xml:space="preserve"> </w:t>
            </w:r>
            <w:r>
              <w:rPr>
                <w:rFonts w:ascii="宋体" w:hAnsi="宋体"/>
                <w:b w:val="0"/>
              </w:rPr>
              <w:t>运</w:t>
            </w:r>
          </w:p>
        </w:tc>
        <w:tc>
          <w:tcPr>
            <w:tcW w:w="4452" w:type="pct"/>
            <w:vAlign w:val="center"/>
          </w:tcPr>
          <w:p w14:paraId="03ACFF9D">
            <w:pPr>
              <w:adjustRightInd w:val="0"/>
              <w:snapToGrid w:val="0"/>
              <w:rPr>
                <w:rFonts w:ascii="宋体" w:hAnsi="宋体"/>
                <w:b w:val="0"/>
                <w:szCs w:val="21"/>
              </w:rPr>
            </w:pPr>
            <w:r>
              <w:rPr>
                <w:rFonts w:hint="eastAsia" w:ascii="宋体" w:hAnsi="宋体"/>
                <w:b w:val="0"/>
                <w:szCs w:val="21"/>
              </w:rPr>
              <w:t>储存于干燥、通风的库房。远离火种、热源。不可与氧化剂共储混运。防止受潮，以避免受潮后积热不散可能发生自燃。如抽查发现有发热现象应及时倒垛散热，防止发生事故。</w:t>
            </w:r>
          </w:p>
        </w:tc>
      </w:tr>
      <w:bookmarkEnd w:id="235"/>
    </w:tbl>
    <w:p w14:paraId="32534F67">
      <w:pPr>
        <w:spacing w:before="120" w:beforeLines="50" w:line="360" w:lineRule="auto"/>
        <w:outlineLvl w:val="2"/>
        <w:rPr>
          <w:rFonts w:ascii="黑体" w:hAnsi="黑体" w:eastAsia="黑体"/>
          <w:b w:val="0"/>
          <w:sz w:val="30"/>
          <w:szCs w:val="30"/>
        </w:rPr>
      </w:pPr>
      <w:bookmarkStart w:id="236" w:name="_Toc335902399"/>
      <w:bookmarkStart w:id="237" w:name="_Toc60129101"/>
      <w:bookmarkStart w:id="238" w:name="_Toc58946818"/>
      <w:bookmarkStart w:id="239" w:name="_Toc148036987"/>
      <w:bookmarkStart w:id="240" w:name="_Toc271898749"/>
      <w:bookmarkStart w:id="241" w:name="_Toc294247811"/>
      <w:bookmarkStart w:id="242" w:name="_Toc145275192"/>
      <w:bookmarkStart w:id="243" w:name="_Toc173077658"/>
      <w:bookmarkStart w:id="244" w:name="_Toc181194065"/>
      <w:bookmarkStart w:id="245" w:name="_Toc294247647"/>
      <w:bookmarkStart w:id="246" w:name="_Toc58861986"/>
      <w:r>
        <w:rPr>
          <w:rFonts w:hint="eastAsia" w:ascii="黑体" w:hAnsi="黑体" w:eastAsia="黑体"/>
          <w:b w:val="0"/>
          <w:sz w:val="30"/>
          <w:szCs w:val="30"/>
        </w:rPr>
        <w:t>3.</w:t>
      </w:r>
      <w:r>
        <w:rPr>
          <w:rFonts w:ascii="黑体" w:hAnsi="黑体" w:eastAsia="黑体"/>
          <w:b w:val="0"/>
          <w:sz w:val="30"/>
          <w:szCs w:val="30"/>
        </w:rPr>
        <w:t>3</w:t>
      </w:r>
      <w:r>
        <w:rPr>
          <w:rFonts w:hint="eastAsia" w:ascii="黑体" w:hAnsi="黑体" w:eastAsia="黑体"/>
          <w:b w:val="0"/>
          <w:sz w:val="30"/>
          <w:szCs w:val="30"/>
        </w:rPr>
        <w:t>.3其他原料</w:t>
      </w:r>
      <w:bookmarkEnd w:id="236"/>
      <w:bookmarkEnd w:id="237"/>
      <w:bookmarkEnd w:id="238"/>
      <w:bookmarkEnd w:id="239"/>
      <w:bookmarkEnd w:id="240"/>
      <w:bookmarkEnd w:id="241"/>
      <w:bookmarkEnd w:id="242"/>
      <w:bookmarkEnd w:id="243"/>
      <w:bookmarkEnd w:id="244"/>
      <w:bookmarkEnd w:id="245"/>
      <w:bookmarkEnd w:id="246"/>
    </w:p>
    <w:p w14:paraId="4119F7E9">
      <w:pPr>
        <w:spacing w:line="360" w:lineRule="auto"/>
        <w:ind w:firstLine="552" w:firstLineChars="200"/>
        <w:rPr>
          <w:b w:val="0"/>
          <w:bCs/>
          <w:spacing w:val="-2"/>
          <w:sz w:val="28"/>
          <w:szCs w:val="28"/>
        </w:rPr>
      </w:pPr>
      <w:r>
        <w:rPr>
          <w:b w:val="0"/>
          <w:bCs/>
          <w:spacing w:val="-2"/>
          <w:sz w:val="28"/>
          <w:szCs w:val="28"/>
        </w:rPr>
        <w:t>在黑火药生产过程中，还要使用纸张（主要有防潮纸）作包装材料，为易燃物品，遇高热、明火易燃烧，具有火灾危险。使用、贮存过程中应加强管理，远离热源和火源</w:t>
      </w:r>
      <w:r>
        <w:rPr>
          <w:rFonts w:hint="eastAsia"/>
          <w:b w:val="0"/>
          <w:bCs/>
          <w:spacing w:val="-2"/>
          <w:sz w:val="28"/>
          <w:szCs w:val="28"/>
        </w:rPr>
        <w:t>。</w:t>
      </w:r>
    </w:p>
    <w:p w14:paraId="1C488927">
      <w:pPr>
        <w:spacing w:before="120" w:beforeLines="50" w:line="360" w:lineRule="auto"/>
        <w:outlineLvl w:val="2"/>
        <w:rPr>
          <w:rFonts w:ascii="黑体" w:hAnsi="黑体" w:eastAsia="黑体"/>
          <w:b w:val="0"/>
          <w:sz w:val="30"/>
          <w:szCs w:val="30"/>
        </w:rPr>
      </w:pPr>
      <w:r>
        <w:rPr>
          <w:rFonts w:hint="eastAsia" w:ascii="黑体" w:hAnsi="黑体" w:eastAsia="黑体"/>
          <w:b w:val="0"/>
          <w:sz w:val="30"/>
          <w:szCs w:val="30"/>
        </w:rPr>
        <w:t>3.</w:t>
      </w:r>
      <w:r>
        <w:rPr>
          <w:rFonts w:ascii="黑体" w:hAnsi="黑体" w:eastAsia="黑体"/>
          <w:b w:val="0"/>
          <w:sz w:val="30"/>
          <w:szCs w:val="30"/>
        </w:rPr>
        <w:t>3</w:t>
      </w:r>
      <w:r>
        <w:rPr>
          <w:rFonts w:hint="eastAsia" w:ascii="黑体" w:hAnsi="黑体" w:eastAsia="黑体"/>
          <w:b w:val="0"/>
          <w:sz w:val="30"/>
          <w:szCs w:val="30"/>
        </w:rPr>
        <w:t>.4半成品及成品</w:t>
      </w:r>
    </w:p>
    <w:p w14:paraId="25C2590A">
      <w:pPr>
        <w:spacing w:line="360" w:lineRule="auto"/>
        <w:ind w:firstLine="560" w:firstLineChars="200"/>
        <w:jc w:val="left"/>
        <w:rPr>
          <w:rFonts w:ascii="宋体" w:hAnsi="宋体"/>
          <w:b w:val="0"/>
          <w:bCs/>
          <w:color w:val="000000" w:themeColor="text1"/>
          <w:sz w:val="28"/>
          <w:szCs w:val="28"/>
          <w14:textFill>
            <w14:solidFill>
              <w14:schemeClr w14:val="tx1"/>
            </w14:solidFill>
          </w14:textFill>
        </w:rPr>
      </w:pPr>
      <w:r>
        <w:rPr>
          <w:rFonts w:hint="eastAsia" w:ascii="宋体" w:hAnsi="宋体"/>
          <w:b w:val="0"/>
          <w:bCs/>
          <w:color w:val="000000" w:themeColor="text1"/>
          <w:sz w:val="28"/>
          <w:szCs w:val="28"/>
          <w14:textFill>
            <w14:solidFill>
              <w14:schemeClr w14:val="tx1"/>
            </w14:solidFill>
          </w14:textFill>
        </w:rPr>
        <w:t>黑火药半成品是指在黑火药生产过程中某些生产阶段上已完工，尚需进一步加工成型的中间产品。由于半成品没有包装，受到摩擦、火花、震动、撞击和静电等作用极易发生燃烧或爆炸。</w:t>
      </w:r>
    </w:p>
    <w:p w14:paraId="2BDE8D21">
      <w:pPr>
        <w:spacing w:line="360" w:lineRule="auto"/>
        <w:ind w:firstLine="560" w:firstLineChars="200"/>
        <w:rPr>
          <w:rFonts w:ascii="宋体" w:hAnsi="宋体"/>
          <w:b w:val="0"/>
          <w:bCs/>
          <w:color w:val="000000" w:themeColor="text1"/>
          <w:sz w:val="28"/>
          <w:szCs w:val="28"/>
          <w14:textFill>
            <w14:solidFill>
              <w14:schemeClr w14:val="tx1"/>
            </w14:solidFill>
          </w14:textFill>
        </w:rPr>
      </w:pPr>
      <w:r>
        <w:rPr>
          <w:rFonts w:hint="eastAsia" w:ascii="宋体" w:hAnsi="宋体"/>
          <w:b w:val="0"/>
          <w:bCs/>
          <w:color w:val="000000" w:themeColor="text1"/>
          <w:sz w:val="28"/>
          <w:szCs w:val="28"/>
          <w14:textFill>
            <w14:solidFill>
              <w14:schemeClr w14:val="tx1"/>
            </w14:solidFill>
          </w14:textFill>
        </w:rPr>
        <w:t>黑火药（粒状）、黑火药（粉状）产品分散装成品和包装成箱成品。危险性较大，易产生爆炸。</w:t>
      </w:r>
    </w:p>
    <w:p w14:paraId="13D9032F">
      <w:pPr>
        <w:spacing w:line="360" w:lineRule="auto"/>
        <w:ind w:firstLine="560" w:firstLineChars="200"/>
        <w:rPr>
          <w:rFonts w:ascii="宋体" w:hAnsi="宋体"/>
          <w:b w:val="0"/>
          <w:bCs/>
          <w:color w:val="000000" w:themeColor="text1"/>
          <w:sz w:val="28"/>
          <w:szCs w:val="28"/>
          <w14:textFill>
            <w14:solidFill>
              <w14:schemeClr w14:val="tx1"/>
            </w14:solidFill>
          </w14:textFill>
        </w:rPr>
      </w:pPr>
      <w:r>
        <w:rPr>
          <w:rFonts w:hint="eastAsia" w:ascii="宋体" w:hAnsi="宋体"/>
          <w:b w:val="0"/>
          <w:bCs/>
          <w:color w:val="000000" w:themeColor="text1"/>
          <w:sz w:val="28"/>
          <w:szCs w:val="28"/>
          <w14:textFill>
            <w14:solidFill>
              <w14:schemeClr w14:val="tx1"/>
            </w14:solidFill>
          </w14:textFill>
        </w:rPr>
        <w:t>黑火药物性参数及对其危险的应对措施列于表</w:t>
      </w:r>
      <w:r>
        <w:rPr>
          <w:rFonts w:ascii="宋体" w:hAnsi="宋体"/>
          <w:b w:val="0"/>
          <w:bCs/>
          <w:color w:val="000000" w:themeColor="text1"/>
          <w:sz w:val="28"/>
          <w:szCs w:val="28"/>
          <w14:textFill>
            <w14:solidFill>
              <w14:schemeClr w14:val="tx1"/>
            </w14:solidFill>
          </w14:textFill>
        </w:rPr>
        <w:t>3</w:t>
      </w:r>
      <w:r>
        <w:rPr>
          <w:rFonts w:hint="eastAsia" w:ascii="宋体" w:hAnsi="宋体"/>
          <w:b w:val="0"/>
          <w:bCs/>
          <w:color w:val="000000" w:themeColor="text1"/>
          <w:sz w:val="28"/>
          <w:szCs w:val="28"/>
          <w14:textFill>
            <w14:solidFill>
              <w14:schemeClr w14:val="tx1"/>
            </w14:solidFill>
          </w14:textFill>
        </w:rPr>
        <w:t>.2-6。</w:t>
      </w:r>
    </w:p>
    <w:p w14:paraId="793BFFE1">
      <w:pPr>
        <w:rPr>
          <w:rFonts w:hint="eastAsia" w:ascii="黑体" w:hAnsi="宋体" w:eastAsia="黑体"/>
          <w:b w:val="0"/>
          <w:sz w:val="24"/>
        </w:rPr>
      </w:pPr>
      <w:r>
        <w:rPr>
          <w:rFonts w:hint="eastAsia" w:ascii="黑体" w:hAnsi="宋体" w:eastAsia="黑体"/>
          <w:b w:val="0"/>
          <w:sz w:val="24"/>
        </w:rPr>
        <w:br w:type="page"/>
      </w:r>
    </w:p>
    <w:p w14:paraId="075BCD89">
      <w:pPr>
        <w:jc w:val="center"/>
        <w:rPr>
          <w:rFonts w:ascii="黑体" w:hAnsi="宋体" w:eastAsia="黑体"/>
          <w:b w:val="0"/>
          <w:sz w:val="24"/>
        </w:rPr>
      </w:pPr>
      <w:r>
        <w:rPr>
          <w:rFonts w:hint="eastAsia" w:ascii="黑体" w:hAnsi="宋体" w:eastAsia="黑体"/>
          <w:b w:val="0"/>
          <w:sz w:val="24"/>
        </w:rPr>
        <w:t>表3.3-</w:t>
      </w:r>
      <w:r>
        <w:rPr>
          <w:rFonts w:ascii="黑体" w:hAnsi="宋体" w:eastAsia="黑体"/>
          <w:b w:val="0"/>
          <w:sz w:val="24"/>
        </w:rPr>
        <w:t xml:space="preserve">6 </w:t>
      </w:r>
      <w:r>
        <w:rPr>
          <w:rFonts w:hint="eastAsia" w:ascii="黑体" w:hAnsi="宋体" w:eastAsia="黑体"/>
          <w:b w:val="0"/>
          <w:sz w:val="24"/>
        </w:rPr>
        <w:t>黑火药的物性参数及对危险的应对措施</w:t>
      </w:r>
    </w:p>
    <w:tbl>
      <w:tblPr>
        <w:tblStyle w:val="88"/>
        <w:tblW w:w="899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6"/>
        <w:gridCol w:w="8013"/>
      </w:tblGrid>
      <w:tr w14:paraId="001F5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986" w:type="dxa"/>
            <w:vAlign w:val="center"/>
          </w:tcPr>
          <w:p w14:paraId="67E8C1BB">
            <w:pPr>
              <w:adjustRightInd w:val="0"/>
              <w:snapToGrid w:val="0"/>
              <w:jc w:val="center"/>
              <w:rPr>
                <w:rFonts w:ascii="宋体" w:hAnsi="宋体"/>
                <w:b w:val="0"/>
                <w:szCs w:val="21"/>
              </w:rPr>
            </w:pPr>
            <w:r>
              <w:rPr>
                <w:rFonts w:hint="eastAsia" w:ascii="宋体" w:hAnsi="宋体"/>
                <w:b w:val="0"/>
                <w:szCs w:val="21"/>
              </w:rPr>
              <w:t>标 识</w:t>
            </w:r>
          </w:p>
        </w:tc>
        <w:tc>
          <w:tcPr>
            <w:tcW w:w="8013" w:type="dxa"/>
          </w:tcPr>
          <w:p w14:paraId="675D0F47">
            <w:pPr>
              <w:adjustRightInd w:val="0"/>
              <w:snapToGrid w:val="0"/>
              <w:rPr>
                <w:rFonts w:ascii="宋体" w:hAnsi="宋体"/>
                <w:b w:val="0"/>
                <w:szCs w:val="21"/>
              </w:rPr>
            </w:pPr>
            <w:r>
              <w:rPr>
                <w:rFonts w:hint="eastAsia" w:ascii="宋体" w:hAnsi="宋体"/>
                <w:b w:val="0"/>
                <w:szCs w:val="21"/>
              </w:rPr>
              <w:t>中文名称：黑火药                    英文名：</w:t>
            </w:r>
            <w:r>
              <w:rPr>
                <w:rFonts w:ascii="宋体" w:hAnsi="宋体"/>
                <w:b w:val="0"/>
                <w:szCs w:val="21"/>
              </w:rPr>
              <w:t>Black Powder</w:t>
            </w:r>
          </w:p>
          <w:p w14:paraId="782009A8">
            <w:pPr>
              <w:adjustRightInd w:val="0"/>
              <w:snapToGrid w:val="0"/>
              <w:rPr>
                <w:rFonts w:ascii="宋体" w:hAnsi="宋体"/>
                <w:b w:val="0"/>
                <w:szCs w:val="21"/>
              </w:rPr>
            </w:pPr>
            <w:r>
              <w:rPr>
                <w:rFonts w:hint="eastAsia" w:ascii="宋体" w:hAnsi="宋体"/>
                <w:b w:val="0"/>
                <w:szCs w:val="21"/>
              </w:rPr>
              <w:t xml:space="preserve">组成：硝酸钾、木炭、硫；            危险性类别：第1类  爆炸品  </w:t>
            </w:r>
          </w:p>
        </w:tc>
      </w:tr>
      <w:tr w14:paraId="3A80A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986" w:type="dxa"/>
            <w:vAlign w:val="center"/>
          </w:tcPr>
          <w:p w14:paraId="4E4C3D8D">
            <w:pPr>
              <w:adjustRightInd w:val="0"/>
              <w:snapToGrid w:val="0"/>
              <w:jc w:val="center"/>
              <w:rPr>
                <w:rFonts w:ascii="宋体" w:hAnsi="宋体"/>
                <w:b w:val="0"/>
                <w:szCs w:val="21"/>
              </w:rPr>
            </w:pPr>
            <w:r>
              <w:rPr>
                <w:rFonts w:ascii="宋体" w:hAnsi="宋体"/>
                <w:b w:val="0"/>
                <w:szCs w:val="21"/>
              </w:rPr>
              <w:t>理</w:t>
            </w:r>
            <w:r>
              <w:rPr>
                <w:rFonts w:hint="eastAsia" w:ascii="宋体" w:hAnsi="宋体"/>
                <w:b w:val="0"/>
                <w:szCs w:val="21"/>
              </w:rPr>
              <w:t xml:space="preserve"> </w:t>
            </w:r>
            <w:r>
              <w:rPr>
                <w:rFonts w:ascii="宋体" w:hAnsi="宋体"/>
                <w:b w:val="0"/>
                <w:szCs w:val="21"/>
              </w:rPr>
              <w:t>化</w:t>
            </w:r>
          </w:p>
          <w:p w14:paraId="5DE2227D">
            <w:pPr>
              <w:adjustRightInd w:val="0"/>
              <w:snapToGrid w:val="0"/>
              <w:jc w:val="center"/>
              <w:rPr>
                <w:rFonts w:ascii="宋体" w:hAnsi="宋体"/>
                <w:b w:val="0"/>
                <w:szCs w:val="21"/>
              </w:rPr>
            </w:pPr>
            <w:r>
              <w:rPr>
                <w:rFonts w:hint="eastAsia" w:ascii="宋体" w:hAnsi="宋体"/>
                <w:b w:val="0"/>
                <w:szCs w:val="21"/>
              </w:rPr>
              <w:t>性 质</w:t>
            </w:r>
          </w:p>
        </w:tc>
        <w:tc>
          <w:tcPr>
            <w:tcW w:w="8013" w:type="dxa"/>
          </w:tcPr>
          <w:p w14:paraId="4751FC96">
            <w:pPr>
              <w:adjustRightInd w:val="0"/>
              <w:snapToGrid w:val="0"/>
              <w:rPr>
                <w:rFonts w:ascii="宋体" w:hAnsi="宋体"/>
                <w:b w:val="0"/>
                <w:szCs w:val="21"/>
              </w:rPr>
            </w:pPr>
            <w:r>
              <w:rPr>
                <w:rFonts w:hint="eastAsia" w:ascii="宋体" w:hAnsi="宋体"/>
                <w:b w:val="0"/>
                <w:szCs w:val="21"/>
              </w:rPr>
              <w:t>撞击感度：10Kg落锤25cm落高，爆炸率100%；</w:t>
            </w:r>
          </w:p>
          <w:p w14:paraId="2F53E4E7">
            <w:pPr>
              <w:adjustRightInd w:val="0"/>
              <w:snapToGrid w:val="0"/>
              <w:rPr>
                <w:rFonts w:ascii="宋体" w:hAnsi="宋体"/>
                <w:b w:val="0"/>
                <w:szCs w:val="21"/>
              </w:rPr>
            </w:pPr>
            <w:r>
              <w:rPr>
                <w:rFonts w:hint="eastAsia" w:ascii="宋体" w:hAnsi="宋体"/>
                <w:b w:val="0"/>
                <w:szCs w:val="21"/>
              </w:rPr>
              <w:t>摩擦摆试验：爆炸率100%；爆发点：290～310℃；</w:t>
            </w:r>
          </w:p>
          <w:p w14:paraId="408146AA">
            <w:pPr>
              <w:adjustRightInd w:val="0"/>
              <w:snapToGrid w:val="0"/>
              <w:rPr>
                <w:rFonts w:ascii="宋体" w:hAnsi="宋体"/>
                <w:b w:val="0"/>
                <w:szCs w:val="21"/>
              </w:rPr>
            </w:pPr>
            <w:r>
              <w:rPr>
                <w:rFonts w:hint="eastAsia" w:ascii="宋体" w:hAnsi="宋体"/>
                <w:b w:val="0"/>
                <w:szCs w:val="21"/>
              </w:rPr>
              <w:t>爆炸气体温度：2200～2300℃；比容：280l/Kg；</w:t>
            </w:r>
          </w:p>
        </w:tc>
      </w:tr>
      <w:tr w14:paraId="15E50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86" w:type="dxa"/>
            <w:vAlign w:val="center"/>
          </w:tcPr>
          <w:p w14:paraId="755121A0">
            <w:pPr>
              <w:adjustRightInd w:val="0"/>
              <w:snapToGrid w:val="0"/>
              <w:jc w:val="center"/>
              <w:rPr>
                <w:rFonts w:ascii="宋体" w:hAnsi="宋体"/>
                <w:b w:val="0"/>
                <w:szCs w:val="21"/>
              </w:rPr>
            </w:pPr>
            <w:r>
              <w:rPr>
                <w:rFonts w:hint="eastAsia" w:ascii="宋体" w:hAnsi="宋体"/>
                <w:b w:val="0"/>
                <w:szCs w:val="21"/>
              </w:rPr>
              <w:t>危险有害特性</w:t>
            </w:r>
          </w:p>
        </w:tc>
        <w:tc>
          <w:tcPr>
            <w:tcW w:w="8013" w:type="dxa"/>
          </w:tcPr>
          <w:p w14:paraId="4483F89A">
            <w:pPr>
              <w:adjustRightInd w:val="0"/>
              <w:snapToGrid w:val="0"/>
              <w:rPr>
                <w:rFonts w:ascii="宋体" w:hAnsi="宋体"/>
                <w:b w:val="0"/>
                <w:szCs w:val="21"/>
              </w:rPr>
            </w:pPr>
            <w:r>
              <w:rPr>
                <w:rFonts w:hint="eastAsia" w:ascii="宋体" w:hAnsi="宋体"/>
                <w:b w:val="0"/>
                <w:szCs w:val="21"/>
              </w:rPr>
              <w:t xml:space="preserve">危 险 性：火焰感度高，在火和火花的作用下很容易引起燃烧或爆炸。易燃；受热，接触明火或受到摩擦、振动、撞击时可发生爆炸。 </w:t>
            </w:r>
          </w:p>
        </w:tc>
      </w:tr>
      <w:tr w14:paraId="0DC25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86" w:type="dxa"/>
            <w:vAlign w:val="center"/>
          </w:tcPr>
          <w:p w14:paraId="0D63C9F9">
            <w:pPr>
              <w:adjustRightInd w:val="0"/>
              <w:snapToGrid w:val="0"/>
              <w:jc w:val="center"/>
              <w:rPr>
                <w:rFonts w:ascii="宋体" w:hAnsi="宋体"/>
                <w:b w:val="0"/>
                <w:szCs w:val="21"/>
              </w:rPr>
            </w:pPr>
            <w:r>
              <w:rPr>
                <w:rFonts w:hint="eastAsia" w:ascii="宋体" w:hAnsi="宋体"/>
                <w:b w:val="0"/>
                <w:szCs w:val="21"/>
              </w:rPr>
              <w:t>急救</w:t>
            </w:r>
          </w:p>
        </w:tc>
        <w:tc>
          <w:tcPr>
            <w:tcW w:w="8013" w:type="dxa"/>
          </w:tcPr>
          <w:p w14:paraId="484803B0">
            <w:pPr>
              <w:adjustRightInd w:val="0"/>
              <w:snapToGrid w:val="0"/>
              <w:rPr>
                <w:rFonts w:ascii="宋体" w:hAnsi="宋体"/>
                <w:b w:val="0"/>
                <w:szCs w:val="21"/>
              </w:rPr>
            </w:pPr>
            <w:r>
              <w:rPr>
                <w:rFonts w:ascii="宋体" w:hAnsi="宋体"/>
                <w:b w:val="0"/>
                <w:szCs w:val="21"/>
              </w:rPr>
              <w:t>消防措施：</w:t>
            </w:r>
            <w:r>
              <w:rPr>
                <w:rFonts w:hint="eastAsia" w:ascii="宋体" w:hAnsi="宋体"/>
                <w:b w:val="0"/>
                <w:szCs w:val="21"/>
              </w:rPr>
              <w:t xml:space="preserve">消防人员须在有防爆掩蔽处操作。用大量水灭火。遇大火须远离以防炸伤。在物料附近失火，须用水保持容器冷却。禁止用砂土压盖。 </w:t>
            </w:r>
          </w:p>
        </w:tc>
      </w:tr>
      <w:tr w14:paraId="4C20D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86" w:type="dxa"/>
            <w:vAlign w:val="center"/>
          </w:tcPr>
          <w:p w14:paraId="730C0F2D">
            <w:pPr>
              <w:adjustRightInd w:val="0"/>
              <w:snapToGrid w:val="0"/>
              <w:jc w:val="center"/>
              <w:rPr>
                <w:rFonts w:ascii="宋体" w:hAnsi="宋体"/>
                <w:b w:val="0"/>
                <w:szCs w:val="21"/>
              </w:rPr>
            </w:pPr>
            <w:r>
              <w:rPr>
                <w:rFonts w:hint="eastAsia" w:ascii="宋体" w:hAnsi="宋体"/>
                <w:b w:val="0"/>
                <w:szCs w:val="21"/>
              </w:rPr>
              <w:t>防护</w:t>
            </w:r>
          </w:p>
        </w:tc>
        <w:tc>
          <w:tcPr>
            <w:tcW w:w="8013" w:type="dxa"/>
            <w:vAlign w:val="center"/>
          </w:tcPr>
          <w:p w14:paraId="30AF3213">
            <w:pPr>
              <w:adjustRightInd w:val="0"/>
              <w:snapToGrid w:val="0"/>
              <w:rPr>
                <w:rFonts w:ascii="宋体" w:hAnsi="宋体"/>
                <w:b w:val="0"/>
                <w:szCs w:val="21"/>
              </w:rPr>
            </w:pPr>
            <w:r>
              <w:rPr>
                <w:rFonts w:hint="eastAsia" w:ascii="宋体" w:hAnsi="宋体"/>
                <w:b w:val="0"/>
                <w:szCs w:val="21"/>
              </w:rPr>
              <w:t>有粉尘时应穿戴好劳动护品。</w:t>
            </w:r>
          </w:p>
        </w:tc>
      </w:tr>
      <w:tr w14:paraId="416A0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986" w:type="dxa"/>
            <w:vAlign w:val="center"/>
          </w:tcPr>
          <w:p w14:paraId="241D328F">
            <w:pPr>
              <w:adjustRightInd w:val="0"/>
              <w:snapToGrid w:val="0"/>
              <w:jc w:val="center"/>
              <w:rPr>
                <w:rFonts w:ascii="宋体" w:hAnsi="宋体"/>
                <w:b w:val="0"/>
                <w:szCs w:val="21"/>
              </w:rPr>
            </w:pPr>
            <w:r>
              <w:rPr>
                <w:rFonts w:ascii="宋体" w:hAnsi="宋体"/>
                <w:b w:val="0"/>
                <w:szCs w:val="21"/>
              </w:rPr>
              <w:t>储</w:t>
            </w:r>
            <w:r>
              <w:rPr>
                <w:rFonts w:hint="eastAsia" w:ascii="宋体" w:hAnsi="宋体"/>
                <w:b w:val="0"/>
                <w:szCs w:val="21"/>
              </w:rPr>
              <w:t xml:space="preserve"> </w:t>
            </w:r>
            <w:r>
              <w:rPr>
                <w:rFonts w:ascii="宋体" w:hAnsi="宋体"/>
                <w:b w:val="0"/>
                <w:szCs w:val="21"/>
              </w:rPr>
              <w:t>运</w:t>
            </w:r>
          </w:p>
        </w:tc>
        <w:tc>
          <w:tcPr>
            <w:tcW w:w="8013" w:type="dxa"/>
            <w:vAlign w:val="center"/>
          </w:tcPr>
          <w:p w14:paraId="0F29608F">
            <w:pPr>
              <w:adjustRightInd w:val="0"/>
              <w:snapToGrid w:val="0"/>
              <w:rPr>
                <w:rFonts w:ascii="宋体" w:hAnsi="宋体"/>
                <w:b w:val="0"/>
                <w:szCs w:val="21"/>
              </w:rPr>
            </w:pPr>
            <w:r>
              <w:rPr>
                <w:rFonts w:hint="eastAsia" w:ascii="宋体" w:hAnsi="宋体"/>
                <w:b w:val="0"/>
                <w:szCs w:val="21"/>
              </w:rPr>
              <w:t>储存于按专业规范设计的仓库内，仓内要求通风阴凉。远离火种、热源。忌混储混运。储存间内的照明、通风等设施应采用防爆型，开关设在仓外。配备相应品种和数量的消防器材。搬运时要轻装轻卸。禁止震动、撞击和摩擦。</w:t>
            </w:r>
          </w:p>
        </w:tc>
      </w:tr>
    </w:tbl>
    <w:p w14:paraId="1AD3E3A0">
      <w:pPr>
        <w:spacing w:before="120" w:beforeLines="50" w:line="360" w:lineRule="auto"/>
        <w:outlineLvl w:val="2"/>
        <w:rPr>
          <w:rFonts w:ascii="黑体" w:hAnsi="黑体" w:eastAsia="黑体"/>
          <w:b w:val="0"/>
          <w:sz w:val="30"/>
          <w:szCs w:val="30"/>
        </w:rPr>
      </w:pPr>
      <w:bookmarkStart w:id="247" w:name="_Toc53314970"/>
      <w:bookmarkStart w:id="248" w:name="_Toc1522"/>
      <w:bookmarkStart w:id="249" w:name="_Toc181194068"/>
      <w:bookmarkStart w:id="250" w:name="_Toc58946821"/>
      <w:bookmarkStart w:id="251" w:name="_Toc58861989"/>
      <w:bookmarkStart w:id="252" w:name="_Toc145275195"/>
      <w:bookmarkStart w:id="253" w:name="_Toc148036990"/>
      <w:bookmarkStart w:id="254" w:name="_Toc60129104"/>
      <w:bookmarkStart w:id="255" w:name="_Toc173077661"/>
      <w:bookmarkStart w:id="256" w:name="_Toc335902402"/>
      <w:bookmarkStart w:id="257" w:name="_Toc303076672"/>
      <w:bookmarkStart w:id="258" w:name="_Toc294247814"/>
      <w:bookmarkStart w:id="259" w:name="_Toc35352241"/>
      <w:bookmarkStart w:id="260" w:name="_Toc271898752"/>
      <w:bookmarkStart w:id="261" w:name="_Toc335902403"/>
      <w:bookmarkStart w:id="262" w:name="_Toc294247815"/>
      <w:bookmarkStart w:id="263" w:name="_Toc237224713"/>
      <w:bookmarkStart w:id="264" w:name="_Toc271898753"/>
      <w:bookmarkStart w:id="265" w:name="_Toc213127078"/>
      <w:r>
        <w:rPr>
          <w:rFonts w:hint="eastAsia" w:ascii="黑体" w:hAnsi="黑体" w:eastAsia="黑体"/>
          <w:b w:val="0"/>
          <w:sz w:val="30"/>
          <w:szCs w:val="30"/>
        </w:rPr>
        <w:t>3</w:t>
      </w:r>
      <w:bookmarkEnd w:id="247"/>
      <w:bookmarkEnd w:id="248"/>
      <w:r>
        <w:rPr>
          <w:rFonts w:hint="eastAsia" w:ascii="黑体" w:hAnsi="黑体" w:eastAsia="黑体"/>
          <w:b w:val="0"/>
          <w:sz w:val="30"/>
          <w:szCs w:val="30"/>
        </w:rPr>
        <w:t>.</w:t>
      </w:r>
      <w:r>
        <w:rPr>
          <w:rFonts w:ascii="黑体" w:hAnsi="黑体" w:eastAsia="黑体"/>
          <w:b w:val="0"/>
          <w:sz w:val="30"/>
          <w:szCs w:val="30"/>
        </w:rPr>
        <w:t>3</w:t>
      </w:r>
      <w:r>
        <w:rPr>
          <w:rFonts w:hint="eastAsia" w:ascii="黑体" w:hAnsi="黑体" w:eastAsia="黑体"/>
          <w:b w:val="0"/>
          <w:sz w:val="30"/>
          <w:szCs w:val="30"/>
        </w:rPr>
        <w:t>.</w:t>
      </w:r>
      <w:r>
        <w:rPr>
          <w:rFonts w:ascii="黑体" w:hAnsi="黑体" w:eastAsia="黑体"/>
          <w:b w:val="0"/>
          <w:sz w:val="30"/>
          <w:szCs w:val="30"/>
        </w:rPr>
        <w:t>5</w:t>
      </w:r>
      <w:r>
        <w:rPr>
          <w:rFonts w:hint="eastAsia" w:ascii="黑体" w:hAnsi="黑体" w:eastAsia="黑体"/>
          <w:b w:val="0"/>
          <w:sz w:val="30"/>
          <w:szCs w:val="30"/>
        </w:rPr>
        <w:t>剧毒化学品、易制毒化学品、监控化学品、易制爆化学品辨识</w:t>
      </w:r>
      <w:bookmarkEnd w:id="249"/>
      <w:bookmarkEnd w:id="250"/>
      <w:bookmarkEnd w:id="251"/>
      <w:bookmarkEnd w:id="252"/>
      <w:bookmarkEnd w:id="253"/>
      <w:bookmarkEnd w:id="254"/>
      <w:bookmarkEnd w:id="255"/>
    </w:p>
    <w:p w14:paraId="4DD035E9">
      <w:pPr>
        <w:spacing w:line="360" w:lineRule="auto"/>
        <w:ind w:firstLine="560" w:firstLineChars="200"/>
        <w:rPr>
          <w:rFonts w:ascii="宋体" w:hAnsi="宋体"/>
          <w:b w:val="0"/>
          <w:sz w:val="28"/>
          <w:szCs w:val="28"/>
        </w:rPr>
      </w:pPr>
      <w:r>
        <w:rPr>
          <w:rFonts w:hint="eastAsia" w:ascii="宋体" w:hAnsi="宋体"/>
          <w:b w:val="0"/>
          <w:sz w:val="28"/>
          <w:szCs w:val="28"/>
        </w:rPr>
        <w:t>依据《危险化学品目录》（2015版）辨识，该企业在生产、储存中无剧毒化学品。依据《易制毒化学品管理条例》（国务院令〔2018〕第703号修改）中的附表《易制毒化学品的分类和品种目录》辨识，该企业在生产、储存中无易制毒化学品。依据《</w:t>
      </w:r>
      <w:r>
        <w:rPr>
          <w:rFonts w:ascii="宋体" w:hAnsi="宋体"/>
          <w:b w:val="0"/>
          <w:sz w:val="28"/>
          <w:szCs w:val="28"/>
        </w:rPr>
        <w:t>监控化学品管理条例</w:t>
      </w:r>
      <w:r>
        <w:rPr>
          <w:rFonts w:hint="eastAsia" w:ascii="宋体" w:hAnsi="宋体"/>
          <w:b w:val="0"/>
          <w:sz w:val="28"/>
          <w:szCs w:val="28"/>
        </w:rPr>
        <w:t>》（</w:t>
      </w:r>
      <w:r>
        <w:rPr>
          <w:rFonts w:ascii="宋体" w:hAnsi="宋体"/>
          <w:b w:val="0"/>
          <w:sz w:val="28"/>
          <w:szCs w:val="28"/>
        </w:rPr>
        <w:t>国务院令</w:t>
      </w:r>
      <w:r>
        <w:rPr>
          <w:rFonts w:hint="eastAsia" w:ascii="宋体" w:hAnsi="宋体"/>
          <w:b w:val="0"/>
          <w:sz w:val="28"/>
          <w:szCs w:val="28"/>
        </w:rPr>
        <w:t>〔2011〕</w:t>
      </w:r>
      <w:r>
        <w:rPr>
          <w:rFonts w:ascii="宋体" w:hAnsi="宋体"/>
          <w:b w:val="0"/>
          <w:sz w:val="28"/>
          <w:szCs w:val="28"/>
        </w:rPr>
        <w:t>第</w:t>
      </w:r>
      <w:r>
        <w:rPr>
          <w:rFonts w:hint="eastAsia" w:ascii="宋体" w:hAnsi="宋体"/>
          <w:b w:val="0"/>
          <w:sz w:val="28"/>
          <w:szCs w:val="28"/>
        </w:rPr>
        <w:t>588</w:t>
      </w:r>
      <w:r>
        <w:rPr>
          <w:rFonts w:ascii="宋体" w:hAnsi="宋体"/>
          <w:b w:val="0"/>
          <w:sz w:val="28"/>
          <w:szCs w:val="28"/>
        </w:rPr>
        <w:t>号</w:t>
      </w:r>
      <w:r>
        <w:rPr>
          <w:rFonts w:hint="eastAsia" w:ascii="宋体" w:hAnsi="宋体"/>
          <w:b w:val="0"/>
          <w:sz w:val="28"/>
          <w:szCs w:val="28"/>
        </w:rPr>
        <w:t>修改）中辨识，该企业在生产、储存中无监控化学品。</w:t>
      </w:r>
    </w:p>
    <w:p w14:paraId="47B0FBBE">
      <w:pPr>
        <w:spacing w:line="360" w:lineRule="auto"/>
        <w:ind w:firstLine="560" w:firstLineChars="200"/>
        <w:rPr>
          <w:rFonts w:ascii="黑体" w:hAnsi="宋体" w:eastAsia="黑体"/>
          <w:b w:val="0"/>
          <w:sz w:val="24"/>
        </w:rPr>
      </w:pPr>
      <w:r>
        <w:rPr>
          <w:rFonts w:hint="eastAsia" w:ascii="宋体" w:hAnsi="宋体"/>
          <w:b w:val="0"/>
          <w:sz w:val="28"/>
          <w:szCs w:val="28"/>
        </w:rPr>
        <w:t>根据公安部《易制爆危险化学品名录》（2017年版），本项目涉及易制爆化学品辨识情况如表</w:t>
      </w:r>
      <w:r>
        <w:rPr>
          <w:rFonts w:ascii="宋体" w:hAnsi="宋体"/>
          <w:b w:val="0"/>
          <w:sz w:val="28"/>
          <w:szCs w:val="28"/>
        </w:rPr>
        <w:t>3.3-7</w:t>
      </w:r>
      <w:r>
        <w:rPr>
          <w:rFonts w:hint="eastAsia" w:ascii="宋体" w:hAnsi="宋体"/>
          <w:b w:val="0"/>
          <w:sz w:val="28"/>
          <w:szCs w:val="28"/>
        </w:rPr>
        <w:t>。</w:t>
      </w:r>
    </w:p>
    <w:p w14:paraId="6BB68887">
      <w:pPr>
        <w:jc w:val="center"/>
        <w:rPr>
          <w:rFonts w:ascii="黑体" w:hAnsi="宋体" w:eastAsia="黑体"/>
          <w:b w:val="0"/>
          <w:sz w:val="24"/>
        </w:rPr>
      </w:pPr>
      <w:r>
        <w:rPr>
          <w:rFonts w:hint="eastAsia" w:ascii="黑体" w:hAnsi="宋体" w:eastAsia="黑体"/>
          <w:b w:val="0"/>
          <w:sz w:val="24"/>
        </w:rPr>
        <w:t>表3.</w:t>
      </w:r>
      <w:r>
        <w:rPr>
          <w:rFonts w:ascii="黑体" w:hAnsi="宋体" w:eastAsia="黑体"/>
          <w:b w:val="0"/>
          <w:sz w:val="24"/>
        </w:rPr>
        <w:t>3</w:t>
      </w:r>
      <w:r>
        <w:rPr>
          <w:rFonts w:hint="eastAsia" w:ascii="黑体" w:hAnsi="宋体" w:eastAsia="黑体"/>
          <w:b w:val="0"/>
          <w:sz w:val="24"/>
        </w:rPr>
        <w:t>-</w:t>
      </w:r>
      <w:r>
        <w:rPr>
          <w:rFonts w:ascii="黑体" w:hAnsi="宋体" w:eastAsia="黑体"/>
          <w:b w:val="0"/>
          <w:sz w:val="24"/>
        </w:rPr>
        <w:t>7</w:t>
      </w:r>
      <w:r>
        <w:rPr>
          <w:rFonts w:hint="eastAsia" w:ascii="黑体" w:hAnsi="宋体" w:eastAsia="黑体"/>
          <w:b w:val="0"/>
          <w:sz w:val="24"/>
        </w:rPr>
        <w:t xml:space="preserve"> 易制爆危险化学品辨识表</w:t>
      </w:r>
    </w:p>
    <w:tbl>
      <w:tblPr>
        <w:tblStyle w:val="88"/>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6"/>
        <w:gridCol w:w="1423"/>
        <w:gridCol w:w="1281"/>
        <w:gridCol w:w="1423"/>
        <w:gridCol w:w="4094"/>
      </w:tblGrid>
      <w:tr w14:paraId="5ED1E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41" w:hRule="atLeast"/>
          <w:tblHeader/>
          <w:jc w:val="center"/>
        </w:trPr>
        <w:tc>
          <w:tcPr>
            <w:tcW w:w="756" w:type="dxa"/>
            <w:vAlign w:val="center"/>
          </w:tcPr>
          <w:p w14:paraId="54A0A172">
            <w:pPr>
              <w:jc w:val="center"/>
              <w:rPr>
                <w:rFonts w:ascii="宋体" w:hAnsi="宋体"/>
                <w:szCs w:val="21"/>
              </w:rPr>
            </w:pPr>
            <w:r>
              <w:rPr>
                <w:rFonts w:hint="eastAsia" w:ascii="宋体" w:hAnsi="宋体"/>
                <w:szCs w:val="21"/>
              </w:rPr>
              <w:t>名录</w:t>
            </w:r>
            <w:r>
              <w:rPr>
                <w:rFonts w:ascii="宋体" w:hAnsi="宋体"/>
                <w:szCs w:val="21"/>
              </w:rPr>
              <w:t>序号</w:t>
            </w:r>
          </w:p>
        </w:tc>
        <w:tc>
          <w:tcPr>
            <w:tcW w:w="1423" w:type="dxa"/>
            <w:vAlign w:val="center"/>
          </w:tcPr>
          <w:p w14:paraId="315E7CBD">
            <w:pPr>
              <w:jc w:val="center"/>
              <w:rPr>
                <w:rFonts w:ascii="宋体" w:hAnsi="宋体"/>
                <w:szCs w:val="21"/>
              </w:rPr>
            </w:pPr>
            <w:r>
              <w:rPr>
                <w:rFonts w:ascii="宋体" w:hAnsi="宋体"/>
                <w:szCs w:val="21"/>
              </w:rPr>
              <w:t>品名</w:t>
            </w:r>
          </w:p>
        </w:tc>
        <w:tc>
          <w:tcPr>
            <w:tcW w:w="1281" w:type="dxa"/>
            <w:vAlign w:val="center"/>
          </w:tcPr>
          <w:p w14:paraId="10E42ED6">
            <w:pPr>
              <w:jc w:val="center"/>
              <w:rPr>
                <w:rFonts w:ascii="宋体" w:hAnsi="宋体"/>
                <w:szCs w:val="21"/>
              </w:rPr>
            </w:pPr>
            <w:r>
              <w:rPr>
                <w:rFonts w:ascii="宋体" w:hAnsi="宋体"/>
                <w:szCs w:val="21"/>
              </w:rPr>
              <w:t>别名</w:t>
            </w:r>
          </w:p>
        </w:tc>
        <w:tc>
          <w:tcPr>
            <w:tcW w:w="1423" w:type="dxa"/>
            <w:vAlign w:val="center"/>
          </w:tcPr>
          <w:p w14:paraId="1CE588DB">
            <w:pPr>
              <w:jc w:val="center"/>
              <w:rPr>
                <w:rFonts w:ascii="宋体" w:hAnsi="宋体"/>
                <w:szCs w:val="21"/>
              </w:rPr>
            </w:pPr>
            <w:r>
              <w:rPr>
                <w:rFonts w:ascii="宋体" w:hAnsi="宋体"/>
                <w:szCs w:val="21"/>
              </w:rPr>
              <w:t>CAS号</w:t>
            </w:r>
          </w:p>
        </w:tc>
        <w:tc>
          <w:tcPr>
            <w:tcW w:w="4094" w:type="dxa"/>
            <w:vAlign w:val="center"/>
          </w:tcPr>
          <w:p w14:paraId="2CC00D7B">
            <w:pPr>
              <w:ind w:left="4" w:leftChars="-9" w:hanging="23" w:hangingChars="11"/>
              <w:jc w:val="center"/>
              <w:rPr>
                <w:rFonts w:ascii="宋体" w:hAnsi="宋体"/>
                <w:szCs w:val="21"/>
              </w:rPr>
            </w:pPr>
            <w:r>
              <w:rPr>
                <w:rFonts w:ascii="宋体" w:hAnsi="宋体"/>
                <w:szCs w:val="21"/>
              </w:rPr>
              <w:t>主要的燃爆危险性分类</w:t>
            </w:r>
          </w:p>
        </w:tc>
      </w:tr>
      <w:tr w14:paraId="2AD7E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756" w:type="dxa"/>
            <w:vAlign w:val="center"/>
          </w:tcPr>
          <w:p w14:paraId="36556899">
            <w:pPr>
              <w:jc w:val="center"/>
              <w:rPr>
                <w:rFonts w:ascii="宋体" w:hAnsi="宋体"/>
                <w:b w:val="0"/>
                <w:szCs w:val="21"/>
              </w:rPr>
            </w:pPr>
            <w:r>
              <w:rPr>
                <w:rFonts w:ascii="宋体" w:hAnsi="宋体"/>
                <w:b w:val="0"/>
                <w:szCs w:val="21"/>
              </w:rPr>
              <w:t>2.2</w:t>
            </w:r>
          </w:p>
        </w:tc>
        <w:tc>
          <w:tcPr>
            <w:tcW w:w="1423" w:type="dxa"/>
            <w:vAlign w:val="center"/>
          </w:tcPr>
          <w:p w14:paraId="059A8C94">
            <w:pPr>
              <w:jc w:val="center"/>
              <w:rPr>
                <w:rFonts w:ascii="宋体" w:hAnsi="宋体"/>
                <w:b w:val="0"/>
                <w:szCs w:val="21"/>
              </w:rPr>
            </w:pPr>
            <w:r>
              <w:rPr>
                <w:rFonts w:ascii="宋体" w:hAnsi="宋体"/>
                <w:b w:val="0"/>
                <w:szCs w:val="21"/>
              </w:rPr>
              <w:t>硝酸钾</w:t>
            </w:r>
          </w:p>
        </w:tc>
        <w:tc>
          <w:tcPr>
            <w:tcW w:w="1281" w:type="dxa"/>
            <w:vAlign w:val="center"/>
          </w:tcPr>
          <w:p w14:paraId="150FB8D3">
            <w:pPr>
              <w:jc w:val="center"/>
              <w:rPr>
                <w:rFonts w:ascii="宋体" w:hAnsi="宋体"/>
                <w:b w:val="0"/>
                <w:szCs w:val="21"/>
              </w:rPr>
            </w:pPr>
            <w:r>
              <w:rPr>
                <w:rFonts w:hint="eastAsia" w:ascii="宋体" w:hAnsi="宋体"/>
                <w:b w:val="0"/>
                <w:szCs w:val="21"/>
              </w:rPr>
              <w:t>--</w:t>
            </w:r>
          </w:p>
        </w:tc>
        <w:tc>
          <w:tcPr>
            <w:tcW w:w="1423" w:type="dxa"/>
            <w:vAlign w:val="center"/>
          </w:tcPr>
          <w:p w14:paraId="17322CD4">
            <w:pPr>
              <w:jc w:val="center"/>
              <w:rPr>
                <w:rFonts w:ascii="宋体" w:hAnsi="宋体"/>
                <w:b w:val="0"/>
                <w:szCs w:val="21"/>
              </w:rPr>
            </w:pPr>
            <w:r>
              <w:rPr>
                <w:rFonts w:ascii="宋体" w:hAnsi="宋体"/>
                <w:b w:val="0"/>
                <w:szCs w:val="21"/>
              </w:rPr>
              <w:t>7757-79-1</w:t>
            </w:r>
          </w:p>
        </w:tc>
        <w:tc>
          <w:tcPr>
            <w:tcW w:w="4094" w:type="dxa"/>
            <w:vAlign w:val="center"/>
          </w:tcPr>
          <w:p w14:paraId="7AEE8100">
            <w:pPr>
              <w:jc w:val="left"/>
              <w:rPr>
                <w:rFonts w:ascii="宋体" w:hAnsi="宋体"/>
                <w:b w:val="0"/>
                <w:szCs w:val="21"/>
              </w:rPr>
            </w:pPr>
            <w:r>
              <w:rPr>
                <w:rFonts w:ascii="宋体" w:hAnsi="宋体"/>
                <w:b w:val="0"/>
                <w:szCs w:val="21"/>
              </w:rPr>
              <w:t>氧化性固体，类别3</w:t>
            </w:r>
          </w:p>
        </w:tc>
      </w:tr>
      <w:tr w14:paraId="3212A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756" w:type="dxa"/>
            <w:vAlign w:val="center"/>
          </w:tcPr>
          <w:p w14:paraId="37001D9F">
            <w:pPr>
              <w:jc w:val="center"/>
              <w:rPr>
                <w:rFonts w:ascii="宋体" w:hAnsi="宋体"/>
                <w:b w:val="0"/>
                <w:szCs w:val="21"/>
              </w:rPr>
            </w:pPr>
            <w:r>
              <w:rPr>
                <w:rFonts w:ascii="宋体" w:hAnsi="宋体"/>
                <w:b w:val="0"/>
                <w:szCs w:val="21"/>
              </w:rPr>
              <w:t>7.8</w:t>
            </w:r>
          </w:p>
        </w:tc>
        <w:tc>
          <w:tcPr>
            <w:tcW w:w="1423" w:type="dxa"/>
            <w:vAlign w:val="center"/>
          </w:tcPr>
          <w:p w14:paraId="1A7D23CC">
            <w:pPr>
              <w:ind w:firstLine="132" w:firstLineChars="63"/>
              <w:jc w:val="center"/>
              <w:rPr>
                <w:rFonts w:ascii="宋体" w:hAnsi="宋体"/>
                <w:b w:val="0"/>
                <w:szCs w:val="21"/>
              </w:rPr>
            </w:pPr>
            <w:r>
              <w:rPr>
                <w:rFonts w:ascii="宋体" w:hAnsi="宋体"/>
                <w:b w:val="0"/>
                <w:szCs w:val="21"/>
              </w:rPr>
              <w:t>硫磺</w:t>
            </w:r>
          </w:p>
        </w:tc>
        <w:tc>
          <w:tcPr>
            <w:tcW w:w="1281" w:type="dxa"/>
            <w:vAlign w:val="center"/>
          </w:tcPr>
          <w:p w14:paraId="4DD30414">
            <w:pPr>
              <w:jc w:val="center"/>
              <w:rPr>
                <w:rFonts w:ascii="宋体" w:hAnsi="宋体"/>
                <w:b w:val="0"/>
                <w:szCs w:val="21"/>
              </w:rPr>
            </w:pPr>
            <w:r>
              <w:rPr>
                <w:rFonts w:ascii="宋体" w:hAnsi="宋体"/>
                <w:b w:val="0"/>
                <w:szCs w:val="21"/>
              </w:rPr>
              <w:t>硫</w:t>
            </w:r>
          </w:p>
        </w:tc>
        <w:tc>
          <w:tcPr>
            <w:tcW w:w="1423" w:type="dxa"/>
            <w:vAlign w:val="center"/>
          </w:tcPr>
          <w:p w14:paraId="33504B3C">
            <w:pPr>
              <w:jc w:val="center"/>
              <w:rPr>
                <w:rFonts w:ascii="宋体" w:hAnsi="宋体"/>
                <w:b w:val="0"/>
                <w:szCs w:val="21"/>
              </w:rPr>
            </w:pPr>
            <w:r>
              <w:rPr>
                <w:rFonts w:ascii="宋体" w:hAnsi="宋体"/>
                <w:b w:val="0"/>
                <w:szCs w:val="21"/>
              </w:rPr>
              <w:t>7704-34-9</w:t>
            </w:r>
          </w:p>
        </w:tc>
        <w:tc>
          <w:tcPr>
            <w:tcW w:w="4094" w:type="dxa"/>
            <w:vAlign w:val="center"/>
          </w:tcPr>
          <w:p w14:paraId="2A62F9B7">
            <w:pPr>
              <w:jc w:val="left"/>
              <w:rPr>
                <w:rFonts w:ascii="宋体" w:hAnsi="宋体"/>
                <w:b w:val="0"/>
                <w:szCs w:val="21"/>
              </w:rPr>
            </w:pPr>
            <w:r>
              <w:rPr>
                <w:rFonts w:ascii="宋体" w:hAnsi="宋体"/>
                <w:b w:val="0"/>
                <w:szCs w:val="21"/>
              </w:rPr>
              <w:t>易燃固体，类别2</w:t>
            </w:r>
          </w:p>
        </w:tc>
      </w:tr>
    </w:tbl>
    <w:p w14:paraId="11C90010">
      <w:pPr>
        <w:spacing w:before="120" w:beforeLines="50" w:line="360" w:lineRule="auto"/>
        <w:ind w:firstLine="560" w:firstLineChars="200"/>
        <w:rPr>
          <w:rFonts w:ascii="宋体" w:hAnsi="宋体"/>
          <w:b w:val="0"/>
          <w:sz w:val="24"/>
        </w:rPr>
      </w:pPr>
      <w:r>
        <w:rPr>
          <w:rFonts w:hint="eastAsia" w:ascii="宋体" w:hAnsi="宋体"/>
          <w:b w:val="0"/>
          <w:sz w:val="28"/>
          <w:szCs w:val="28"/>
        </w:rPr>
        <w:t>因此，该项目涉及的硝酸钾、硫磺属于易制爆危险化学品，应按相关要求对以上易制爆危险化学品加强安全管理和治安防范，并应按相关要求报相关部门机关备案。</w:t>
      </w:r>
    </w:p>
    <w:bookmarkEnd w:id="256"/>
    <w:bookmarkEnd w:id="257"/>
    <w:bookmarkEnd w:id="258"/>
    <w:bookmarkEnd w:id="259"/>
    <w:bookmarkEnd w:id="260"/>
    <w:p w14:paraId="67141684">
      <w:pPr>
        <w:keepNext/>
        <w:keepLines/>
        <w:spacing w:before="120" w:beforeLines="50" w:line="360" w:lineRule="auto"/>
        <w:outlineLvl w:val="1"/>
        <w:rPr>
          <w:rFonts w:ascii="黑体" w:hAnsi="黑体" w:eastAsia="黑体"/>
          <w:b w:val="0"/>
          <w:bCs/>
          <w:snapToGrid w:val="0"/>
          <w:sz w:val="32"/>
          <w:szCs w:val="32"/>
        </w:rPr>
      </w:pPr>
      <w:bookmarkStart w:id="266" w:name="_Toc227869284"/>
      <w:bookmarkStart w:id="267" w:name="_Toc239191503"/>
      <w:bookmarkStart w:id="268" w:name="_Toc173077667"/>
      <w:r>
        <w:rPr>
          <w:rFonts w:hint="eastAsia" w:ascii="黑体" w:hAnsi="黑体" w:eastAsia="黑体"/>
          <w:b w:val="0"/>
          <w:bCs/>
          <w:snapToGrid w:val="0"/>
          <w:sz w:val="32"/>
          <w:szCs w:val="32"/>
        </w:rPr>
        <w:t>3.</w:t>
      </w:r>
      <w:r>
        <w:rPr>
          <w:rFonts w:ascii="黑体" w:hAnsi="黑体" w:eastAsia="黑体"/>
          <w:b w:val="0"/>
          <w:bCs/>
          <w:snapToGrid w:val="0"/>
          <w:sz w:val="32"/>
          <w:szCs w:val="32"/>
        </w:rPr>
        <w:t>4</w:t>
      </w:r>
      <w:r>
        <w:rPr>
          <w:rFonts w:hint="eastAsia" w:ascii="黑体" w:hAnsi="黑体" w:eastAsia="黑体"/>
          <w:b w:val="0"/>
          <w:bCs/>
          <w:snapToGrid w:val="0"/>
          <w:sz w:val="32"/>
          <w:szCs w:val="32"/>
        </w:rPr>
        <w:t>工艺过程危险有害因素分析</w:t>
      </w:r>
      <w:bookmarkEnd w:id="261"/>
      <w:bookmarkEnd w:id="262"/>
      <w:bookmarkEnd w:id="263"/>
      <w:bookmarkEnd w:id="264"/>
      <w:bookmarkEnd w:id="266"/>
      <w:bookmarkEnd w:id="267"/>
      <w:bookmarkEnd w:id="268"/>
    </w:p>
    <w:p w14:paraId="08B0A258">
      <w:pPr>
        <w:spacing w:before="120" w:beforeLines="50" w:line="360" w:lineRule="auto"/>
        <w:outlineLvl w:val="2"/>
        <w:rPr>
          <w:rFonts w:ascii="黑体" w:hAnsi="黑体" w:eastAsia="黑体"/>
          <w:b w:val="0"/>
          <w:sz w:val="30"/>
          <w:szCs w:val="30"/>
        </w:rPr>
      </w:pPr>
      <w:bookmarkStart w:id="269" w:name="_Toc294247650"/>
      <w:bookmarkStart w:id="270" w:name="_Toc294247816"/>
      <w:bookmarkStart w:id="271" w:name="_Toc271898754"/>
      <w:bookmarkStart w:id="272" w:name="_Toc145275202"/>
      <w:bookmarkStart w:id="273" w:name="_Toc58861994"/>
      <w:bookmarkStart w:id="274" w:name="_Toc173077668"/>
      <w:bookmarkStart w:id="275" w:name="_Toc58946826"/>
      <w:bookmarkStart w:id="276" w:name="_Toc335902404"/>
      <w:bookmarkStart w:id="277" w:name="_Toc148036997"/>
      <w:bookmarkStart w:id="278" w:name="_Toc60129109"/>
      <w:bookmarkStart w:id="279" w:name="_Toc181194075"/>
      <w:r>
        <w:rPr>
          <w:rFonts w:hint="eastAsia" w:ascii="黑体" w:hAnsi="黑体" w:eastAsia="黑体"/>
          <w:b w:val="0"/>
          <w:sz w:val="30"/>
          <w:szCs w:val="30"/>
        </w:rPr>
        <w:t>3.</w:t>
      </w:r>
      <w:r>
        <w:rPr>
          <w:rFonts w:ascii="黑体" w:hAnsi="黑体" w:eastAsia="黑体"/>
          <w:b w:val="0"/>
          <w:sz w:val="30"/>
          <w:szCs w:val="30"/>
        </w:rPr>
        <w:t>4</w:t>
      </w:r>
      <w:r>
        <w:rPr>
          <w:rFonts w:hint="eastAsia" w:ascii="黑体" w:hAnsi="黑体" w:eastAsia="黑体"/>
          <w:b w:val="0"/>
          <w:sz w:val="30"/>
          <w:szCs w:val="30"/>
        </w:rPr>
        <w:t>.1</w:t>
      </w:r>
      <w:bookmarkEnd w:id="269"/>
      <w:bookmarkEnd w:id="270"/>
      <w:bookmarkEnd w:id="271"/>
      <w:r>
        <w:rPr>
          <w:rFonts w:hint="eastAsia" w:ascii="黑体" w:hAnsi="黑体" w:eastAsia="黑体"/>
          <w:b w:val="0"/>
          <w:sz w:val="30"/>
          <w:szCs w:val="30"/>
        </w:rPr>
        <w:t>工艺过程危险有害因素</w:t>
      </w:r>
      <w:bookmarkEnd w:id="272"/>
      <w:bookmarkEnd w:id="273"/>
      <w:bookmarkEnd w:id="274"/>
      <w:bookmarkEnd w:id="275"/>
      <w:bookmarkEnd w:id="276"/>
      <w:bookmarkEnd w:id="277"/>
      <w:bookmarkEnd w:id="278"/>
      <w:bookmarkEnd w:id="279"/>
    </w:p>
    <w:p w14:paraId="7B50BC04">
      <w:pPr>
        <w:widowControl/>
        <w:spacing w:before="120" w:beforeLines="50" w:line="360" w:lineRule="auto"/>
        <w:ind w:firstLine="560" w:firstLineChars="200"/>
        <w:rPr>
          <w:rFonts w:ascii="宋体" w:hAnsi="宋体"/>
          <w:b w:val="0"/>
          <w:kern w:val="0"/>
          <w:sz w:val="28"/>
        </w:rPr>
      </w:pPr>
      <w:r>
        <w:rPr>
          <w:rFonts w:hint="eastAsia" w:ascii="宋体" w:hAnsi="宋体"/>
          <w:b w:val="0"/>
          <w:kern w:val="0"/>
          <w:sz w:val="28"/>
        </w:rPr>
        <w:t>该企业申请生产：</w:t>
      </w:r>
      <w:r>
        <w:rPr>
          <w:rFonts w:hint="eastAsia" w:ascii="宋体" w:hAnsi="宋体"/>
          <w:b w:val="0"/>
          <w:bCs/>
          <w:sz w:val="28"/>
          <w:szCs w:val="28"/>
        </w:rPr>
        <w:t>黑火药（粒状）、黑火药（粉状）</w:t>
      </w:r>
      <w:r>
        <w:rPr>
          <w:rFonts w:hint="eastAsia" w:ascii="宋体" w:hAnsi="宋体"/>
          <w:b w:val="0"/>
          <w:kern w:val="0"/>
          <w:sz w:val="28"/>
        </w:rPr>
        <w:t>产品，本次评价选择危险性较大的操作工艺进行分析，主要从原材料准备、粉碎、二味球磨、自动混合/上潮/装模制片（粒状）、压药（油压）、散热、造粒、抛光、筛选、三味球磨/筛选（粉状）、包装、药物（半成品）中转进行详细分析。主要危险有害因素：整个工艺过程都存在火灾或爆炸等危险。</w:t>
      </w:r>
    </w:p>
    <w:p w14:paraId="6349F28B">
      <w:pPr>
        <w:widowControl/>
        <w:spacing w:line="360" w:lineRule="auto"/>
        <w:ind w:firstLine="422" w:firstLineChars="150"/>
        <w:rPr>
          <w:rFonts w:ascii="宋体" w:hAnsi="宋体"/>
          <w:kern w:val="0"/>
          <w:sz w:val="28"/>
          <w:szCs w:val="20"/>
        </w:rPr>
      </w:pPr>
      <w:bookmarkStart w:id="280" w:name="_Toc294247817"/>
      <w:bookmarkStart w:id="281" w:name="_Toc294247651"/>
      <w:bookmarkStart w:id="282" w:name="_Toc219869637"/>
      <w:r>
        <w:rPr>
          <w:rFonts w:hint="eastAsia" w:ascii="宋体" w:hAnsi="宋体"/>
          <w:kern w:val="0"/>
          <w:sz w:val="28"/>
          <w:szCs w:val="20"/>
        </w:rPr>
        <w:t>（1）原材料准备</w:t>
      </w:r>
    </w:p>
    <w:p w14:paraId="26EA9989">
      <w:pPr>
        <w:widowControl/>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①工艺说明</w:t>
      </w:r>
    </w:p>
    <w:p w14:paraId="1110EAD9">
      <w:pPr>
        <w:widowControl/>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原材料准备是在黑火药制作过程称料、配料前进行的一项基础性工作，它包括原材料质量检测、分类并运送到各黑火药生产线的原材料中转间。</w:t>
      </w:r>
    </w:p>
    <w:p w14:paraId="510E44A6">
      <w:pPr>
        <w:widowControl/>
        <w:spacing w:line="360" w:lineRule="auto"/>
        <w:ind w:firstLine="560" w:firstLineChars="200"/>
        <w:rPr>
          <w:rFonts w:ascii="宋体" w:hAnsi="宋体"/>
          <w:b w:val="0"/>
          <w:snapToGrid w:val="0"/>
          <w:sz w:val="28"/>
          <w:szCs w:val="28"/>
        </w:rPr>
      </w:pPr>
      <w:bookmarkStart w:id="283" w:name="_Toc219869625"/>
      <w:r>
        <w:rPr>
          <w:rFonts w:hint="eastAsia" w:ascii="宋体" w:hAnsi="宋体"/>
          <w:b w:val="0"/>
          <w:snapToGrid w:val="0"/>
          <w:sz w:val="28"/>
          <w:szCs w:val="28"/>
        </w:rPr>
        <w:t>②主要危险有害因素</w:t>
      </w:r>
      <w:bookmarkEnd w:id="283"/>
    </w:p>
    <w:p w14:paraId="2B6C6887">
      <w:pPr>
        <w:widowControl/>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原材料的质量直接关系到产品的性能及安全可靠性。若使用不合格的原材料，会增加药物感度，增大燃烧、爆炸事故发生的可能性。在黑火药生产中，原材料若混入了水份、酸性物质等禁用（或部分禁用）的原材料，砂子、铁渣等硬颗粒，会增加药物的感度，在生产过程中要特别注意。</w:t>
      </w:r>
    </w:p>
    <w:p w14:paraId="78F2BCCF">
      <w:pPr>
        <w:widowControl/>
        <w:spacing w:line="360" w:lineRule="auto"/>
        <w:ind w:firstLine="422" w:firstLineChars="150"/>
        <w:rPr>
          <w:rFonts w:ascii="宋体" w:hAnsi="宋体"/>
          <w:kern w:val="0"/>
          <w:sz w:val="28"/>
          <w:szCs w:val="20"/>
        </w:rPr>
      </w:pPr>
      <w:bookmarkStart w:id="284" w:name="_Toc219869629"/>
      <w:r>
        <w:rPr>
          <w:rFonts w:hint="eastAsia" w:ascii="宋体" w:hAnsi="宋体"/>
          <w:kern w:val="0"/>
          <w:sz w:val="28"/>
          <w:szCs w:val="20"/>
        </w:rPr>
        <w:t>（2）粉碎</w:t>
      </w:r>
    </w:p>
    <w:p w14:paraId="13425321">
      <w:pPr>
        <w:pStyle w:val="3"/>
        <w:ind w:firstLine="560"/>
        <w:rPr>
          <w:rFonts w:ascii="宋体" w:hAnsi="宋体" w:eastAsia="宋体"/>
          <w:b w:val="0"/>
          <w:bCs/>
          <w:szCs w:val="28"/>
        </w:rPr>
      </w:pPr>
      <w:r>
        <w:rPr>
          <w:rFonts w:hint="eastAsia" w:ascii="宋体" w:hAnsi="宋体" w:eastAsia="宋体"/>
          <w:b w:val="0"/>
          <w:bCs/>
          <w:szCs w:val="28"/>
        </w:rPr>
        <w:t>①工艺说明</w:t>
      </w:r>
    </w:p>
    <w:p w14:paraId="727BCB43">
      <w:pPr>
        <w:pStyle w:val="3"/>
        <w:ind w:firstLine="560"/>
        <w:rPr>
          <w:rFonts w:ascii="宋体" w:hAnsi="宋体" w:eastAsia="宋体"/>
          <w:b w:val="0"/>
          <w:bCs/>
          <w:szCs w:val="28"/>
        </w:rPr>
      </w:pPr>
      <w:r>
        <w:rPr>
          <w:rFonts w:hint="eastAsia" w:ascii="宋体" w:hAnsi="宋体" w:eastAsia="宋体"/>
          <w:b w:val="0"/>
          <w:bCs/>
          <w:color w:val="000000" w:themeColor="text1"/>
          <w:szCs w:val="28"/>
          <w14:textFill>
            <w14:solidFill>
              <w14:schemeClr w14:val="tx1"/>
            </w14:solidFill>
          </w14:textFill>
        </w:rPr>
        <w:t>粉碎是在黑火药制作的药物配制前进行的将粒状原料粉碎成粉状原料一项工艺，该企业粉碎间主要用于粉碎硝酸钾，其他原料均购进粉状原料，在称料前根据烟火药要达到的性能进行分细度过筛</w:t>
      </w:r>
      <w:r>
        <w:rPr>
          <w:rFonts w:hint="eastAsia" w:ascii="宋体" w:hAnsi="宋体" w:eastAsia="宋体"/>
          <w:b w:val="0"/>
          <w:bCs/>
          <w:szCs w:val="28"/>
        </w:rPr>
        <w:t>。</w:t>
      </w:r>
    </w:p>
    <w:p w14:paraId="1231C4FA">
      <w:pPr>
        <w:pStyle w:val="3"/>
        <w:ind w:firstLine="560"/>
        <w:rPr>
          <w:rFonts w:ascii="宋体" w:hAnsi="宋体" w:eastAsia="宋体"/>
          <w:b w:val="0"/>
          <w:bCs/>
          <w:szCs w:val="28"/>
        </w:rPr>
      </w:pPr>
      <w:r>
        <w:rPr>
          <w:rFonts w:hint="eastAsia" w:ascii="宋体" w:hAnsi="宋体" w:eastAsia="宋体"/>
          <w:b w:val="0"/>
          <w:bCs/>
          <w:szCs w:val="28"/>
        </w:rPr>
        <w:t>②主要危险有害因素</w:t>
      </w:r>
    </w:p>
    <w:p w14:paraId="1A5E5336">
      <w:pPr>
        <w:pStyle w:val="3"/>
        <w:widowControl w:val="0"/>
        <w:ind w:firstLine="561"/>
        <w:rPr>
          <w:rFonts w:ascii="宋体" w:hAnsi="宋体" w:eastAsia="宋体"/>
          <w:b w:val="0"/>
          <w:bCs/>
          <w:color w:val="000000" w:themeColor="text1"/>
          <w:szCs w:val="28"/>
          <w14:textFill>
            <w14:solidFill>
              <w14:schemeClr w14:val="tx1"/>
            </w14:solidFill>
          </w14:textFill>
        </w:rPr>
      </w:pPr>
      <w:r>
        <w:rPr>
          <w:rFonts w:hint="eastAsia" w:ascii="宋体" w:hAnsi="宋体" w:eastAsia="宋体"/>
          <w:b w:val="0"/>
          <w:bCs/>
          <w:color w:val="000000" w:themeColor="text1"/>
          <w:szCs w:val="28"/>
          <w14:textFill>
            <w14:solidFill>
              <w14:schemeClr w14:val="tx1"/>
            </w14:solidFill>
          </w14:textFill>
        </w:rPr>
        <w:t>该企业粉碎原则上只粉碎硝酸钾，是一种单料粉碎，当粉尘浓度达到爆炸极限存在爆炸危险；有电气线路短路引起火灾，有引发其他有药工房爆炸、燃烧的危险；存在机械伤害、触电等危险有害因素。粉碎前后未筛选掉机械杂质，会产生摩擦，引起燃烧和爆炸。</w:t>
      </w:r>
    </w:p>
    <w:p w14:paraId="2FAAEE6C">
      <w:pPr>
        <w:widowControl/>
        <w:spacing w:line="360" w:lineRule="auto"/>
        <w:ind w:firstLine="422" w:firstLineChars="150"/>
        <w:rPr>
          <w:rFonts w:ascii="宋体" w:hAnsi="宋体"/>
          <w:kern w:val="0"/>
          <w:sz w:val="28"/>
          <w:szCs w:val="20"/>
        </w:rPr>
      </w:pPr>
      <w:r>
        <w:rPr>
          <w:rFonts w:hint="eastAsia" w:ascii="宋体" w:hAnsi="宋体"/>
          <w:kern w:val="0"/>
          <w:sz w:val="28"/>
          <w:szCs w:val="20"/>
        </w:rPr>
        <w:t>（3）</w:t>
      </w:r>
      <w:bookmarkEnd w:id="284"/>
      <w:r>
        <w:rPr>
          <w:rFonts w:hint="eastAsia" w:ascii="宋体" w:hAnsi="宋体"/>
          <w:kern w:val="0"/>
          <w:sz w:val="28"/>
          <w:szCs w:val="20"/>
        </w:rPr>
        <w:t>二味球磨</w:t>
      </w:r>
    </w:p>
    <w:p w14:paraId="4B897ABA">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①工艺说明</w:t>
      </w:r>
    </w:p>
    <w:p w14:paraId="74361512">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二味球磨是将黑火药需要的硫磺、木炭充分混合制作成二味粉留待进一步加工的过程。</w:t>
      </w:r>
    </w:p>
    <w:p w14:paraId="59D35C22">
      <w:pPr>
        <w:spacing w:line="360" w:lineRule="auto"/>
        <w:ind w:firstLine="560" w:firstLineChars="200"/>
        <w:rPr>
          <w:rFonts w:ascii="宋体" w:hAnsi="宋体"/>
          <w:b w:val="0"/>
          <w:snapToGrid w:val="0"/>
          <w:sz w:val="28"/>
          <w:szCs w:val="28"/>
        </w:rPr>
      </w:pPr>
      <w:bookmarkStart w:id="285" w:name="_Toc219869630"/>
      <w:r>
        <w:rPr>
          <w:rFonts w:hint="eastAsia" w:ascii="宋体" w:hAnsi="宋体"/>
          <w:b w:val="0"/>
          <w:snapToGrid w:val="0"/>
          <w:sz w:val="28"/>
          <w:szCs w:val="28"/>
        </w:rPr>
        <w:t>②主要危险有害因素</w:t>
      </w:r>
      <w:bookmarkEnd w:id="285"/>
    </w:p>
    <w:p w14:paraId="1C82634A">
      <w:pPr>
        <w:spacing w:line="360" w:lineRule="auto"/>
        <w:ind w:firstLine="560" w:firstLineChars="200"/>
        <w:rPr>
          <w:rFonts w:ascii="宋体" w:hAnsi="宋体"/>
          <w:b w:val="0"/>
          <w:snapToGrid w:val="0"/>
          <w:sz w:val="28"/>
          <w:szCs w:val="28"/>
        </w:rPr>
      </w:pPr>
      <w:r>
        <w:rPr>
          <w:rFonts w:ascii="宋体" w:hAnsi="宋体"/>
          <w:b w:val="0"/>
          <w:snapToGrid w:val="0"/>
          <w:sz w:val="28"/>
          <w:szCs w:val="28"/>
        </w:rPr>
        <w:t>摩擦、撞击、静电、电气火花引起的燃爆，机器运转时的机械伤害；球磨时将两种原料混装在同一器具内，因混入杂质或设备质量缺陷，有火灾危险以及粉尘健康危害；机械设备电气绝缘损坏造成的触电伤害</w:t>
      </w:r>
      <w:r>
        <w:rPr>
          <w:rFonts w:hint="eastAsia" w:ascii="宋体" w:hAnsi="宋体"/>
          <w:b w:val="0"/>
          <w:snapToGrid w:val="0"/>
          <w:sz w:val="28"/>
          <w:szCs w:val="28"/>
        </w:rPr>
        <w:t>。</w:t>
      </w:r>
    </w:p>
    <w:p w14:paraId="5127C6AE">
      <w:pPr>
        <w:widowControl/>
        <w:spacing w:line="360" w:lineRule="auto"/>
        <w:ind w:firstLine="422" w:firstLineChars="150"/>
        <w:rPr>
          <w:rFonts w:ascii="宋体" w:hAnsi="宋体"/>
          <w:kern w:val="0"/>
          <w:sz w:val="28"/>
          <w:szCs w:val="20"/>
        </w:rPr>
      </w:pPr>
      <w:r>
        <w:rPr>
          <w:rFonts w:hint="eastAsia" w:ascii="宋体" w:hAnsi="宋体"/>
          <w:kern w:val="0"/>
          <w:sz w:val="28"/>
          <w:szCs w:val="20"/>
        </w:rPr>
        <w:t>（4）自动混合/上潮/装模制片（粒状黑火药）</w:t>
      </w:r>
    </w:p>
    <w:p w14:paraId="7DFDCEE8">
      <w:pPr>
        <w:spacing w:line="360" w:lineRule="auto"/>
        <w:ind w:firstLine="560" w:firstLineChars="200"/>
        <w:rPr>
          <w:rFonts w:ascii="宋体" w:hAnsi="宋体"/>
          <w:b w:val="0"/>
          <w:snapToGrid w:val="0"/>
          <w:sz w:val="28"/>
          <w:szCs w:val="28"/>
        </w:rPr>
      </w:pPr>
      <w:bookmarkStart w:id="286" w:name="_Toc219869633"/>
      <w:r>
        <w:rPr>
          <w:rFonts w:hint="eastAsia" w:ascii="宋体" w:hAnsi="宋体"/>
          <w:b w:val="0"/>
          <w:snapToGrid w:val="0"/>
          <w:sz w:val="28"/>
          <w:szCs w:val="28"/>
        </w:rPr>
        <w:t>①工艺说明</w:t>
      </w:r>
      <w:bookmarkEnd w:id="286"/>
    </w:p>
    <w:p w14:paraId="0CF7A859">
      <w:pPr>
        <w:pStyle w:val="36"/>
        <w:spacing w:line="360" w:lineRule="auto"/>
        <w:ind w:firstLine="552" w:firstLineChars="200"/>
        <w:jc w:val="left"/>
        <w:rPr>
          <w:rFonts w:ascii="宋体" w:hAnsi="宋体"/>
          <w:b/>
          <w:snapToGrid w:val="0"/>
        </w:rPr>
      </w:pPr>
      <w:r>
        <w:rPr>
          <w:rFonts w:asciiTheme="minorEastAsia" w:hAnsiTheme="minorEastAsia" w:eastAsiaTheme="minorEastAsia"/>
          <w:spacing w:val="-2"/>
        </w:rPr>
        <w:t>自动混合/上潮/装模制片是利用黑火药智能自动混合/上潮/装模制片一体机，完成混合、上潮、制片的过程，此时的黑火药半成品已具有爆炸性危</w:t>
      </w:r>
      <w:r>
        <w:rPr>
          <w:rFonts w:asciiTheme="minorEastAsia" w:hAnsiTheme="minorEastAsia" w:eastAsiaTheme="minorEastAsia"/>
          <w:spacing w:val="-6"/>
        </w:rPr>
        <w:t>险。</w:t>
      </w:r>
    </w:p>
    <w:p w14:paraId="140220CC">
      <w:pPr>
        <w:spacing w:line="360" w:lineRule="auto"/>
        <w:ind w:firstLine="560" w:firstLineChars="200"/>
        <w:rPr>
          <w:rFonts w:ascii="宋体" w:hAnsi="宋体"/>
          <w:b w:val="0"/>
          <w:snapToGrid w:val="0"/>
          <w:sz w:val="28"/>
          <w:szCs w:val="28"/>
        </w:rPr>
      </w:pPr>
      <w:bookmarkStart w:id="287" w:name="_Toc219869634"/>
      <w:r>
        <w:rPr>
          <w:rFonts w:hint="eastAsia" w:ascii="宋体" w:hAnsi="宋体"/>
          <w:b w:val="0"/>
          <w:snapToGrid w:val="0"/>
          <w:sz w:val="28"/>
          <w:szCs w:val="28"/>
        </w:rPr>
        <w:t>②主要危险有害因素</w:t>
      </w:r>
      <w:bookmarkEnd w:id="287"/>
    </w:p>
    <w:p w14:paraId="30B0EA02">
      <w:pPr>
        <w:spacing w:line="360" w:lineRule="auto"/>
        <w:ind w:firstLine="560" w:firstLineChars="200"/>
        <w:rPr>
          <w:rFonts w:ascii="宋体" w:hAnsi="宋体"/>
          <w:b w:val="0"/>
          <w:bCs/>
          <w:snapToGrid w:val="0"/>
          <w:sz w:val="28"/>
          <w:szCs w:val="28"/>
        </w:rPr>
      </w:pPr>
      <w:r>
        <w:rPr>
          <w:rFonts w:hint="eastAsia" w:ascii="宋体" w:hAnsi="宋体"/>
          <w:b w:val="0"/>
          <w:bCs/>
          <w:color w:val="000000" w:themeColor="text1"/>
          <w:sz w:val="28"/>
          <w:szCs w:val="28"/>
          <w14:textFill>
            <w14:solidFill>
              <w14:schemeClr w14:val="tx1"/>
            </w14:solidFill>
          </w14:textFill>
        </w:rPr>
        <w:t>摩擦、撞击、静电、电气火花引起的燃爆，机器运转时的机械伤害。因混入杂质或设备质量缺陷，</w:t>
      </w:r>
      <w:r>
        <w:rPr>
          <w:rFonts w:hint="eastAsia" w:ascii="宋体" w:hAnsi="宋体"/>
          <w:b w:val="0"/>
          <w:bCs/>
          <w:color w:val="000000" w:themeColor="text1"/>
          <w:kern w:val="0"/>
          <w:sz w:val="28"/>
          <w:szCs w:val="28"/>
          <w14:textFill>
            <w14:solidFill>
              <w14:schemeClr w14:val="tx1"/>
            </w14:solidFill>
          </w14:textFill>
        </w:rPr>
        <w:t>氧化剂与还原剂发生反应有火灾、爆炸危险以及粉尘健康危害</w:t>
      </w:r>
      <w:r>
        <w:rPr>
          <w:rFonts w:hint="eastAsia" w:ascii="宋体" w:hAnsi="宋体"/>
          <w:b w:val="0"/>
          <w:bCs/>
          <w:snapToGrid w:val="0"/>
          <w:sz w:val="28"/>
          <w:szCs w:val="28"/>
        </w:rPr>
        <w:t>。</w:t>
      </w:r>
    </w:p>
    <w:bookmarkEnd w:id="265"/>
    <w:bookmarkEnd w:id="280"/>
    <w:bookmarkEnd w:id="281"/>
    <w:bookmarkEnd w:id="282"/>
    <w:p w14:paraId="0E0E158A">
      <w:pPr>
        <w:spacing w:line="360" w:lineRule="auto"/>
        <w:ind w:firstLine="562" w:firstLineChars="200"/>
        <w:rPr>
          <w:rFonts w:ascii="宋体" w:hAnsi="宋体"/>
          <w:kern w:val="0"/>
          <w:sz w:val="28"/>
          <w:szCs w:val="28"/>
        </w:rPr>
      </w:pPr>
      <w:bookmarkStart w:id="288" w:name="OLE_LINK8"/>
      <w:bookmarkStart w:id="289" w:name="OLE_LINK15"/>
      <w:r>
        <w:rPr>
          <w:rFonts w:hint="eastAsia" w:ascii="宋体" w:hAnsi="宋体"/>
          <w:kern w:val="0"/>
          <w:sz w:val="28"/>
          <w:szCs w:val="28"/>
        </w:rPr>
        <w:t>（5）压药（油压）</w:t>
      </w:r>
    </w:p>
    <w:p w14:paraId="4D5CF532">
      <w:pPr>
        <w:pStyle w:val="3"/>
        <w:widowControl w:val="0"/>
        <w:ind w:left="561" w:firstLine="0"/>
        <w:rPr>
          <w:rFonts w:ascii="宋体" w:hAnsi="宋体" w:eastAsia="宋体"/>
          <w:b w:val="0"/>
          <w:color w:val="000000"/>
          <w:szCs w:val="28"/>
        </w:rPr>
      </w:pPr>
      <w:r>
        <w:rPr>
          <w:rFonts w:hint="eastAsia" w:ascii="宋体" w:hAnsi="宋体" w:eastAsia="宋体"/>
          <w:b w:val="0"/>
          <w:color w:val="000000"/>
          <w:szCs w:val="28"/>
        </w:rPr>
        <w:t>①工艺说明</w:t>
      </w:r>
    </w:p>
    <w:p w14:paraId="0237637F">
      <w:pPr>
        <w:pStyle w:val="3"/>
        <w:widowControl w:val="0"/>
        <w:ind w:firstLine="552" w:firstLineChars="200"/>
        <w:rPr>
          <w:rFonts w:ascii="宋体" w:hAnsi="宋体" w:eastAsia="宋体"/>
          <w:b w:val="0"/>
          <w:bCs/>
          <w:color w:val="000000"/>
          <w:szCs w:val="28"/>
        </w:rPr>
      </w:pPr>
      <w:r>
        <w:rPr>
          <w:rFonts w:ascii="宋体" w:hAnsi="宋体" w:eastAsia="宋体"/>
          <w:b w:val="0"/>
          <w:bCs/>
          <w:spacing w:val="-2"/>
        </w:rPr>
        <w:t>压药是利用油压机将配制好的片状湿润黑火药进行压实，使之增加密度和烘干的过程</w:t>
      </w:r>
      <w:r>
        <w:rPr>
          <w:rFonts w:hint="eastAsia" w:ascii="宋体" w:hAnsi="宋体" w:eastAsia="宋体"/>
          <w:b w:val="0"/>
          <w:bCs/>
          <w:color w:val="000000"/>
          <w:szCs w:val="28"/>
        </w:rPr>
        <w:t>。</w:t>
      </w:r>
    </w:p>
    <w:p w14:paraId="21F0BAEF">
      <w:pPr>
        <w:pStyle w:val="3"/>
        <w:widowControl w:val="0"/>
        <w:rPr>
          <w:rFonts w:ascii="宋体" w:hAnsi="宋体" w:eastAsia="宋体"/>
          <w:b w:val="0"/>
          <w:color w:val="000000"/>
          <w:szCs w:val="28"/>
        </w:rPr>
      </w:pPr>
      <w:bookmarkStart w:id="290" w:name="OLE_LINK16"/>
      <w:bookmarkStart w:id="291" w:name="OLE_LINK17"/>
      <w:r>
        <w:rPr>
          <w:rFonts w:hint="eastAsia" w:ascii="宋体" w:hAnsi="宋体" w:eastAsia="宋体"/>
          <w:b w:val="0"/>
          <w:color w:val="000000"/>
          <w:szCs w:val="28"/>
        </w:rPr>
        <w:t>②主要危险有害因素</w:t>
      </w:r>
    </w:p>
    <w:bookmarkEnd w:id="290"/>
    <w:bookmarkEnd w:id="291"/>
    <w:p w14:paraId="2B40145B">
      <w:pPr>
        <w:spacing w:line="360" w:lineRule="auto"/>
        <w:ind w:firstLine="552" w:firstLineChars="200"/>
        <w:rPr>
          <w:rFonts w:ascii="宋体" w:hAnsi="宋体"/>
          <w:b w:val="0"/>
          <w:bCs/>
          <w:kern w:val="0"/>
          <w:sz w:val="28"/>
          <w:szCs w:val="28"/>
        </w:rPr>
      </w:pPr>
      <w:r>
        <w:rPr>
          <w:b w:val="0"/>
          <w:bCs/>
          <w:spacing w:val="-2"/>
          <w:sz w:val="28"/>
          <w:szCs w:val="28"/>
        </w:rPr>
        <w:t>在湿药水分干燥挥发到一定程度时，摩擦、撞击、静电引起的火灾、爆</w:t>
      </w:r>
      <w:r>
        <w:rPr>
          <w:b w:val="0"/>
          <w:bCs/>
          <w:spacing w:val="-3"/>
          <w:sz w:val="28"/>
          <w:szCs w:val="28"/>
        </w:rPr>
        <w:t>炸危险；机器运转时的机械伤害；机械设备电气绝缘损坏造成的触电伤害</w:t>
      </w:r>
      <w:r>
        <w:rPr>
          <w:rFonts w:hint="eastAsia" w:ascii="宋体" w:hAnsi="宋体"/>
          <w:b w:val="0"/>
          <w:bCs/>
          <w:kern w:val="0"/>
          <w:sz w:val="28"/>
          <w:szCs w:val="28"/>
        </w:rPr>
        <w:t>。</w:t>
      </w:r>
    </w:p>
    <w:bookmarkEnd w:id="288"/>
    <w:bookmarkEnd w:id="289"/>
    <w:p w14:paraId="5459B402">
      <w:pPr>
        <w:spacing w:line="360" w:lineRule="auto"/>
        <w:ind w:firstLine="562" w:firstLineChars="200"/>
        <w:rPr>
          <w:rFonts w:ascii="宋体" w:hAnsi="宋体"/>
          <w:kern w:val="0"/>
          <w:sz w:val="28"/>
          <w:szCs w:val="28"/>
        </w:rPr>
      </w:pPr>
      <w:r>
        <w:rPr>
          <w:rFonts w:hint="eastAsia" w:ascii="宋体" w:hAnsi="宋体"/>
          <w:kern w:val="0"/>
          <w:sz w:val="28"/>
          <w:szCs w:val="28"/>
        </w:rPr>
        <w:t>（6）散热</w:t>
      </w:r>
    </w:p>
    <w:p w14:paraId="105B9F79">
      <w:pPr>
        <w:pStyle w:val="3"/>
        <w:widowControl w:val="0"/>
        <w:ind w:left="561" w:firstLine="0"/>
        <w:rPr>
          <w:rFonts w:ascii="宋体" w:hAnsi="宋体" w:eastAsia="宋体"/>
          <w:b w:val="0"/>
          <w:color w:val="000000"/>
          <w:szCs w:val="28"/>
        </w:rPr>
      </w:pPr>
      <w:r>
        <w:rPr>
          <w:rFonts w:hint="eastAsia" w:ascii="宋体" w:hAnsi="宋体" w:eastAsia="宋体"/>
          <w:b w:val="0"/>
          <w:color w:val="000000"/>
          <w:szCs w:val="28"/>
        </w:rPr>
        <w:t>①工艺说明</w:t>
      </w:r>
    </w:p>
    <w:p w14:paraId="2601AA45">
      <w:pPr>
        <w:pStyle w:val="3"/>
        <w:widowControl w:val="0"/>
        <w:ind w:firstLine="548" w:firstLineChars="200"/>
        <w:rPr>
          <w:rFonts w:eastAsia="宋体"/>
          <w:b w:val="0"/>
          <w:bCs/>
          <w:spacing w:val="-3"/>
          <w:kern w:val="2"/>
          <w:szCs w:val="28"/>
        </w:rPr>
      </w:pPr>
      <w:r>
        <w:rPr>
          <w:rFonts w:eastAsia="宋体"/>
          <w:b w:val="0"/>
          <w:bCs/>
          <w:spacing w:val="-3"/>
          <w:kern w:val="2"/>
          <w:szCs w:val="28"/>
        </w:rPr>
        <w:t>散热是将已经受热后留有余温的效果件置于阴凉、通风处进行彻底降温的工艺过程。该企业散热主要是指压药后进行降温的操作过程</w:t>
      </w:r>
      <w:r>
        <w:rPr>
          <w:rFonts w:hint="eastAsia" w:eastAsia="宋体"/>
          <w:b w:val="0"/>
          <w:bCs/>
          <w:spacing w:val="-3"/>
          <w:kern w:val="2"/>
          <w:szCs w:val="28"/>
        </w:rPr>
        <w:t>。</w:t>
      </w:r>
    </w:p>
    <w:p w14:paraId="28EDCD38">
      <w:pPr>
        <w:pStyle w:val="3"/>
        <w:widowControl w:val="0"/>
        <w:rPr>
          <w:rFonts w:ascii="宋体" w:hAnsi="宋体" w:eastAsia="宋体"/>
          <w:b w:val="0"/>
          <w:color w:val="000000"/>
          <w:szCs w:val="28"/>
        </w:rPr>
      </w:pPr>
      <w:r>
        <w:rPr>
          <w:rFonts w:hint="eastAsia" w:ascii="宋体" w:hAnsi="宋体" w:eastAsia="宋体"/>
          <w:b w:val="0"/>
          <w:color w:val="000000"/>
          <w:szCs w:val="28"/>
        </w:rPr>
        <w:t>②主要危险有害因素</w:t>
      </w:r>
    </w:p>
    <w:p w14:paraId="45E6A101">
      <w:pPr>
        <w:pStyle w:val="3"/>
        <w:widowControl w:val="0"/>
        <w:ind w:firstLine="560" w:firstLineChars="200"/>
        <w:rPr>
          <w:rFonts w:ascii="宋体" w:eastAsia="宋体" w:cs="宋体"/>
          <w:b w:val="0"/>
          <w:kern w:val="2"/>
          <w:szCs w:val="28"/>
          <w:lang w:val="zh-CN"/>
        </w:rPr>
      </w:pPr>
      <w:r>
        <w:rPr>
          <w:rFonts w:ascii="宋体" w:eastAsia="宋体" w:cs="宋体"/>
          <w:b w:val="0"/>
          <w:kern w:val="2"/>
          <w:szCs w:val="28"/>
          <w:lang w:val="zh-CN"/>
        </w:rPr>
        <w:t>摩擦、撞击、静电引起的火灾、爆炸危险，不适当的操作会引起燃烧、爆炸</w:t>
      </w:r>
      <w:r>
        <w:rPr>
          <w:rFonts w:hint="eastAsia" w:ascii="宋体" w:eastAsia="宋体" w:cs="宋体"/>
          <w:b w:val="0"/>
          <w:kern w:val="2"/>
          <w:szCs w:val="28"/>
          <w:lang w:val="zh-CN"/>
        </w:rPr>
        <w:t>。</w:t>
      </w:r>
    </w:p>
    <w:p w14:paraId="3BBB7E07">
      <w:pPr>
        <w:spacing w:line="360" w:lineRule="auto"/>
        <w:ind w:firstLine="703" w:firstLineChars="250"/>
        <w:rPr>
          <w:rFonts w:ascii="宋体" w:hAnsi="宋体"/>
          <w:kern w:val="0"/>
          <w:sz w:val="28"/>
          <w:szCs w:val="28"/>
        </w:rPr>
      </w:pPr>
      <w:r>
        <w:rPr>
          <w:rFonts w:hint="eastAsia" w:ascii="宋体" w:hAnsi="宋体"/>
          <w:kern w:val="0"/>
          <w:sz w:val="28"/>
          <w:szCs w:val="28"/>
        </w:rPr>
        <w:t>（</w:t>
      </w:r>
      <w:r>
        <w:rPr>
          <w:rFonts w:ascii="宋体" w:hAnsi="宋体"/>
          <w:kern w:val="0"/>
          <w:sz w:val="28"/>
          <w:szCs w:val="28"/>
        </w:rPr>
        <w:t>7</w:t>
      </w:r>
      <w:r>
        <w:rPr>
          <w:rFonts w:hint="eastAsia" w:ascii="宋体" w:hAnsi="宋体"/>
          <w:kern w:val="0"/>
          <w:sz w:val="28"/>
          <w:szCs w:val="28"/>
        </w:rPr>
        <w:t>）造粒</w:t>
      </w:r>
    </w:p>
    <w:p w14:paraId="22DEA424">
      <w:pPr>
        <w:widowControl/>
        <w:numPr>
          <w:ilvl w:val="1"/>
          <w:numId w:val="16"/>
        </w:numPr>
        <w:spacing w:line="360" w:lineRule="auto"/>
        <w:ind w:left="993" w:hanging="284"/>
        <w:rPr>
          <w:rFonts w:ascii="宋体" w:hAnsi="宋体"/>
          <w:b w:val="0"/>
          <w:bCs/>
          <w:kern w:val="0"/>
          <w:sz w:val="28"/>
          <w:szCs w:val="28"/>
        </w:rPr>
      </w:pPr>
      <w:bookmarkStart w:id="292" w:name="_Toc219869668"/>
      <w:r>
        <w:rPr>
          <w:rFonts w:hint="eastAsia" w:ascii="宋体" w:hAnsi="宋体"/>
          <w:b w:val="0"/>
          <w:bCs/>
          <w:kern w:val="0"/>
          <w:sz w:val="28"/>
          <w:szCs w:val="28"/>
        </w:rPr>
        <w:t>工艺说明</w:t>
      </w:r>
      <w:bookmarkEnd w:id="292"/>
    </w:p>
    <w:p w14:paraId="524BCB80">
      <w:pPr>
        <w:widowControl/>
        <w:spacing w:line="360" w:lineRule="auto"/>
        <w:ind w:firstLine="552" w:firstLineChars="200"/>
        <w:rPr>
          <w:rFonts w:ascii="宋体" w:hAnsi="宋体"/>
          <w:b w:val="0"/>
          <w:bCs/>
          <w:kern w:val="0"/>
          <w:sz w:val="28"/>
          <w:szCs w:val="28"/>
        </w:rPr>
      </w:pPr>
      <w:r>
        <w:rPr>
          <w:b w:val="0"/>
          <w:bCs/>
          <w:spacing w:val="-2"/>
          <w:sz w:val="28"/>
          <w:szCs w:val="28"/>
        </w:rPr>
        <w:t>造粒是将已散热的药片放入专用机械内通过机械压力进行破碎，使之达到一定规格的粒状的过程</w:t>
      </w:r>
      <w:r>
        <w:rPr>
          <w:rFonts w:hint="eastAsia" w:ascii="宋体" w:hAnsi="宋体"/>
          <w:b w:val="0"/>
          <w:bCs/>
          <w:kern w:val="0"/>
          <w:sz w:val="28"/>
          <w:szCs w:val="28"/>
        </w:rPr>
        <w:t>。</w:t>
      </w:r>
    </w:p>
    <w:p w14:paraId="40CABFD9">
      <w:pPr>
        <w:widowControl/>
        <w:numPr>
          <w:ilvl w:val="1"/>
          <w:numId w:val="16"/>
        </w:numPr>
        <w:spacing w:line="360" w:lineRule="auto"/>
        <w:ind w:left="993" w:hanging="284"/>
        <w:rPr>
          <w:rFonts w:ascii="宋体" w:hAnsi="宋体"/>
          <w:b w:val="0"/>
          <w:bCs/>
          <w:kern w:val="0"/>
          <w:sz w:val="28"/>
          <w:szCs w:val="28"/>
        </w:rPr>
      </w:pPr>
      <w:r>
        <w:rPr>
          <w:rFonts w:hint="eastAsia" w:ascii="宋体" w:hAnsi="宋体"/>
          <w:b w:val="0"/>
          <w:bCs/>
          <w:kern w:val="0"/>
          <w:sz w:val="28"/>
          <w:szCs w:val="28"/>
        </w:rPr>
        <w:t>主要危险有害因素</w:t>
      </w:r>
    </w:p>
    <w:p w14:paraId="3D2EB336">
      <w:pPr>
        <w:widowControl/>
        <w:spacing w:line="360" w:lineRule="auto"/>
        <w:ind w:firstLine="561"/>
        <w:rPr>
          <w:rFonts w:ascii="宋体" w:hAnsi="宋体"/>
          <w:b w:val="0"/>
          <w:bCs/>
          <w:kern w:val="0"/>
          <w:sz w:val="28"/>
          <w:szCs w:val="28"/>
        </w:rPr>
      </w:pPr>
      <w:r>
        <w:rPr>
          <w:b w:val="0"/>
          <w:bCs/>
          <w:spacing w:val="-2"/>
          <w:sz w:val="28"/>
          <w:szCs w:val="28"/>
        </w:rPr>
        <w:t>摩擦、撞击、静电引起的火灾、爆炸危险。电气线路短路引起电气火灾引发爆炸；机械伤害；机械设备电气绝缘损坏造成的触电伤害；粉尘健康危</w:t>
      </w:r>
      <w:r>
        <w:rPr>
          <w:b w:val="0"/>
          <w:bCs/>
          <w:spacing w:val="-6"/>
          <w:sz w:val="28"/>
          <w:szCs w:val="28"/>
        </w:rPr>
        <w:t>害</w:t>
      </w:r>
      <w:r>
        <w:rPr>
          <w:rFonts w:hint="eastAsia" w:ascii="宋体" w:hAnsi="宋体"/>
          <w:b w:val="0"/>
          <w:bCs/>
          <w:kern w:val="0"/>
          <w:sz w:val="28"/>
          <w:szCs w:val="28"/>
        </w:rPr>
        <w:t>。</w:t>
      </w:r>
    </w:p>
    <w:p w14:paraId="439DEE1E">
      <w:pPr>
        <w:spacing w:line="360" w:lineRule="auto"/>
        <w:ind w:firstLine="570"/>
        <w:rPr>
          <w:rFonts w:ascii="宋体" w:hAnsi="宋体"/>
          <w:kern w:val="0"/>
          <w:sz w:val="28"/>
          <w:szCs w:val="28"/>
        </w:rPr>
      </w:pPr>
      <w:bookmarkStart w:id="293" w:name="_Toc219869669"/>
      <w:r>
        <w:rPr>
          <w:rFonts w:hint="eastAsia" w:ascii="宋体" w:hAnsi="宋体"/>
          <w:kern w:val="0"/>
          <w:sz w:val="28"/>
          <w:szCs w:val="28"/>
        </w:rPr>
        <w:t>（</w:t>
      </w:r>
      <w:r>
        <w:rPr>
          <w:rFonts w:ascii="宋体" w:hAnsi="宋体"/>
          <w:kern w:val="0"/>
          <w:sz w:val="28"/>
          <w:szCs w:val="28"/>
        </w:rPr>
        <w:t>8</w:t>
      </w:r>
      <w:r>
        <w:rPr>
          <w:rFonts w:hint="eastAsia" w:ascii="宋体" w:hAnsi="宋体"/>
          <w:kern w:val="0"/>
          <w:sz w:val="28"/>
          <w:szCs w:val="28"/>
        </w:rPr>
        <w:t>）</w:t>
      </w:r>
      <w:bookmarkEnd w:id="293"/>
      <w:r>
        <w:rPr>
          <w:rFonts w:hint="eastAsia" w:ascii="宋体" w:hAnsi="宋体"/>
          <w:kern w:val="0"/>
          <w:sz w:val="28"/>
          <w:szCs w:val="28"/>
        </w:rPr>
        <w:t>抛光</w:t>
      </w:r>
    </w:p>
    <w:p w14:paraId="1CC4C406">
      <w:pPr>
        <w:widowControl/>
        <w:numPr>
          <w:ilvl w:val="1"/>
          <w:numId w:val="17"/>
        </w:numPr>
        <w:tabs>
          <w:tab w:val="left" w:pos="993"/>
        </w:tabs>
        <w:spacing w:line="360" w:lineRule="auto"/>
        <w:ind w:left="709" w:firstLine="0"/>
        <w:rPr>
          <w:rFonts w:ascii="宋体" w:hAnsi="宋体"/>
          <w:b w:val="0"/>
          <w:bCs/>
          <w:kern w:val="0"/>
          <w:sz w:val="28"/>
          <w:szCs w:val="28"/>
        </w:rPr>
      </w:pPr>
      <w:r>
        <w:rPr>
          <w:rFonts w:hint="eastAsia" w:ascii="宋体" w:hAnsi="宋体"/>
          <w:b w:val="0"/>
          <w:bCs/>
          <w:kern w:val="0"/>
          <w:sz w:val="28"/>
          <w:szCs w:val="28"/>
        </w:rPr>
        <w:t>工艺说明</w:t>
      </w:r>
    </w:p>
    <w:p w14:paraId="43A0ECD3">
      <w:pPr>
        <w:widowControl/>
        <w:spacing w:line="360" w:lineRule="auto"/>
        <w:ind w:firstLine="552" w:firstLineChars="200"/>
        <w:rPr>
          <w:rFonts w:ascii="宋体" w:hAnsi="宋体"/>
          <w:b w:val="0"/>
          <w:bCs/>
          <w:kern w:val="0"/>
          <w:sz w:val="28"/>
          <w:szCs w:val="28"/>
        </w:rPr>
      </w:pPr>
      <w:r>
        <w:rPr>
          <w:b w:val="0"/>
          <w:bCs/>
          <w:spacing w:val="-2"/>
          <w:sz w:val="28"/>
          <w:szCs w:val="28"/>
        </w:rPr>
        <w:t>抛光是指利用抛光机的木转鼓转动摩擦、挤压，去除其表面毛刺，增加外表密度，使其产生光泽、亮度，增加防潮作用的过程</w:t>
      </w:r>
      <w:r>
        <w:rPr>
          <w:rFonts w:hint="eastAsia" w:ascii="宋体" w:hAnsi="宋体"/>
          <w:b w:val="0"/>
          <w:bCs/>
          <w:kern w:val="0"/>
          <w:sz w:val="28"/>
          <w:szCs w:val="28"/>
        </w:rPr>
        <w:t>。</w:t>
      </w:r>
    </w:p>
    <w:p w14:paraId="0FAA41E8">
      <w:pPr>
        <w:widowControl/>
        <w:numPr>
          <w:ilvl w:val="1"/>
          <w:numId w:val="17"/>
        </w:numPr>
        <w:tabs>
          <w:tab w:val="left" w:pos="1036"/>
        </w:tabs>
        <w:spacing w:line="360" w:lineRule="auto"/>
        <w:ind w:hanging="131"/>
        <w:rPr>
          <w:rFonts w:ascii="宋体" w:hAnsi="宋体"/>
          <w:b w:val="0"/>
          <w:bCs/>
          <w:kern w:val="0"/>
          <w:sz w:val="28"/>
          <w:szCs w:val="28"/>
        </w:rPr>
      </w:pPr>
      <w:bookmarkStart w:id="294" w:name="_Toc219869670"/>
      <w:r>
        <w:rPr>
          <w:rFonts w:hint="eastAsia" w:ascii="宋体" w:hAnsi="宋体"/>
          <w:b w:val="0"/>
          <w:bCs/>
          <w:kern w:val="0"/>
          <w:sz w:val="28"/>
          <w:szCs w:val="28"/>
        </w:rPr>
        <w:t>主要危险有害因素</w:t>
      </w:r>
      <w:bookmarkEnd w:id="294"/>
    </w:p>
    <w:p w14:paraId="11AF204D">
      <w:pPr>
        <w:spacing w:line="360" w:lineRule="auto"/>
        <w:ind w:firstLine="552" w:firstLineChars="200"/>
        <w:rPr>
          <w:rFonts w:ascii="宋体" w:hAnsi="宋体"/>
          <w:b w:val="0"/>
          <w:bCs/>
          <w:kern w:val="0"/>
          <w:sz w:val="28"/>
          <w:szCs w:val="28"/>
        </w:rPr>
      </w:pPr>
      <w:r>
        <w:rPr>
          <w:b w:val="0"/>
          <w:bCs/>
          <w:spacing w:val="-2"/>
          <w:sz w:val="28"/>
          <w:szCs w:val="28"/>
        </w:rPr>
        <w:t>摩擦、撞击、静电、电气火花引起的燃爆；机器运转时的机械伤害；机械设备电气绝缘损坏造成的触电伤害；粉尘健康危害</w:t>
      </w:r>
      <w:r>
        <w:rPr>
          <w:rFonts w:hint="eastAsia" w:ascii="宋体" w:hAnsi="宋体"/>
          <w:b w:val="0"/>
          <w:bCs/>
          <w:kern w:val="0"/>
          <w:sz w:val="28"/>
          <w:szCs w:val="28"/>
        </w:rPr>
        <w:t>。</w:t>
      </w:r>
    </w:p>
    <w:p w14:paraId="0676D43C">
      <w:pPr>
        <w:spacing w:line="360" w:lineRule="auto"/>
        <w:ind w:firstLine="570"/>
        <w:rPr>
          <w:rFonts w:ascii="宋体" w:hAnsi="宋体"/>
          <w:kern w:val="0"/>
          <w:sz w:val="28"/>
          <w:szCs w:val="28"/>
        </w:rPr>
      </w:pPr>
      <w:r>
        <w:rPr>
          <w:rFonts w:hint="eastAsia" w:ascii="宋体" w:hAnsi="宋体"/>
          <w:kern w:val="0"/>
          <w:sz w:val="28"/>
          <w:szCs w:val="28"/>
        </w:rPr>
        <w:t>（</w:t>
      </w:r>
      <w:r>
        <w:rPr>
          <w:rFonts w:ascii="宋体" w:hAnsi="宋体"/>
          <w:kern w:val="0"/>
          <w:sz w:val="28"/>
          <w:szCs w:val="28"/>
        </w:rPr>
        <w:t>9</w:t>
      </w:r>
      <w:r>
        <w:rPr>
          <w:rFonts w:hint="eastAsia" w:ascii="宋体" w:hAnsi="宋体"/>
          <w:kern w:val="0"/>
          <w:sz w:val="28"/>
          <w:szCs w:val="28"/>
        </w:rPr>
        <w:t>）筛选</w:t>
      </w:r>
    </w:p>
    <w:p w14:paraId="17B8C65C">
      <w:pPr>
        <w:widowControl/>
        <w:spacing w:line="360" w:lineRule="auto"/>
        <w:ind w:firstLine="803" w:firstLineChars="287"/>
        <w:rPr>
          <w:rFonts w:ascii="宋体" w:hAnsi="宋体"/>
          <w:b w:val="0"/>
          <w:bCs/>
          <w:kern w:val="0"/>
          <w:sz w:val="28"/>
          <w:szCs w:val="28"/>
        </w:rPr>
      </w:pPr>
      <w:r>
        <w:rPr>
          <w:rFonts w:hint="eastAsia" w:ascii="宋体" w:hAnsi="宋体"/>
          <w:b w:val="0"/>
          <w:bCs/>
          <w:kern w:val="0"/>
          <w:sz w:val="28"/>
          <w:szCs w:val="28"/>
        </w:rPr>
        <w:t>① 工艺说明</w:t>
      </w:r>
    </w:p>
    <w:p w14:paraId="269E729E">
      <w:pPr>
        <w:widowControl/>
        <w:spacing w:line="360" w:lineRule="auto"/>
        <w:ind w:firstLine="524" w:firstLineChars="200"/>
        <w:rPr>
          <w:rFonts w:ascii="宋体" w:hAnsi="宋体"/>
          <w:b w:val="0"/>
          <w:bCs/>
          <w:kern w:val="0"/>
          <w:sz w:val="28"/>
          <w:szCs w:val="28"/>
        </w:rPr>
      </w:pPr>
      <w:r>
        <w:rPr>
          <w:b w:val="0"/>
          <w:bCs/>
          <w:spacing w:val="-9"/>
          <w:sz w:val="28"/>
          <w:szCs w:val="28"/>
        </w:rPr>
        <w:t>粒状黑火药筛选是使用专用筛选机械将抛光后的黑火药，按不同规格</w:t>
      </w:r>
      <w:r>
        <w:rPr>
          <w:b w:val="0"/>
          <w:bCs/>
          <w:spacing w:val="-2"/>
          <w:sz w:val="28"/>
          <w:szCs w:val="28"/>
        </w:rPr>
        <w:t>（目数）分级的过程</w:t>
      </w:r>
      <w:r>
        <w:rPr>
          <w:rFonts w:hint="eastAsia" w:ascii="宋体" w:hAnsi="宋体"/>
          <w:b w:val="0"/>
          <w:bCs/>
          <w:kern w:val="0"/>
          <w:sz w:val="28"/>
          <w:szCs w:val="28"/>
        </w:rPr>
        <w:t>。</w:t>
      </w:r>
    </w:p>
    <w:p w14:paraId="279FDDE8">
      <w:pPr>
        <w:spacing w:line="360" w:lineRule="auto"/>
        <w:ind w:left="418" w:leftChars="199" w:firstLine="280" w:firstLineChars="100"/>
        <w:rPr>
          <w:rFonts w:ascii="宋体" w:hAnsi="宋体"/>
          <w:b w:val="0"/>
          <w:sz w:val="28"/>
          <w:szCs w:val="28"/>
        </w:rPr>
      </w:pPr>
      <w:r>
        <w:rPr>
          <w:rFonts w:hint="eastAsia" w:ascii="宋体" w:hAnsi="宋体"/>
          <w:b w:val="0"/>
          <w:sz w:val="28"/>
          <w:szCs w:val="28"/>
        </w:rPr>
        <w:t>② 主要危险有害因素</w:t>
      </w:r>
    </w:p>
    <w:p w14:paraId="3B10E433">
      <w:pPr>
        <w:spacing w:line="360" w:lineRule="auto"/>
        <w:ind w:firstLine="570"/>
        <w:rPr>
          <w:rFonts w:ascii="宋体" w:hAnsi="宋体" w:cs="宋体"/>
          <w:b w:val="0"/>
          <w:kern w:val="0"/>
          <w:sz w:val="28"/>
          <w:szCs w:val="28"/>
        </w:rPr>
      </w:pPr>
      <w:r>
        <w:rPr>
          <w:b w:val="0"/>
          <w:bCs/>
          <w:spacing w:val="-2"/>
          <w:sz w:val="28"/>
          <w:szCs w:val="28"/>
        </w:rPr>
        <w:t>摩擦、撞击、静电、电气火花引起的燃爆；机器运转时的机械伤害；机械设备电气绝缘损坏造成的触电伤害；粉尘健康危害</w:t>
      </w:r>
      <w:r>
        <w:rPr>
          <w:rFonts w:hint="eastAsia" w:ascii="宋体" w:hAnsi="宋体" w:cs="宋体"/>
          <w:b w:val="0"/>
          <w:kern w:val="0"/>
          <w:sz w:val="28"/>
          <w:szCs w:val="28"/>
        </w:rPr>
        <w:t>。</w:t>
      </w:r>
    </w:p>
    <w:p w14:paraId="120F46FB">
      <w:pPr>
        <w:spacing w:line="360" w:lineRule="auto"/>
        <w:ind w:firstLine="570"/>
        <w:rPr>
          <w:rFonts w:ascii="宋体" w:hAnsi="宋体"/>
          <w:kern w:val="0"/>
          <w:sz w:val="28"/>
          <w:szCs w:val="28"/>
        </w:rPr>
      </w:pPr>
      <w:r>
        <w:rPr>
          <w:rFonts w:hint="eastAsia" w:ascii="宋体" w:hAnsi="宋体"/>
          <w:bCs/>
          <w:sz w:val="28"/>
          <w:szCs w:val="28"/>
        </w:rPr>
        <w:t>（</w:t>
      </w:r>
      <w:r>
        <w:rPr>
          <w:rFonts w:ascii="宋体" w:hAnsi="宋体"/>
          <w:bCs/>
          <w:sz w:val="28"/>
          <w:szCs w:val="28"/>
        </w:rPr>
        <w:t>10</w:t>
      </w:r>
      <w:r>
        <w:rPr>
          <w:rFonts w:hint="eastAsia" w:ascii="宋体" w:hAnsi="宋体"/>
          <w:bCs/>
          <w:sz w:val="28"/>
          <w:szCs w:val="28"/>
        </w:rPr>
        <w:t>）</w:t>
      </w:r>
      <w:r>
        <w:rPr>
          <w:rFonts w:hint="eastAsia" w:ascii="宋体" w:hAnsi="宋体"/>
          <w:kern w:val="0"/>
          <w:sz w:val="28"/>
          <w:szCs w:val="28"/>
        </w:rPr>
        <w:t>三味球磨/筛选（粉状黑火药）</w:t>
      </w:r>
    </w:p>
    <w:p w14:paraId="6F22C57A">
      <w:pPr>
        <w:widowControl/>
        <w:spacing w:line="360" w:lineRule="auto"/>
        <w:ind w:firstLine="803" w:firstLineChars="287"/>
        <w:rPr>
          <w:rFonts w:ascii="宋体" w:hAnsi="宋体"/>
          <w:b w:val="0"/>
          <w:bCs/>
          <w:kern w:val="0"/>
          <w:sz w:val="28"/>
          <w:szCs w:val="28"/>
        </w:rPr>
      </w:pPr>
      <w:r>
        <w:rPr>
          <w:rFonts w:hint="eastAsia" w:ascii="宋体" w:hAnsi="宋体"/>
          <w:b w:val="0"/>
          <w:bCs/>
          <w:kern w:val="0"/>
          <w:sz w:val="28"/>
          <w:szCs w:val="28"/>
        </w:rPr>
        <w:t>① 工艺说明</w:t>
      </w:r>
    </w:p>
    <w:p w14:paraId="23FEBF4D">
      <w:pPr>
        <w:widowControl/>
        <w:spacing w:line="360" w:lineRule="auto"/>
        <w:ind w:firstLine="803" w:firstLineChars="287"/>
        <w:rPr>
          <w:rFonts w:ascii="宋体" w:hAnsi="宋体"/>
          <w:b w:val="0"/>
          <w:bCs/>
          <w:kern w:val="0"/>
          <w:sz w:val="28"/>
          <w:szCs w:val="28"/>
        </w:rPr>
      </w:pPr>
      <w:r>
        <w:rPr>
          <w:rFonts w:hint="eastAsia" w:ascii="宋体" w:hAnsi="宋体" w:cs="宋体"/>
          <w:b w:val="0"/>
          <w:bCs/>
          <w:kern w:val="0"/>
          <w:sz w:val="28"/>
          <w:szCs w:val="28"/>
        </w:rPr>
        <w:t>三味球磨/筛选将黑火药需要的三种原料（硝酸钾、硫磺、木炭）充分混合制作成具有爆炸性能的粉状黑火药，并按不同规格分级的过程</w:t>
      </w:r>
      <w:r>
        <w:rPr>
          <w:rFonts w:hint="eastAsia" w:ascii="宋体" w:hAnsi="宋体"/>
          <w:b w:val="0"/>
          <w:bCs/>
          <w:kern w:val="0"/>
          <w:sz w:val="28"/>
          <w:szCs w:val="28"/>
        </w:rPr>
        <w:t>。</w:t>
      </w:r>
    </w:p>
    <w:p w14:paraId="7EFDA8B0">
      <w:pPr>
        <w:spacing w:line="360" w:lineRule="auto"/>
        <w:ind w:left="418" w:leftChars="199" w:firstLine="280" w:firstLineChars="100"/>
        <w:rPr>
          <w:rFonts w:ascii="宋体" w:hAnsi="宋体"/>
          <w:b w:val="0"/>
          <w:sz w:val="28"/>
          <w:szCs w:val="28"/>
        </w:rPr>
      </w:pPr>
      <w:r>
        <w:rPr>
          <w:rFonts w:hint="eastAsia" w:ascii="宋体" w:hAnsi="宋体"/>
          <w:b w:val="0"/>
          <w:sz w:val="28"/>
          <w:szCs w:val="28"/>
        </w:rPr>
        <w:t>② 主要危险有害因素</w:t>
      </w:r>
    </w:p>
    <w:p w14:paraId="643D5F39">
      <w:pPr>
        <w:spacing w:line="360" w:lineRule="auto"/>
        <w:ind w:firstLine="570"/>
        <w:rPr>
          <w:rFonts w:ascii="宋体" w:hAnsi="宋体" w:cs="宋体"/>
          <w:b w:val="0"/>
          <w:kern w:val="0"/>
          <w:sz w:val="28"/>
          <w:szCs w:val="28"/>
        </w:rPr>
      </w:pPr>
      <w:r>
        <w:rPr>
          <w:rFonts w:ascii="宋体" w:hAnsi="宋体"/>
          <w:b w:val="0"/>
          <w:snapToGrid w:val="0"/>
          <w:sz w:val="28"/>
          <w:szCs w:val="28"/>
        </w:rPr>
        <w:t>摩擦、撞击、静电、电气火花引起的燃爆，机器运转时的机械伤害；球磨时将两种原料混装在同一器具内，因混入杂质或设备质量缺陷，有火灾危险以及粉尘健康危害；机械设备电气绝缘损坏造成的触电伤害</w:t>
      </w:r>
      <w:r>
        <w:rPr>
          <w:rFonts w:hint="eastAsia" w:ascii="宋体" w:hAnsi="宋体" w:cs="宋体"/>
          <w:b w:val="0"/>
          <w:kern w:val="0"/>
          <w:sz w:val="28"/>
          <w:szCs w:val="28"/>
        </w:rPr>
        <w:t>。</w:t>
      </w:r>
    </w:p>
    <w:p w14:paraId="217AEE24">
      <w:pPr>
        <w:spacing w:line="360" w:lineRule="auto"/>
        <w:ind w:firstLine="570"/>
        <w:rPr>
          <w:rFonts w:ascii="宋体" w:hAnsi="宋体"/>
          <w:bCs/>
          <w:sz w:val="28"/>
          <w:szCs w:val="28"/>
        </w:rPr>
      </w:pPr>
      <w:r>
        <w:rPr>
          <w:rFonts w:hint="eastAsia" w:ascii="宋体" w:hAnsi="宋体"/>
          <w:bCs/>
          <w:sz w:val="28"/>
          <w:szCs w:val="28"/>
        </w:rPr>
        <w:t>（</w:t>
      </w:r>
      <w:r>
        <w:rPr>
          <w:rFonts w:ascii="宋体" w:hAnsi="宋体"/>
          <w:bCs/>
          <w:sz w:val="28"/>
          <w:szCs w:val="28"/>
        </w:rPr>
        <w:t>11</w:t>
      </w:r>
      <w:r>
        <w:rPr>
          <w:rFonts w:hint="eastAsia" w:ascii="宋体" w:hAnsi="宋体"/>
          <w:bCs/>
          <w:sz w:val="28"/>
          <w:szCs w:val="28"/>
        </w:rPr>
        <w:t>）包装</w:t>
      </w:r>
    </w:p>
    <w:p w14:paraId="040EAC28">
      <w:pPr>
        <w:widowControl/>
        <w:numPr>
          <w:ilvl w:val="0"/>
          <w:numId w:val="18"/>
        </w:numPr>
        <w:spacing w:line="360" w:lineRule="auto"/>
        <w:rPr>
          <w:rFonts w:ascii="宋体" w:hAnsi="宋体"/>
          <w:b w:val="0"/>
          <w:bCs/>
          <w:kern w:val="0"/>
          <w:sz w:val="28"/>
          <w:szCs w:val="28"/>
        </w:rPr>
      </w:pPr>
      <w:r>
        <w:rPr>
          <w:rFonts w:hint="eastAsia" w:ascii="宋体" w:hAnsi="宋体"/>
          <w:b w:val="0"/>
          <w:bCs/>
          <w:kern w:val="0"/>
          <w:sz w:val="28"/>
          <w:szCs w:val="28"/>
        </w:rPr>
        <w:t>工艺说明</w:t>
      </w:r>
    </w:p>
    <w:p w14:paraId="41EF1C2D">
      <w:pPr>
        <w:widowControl/>
        <w:spacing w:line="360" w:lineRule="auto"/>
        <w:ind w:firstLine="552" w:firstLineChars="200"/>
        <w:rPr>
          <w:rFonts w:ascii="宋体" w:hAnsi="宋体"/>
          <w:b w:val="0"/>
          <w:bCs/>
          <w:kern w:val="0"/>
          <w:sz w:val="28"/>
          <w:szCs w:val="28"/>
        </w:rPr>
      </w:pPr>
      <w:r>
        <w:rPr>
          <w:b w:val="0"/>
          <w:bCs/>
          <w:spacing w:val="-2"/>
          <w:sz w:val="28"/>
          <w:szCs w:val="28"/>
        </w:rPr>
        <w:t>包装是将黑火药用导静电器具盛装，然后进行分类、标识，是黑火药成品入库前的一项准备工作</w:t>
      </w:r>
      <w:r>
        <w:rPr>
          <w:rFonts w:hint="eastAsia" w:ascii="宋体" w:hAnsi="宋体"/>
          <w:b w:val="0"/>
          <w:bCs/>
          <w:kern w:val="0"/>
          <w:sz w:val="28"/>
          <w:szCs w:val="28"/>
        </w:rPr>
        <w:t>。</w:t>
      </w:r>
    </w:p>
    <w:p w14:paraId="0D18B32E">
      <w:pPr>
        <w:widowControl/>
        <w:numPr>
          <w:ilvl w:val="0"/>
          <w:numId w:val="18"/>
        </w:numPr>
        <w:spacing w:line="360" w:lineRule="auto"/>
        <w:rPr>
          <w:rFonts w:ascii="宋体" w:hAnsi="宋体"/>
          <w:b w:val="0"/>
          <w:bCs/>
          <w:kern w:val="0"/>
          <w:sz w:val="28"/>
          <w:szCs w:val="28"/>
        </w:rPr>
      </w:pPr>
      <w:r>
        <w:rPr>
          <w:rFonts w:hint="eastAsia" w:ascii="宋体" w:hAnsi="宋体"/>
          <w:b w:val="0"/>
          <w:bCs/>
          <w:kern w:val="0"/>
          <w:sz w:val="28"/>
          <w:szCs w:val="28"/>
        </w:rPr>
        <w:t>主要危险有害因素</w:t>
      </w:r>
    </w:p>
    <w:p w14:paraId="079EB478">
      <w:pPr>
        <w:spacing w:line="360" w:lineRule="auto"/>
        <w:ind w:firstLine="552" w:firstLineChars="200"/>
        <w:rPr>
          <w:b w:val="0"/>
          <w:bCs/>
          <w:spacing w:val="-2"/>
          <w:sz w:val="28"/>
          <w:szCs w:val="28"/>
        </w:rPr>
      </w:pPr>
      <w:r>
        <w:rPr>
          <w:b w:val="0"/>
          <w:bCs/>
          <w:spacing w:val="-2"/>
          <w:sz w:val="28"/>
          <w:szCs w:val="28"/>
        </w:rPr>
        <w:t>包装过程中，由于黑火药敏感度较大，包装过程中有撞击、摩擦作用，不适当的操作会引起燃烧、爆炸；粉尘健康危害</w:t>
      </w:r>
      <w:r>
        <w:rPr>
          <w:rFonts w:hint="eastAsia"/>
          <w:b w:val="0"/>
          <w:bCs/>
          <w:spacing w:val="-2"/>
          <w:sz w:val="28"/>
          <w:szCs w:val="28"/>
        </w:rPr>
        <w:t>。</w:t>
      </w:r>
    </w:p>
    <w:p w14:paraId="6E7E2161">
      <w:pPr>
        <w:widowControl/>
        <w:spacing w:line="360" w:lineRule="auto"/>
        <w:ind w:firstLine="562" w:firstLineChars="200"/>
        <w:rPr>
          <w:rFonts w:ascii="宋体" w:hAnsi="宋体"/>
          <w:kern w:val="0"/>
          <w:sz w:val="28"/>
          <w:szCs w:val="28"/>
        </w:rPr>
      </w:pPr>
      <w:r>
        <w:rPr>
          <w:rFonts w:hint="eastAsia" w:ascii="宋体" w:hAnsi="宋体"/>
          <w:kern w:val="0"/>
          <w:sz w:val="28"/>
          <w:szCs w:val="28"/>
        </w:rPr>
        <w:t>（1</w:t>
      </w:r>
      <w:r>
        <w:rPr>
          <w:rFonts w:ascii="宋体" w:hAnsi="宋体"/>
          <w:kern w:val="0"/>
          <w:sz w:val="28"/>
          <w:szCs w:val="28"/>
        </w:rPr>
        <w:t>2</w:t>
      </w:r>
      <w:r>
        <w:rPr>
          <w:rFonts w:hint="eastAsia" w:ascii="宋体" w:hAnsi="宋体"/>
          <w:kern w:val="0"/>
          <w:sz w:val="28"/>
          <w:szCs w:val="28"/>
        </w:rPr>
        <w:t>）中转</w:t>
      </w:r>
    </w:p>
    <w:p w14:paraId="77D37282">
      <w:pPr>
        <w:widowControl/>
        <w:spacing w:line="360" w:lineRule="auto"/>
        <w:ind w:firstLine="560" w:firstLineChars="200"/>
        <w:rPr>
          <w:rFonts w:ascii="宋体" w:hAnsi="宋体"/>
          <w:b w:val="0"/>
          <w:kern w:val="0"/>
          <w:sz w:val="28"/>
          <w:szCs w:val="28"/>
        </w:rPr>
      </w:pPr>
      <w:r>
        <w:rPr>
          <w:rFonts w:hint="eastAsia" w:ascii="宋体" w:hAnsi="宋体"/>
          <w:b w:val="0"/>
          <w:kern w:val="0"/>
          <w:sz w:val="28"/>
          <w:szCs w:val="28"/>
        </w:rPr>
        <w:t xml:space="preserve"> </w:t>
      </w:r>
      <w:r>
        <w:rPr>
          <w:rFonts w:hint="eastAsia" w:ascii="宋体" w:hAnsi="宋体"/>
          <w:b w:val="0"/>
          <w:snapToGrid w:val="0"/>
          <w:sz w:val="28"/>
          <w:szCs w:val="28"/>
        </w:rPr>
        <w:t>该企业整个生产产品工艺操作间以外的其他配套有药工房起着承上起下的作用，但又存在很大的危险性，且储存药量均较大，一旦发生危险波及范围比操作工艺工房更广。本次评价对这些工艺操作之外存在危险的其他方面进行分析评价</w:t>
      </w:r>
      <w:r>
        <w:rPr>
          <w:rFonts w:hint="eastAsia" w:ascii="宋体" w:hAnsi="宋体"/>
          <w:b w:val="0"/>
          <w:kern w:val="0"/>
          <w:sz w:val="28"/>
          <w:szCs w:val="28"/>
        </w:rPr>
        <w:t>。</w:t>
      </w:r>
    </w:p>
    <w:p w14:paraId="05DCD134">
      <w:pPr>
        <w:widowControl/>
        <w:spacing w:line="360" w:lineRule="auto"/>
        <w:ind w:firstLine="560" w:firstLineChars="200"/>
        <w:rPr>
          <w:rFonts w:ascii="宋体" w:hAnsi="宋体"/>
          <w:b w:val="0"/>
          <w:bCs/>
          <w:kern w:val="0"/>
          <w:sz w:val="28"/>
          <w:szCs w:val="28"/>
        </w:rPr>
      </w:pPr>
      <w:r>
        <w:rPr>
          <w:rFonts w:hint="eastAsia" w:ascii="宋体" w:hAnsi="宋体"/>
          <w:b w:val="0"/>
          <w:bCs/>
          <w:kern w:val="0"/>
          <w:sz w:val="28"/>
          <w:szCs w:val="28"/>
        </w:rPr>
        <w:t>①工艺说明</w:t>
      </w:r>
    </w:p>
    <w:p w14:paraId="035261A1">
      <w:pPr>
        <w:widowControl/>
        <w:spacing w:line="360" w:lineRule="auto"/>
        <w:ind w:firstLine="560" w:firstLineChars="200"/>
        <w:rPr>
          <w:rFonts w:ascii="宋体" w:hAnsi="宋体"/>
          <w:b w:val="0"/>
          <w:bCs/>
          <w:kern w:val="0"/>
          <w:sz w:val="28"/>
          <w:szCs w:val="28"/>
        </w:rPr>
      </w:pPr>
      <w:r>
        <w:rPr>
          <w:rFonts w:hint="eastAsia" w:ascii="宋体" w:hAnsi="宋体"/>
          <w:b w:val="0"/>
          <w:bCs/>
          <w:kern w:val="0"/>
          <w:sz w:val="28"/>
          <w:szCs w:val="28"/>
        </w:rPr>
        <w:t>半成品中转不是一个特定工艺操作过程，它是工艺操作过程减少药物集中在危险操作间所必需的辅助工房，主要作用是避免药物集中，减少操作人员身边药量，预防工艺运输交叉等。它包括原材料中转、二味中转、制片中转、回收粉中转、片子中转、凉片中转、造粒中转、抛光中转、筛选中转、包装中转等。</w:t>
      </w:r>
    </w:p>
    <w:p w14:paraId="0A7817A3">
      <w:pPr>
        <w:widowControl/>
        <w:spacing w:line="360" w:lineRule="auto"/>
        <w:ind w:firstLine="560" w:firstLineChars="200"/>
        <w:rPr>
          <w:rFonts w:ascii="宋体" w:hAnsi="宋体"/>
          <w:b w:val="0"/>
          <w:bCs/>
          <w:kern w:val="0"/>
          <w:sz w:val="28"/>
          <w:szCs w:val="28"/>
        </w:rPr>
      </w:pPr>
      <w:bookmarkStart w:id="295" w:name="_Toc219869688"/>
      <w:r>
        <w:rPr>
          <w:rFonts w:hint="eastAsia" w:ascii="宋体" w:hAnsi="宋体"/>
          <w:b w:val="0"/>
          <w:bCs/>
          <w:kern w:val="0"/>
          <w:sz w:val="28"/>
          <w:szCs w:val="28"/>
        </w:rPr>
        <w:t>②主要危险有害因素</w:t>
      </w:r>
      <w:bookmarkEnd w:id="295"/>
    </w:p>
    <w:p w14:paraId="3C2F79E5">
      <w:pPr>
        <w:widowControl/>
        <w:spacing w:line="360" w:lineRule="auto"/>
        <w:ind w:firstLine="560" w:firstLineChars="200"/>
        <w:rPr>
          <w:rFonts w:ascii="宋体" w:hAnsi="宋体"/>
          <w:b w:val="0"/>
          <w:bCs/>
          <w:kern w:val="0"/>
          <w:sz w:val="28"/>
          <w:szCs w:val="28"/>
        </w:rPr>
      </w:pPr>
      <w:r>
        <w:rPr>
          <w:rFonts w:hint="eastAsia" w:ascii="宋体" w:hAnsi="宋体"/>
          <w:b w:val="0"/>
          <w:bCs/>
          <w:kern w:val="0"/>
          <w:sz w:val="28"/>
          <w:szCs w:val="28"/>
        </w:rPr>
        <w:t>在1.1级中转间的操作不当，摩擦、撞击、静电引发火灾、爆炸。实际储存药量远大于设计限药量时，一旦有爆炸危险时可能引起殉爆；粉尘健康危害。</w:t>
      </w:r>
    </w:p>
    <w:p w14:paraId="04642113">
      <w:pPr>
        <w:spacing w:line="360" w:lineRule="auto"/>
        <w:outlineLvl w:val="2"/>
        <w:rPr>
          <w:rFonts w:ascii="黑体" w:hAnsi="黑体" w:eastAsia="黑体"/>
          <w:b w:val="0"/>
          <w:bCs/>
          <w:sz w:val="30"/>
          <w:szCs w:val="30"/>
        </w:rPr>
      </w:pPr>
      <w:bookmarkStart w:id="296" w:name="_Toc145275203"/>
      <w:bookmarkStart w:id="297" w:name="_Toc173077669"/>
      <w:bookmarkStart w:id="298" w:name="_Toc58861995"/>
      <w:bookmarkStart w:id="299" w:name="_Toc181194076"/>
      <w:bookmarkStart w:id="300" w:name="_Toc60129110"/>
      <w:bookmarkStart w:id="301" w:name="_Toc148036998"/>
      <w:bookmarkStart w:id="302" w:name="_Toc58946827"/>
      <w:r>
        <w:rPr>
          <w:rFonts w:hint="eastAsia" w:ascii="黑体" w:hAnsi="黑体" w:eastAsia="黑体"/>
          <w:b w:val="0"/>
          <w:bCs/>
          <w:sz w:val="30"/>
          <w:szCs w:val="30"/>
        </w:rPr>
        <w:t>3.</w:t>
      </w:r>
      <w:r>
        <w:rPr>
          <w:rFonts w:ascii="黑体" w:hAnsi="黑体" w:eastAsia="黑体"/>
          <w:b w:val="0"/>
          <w:bCs/>
          <w:sz w:val="30"/>
          <w:szCs w:val="30"/>
        </w:rPr>
        <w:t>4</w:t>
      </w:r>
      <w:r>
        <w:rPr>
          <w:rFonts w:hint="eastAsia" w:ascii="黑体" w:hAnsi="黑体" w:eastAsia="黑体"/>
          <w:b w:val="0"/>
          <w:bCs/>
          <w:sz w:val="30"/>
          <w:szCs w:val="30"/>
        </w:rPr>
        <w:t>.2工艺过程危险有害因素综述</w:t>
      </w:r>
      <w:bookmarkEnd w:id="296"/>
      <w:bookmarkEnd w:id="297"/>
      <w:bookmarkEnd w:id="298"/>
      <w:bookmarkEnd w:id="299"/>
      <w:bookmarkEnd w:id="300"/>
      <w:bookmarkEnd w:id="301"/>
      <w:bookmarkEnd w:id="302"/>
    </w:p>
    <w:p w14:paraId="105586C2">
      <w:pPr>
        <w:spacing w:line="360" w:lineRule="auto"/>
        <w:ind w:firstLine="560" w:firstLineChars="200"/>
        <w:rPr>
          <w:rFonts w:ascii="黑体" w:hAnsi="宋体" w:eastAsia="黑体"/>
          <w:b w:val="0"/>
          <w:sz w:val="24"/>
        </w:rPr>
      </w:pPr>
      <w:r>
        <w:rPr>
          <w:rFonts w:hint="eastAsia" w:ascii="宋体" w:hAnsi="宋体"/>
          <w:b w:val="0"/>
          <w:snapToGrid w:val="0"/>
          <w:sz w:val="28"/>
          <w:szCs w:val="28"/>
        </w:rPr>
        <w:t>由以上各危险工艺过程危险有害因素分析可知，该企业生产工艺过程存在的主要危险、危害为燃烧、爆炸和中毒、粉尘危害、机械致害。工艺过程危险有害因素类别、存在场所及可能导致的事故如下表3.</w:t>
      </w:r>
      <w:r>
        <w:rPr>
          <w:rFonts w:ascii="宋体" w:hAnsi="宋体"/>
          <w:b w:val="0"/>
          <w:snapToGrid w:val="0"/>
          <w:sz w:val="28"/>
          <w:szCs w:val="28"/>
        </w:rPr>
        <w:t>4</w:t>
      </w:r>
      <w:r>
        <w:rPr>
          <w:rFonts w:hint="eastAsia" w:ascii="宋体" w:hAnsi="宋体"/>
          <w:b w:val="0"/>
          <w:snapToGrid w:val="0"/>
          <w:sz w:val="28"/>
          <w:szCs w:val="28"/>
        </w:rPr>
        <w:t>-</w:t>
      </w:r>
      <w:r>
        <w:rPr>
          <w:rFonts w:ascii="宋体" w:hAnsi="宋体"/>
          <w:b w:val="0"/>
          <w:snapToGrid w:val="0"/>
          <w:sz w:val="28"/>
          <w:szCs w:val="28"/>
        </w:rPr>
        <w:t>1</w:t>
      </w:r>
      <w:r>
        <w:rPr>
          <w:rFonts w:hint="eastAsia" w:ascii="宋体" w:hAnsi="宋体"/>
          <w:b w:val="0"/>
          <w:snapToGrid w:val="0"/>
          <w:sz w:val="28"/>
          <w:szCs w:val="28"/>
        </w:rPr>
        <w:t>所示：</w:t>
      </w:r>
    </w:p>
    <w:p w14:paraId="3C1F8470">
      <w:pPr>
        <w:jc w:val="center"/>
        <w:rPr>
          <w:rFonts w:ascii="黑体" w:hAnsi="宋体" w:eastAsia="黑体"/>
          <w:b w:val="0"/>
          <w:sz w:val="24"/>
        </w:rPr>
      </w:pPr>
      <w:r>
        <w:rPr>
          <w:rFonts w:hint="eastAsia" w:ascii="黑体" w:hAnsi="宋体" w:eastAsia="黑体"/>
          <w:b w:val="0"/>
          <w:sz w:val="24"/>
        </w:rPr>
        <w:t>表3.</w:t>
      </w:r>
      <w:r>
        <w:rPr>
          <w:rFonts w:ascii="黑体" w:hAnsi="宋体" w:eastAsia="黑体"/>
          <w:b w:val="0"/>
          <w:sz w:val="24"/>
        </w:rPr>
        <w:t>4</w:t>
      </w:r>
      <w:r>
        <w:rPr>
          <w:rFonts w:hint="eastAsia" w:ascii="黑体" w:hAnsi="宋体" w:eastAsia="黑体"/>
          <w:b w:val="0"/>
          <w:sz w:val="24"/>
        </w:rPr>
        <w:t>-</w:t>
      </w:r>
      <w:r>
        <w:rPr>
          <w:rFonts w:ascii="黑体" w:hAnsi="宋体" w:eastAsia="黑体"/>
          <w:b w:val="0"/>
          <w:sz w:val="24"/>
        </w:rPr>
        <w:t>1</w:t>
      </w:r>
      <w:r>
        <w:rPr>
          <w:rFonts w:hint="eastAsia" w:ascii="黑体" w:hAnsi="宋体" w:eastAsia="黑体"/>
          <w:b w:val="0"/>
          <w:sz w:val="24"/>
        </w:rPr>
        <w:t>工艺过程存在的主要危险、有害因素</w:t>
      </w:r>
    </w:p>
    <w:tbl>
      <w:tblPr>
        <w:tblStyle w:val="88"/>
        <w:tblW w:w="484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1465"/>
        <w:gridCol w:w="1687"/>
        <w:gridCol w:w="1613"/>
        <w:gridCol w:w="1793"/>
        <w:gridCol w:w="1984"/>
      </w:tblGrid>
      <w:tr w14:paraId="0CB79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blHeader/>
          <w:jc w:val="center"/>
        </w:trPr>
        <w:tc>
          <w:tcPr>
            <w:tcW w:w="2003" w:type="pct"/>
            <w:gridSpan w:val="3"/>
            <w:tcBorders>
              <w:top w:val="single" w:color="auto" w:sz="12" w:space="0"/>
            </w:tcBorders>
            <w:vAlign w:val="center"/>
          </w:tcPr>
          <w:p w14:paraId="20288CDD">
            <w:pPr>
              <w:spacing w:line="240" w:lineRule="exact"/>
              <w:jc w:val="center"/>
              <w:rPr>
                <w:rFonts w:ascii="宋体" w:hAnsi="宋体"/>
                <w:szCs w:val="21"/>
              </w:rPr>
            </w:pPr>
            <w:r>
              <w:rPr>
                <w:rFonts w:hint="eastAsia" w:ascii="宋体" w:hAnsi="宋体"/>
                <w:szCs w:val="21"/>
              </w:rPr>
              <w:t>危险有害因素</w:t>
            </w:r>
          </w:p>
          <w:p w14:paraId="4EB0BB66">
            <w:pPr>
              <w:spacing w:line="240" w:lineRule="exact"/>
              <w:jc w:val="center"/>
              <w:rPr>
                <w:rFonts w:ascii="宋体" w:hAnsi="宋体"/>
                <w:szCs w:val="21"/>
              </w:rPr>
            </w:pPr>
            <w:r>
              <w:rPr>
                <w:rFonts w:hint="eastAsia" w:ascii="宋体" w:hAnsi="宋体"/>
                <w:szCs w:val="21"/>
              </w:rPr>
              <w:t>名称及代码</w:t>
            </w:r>
          </w:p>
        </w:tc>
        <w:tc>
          <w:tcPr>
            <w:tcW w:w="896" w:type="pct"/>
            <w:tcBorders>
              <w:top w:val="single" w:color="auto" w:sz="12" w:space="0"/>
            </w:tcBorders>
            <w:vAlign w:val="center"/>
          </w:tcPr>
          <w:p w14:paraId="6D120BF9">
            <w:pPr>
              <w:spacing w:line="240" w:lineRule="exact"/>
              <w:jc w:val="center"/>
              <w:rPr>
                <w:rFonts w:ascii="宋体" w:hAnsi="宋体"/>
                <w:szCs w:val="21"/>
              </w:rPr>
            </w:pPr>
            <w:r>
              <w:rPr>
                <w:rFonts w:hint="eastAsia" w:ascii="宋体" w:hAnsi="宋体"/>
                <w:szCs w:val="21"/>
              </w:rPr>
              <w:t>存在场所</w:t>
            </w:r>
          </w:p>
        </w:tc>
        <w:tc>
          <w:tcPr>
            <w:tcW w:w="996" w:type="pct"/>
            <w:tcBorders>
              <w:top w:val="single" w:color="auto" w:sz="12" w:space="0"/>
            </w:tcBorders>
            <w:vAlign w:val="center"/>
          </w:tcPr>
          <w:p w14:paraId="68623A14">
            <w:pPr>
              <w:spacing w:line="240" w:lineRule="exact"/>
              <w:jc w:val="center"/>
              <w:rPr>
                <w:rFonts w:ascii="宋体" w:hAnsi="宋体"/>
                <w:szCs w:val="21"/>
              </w:rPr>
            </w:pPr>
            <w:r>
              <w:rPr>
                <w:rFonts w:hint="eastAsia" w:ascii="宋体" w:hAnsi="宋体"/>
                <w:szCs w:val="21"/>
              </w:rPr>
              <w:t>事故发生的原因</w:t>
            </w:r>
          </w:p>
        </w:tc>
        <w:tc>
          <w:tcPr>
            <w:tcW w:w="1102" w:type="pct"/>
            <w:tcBorders>
              <w:top w:val="single" w:color="auto" w:sz="12" w:space="0"/>
            </w:tcBorders>
            <w:vAlign w:val="center"/>
          </w:tcPr>
          <w:p w14:paraId="1B5AFD64">
            <w:pPr>
              <w:spacing w:line="240" w:lineRule="exact"/>
              <w:jc w:val="center"/>
              <w:rPr>
                <w:rFonts w:ascii="宋体" w:hAnsi="宋体"/>
                <w:szCs w:val="21"/>
              </w:rPr>
            </w:pPr>
            <w:r>
              <w:rPr>
                <w:rFonts w:hint="eastAsia" w:ascii="宋体" w:hAnsi="宋体"/>
                <w:szCs w:val="21"/>
              </w:rPr>
              <w:t>可能导致的事故</w:t>
            </w:r>
          </w:p>
        </w:tc>
      </w:tr>
      <w:tr w14:paraId="12856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restart"/>
            <w:vAlign w:val="center"/>
          </w:tcPr>
          <w:p w14:paraId="7B0C0164">
            <w:pPr>
              <w:spacing w:line="240" w:lineRule="exact"/>
              <w:jc w:val="center"/>
              <w:rPr>
                <w:rFonts w:ascii="宋体" w:hAnsi="宋体"/>
                <w:b w:val="0"/>
                <w:bCs/>
                <w:szCs w:val="21"/>
              </w:rPr>
            </w:pPr>
            <w:r>
              <w:rPr>
                <w:rFonts w:hint="eastAsia" w:ascii="宋体" w:hAnsi="宋体"/>
                <w:b w:val="0"/>
                <w:bCs/>
                <w:szCs w:val="21"/>
              </w:rPr>
              <w:t>人的因素</w:t>
            </w:r>
            <w:r>
              <w:rPr>
                <w:rFonts w:ascii="宋体" w:hAnsi="宋体"/>
                <w:b w:val="0"/>
                <w:bCs/>
                <w:szCs w:val="21"/>
              </w:rPr>
              <w:t>1</w:t>
            </w:r>
          </w:p>
        </w:tc>
        <w:tc>
          <w:tcPr>
            <w:tcW w:w="814" w:type="pct"/>
            <w:vMerge w:val="restart"/>
            <w:vAlign w:val="center"/>
          </w:tcPr>
          <w:p w14:paraId="169E5C9B">
            <w:pPr>
              <w:spacing w:line="240" w:lineRule="exact"/>
              <w:jc w:val="center"/>
              <w:rPr>
                <w:rFonts w:ascii="宋体" w:hAnsi="宋体"/>
                <w:b w:val="0"/>
                <w:bCs/>
                <w:szCs w:val="21"/>
              </w:rPr>
            </w:pPr>
            <w:r>
              <w:rPr>
                <w:rFonts w:hint="eastAsia" w:ascii="宋体" w:hAnsi="宋体"/>
                <w:b w:val="0"/>
                <w:bCs/>
                <w:szCs w:val="21"/>
              </w:rPr>
              <w:t>心理、生理性危险有害因素</w:t>
            </w:r>
            <w:r>
              <w:rPr>
                <w:rFonts w:ascii="宋体" w:hAnsi="宋体"/>
                <w:b w:val="0"/>
                <w:bCs/>
                <w:szCs w:val="21"/>
              </w:rPr>
              <w:t>11</w:t>
            </w:r>
          </w:p>
        </w:tc>
        <w:tc>
          <w:tcPr>
            <w:tcW w:w="937" w:type="pct"/>
            <w:vAlign w:val="center"/>
          </w:tcPr>
          <w:p w14:paraId="545362C6">
            <w:pPr>
              <w:spacing w:line="240" w:lineRule="exact"/>
              <w:jc w:val="center"/>
              <w:rPr>
                <w:rFonts w:ascii="宋体" w:hAnsi="宋体"/>
                <w:b w:val="0"/>
                <w:bCs/>
                <w:szCs w:val="21"/>
              </w:rPr>
            </w:pPr>
            <w:r>
              <w:rPr>
                <w:rFonts w:hint="eastAsia" w:ascii="宋体" w:hAnsi="宋体"/>
                <w:b w:val="0"/>
                <w:bCs/>
                <w:szCs w:val="21"/>
              </w:rPr>
              <w:t>负荷超限</w:t>
            </w:r>
            <w:r>
              <w:rPr>
                <w:rFonts w:ascii="宋体" w:hAnsi="宋体"/>
                <w:b w:val="0"/>
                <w:bCs/>
                <w:szCs w:val="21"/>
              </w:rPr>
              <w:t>1101</w:t>
            </w:r>
          </w:p>
        </w:tc>
        <w:tc>
          <w:tcPr>
            <w:tcW w:w="896" w:type="pct"/>
            <w:vAlign w:val="center"/>
          </w:tcPr>
          <w:p w14:paraId="1E01362D">
            <w:pPr>
              <w:spacing w:line="240" w:lineRule="exact"/>
              <w:jc w:val="center"/>
              <w:rPr>
                <w:rFonts w:ascii="宋体" w:hAnsi="宋体"/>
                <w:b w:val="0"/>
                <w:bCs/>
                <w:szCs w:val="21"/>
              </w:rPr>
            </w:pPr>
            <w:r>
              <w:rPr>
                <w:rFonts w:hint="eastAsia" w:ascii="宋体" w:hAnsi="宋体"/>
                <w:b w:val="0"/>
                <w:bCs/>
                <w:szCs w:val="21"/>
              </w:rPr>
              <w:t>厂内运输</w:t>
            </w:r>
          </w:p>
        </w:tc>
        <w:tc>
          <w:tcPr>
            <w:tcW w:w="996" w:type="pct"/>
            <w:vAlign w:val="center"/>
          </w:tcPr>
          <w:p w14:paraId="2F881392">
            <w:pPr>
              <w:spacing w:line="240" w:lineRule="exact"/>
              <w:jc w:val="center"/>
              <w:rPr>
                <w:rFonts w:ascii="宋体" w:hAnsi="宋体"/>
                <w:b w:val="0"/>
                <w:bCs/>
                <w:szCs w:val="21"/>
              </w:rPr>
            </w:pPr>
            <w:r>
              <w:rPr>
                <w:rFonts w:hint="eastAsia" w:ascii="宋体" w:hAnsi="宋体"/>
                <w:b w:val="0"/>
                <w:bCs/>
                <w:szCs w:val="21"/>
              </w:rPr>
              <w:t>超负荷操作发生意外</w:t>
            </w:r>
          </w:p>
        </w:tc>
        <w:tc>
          <w:tcPr>
            <w:tcW w:w="1102" w:type="pct"/>
            <w:vAlign w:val="center"/>
          </w:tcPr>
          <w:p w14:paraId="12639CDC">
            <w:pPr>
              <w:spacing w:line="240" w:lineRule="exact"/>
              <w:jc w:val="center"/>
              <w:rPr>
                <w:rFonts w:ascii="宋体" w:hAnsi="宋体"/>
                <w:b w:val="0"/>
                <w:bCs/>
                <w:szCs w:val="21"/>
              </w:rPr>
            </w:pPr>
            <w:r>
              <w:rPr>
                <w:rFonts w:hint="eastAsia" w:ascii="宋体" w:hAnsi="宋体"/>
                <w:b w:val="0"/>
                <w:bCs/>
                <w:szCs w:val="21"/>
              </w:rPr>
              <w:t>人体伤害或其它安全事故</w:t>
            </w:r>
          </w:p>
        </w:tc>
      </w:tr>
      <w:tr w14:paraId="35324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continue"/>
            <w:vAlign w:val="center"/>
          </w:tcPr>
          <w:p w14:paraId="24030CDD">
            <w:pPr>
              <w:widowControl/>
              <w:spacing w:line="240" w:lineRule="exact"/>
              <w:jc w:val="center"/>
              <w:rPr>
                <w:rFonts w:ascii="宋体" w:hAnsi="宋体"/>
                <w:b w:val="0"/>
                <w:bCs/>
                <w:szCs w:val="21"/>
              </w:rPr>
            </w:pPr>
          </w:p>
        </w:tc>
        <w:tc>
          <w:tcPr>
            <w:tcW w:w="814" w:type="pct"/>
            <w:vMerge w:val="continue"/>
            <w:vAlign w:val="center"/>
          </w:tcPr>
          <w:p w14:paraId="24112F69">
            <w:pPr>
              <w:widowControl/>
              <w:spacing w:line="240" w:lineRule="exact"/>
              <w:jc w:val="center"/>
              <w:rPr>
                <w:rFonts w:ascii="宋体" w:hAnsi="宋体"/>
                <w:b w:val="0"/>
                <w:bCs/>
                <w:szCs w:val="21"/>
              </w:rPr>
            </w:pPr>
          </w:p>
        </w:tc>
        <w:tc>
          <w:tcPr>
            <w:tcW w:w="937" w:type="pct"/>
            <w:vAlign w:val="center"/>
          </w:tcPr>
          <w:p w14:paraId="4254A0AB">
            <w:pPr>
              <w:spacing w:line="240" w:lineRule="exact"/>
              <w:jc w:val="center"/>
              <w:rPr>
                <w:rFonts w:ascii="宋体" w:hAnsi="宋体"/>
                <w:b w:val="0"/>
                <w:bCs/>
                <w:szCs w:val="21"/>
              </w:rPr>
            </w:pPr>
            <w:r>
              <w:rPr>
                <w:rFonts w:hint="eastAsia" w:ascii="宋体" w:hAnsi="宋体"/>
                <w:b w:val="0"/>
                <w:bCs/>
                <w:szCs w:val="21"/>
              </w:rPr>
              <w:t>健康状况异常</w:t>
            </w:r>
            <w:r>
              <w:rPr>
                <w:rFonts w:ascii="宋体" w:hAnsi="宋体"/>
                <w:b w:val="0"/>
                <w:bCs/>
                <w:szCs w:val="21"/>
              </w:rPr>
              <w:t>1102</w:t>
            </w:r>
          </w:p>
        </w:tc>
        <w:tc>
          <w:tcPr>
            <w:tcW w:w="896" w:type="pct"/>
            <w:vAlign w:val="center"/>
          </w:tcPr>
          <w:p w14:paraId="43A48B93">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1A8B5CDF">
            <w:pPr>
              <w:spacing w:line="240" w:lineRule="exact"/>
              <w:jc w:val="center"/>
              <w:rPr>
                <w:rFonts w:ascii="宋体" w:hAnsi="宋体"/>
                <w:b w:val="0"/>
              </w:rPr>
            </w:pPr>
            <w:r>
              <w:rPr>
                <w:rFonts w:hint="eastAsia" w:ascii="宋体" w:hAnsi="宋体"/>
                <w:b w:val="0"/>
              </w:rPr>
              <w:t>带病作业导致非正常操作，发生意外</w:t>
            </w:r>
          </w:p>
        </w:tc>
        <w:tc>
          <w:tcPr>
            <w:tcW w:w="1102" w:type="pct"/>
            <w:vAlign w:val="center"/>
          </w:tcPr>
          <w:p w14:paraId="6F76A203">
            <w:pPr>
              <w:spacing w:line="240" w:lineRule="exact"/>
              <w:jc w:val="center"/>
              <w:rPr>
                <w:rFonts w:ascii="宋体" w:hAnsi="宋体"/>
                <w:b w:val="0"/>
                <w:bCs/>
                <w:szCs w:val="21"/>
              </w:rPr>
            </w:pPr>
            <w:r>
              <w:rPr>
                <w:rFonts w:hint="eastAsia" w:ascii="宋体" w:hAnsi="宋体"/>
                <w:b w:val="0"/>
                <w:bCs/>
                <w:szCs w:val="21"/>
              </w:rPr>
              <w:t>健康危害或其它安全事故</w:t>
            </w:r>
          </w:p>
        </w:tc>
      </w:tr>
      <w:tr w14:paraId="36D83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64C673AF">
            <w:pPr>
              <w:widowControl/>
              <w:spacing w:line="240" w:lineRule="exact"/>
              <w:jc w:val="center"/>
              <w:rPr>
                <w:rFonts w:ascii="宋体" w:hAnsi="宋体"/>
                <w:b w:val="0"/>
                <w:bCs/>
                <w:szCs w:val="21"/>
              </w:rPr>
            </w:pPr>
          </w:p>
        </w:tc>
        <w:tc>
          <w:tcPr>
            <w:tcW w:w="814" w:type="pct"/>
            <w:vMerge w:val="continue"/>
            <w:vAlign w:val="center"/>
          </w:tcPr>
          <w:p w14:paraId="2C50F7B6">
            <w:pPr>
              <w:widowControl/>
              <w:spacing w:line="240" w:lineRule="exact"/>
              <w:jc w:val="center"/>
              <w:rPr>
                <w:rFonts w:ascii="宋体" w:hAnsi="宋体"/>
                <w:b w:val="0"/>
                <w:bCs/>
                <w:szCs w:val="21"/>
              </w:rPr>
            </w:pPr>
          </w:p>
        </w:tc>
        <w:tc>
          <w:tcPr>
            <w:tcW w:w="937" w:type="pct"/>
            <w:vAlign w:val="center"/>
          </w:tcPr>
          <w:p w14:paraId="393BD39D">
            <w:pPr>
              <w:spacing w:line="240" w:lineRule="exact"/>
              <w:jc w:val="center"/>
              <w:rPr>
                <w:rFonts w:ascii="宋体" w:hAnsi="宋体"/>
                <w:b w:val="0"/>
                <w:bCs/>
                <w:szCs w:val="21"/>
              </w:rPr>
            </w:pPr>
            <w:r>
              <w:rPr>
                <w:rFonts w:hint="eastAsia" w:ascii="宋体" w:hAnsi="宋体"/>
                <w:b w:val="0"/>
                <w:bCs/>
                <w:szCs w:val="21"/>
              </w:rPr>
              <w:t>心理异常</w:t>
            </w:r>
            <w:r>
              <w:rPr>
                <w:rFonts w:ascii="宋体" w:hAnsi="宋体"/>
                <w:b w:val="0"/>
                <w:bCs/>
                <w:szCs w:val="21"/>
              </w:rPr>
              <w:t>1104</w:t>
            </w:r>
          </w:p>
        </w:tc>
        <w:tc>
          <w:tcPr>
            <w:tcW w:w="896" w:type="pct"/>
            <w:vAlign w:val="center"/>
          </w:tcPr>
          <w:p w14:paraId="47320759">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6550CEF3">
            <w:pPr>
              <w:spacing w:line="240" w:lineRule="exact"/>
              <w:jc w:val="center"/>
              <w:rPr>
                <w:rFonts w:ascii="宋体" w:hAnsi="宋体"/>
                <w:b w:val="0"/>
              </w:rPr>
            </w:pPr>
            <w:r>
              <w:rPr>
                <w:rFonts w:hint="eastAsia" w:ascii="宋体" w:hAnsi="宋体"/>
                <w:b w:val="0"/>
              </w:rPr>
              <w:t>非正常操作发生意外</w:t>
            </w:r>
          </w:p>
        </w:tc>
        <w:tc>
          <w:tcPr>
            <w:tcW w:w="1102" w:type="pct"/>
            <w:vAlign w:val="center"/>
          </w:tcPr>
          <w:p w14:paraId="68203683">
            <w:pPr>
              <w:spacing w:line="240" w:lineRule="exact"/>
              <w:jc w:val="center"/>
              <w:rPr>
                <w:rFonts w:ascii="宋体" w:hAnsi="宋体"/>
                <w:b w:val="0"/>
                <w:bCs/>
                <w:szCs w:val="21"/>
              </w:rPr>
            </w:pPr>
            <w:r>
              <w:rPr>
                <w:rFonts w:hint="eastAsia" w:ascii="宋体" w:hAnsi="宋体"/>
                <w:b w:val="0"/>
                <w:bCs/>
                <w:szCs w:val="21"/>
              </w:rPr>
              <w:t>各类安全事故</w:t>
            </w:r>
          </w:p>
        </w:tc>
      </w:tr>
      <w:tr w14:paraId="368120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1EF1F8FE">
            <w:pPr>
              <w:widowControl/>
              <w:spacing w:line="240" w:lineRule="exact"/>
              <w:jc w:val="center"/>
              <w:rPr>
                <w:rFonts w:ascii="宋体" w:hAnsi="宋体"/>
                <w:b w:val="0"/>
                <w:bCs/>
                <w:szCs w:val="21"/>
              </w:rPr>
            </w:pPr>
          </w:p>
        </w:tc>
        <w:tc>
          <w:tcPr>
            <w:tcW w:w="814" w:type="pct"/>
            <w:vMerge w:val="restart"/>
            <w:vAlign w:val="center"/>
          </w:tcPr>
          <w:p w14:paraId="43E9EB09">
            <w:pPr>
              <w:spacing w:line="240" w:lineRule="exact"/>
              <w:jc w:val="center"/>
              <w:rPr>
                <w:rFonts w:ascii="宋体" w:hAnsi="宋体"/>
                <w:b w:val="0"/>
                <w:bCs/>
                <w:szCs w:val="21"/>
              </w:rPr>
            </w:pPr>
            <w:r>
              <w:rPr>
                <w:rFonts w:hint="eastAsia" w:ascii="宋体" w:hAnsi="宋体"/>
                <w:b w:val="0"/>
                <w:bCs/>
                <w:szCs w:val="21"/>
              </w:rPr>
              <w:t>行为性危险、有害因素</w:t>
            </w:r>
            <w:r>
              <w:rPr>
                <w:rFonts w:ascii="宋体" w:hAnsi="宋体"/>
                <w:b w:val="0"/>
                <w:bCs/>
                <w:szCs w:val="21"/>
              </w:rPr>
              <w:t>12</w:t>
            </w:r>
          </w:p>
        </w:tc>
        <w:tc>
          <w:tcPr>
            <w:tcW w:w="937" w:type="pct"/>
            <w:vAlign w:val="center"/>
          </w:tcPr>
          <w:p w14:paraId="7FEA8C09">
            <w:pPr>
              <w:spacing w:line="240" w:lineRule="exact"/>
              <w:jc w:val="center"/>
              <w:rPr>
                <w:rFonts w:ascii="宋体" w:hAnsi="宋体"/>
                <w:b w:val="0"/>
                <w:bCs/>
                <w:szCs w:val="21"/>
              </w:rPr>
            </w:pPr>
            <w:r>
              <w:rPr>
                <w:rFonts w:hint="eastAsia" w:ascii="宋体" w:hAnsi="宋体"/>
                <w:b w:val="0"/>
                <w:bCs/>
                <w:szCs w:val="21"/>
              </w:rPr>
              <w:t>指挥错误</w:t>
            </w:r>
            <w:r>
              <w:rPr>
                <w:rFonts w:ascii="宋体" w:hAnsi="宋体"/>
                <w:b w:val="0"/>
                <w:bCs/>
                <w:szCs w:val="21"/>
              </w:rPr>
              <w:t>1201</w:t>
            </w:r>
          </w:p>
        </w:tc>
        <w:tc>
          <w:tcPr>
            <w:tcW w:w="896" w:type="pct"/>
            <w:vAlign w:val="center"/>
          </w:tcPr>
          <w:p w14:paraId="640B3851">
            <w:pPr>
              <w:spacing w:line="240" w:lineRule="exact"/>
              <w:jc w:val="center"/>
              <w:rPr>
                <w:rFonts w:ascii="宋体" w:hAnsi="宋体"/>
                <w:b w:val="0"/>
                <w:bCs/>
                <w:szCs w:val="21"/>
              </w:rPr>
            </w:pPr>
            <w:r>
              <w:rPr>
                <w:rFonts w:hint="eastAsia" w:ascii="宋体" w:hAnsi="宋体"/>
                <w:b w:val="0"/>
                <w:bCs/>
                <w:szCs w:val="21"/>
              </w:rPr>
              <w:t>各危险性作业工序</w:t>
            </w:r>
          </w:p>
        </w:tc>
        <w:tc>
          <w:tcPr>
            <w:tcW w:w="996" w:type="pct"/>
            <w:vAlign w:val="center"/>
          </w:tcPr>
          <w:p w14:paraId="1D7C6FCB">
            <w:pPr>
              <w:spacing w:line="240" w:lineRule="exact"/>
              <w:jc w:val="center"/>
              <w:rPr>
                <w:rFonts w:ascii="宋体" w:hAnsi="宋体"/>
                <w:b w:val="0"/>
              </w:rPr>
            </w:pPr>
            <w:r>
              <w:rPr>
                <w:rFonts w:hint="eastAsia" w:ascii="宋体" w:hAnsi="宋体"/>
                <w:b w:val="0"/>
              </w:rPr>
              <w:t>非正常作业发生意外</w:t>
            </w:r>
          </w:p>
        </w:tc>
        <w:tc>
          <w:tcPr>
            <w:tcW w:w="1102" w:type="pct"/>
            <w:vAlign w:val="center"/>
          </w:tcPr>
          <w:p w14:paraId="49D97598">
            <w:pPr>
              <w:spacing w:line="240" w:lineRule="exact"/>
              <w:jc w:val="center"/>
              <w:rPr>
                <w:rFonts w:ascii="宋体" w:hAnsi="宋体"/>
                <w:b w:val="0"/>
                <w:bCs/>
                <w:szCs w:val="21"/>
              </w:rPr>
            </w:pPr>
            <w:r>
              <w:rPr>
                <w:rFonts w:hint="eastAsia" w:ascii="宋体" w:hAnsi="宋体"/>
                <w:b w:val="0"/>
                <w:bCs/>
                <w:szCs w:val="21"/>
              </w:rPr>
              <w:t>各类安全事故</w:t>
            </w:r>
          </w:p>
        </w:tc>
      </w:tr>
      <w:tr w14:paraId="3D511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12CAEDB6">
            <w:pPr>
              <w:widowControl/>
              <w:spacing w:line="240" w:lineRule="exact"/>
              <w:jc w:val="center"/>
              <w:rPr>
                <w:rFonts w:ascii="宋体" w:hAnsi="宋体"/>
                <w:b w:val="0"/>
                <w:bCs/>
                <w:szCs w:val="21"/>
              </w:rPr>
            </w:pPr>
          </w:p>
        </w:tc>
        <w:tc>
          <w:tcPr>
            <w:tcW w:w="814" w:type="pct"/>
            <w:vMerge w:val="continue"/>
            <w:vAlign w:val="center"/>
          </w:tcPr>
          <w:p w14:paraId="0E0E17D7">
            <w:pPr>
              <w:widowControl/>
              <w:spacing w:line="240" w:lineRule="exact"/>
              <w:jc w:val="center"/>
              <w:rPr>
                <w:rFonts w:ascii="宋体" w:hAnsi="宋体"/>
                <w:b w:val="0"/>
                <w:bCs/>
                <w:szCs w:val="21"/>
              </w:rPr>
            </w:pPr>
          </w:p>
        </w:tc>
        <w:tc>
          <w:tcPr>
            <w:tcW w:w="937" w:type="pct"/>
            <w:vAlign w:val="center"/>
          </w:tcPr>
          <w:p w14:paraId="4DB559D6">
            <w:pPr>
              <w:spacing w:line="240" w:lineRule="exact"/>
              <w:jc w:val="center"/>
              <w:rPr>
                <w:rFonts w:ascii="宋体" w:hAnsi="宋体"/>
                <w:b w:val="0"/>
                <w:bCs/>
                <w:szCs w:val="21"/>
              </w:rPr>
            </w:pPr>
            <w:r>
              <w:rPr>
                <w:rFonts w:hint="eastAsia" w:ascii="宋体" w:hAnsi="宋体"/>
                <w:b w:val="0"/>
                <w:bCs/>
                <w:szCs w:val="21"/>
              </w:rPr>
              <w:t>操作错误</w:t>
            </w:r>
            <w:r>
              <w:rPr>
                <w:rFonts w:ascii="宋体" w:hAnsi="宋体"/>
                <w:b w:val="0"/>
                <w:bCs/>
                <w:szCs w:val="21"/>
              </w:rPr>
              <w:t>1202</w:t>
            </w:r>
          </w:p>
        </w:tc>
        <w:tc>
          <w:tcPr>
            <w:tcW w:w="896" w:type="pct"/>
            <w:vAlign w:val="center"/>
          </w:tcPr>
          <w:p w14:paraId="41445290">
            <w:pPr>
              <w:spacing w:line="240" w:lineRule="exact"/>
              <w:jc w:val="center"/>
              <w:rPr>
                <w:rFonts w:ascii="宋体" w:hAnsi="宋体"/>
                <w:b w:val="0"/>
                <w:bCs/>
                <w:szCs w:val="21"/>
              </w:rPr>
            </w:pPr>
            <w:r>
              <w:rPr>
                <w:rFonts w:hint="eastAsia" w:ascii="宋体" w:hAnsi="宋体"/>
                <w:b w:val="0"/>
                <w:bCs/>
                <w:szCs w:val="21"/>
              </w:rPr>
              <w:t>各危险性作业工序</w:t>
            </w:r>
          </w:p>
        </w:tc>
        <w:tc>
          <w:tcPr>
            <w:tcW w:w="996" w:type="pct"/>
            <w:vAlign w:val="center"/>
          </w:tcPr>
          <w:p w14:paraId="752046C2">
            <w:pPr>
              <w:spacing w:line="240" w:lineRule="exact"/>
              <w:jc w:val="center"/>
              <w:rPr>
                <w:rFonts w:ascii="宋体" w:hAnsi="宋体"/>
                <w:b w:val="0"/>
              </w:rPr>
            </w:pPr>
            <w:r>
              <w:rPr>
                <w:rFonts w:hint="eastAsia" w:ascii="宋体" w:hAnsi="宋体"/>
                <w:b w:val="0"/>
              </w:rPr>
              <w:t>非正常操作发生意外</w:t>
            </w:r>
          </w:p>
        </w:tc>
        <w:tc>
          <w:tcPr>
            <w:tcW w:w="1102" w:type="pct"/>
            <w:vAlign w:val="center"/>
          </w:tcPr>
          <w:p w14:paraId="7247889E">
            <w:pPr>
              <w:spacing w:line="240" w:lineRule="exact"/>
              <w:jc w:val="center"/>
              <w:rPr>
                <w:rFonts w:ascii="宋体" w:hAnsi="宋体"/>
                <w:b w:val="0"/>
                <w:bCs/>
                <w:szCs w:val="21"/>
              </w:rPr>
            </w:pPr>
            <w:r>
              <w:rPr>
                <w:rFonts w:hint="eastAsia" w:ascii="宋体" w:hAnsi="宋体"/>
                <w:b w:val="0"/>
                <w:bCs/>
                <w:szCs w:val="21"/>
              </w:rPr>
              <w:t>各类安全事故</w:t>
            </w:r>
          </w:p>
        </w:tc>
      </w:tr>
      <w:tr w14:paraId="4FFB6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restart"/>
            <w:vAlign w:val="center"/>
          </w:tcPr>
          <w:p w14:paraId="6AF5C3D8">
            <w:pPr>
              <w:spacing w:line="240" w:lineRule="exact"/>
              <w:jc w:val="center"/>
              <w:rPr>
                <w:rFonts w:ascii="宋体" w:hAnsi="宋体"/>
                <w:b w:val="0"/>
                <w:bCs/>
                <w:szCs w:val="21"/>
              </w:rPr>
            </w:pPr>
            <w:r>
              <w:rPr>
                <w:rFonts w:hint="eastAsia" w:ascii="宋体" w:hAnsi="宋体"/>
                <w:b w:val="0"/>
                <w:bCs/>
                <w:szCs w:val="21"/>
              </w:rPr>
              <w:t>物的因素</w:t>
            </w:r>
            <w:r>
              <w:rPr>
                <w:rFonts w:ascii="宋体" w:hAnsi="宋体"/>
                <w:b w:val="0"/>
                <w:bCs/>
                <w:szCs w:val="21"/>
              </w:rPr>
              <w:t>2</w:t>
            </w:r>
          </w:p>
        </w:tc>
        <w:tc>
          <w:tcPr>
            <w:tcW w:w="814" w:type="pct"/>
            <w:vMerge w:val="restart"/>
            <w:vAlign w:val="center"/>
          </w:tcPr>
          <w:p w14:paraId="71672E40">
            <w:pPr>
              <w:spacing w:line="240" w:lineRule="exact"/>
              <w:jc w:val="center"/>
              <w:rPr>
                <w:rFonts w:ascii="宋体" w:hAnsi="宋体"/>
                <w:b w:val="0"/>
                <w:bCs/>
                <w:szCs w:val="21"/>
              </w:rPr>
            </w:pPr>
            <w:r>
              <w:rPr>
                <w:rFonts w:hint="eastAsia" w:ascii="宋体" w:hAnsi="宋体"/>
                <w:b w:val="0"/>
                <w:bCs/>
                <w:szCs w:val="21"/>
              </w:rPr>
              <w:t>物理性危险有害因素</w:t>
            </w:r>
            <w:r>
              <w:rPr>
                <w:rFonts w:ascii="宋体" w:hAnsi="宋体"/>
                <w:b w:val="0"/>
                <w:bCs/>
                <w:szCs w:val="21"/>
              </w:rPr>
              <w:t>21</w:t>
            </w:r>
          </w:p>
        </w:tc>
        <w:tc>
          <w:tcPr>
            <w:tcW w:w="937" w:type="pct"/>
            <w:vAlign w:val="center"/>
          </w:tcPr>
          <w:p w14:paraId="1E6645F6">
            <w:pPr>
              <w:spacing w:line="240" w:lineRule="exact"/>
              <w:jc w:val="center"/>
              <w:rPr>
                <w:rFonts w:ascii="宋体" w:hAnsi="宋体"/>
                <w:b w:val="0"/>
              </w:rPr>
            </w:pPr>
            <w:r>
              <w:rPr>
                <w:rFonts w:hint="eastAsia" w:ascii="宋体" w:hAnsi="宋体"/>
                <w:b w:val="0"/>
              </w:rPr>
              <w:t>设备、设施、工具缺陷</w:t>
            </w:r>
            <w:r>
              <w:rPr>
                <w:rFonts w:ascii="宋体" w:hAnsi="宋体"/>
                <w:b w:val="0"/>
              </w:rPr>
              <w:t>2101</w:t>
            </w:r>
          </w:p>
        </w:tc>
        <w:tc>
          <w:tcPr>
            <w:tcW w:w="896" w:type="pct"/>
            <w:vAlign w:val="center"/>
          </w:tcPr>
          <w:p w14:paraId="5496B9D2">
            <w:pPr>
              <w:spacing w:line="240" w:lineRule="exact"/>
              <w:jc w:val="center"/>
              <w:rPr>
                <w:rFonts w:ascii="宋体" w:hAnsi="宋体"/>
                <w:b w:val="0"/>
              </w:rPr>
            </w:pPr>
            <w:r>
              <w:rPr>
                <w:rFonts w:hint="eastAsia" w:ascii="宋体" w:hAnsi="宋体"/>
                <w:b w:val="0"/>
              </w:rPr>
              <w:t>各含设备、设施、工具</w:t>
            </w:r>
            <w:r>
              <w:rPr>
                <w:rFonts w:hint="eastAsia" w:ascii="宋体" w:hAnsi="宋体"/>
                <w:b w:val="0"/>
                <w:bCs/>
                <w:szCs w:val="21"/>
              </w:rPr>
              <w:t>工序</w:t>
            </w:r>
          </w:p>
        </w:tc>
        <w:tc>
          <w:tcPr>
            <w:tcW w:w="996" w:type="pct"/>
            <w:vAlign w:val="center"/>
          </w:tcPr>
          <w:p w14:paraId="356383C2">
            <w:pPr>
              <w:spacing w:line="240" w:lineRule="exact"/>
              <w:jc w:val="center"/>
              <w:rPr>
                <w:rFonts w:ascii="宋体" w:hAnsi="宋体"/>
                <w:b w:val="0"/>
              </w:rPr>
            </w:pPr>
            <w:r>
              <w:rPr>
                <w:rFonts w:hint="eastAsia" w:ascii="宋体" w:hAnsi="宋体"/>
                <w:b w:val="0"/>
              </w:rPr>
              <w:t>设备、设施、工具失控或失效</w:t>
            </w:r>
          </w:p>
        </w:tc>
        <w:tc>
          <w:tcPr>
            <w:tcW w:w="1102" w:type="pct"/>
            <w:vAlign w:val="center"/>
          </w:tcPr>
          <w:p w14:paraId="45C2747B">
            <w:pPr>
              <w:spacing w:line="240" w:lineRule="exact"/>
              <w:jc w:val="center"/>
              <w:rPr>
                <w:rFonts w:ascii="宋体" w:hAnsi="宋体"/>
                <w:b w:val="0"/>
              </w:rPr>
            </w:pPr>
            <w:r>
              <w:rPr>
                <w:rFonts w:hint="eastAsia" w:ascii="宋体" w:hAnsi="宋体"/>
                <w:b w:val="0"/>
              </w:rPr>
              <w:t>火药爆炸、物体打击、车辆伤害、触电、其他伤害</w:t>
            </w:r>
          </w:p>
        </w:tc>
      </w:tr>
      <w:tr w14:paraId="17BCA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7A798E1E">
            <w:pPr>
              <w:widowControl/>
              <w:spacing w:line="240" w:lineRule="exact"/>
              <w:jc w:val="center"/>
              <w:rPr>
                <w:rFonts w:ascii="宋体" w:hAnsi="宋体"/>
                <w:b w:val="0"/>
                <w:bCs/>
                <w:szCs w:val="21"/>
              </w:rPr>
            </w:pPr>
          </w:p>
        </w:tc>
        <w:tc>
          <w:tcPr>
            <w:tcW w:w="814" w:type="pct"/>
            <w:vMerge w:val="continue"/>
            <w:vAlign w:val="center"/>
          </w:tcPr>
          <w:p w14:paraId="244E0C09">
            <w:pPr>
              <w:widowControl/>
              <w:spacing w:line="240" w:lineRule="exact"/>
              <w:jc w:val="center"/>
              <w:rPr>
                <w:rFonts w:ascii="宋体" w:hAnsi="宋体"/>
                <w:b w:val="0"/>
                <w:bCs/>
                <w:szCs w:val="21"/>
              </w:rPr>
            </w:pPr>
          </w:p>
        </w:tc>
        <w:tc>
          <w:tcPr>
            <w:tcW w:w="937" w:type="pct"/>
            <w:vAlign w:val="center"/>
          </w:tcPr>
          <w:p w14:paraId="613087EA">
            <w:pPr>
              <w:spacing w:line="240" w:lineRule="exact"/>
              <w:jc w:val="center"/>
              <w:rPr>
                <w:rFonts w:ascii="宋体" w:hAnsi="宋体"/>
                <w:b w:val="0"/>
                <w:bCs/>
                <w:szCs w:val="21"/>
              </w:rPr>
            </w:pPr>
            <w:r>
              <w:rPr>
                <w:rFonts w:hint="eastAsia" w:ascii="宋体" w:hAnsi="宋体"/>
                <w:b w:val="0"/>
                <w:bCs/>
                <w:szCs w:val="21"/>
              </w:rPr>
              <w:t>电伤害</w:t>
            </w:r>
            <w:r>
              <w:rPr>
                <w:rFonts w:ascii="宋体" w:hAnsi="宋体"/>
                <w:b w:val="0"/>
                <w:bCs/>
                <w:szCs w:val="21"/>
              </w:rPr>
              <w:t>2103</w:t>
            </w:r>
          </w:p>
        </w:tc>
        <w:tc>
          <w:tcPr>
            <w:tcW w:w="896" w:type="pct"/>
            <w:vAlign w:val="center"/>
          </w:tcPr>
          <w:p w14:paraId="1DDB0343">
            <w:pPr>
              <w:spacing w:line="240" w:lineRule="exact"/>
              <w:jc w:val="center"/>
              <w:rPr>
                <w:rFonts w:ascii="宋体" w:hAnsi="宋体"/>
                <w:b w:val="0"/>
                <w:bCs/>
                <w:szCs w:val="21"/>
              </w:rPr>
            </w:pPr>
            <w:r>
              <w:rPr>
                <w:rFonts w:hint="eastAsia" w:ascii="宋体" w:hAnsi="宋体"/>
                <w:b w:val="0"/>
                <w:bCs/>
                <w:szCs w:val="21"/>
              </w:rPr>
              <w:t>涉电工序</w:t>
            </w:r>
          </w:p>
        </w:tc>
        <w:tc>
          <w:tcPr>
            <w:tcW w:w="996" w:type="pct"/>
            <w:vAlign w:val="center"/>
          </w:tcPr>
          <w:p w14:paraId="7618E05A">
            <w:pPr>
              <w:spacing w:line="240" w:lineRule="exact"/>
              <w:jc w:val="center"/>
              <w:rPr>
                <w:rFonts w:ascii="宋体" w:hAnsi="宋体"/>
                <w:b w:val="0"/>
                <w:bCs/>
                <w:szCs w:val="21"/>
              </w:rPr>
            </w:pPr>
            <w:r>
              <w:rPr>
                <w:rFonts w:hint="eastAsia" w:ascii="宋体" w:hAnsi="宋体"/>
                <w:b w:val="0"/>
                <w:bCs/>
                <w:szCs w:val="21"/>
              </w:rPr>
              <w:t>人体接触、电火花</w:t>
            </w:r>
          </w:p>
        </w:tc>
        <w:tc>
          <w:tcPr>
            <w:tcW w:w="1102" w:type="pct"/>
            <w:vAlign w:val="center"/>
          </w:tcPr>
          <w:p w14:paraId="3363D3AF">
            <w:pPr>
              <w:spacing w:line="240" w:lineRule="exact"/>
              <w:jc w:val="center"/>
              <w:rPr>
                <w:rFonts w:ascii="宋体" w:hAnsi="宋体"/>
                <w:b w:val="0"/>
                <w:bCs/>
                <w:szCs w:val="21"/>
              </w:rPr>
            </w:pPr>
            <w:r>
              <w:rPr>
                <w:rFonts w:hint="eastAsia" w:ascii="宋体" w:hAnsi="宋体"/>
                <w:b w:val="0"/>
                <w:bCs/>
                <w:szCs w:val="21"/>
              </w:rPr>
              <w:t>触电或引发火灾、爆炸</w:t>
            </w:r>
          </w:p>
        </w:tc>
      </w:tr>
      <w:tr w14:paraId="738E5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3B17EAE9">
            <w:pPr>
              <w:widowControl/>
              <w:spacing w:line="240" w:lineRule="exact"/>
              <w:jc w:val="center"/>
              <w:rPr>
                <w:rFonts w:ascii="宋体" w:hAnsi="宋体"/>
                <w:b w:val="0"/>
                <w:bCs/>
                <w:szCs w:val="21"/>
              </w:rPr>
            </w:pPr>
          </w:p>
        </w:tc>
        <w:tc>
          <w:tcPr>
            <w:tcW w:w="814" w:type="pct"/>
            <w:vMerge w:val="continue"/>
            <w:vAlign w:val="center"/>
          </w:tcPr>
          <w:p w14:paraId="1F9BB328">
            <w:pPr>
              <w:widowControl/>
              <w:spacing w:line="240" w:lineRule="exact"/>
              <w:jc w:val="center"/>
              <w:rPr>
                <w:rFonts w:ascii="宋体" w:hAnsi="宋体"/>
                <w:b w:val="0"/>
                <w:bCs/>
                <w:szCs w:val="21"/>
              </w:rPr>
            </w:pPr>
          </w:p>
        </w:tc>
        <w:tc>
          <w:tcPr>
            <w:tcW w:w="937" w:type="pct"/>
            <w:vAlign w:val="center"/>
          </w:tcPr>
          <w:p w14:paraId="3334B616">
            <w:pPr>
              <w:spacing w:line="240" w:lineRule="exact"/>
              <w:jc w:val="center"/>
              <w:rPr>
                <w:rFonts w:ascii="宋体" w:hAnsi="宋体"/>
                <w:b w:val="0"/>
                <w:bCs/>
                <w:szCs w:val="21"/>
              </w:rPr>
            </w:pPr>
            <w:r>
              <w:rPr>
                <w:rFonts w:hint="eastAsia" w:ascii="宋体" w:hAnsi="宋体"/>
                <w:b w:val="0"/>
                <w:bCs/>
                <w:szCs w:val="21"/>
              </w:rPr>
              <w:t>标志缺陷</w:t>
            </w:r>
            <w:r>
              <w:rPr>
                <w:rFonts w:ascii="宋体" w:hAnsi="宋体"/>
                <w:b w:val="0"/>
                <w:bCs/>
                <w:szCs w:val="21"/>
              </w:rPr>
              <w:t>2113</w:t>
            </w:r>
          </w:p>
        </w:tc>
        <w:tc>
          <w:tcPr>
            <w:tcW w:w="896" w:type="pct"/>
            <w:vAlign w:val="center"/>
          </w:tcPr>
          <w:p w14:paraId="083A3872">
            <w:pPr>
              <w:spacing w:line="240" w:lineRule="exact"/>
              <w:jc w:val="center"/>
              <w:rPr>
                <w:rFonts w:ascii="宋体" w:hAnsi="宋体"/>
                <w:b w:val="0"/>
                <w:szCs w:val="21"/>
              </w:rPr>
            </w:pPr>
            <w:r>
              <w:rPr>
                <w:rFonts w:hint="eastAsia" w:ascii="宋体" w:hAnsi="宋体"/>
                <w:b w:val="0"/>
                <w:szCs w:val="21"/>
              </w:rPr>
              <w:t>各</w:t>
            </w:r>
            <w:r>
              <w:rPr>
                <w:rFonts w:hint="eastAsia" w:ascii="宋体" w:hAnsi="宋体"/>
                <w:b w:val="0"/>
                <w:bCs/>
                <w:szCs w:val="21"/>
              </w:rPr>
              <w:t>危险性</w:t>
            </w:r>
            <w:r>
              <w:rPr>
                <w:rFonts w:hint="eastAsia" w:ascii="宋体" w:hAnsi="宋体"/>
                <w:b w:val="0"/>
                <w:szCs w:val="21"/>
              </w:rPr>
              <w:t>工库房、安全通道</w:t>
            </w:r>
          </w:p>
        </w:tc>
        <w:tc>
          <w:tcPr>
            <w:tcW w:w="996" w:type="pct"/>
            <w:vAlign w:val="center"/>
          </w:tcPr>
          <w:p w14:paraId="3C9427B5">
            <w:pPr>
              <w:spacing w:line="240" w:lineRule="exact"/>
              <w:jc w:val="center"/>
              <w:rPr>
                <w:rFonts w:ascii="宋体" w:hAnsi="宋体"/>
                <w:b w:val="0"/>
                <w:szCs w:val="21"/>
              </w:rPr>
            </w:pPr>
            <w:r>
              <w:rPr>
                <w:rFonts w:hint="eastAsia" w:ascii="宋体" w:hAnsi="宋体"/>
                <w:b w:val="0"/>
                <w:szCs w:val="21"/>
              </w:rPr>
              <w:t>违规操作、误操作</w:t>
            </w:r>
          </w:p>
        </w:tc>
        <w:tc>
          <w:tcPr>
            <w:tcW w:w="1102" w:type="pct"/>
            <w:vAlign w:val="center"/>
          </w:tcPr>
          <w:p w14:paraId="1AC430BC">
            <w:pPr>
              <w:spacing w:line="240" w:lineRule="exact"/>
              <w:jc w:val="center"/>
              <w:rPr>
                <w:rFonts w:ascii="宋体" w:hAnsi="宋体"/>
                <w:b w:val="0"/>
                <w:bCs/>
                <w:szCs w:val="21"/>
              </w:rPr>
            </w:pPr>
            <w:r>
              <w:rPr>
                <w:rFonts w:hint="eastAsia" w:ascii="宋体" w:hAnsi="宋体"/>
                <w:b w:val="0"/>
                <w:bCs/>
                <w:szCs w:val="21"/>
              </w:rPr>
              <w:t>人体伤害或引发火灾、爆炸</w:t>
            </w:r>
          </w:p>
        </w:tc>
      </w:tr>
      <w:tr w14:paraId="1CE65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36D08282">
            <w:pPr>
              <w:widowControl/>
              <w:spacing w:line="240" w:lineRule="exact"/>
              <w:jc w:val="center"/>
              <w:rPr>
                <w:rFonts w:ascii="宋体" w:hAnsi="宋体"/>
                <w:b w:val="0"/>
                <w:bCs/>
                <w:szCs w:val="21"/>
              </w:rPr>
            </w:pPr>
          </w:p>
        </w:tc>
        <w:tc>
          <w:tcPr>
            <w:tcW w:w="814" w:type="pct"/>
            <w:vMerge w:val="restart"/>
            <w:vAlign w:val="center"/>
          </w:tcPr>
          <w:p w14:paraId="782B737D">
            <w:pPr>
              <w:spacing w:line="240" w:lineRule="exact"/>
              <w:jc w:val="center"/>
              <w:rPr>
                <w:rFonts w:ascii="宋体" w:hAnsi="宋体"/>
                <w:b w:val="0"/>
                <w:bCs/>
                <w:szCs w:val="21"/>
              </w:rPr>
            </w:pPr>
            <w:r>
              <w:rPr>
                <w:rFonts w:hint="eastAsia" w:ascii="宋体" w:hAnsi="宋体"/>
                <w:b w:val="0"/>
                <w:bCs/>
                <w:szCs w:val="21"/>
              </w:rPr>
              <w:t>化学性危险有害因素</w:t>
            </w:r>
            <w:r>
              <w:rPr>
                <w:rFonts w:ascii="宋体" w:hAnsi="宋体"/>
                <w:b w:val="0"/>
                <w:bCs/>
                <w:szCs w:val="21"/>
              </w:rPr>
              <w:t>22</w:t>
            </w:r>
          </w:p>
        </w:tc>
        <w:tc>
          <w:tcPr>
            <w:tcW w:w="937" w:type="pct"/>
            <w:vAlign w:val="center"/>
          </w:tcPr>
          <w:p w14:paraId="35FA8071">
            <w:pPr>
              <w:spacing w:line="240" w:lineRule="exact"/>
              <w:jc w:val="center"/>
              <w:rPr>
                <w:rFonts w:ascii="宋体" w:hAnsi="宋体"/>
                <w:b w:val="0"/>
                <w:bCs/>
                <w:szCs w:val="21"/>
              </w:rPr>
            </w:pPr>
            <w:r>
              <w:rPr>
                <w:rFonts w:hint="eastAsia" w:ascii="宋体" w:hAnsi="宋体"/>
                <w:b w:val="0"/>
                <w:bCs/>
                <w:szCs w:val="21"/>
              </w:rPr>
              <w:t>爆炸品</w:t>
            </w:r>
            <w:r>
              <w:rPr>
                <w:rFonts w:ascii="宋体" w:hAnsi="宋体"/>
                <w:b w:val="0"/>
                <w:bCs/>
                <w:szCs w:val="21"/>
              </w:rPr>
              <w:t>2201</w:t>
            </w:r>
          </w:p>
        </w:tc>
        <w:tc>
          <w:tcPr>
            <w:tcW w:w="896" w:type="pct"/>
            <w:vAlign w:val="center"/>
          </w:tcPr>
          <w:p w14:paraId="661E369B">
            <w:pPr>
              <w:spacing w:line="240" w:lineRule="exact"/>
              <w:jc w:val="center"/>
              <w:rPr>
                <w:rFonts w:ascii="宋体" w:hAnsi="宋体"/>
                <w:b w:val="0"/>
                <w:bCs/>
                <w:szCs w:val="21"/>
              </w:rPr>
            </w:pPr>
            <w:r>
              <w:rPr>
                <w:rFonts w:hint="eastAsia" w:ascii="宋体" w:hAnsi="宋体"/>
                <w:b w:val="0"/>
                <w:bCs/>
                <w:szCs w:val="21"/>
              </w:rPr>
              <w:t>危险性作业工序</w:t>
            </w:r>
          </w:p>
        </w:tc>
        <w:tc>
          <w:tcPr>
            <w:tcW w:w="996" w:type="pct"/>
            <w:vAlign w:val="center"/>
          </w:tcPr>
          <w:p w14:paraId="3021C40F">
            <w:pPr>
              <w:spacing w:line="240" w:lineRule="exact"/>
              <w:jc w:val="center"/>
              <w:rPr>
                <w:rFonts w:ascii="宋体" w:hAnsi="宋体"/>
                <w:b w:val="0"/>
                <w:bCs/>
                <w:szCs w:val="21"/>
              </w:rPr>
            </w:pPr>
            <w:r>
              <w:rPr>
                <w:rFonts w:hint="eastAsia" w:ascii="宋体" w:hAnsi="宋体"/>
                <w:b w:val="0"/>
                <w:bCs/>
                <w:szCs w:val="21"/>
              </w:rPr>
              <w:t>危险物品达到着火点、起爆点</w:t>
            </w:r>
          </w:p>
        </w:tc>
        <w:tc>
          <w:tcPr>
            <w:tcW w:w="1102" w:type="pct"/>
            <w:vAlign w:val="center"/>
          </w:tcPr>
          <w:p w14:paraId="1A6B2E92">
            <w:pPr>
              <w:spacing w:line="240" w:lineRule="exact"/>
              <w:jc w:val="center"/>
              <w:rPr>
                <w:rFonts w:ascii="宋体" w:hAnsi="宋体"/>
                <w:b w:val="0"/>
                <w:bCs/>
                <w:szCs w:val="21"/>
              </w:rPr>
            </w:pPr>
            <w:r>
              <w:rPr>
                <w:rFonts w:hint="eastAsia" w:ascii="宋体" w:hAnsi="宋体"/>
                <w:b w:val="0"/>
                <w:bCs/>
                <w:szCs w:val="21"/>
              </w:rPr>
              <w:t>火灾、爆炸</w:t>
            </w:r>
          </w:p>
        </w:tc>
      </w:tr>
      <w:tr w14:paraId="64B1A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continue"/>
            <w:vAlign w:val="center"/>
          </w:tcPr>
          <w:p w14:paraId="4B9446CE">
            <w:pPr>
              <w:widowControl/>
              <w:spacing w:line="240" w:lineRule="exact"/>
              <w:jc w:val="center"/>
              <w:rPr>
                <w:rFonts w:ascii="宋体" w:hAnsi="宋体"/>
                <w:b w:val="0"/>
                <w:bCs/>
                <w:szCs w:val="21"/>
              </w:rPr>
            </w:pPr>
          </w:p>
        </w:tc>
        <w:tc>
          <w:tcPr>
            <w:tcW w:w="814" w:type="pct"/>
            <w:vMerge w:val="continue"/>
            <w:vAlign w:val="center"/>
          </w:tcPr>
          <w:p w14:paraId="126D1AEA">
            <w:pPr>
              <w:widowControl/>
              <w:spacing w:line="240" w:lineRule="exact"/>
              <w:jc w:val="center"/>
              <w:rPr>
                <w:rFonts w:ascii="宋体" w:hAnsi="宋体"/>
                <w:b w:val="0"/>
                <w:bCs/>
                <w:szCs w:val="21"/>
              </w:rPr>
            </w:pPr>
          </w:p>
        </w:tc>
        <w:tc>
          <w:tcPr>
            <w:tcW w:w="937" w:type="pct"/>
            <w:vAlign w:val="center"/>
          </w:tcPr>
          <w:p w14:paraId="7EAE40D2">
            <w:pPr>
              <w:spacing w:line="240" w:lineRule="exact"/>
              <w:jc w:val="center"/>
              <w:rPr>
                <w:rFonts w:ascii="宋体" w:hAnsi="宋体"/>
                <w:b w:val="0"/>
                <w:bCs/>
                <w:szCs w:val="21"/>
              </w:rPr>
            </w:pPr>
            <w:r>
              <w:rPr>
                <w:rFonts w:hint="eastAsia" w:ascii="宋体" w:hAnsi="宋体"/>
                <w:b w:val="0"/>
                <w:bCs/>
                <w:szCs w:val="21"/>
              </w:rPr>
              <w:t>易燃固体、自燃物和遇湿易燃物品</w:t>
            </w:r>
            <w:r>
              <w:rPr>
                <w:rFonts w:ascii="宋体" w:hAnsi="宋体"/>
                <w:b w:val="0"/>
                <w:bCs/>
                <w:szCs w:val="21"/>
              </w:rPr>
              <w:t>2204</w:t>
            </w:r>
          </w:p>
        </w:tc>
        <w:tc>
          <w:tcPr>
            <w:tcW w:w="896" w:type="pct"/>
            <w:vAlign w:val="center"/>
          </w:tcPr>
          <w:p w14:paraId="7DF9B2DE">
            <w:pPr>
              <w:spacing w:line="240" w:lineRule="exact"/>
              <w:jc w:val="center"/>
              <w:rPr>
                <w:rFonts w:ascii="宋体" w:hAnsi="宋体"/>
                <w:b w:val="0"/>
                <w:bCs/>
                <w:szCs w:val="21"/>
              </w:rPr>
            </w:pPr>
            <w:r>
              <w:rPr>
                <w:rFonts w:hint="eastAsia" w:ascii="宋体" w:hAnsi="宋体"/>
                <w:b w:val="0"/>
                <w:bCs/>
                <w:szCs w:val="21"/>
              </w:rPr>
              <w:t>危险性作业工工序</w:t>
            </w:r>
          </w:p>
        </w:tc>
        <w:tc>
          <w:tcPr>
            <w:tcW w:w="996" w:type="pct"/>
            <w:vAlign w:val="center"/>
          </w:tcPr>
          <w:p w14:paraId="6F4FF524">
            <w:pPr>
              <w:spacing w:line="240" w:lineRule="exact"/>
              <w:jc w:val="center"/>
              <w:rPr>
                <w:rFonts w:ascii="宋体" w:hAnsi="宋体"/>
                <w:b w:val="0"/>
                <w:bCs/>
                <w:szCs w:val="21"/>
              </w:rPr>
            </w:pPr>
            <w:r>
              <w:rPr>
                <w:rFonts w:hint="eastAsia" w:ascii="宋体" w:hAnsi="宋体"/>
                <w:b w:val="0"/>
                <w:bCs/>
                <w:szCs w:val="21"/>
              </w:rPr>
              <w:t>危险物品达到着火点、起爆点</w:t>
            </w:r>
          </w:p>
        </w:tc>
        <w:tc>
          <w:tcPr>
            <w:tcW w:w="1102" w:type="pct"/>
            <w:vAlign w:val="center"/>
          </w:tcPr>
          <w:p w14:paraId="697C6814">
            <w:pPr>
              <w:spacing w:line="240" w:lineRule="exact"/>
              <w:jc w:val="center"/>
              <w:rPr>
                <w:rFonts w:ascii="宋体" w:hAnsi="宋体"/>
                <w:b w:val="0"/>
                <w:bCs/>
                <w:szCs w:val="21"/>
              </w:rPr>
            </w:pPr>
            <w:r>
              <w:rPr>
                <w:rFonts w:hint="eastAsia" w:ascii="宋体" w:hAnsi="宋体"/>
                <w:b w:val="0"/>
                <w:bCs/>
                <w:szCs w:val="21"/>
              </w:rPr>
              <w:t>火灾、爆炸</w:t>
            </w:r>
          </w:p>
        </w:tc>
      </w:tr>
      <w:tr w14:paraId="4B363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continue"/>
            <w:vAlign w:val="center"/>
          </w:tcPr>
          <w:p w14:paraId="0E58D0A8">
            <w:pPr>
              <w:widowControl/>
              <w:spacing w:line="240" w:lineRule="exact"/>
              <w:jc w:val="center"/>
              <w:rPr>
                <w:rFonts w:ascii="宋体" w:hAnsi="宋体"/>
                <w:b w:val="0"/>
                <w:bCs/>
                <w:szCs w:val="21"/>
              </w:rPr>
            </w:pPr>
          </w:p>
        </w:tc>
        <w:tc>
          <w:tcPr>
            <w:tcW w:w="814" w:type="pct"/>
            <w:vMerge w:val="continue"/>
            <w:vAlign w:val="center"/>
          </w:tcPr>
          <w:p w14:paraId="004969C5">
            <w:pPr>
              <w:widowControl/>
              <w:spacing w:line="240" w:lineRule="exact"/>
              <w:jc w:val="center"/>
              <w:rPr>
                <w:rFonts w:ascii="宋体" w:hAnsi="宋体"/>
                <w:b w:val="0"/>
                <w:bCs/>
                <w:szCs w:val="21"/>
              </w:rPr>
            </w:pPr>
          </w:p>
        </w:tc>
        <w:tc>
          <w:tcPr>
            <w:tcW w:w="937" w:type="pct"/>
            <w:vAlign w:val="center"/>
          </w:tcPr>
          <w:p w14:paraId="1B6B488A">
            <w:pPr>
              <w:spacing w:line="240" w:lineRule="exact"/>
              <w:jc w:val="center"/>
              <w:rPr>
                <w:rFonts w:ascii="宋体" w:hAnsi="宋体"/>
                <w:b w:val="0"/>
                <w:bCs/>
                <w:szCs w:val="21"/>
              </w:rPr>
            </w:pPr>
            <w:r>
              <w:rPr>
                <w:rFonts w:hint="eastAsia" w:ascii="宋体" w:hAnsi="宋体"/>
                <w:b w:val="0"/>
                <w:bCs/>
                <w:szCs w:val="21"/>
              </w:rPr>
              <w:t>氧化剂</w:t>
            </w:r>
            <w:r>
              <w:rPr>
                <w:rFonts w:ascii="宋体" w:hAnsi="宋体"/>
                <w:b w:val="0"/>
                <w:bCs/>
                <w:szCs w:val="21"/>
              </w:rPr>
              <w:t>2205</w:t>
            </w:r>
          </w:p>
        </w:tc>
        <w:tc>
          <w:tcPr>
            <w:tcW w:w="896" w:type="pct"/>
            <w:vAlign w:val="center"/>
          </w:tcPr>
          <w:p w14:paraId="7DCAA2C8">
            <w:pPr>
              <w:spacing w:line="240" w:lineRule="exact"/>
              <w:jc w:val="center"/>
              <w:rPr>
                <w:rFonts w:ascii="宋体" w:hAnsi="宋体"/>
                <w:b w:val="0"/>
                <w:bCs/>
                <w:szCs w:val="21"/>
              </w:rPr>
            </w:pPr>
            <w:r>
              <w:rPr>
                <w:rFonts w:hint="eastAsia" w:ascii="宋体" w:hAnsi="宋体"/>
                <w:b w:val="0"/>
                <w:bCs/>
                <w:szCs w:val="21"/>
              </w:rPr>
              <w:t>粉碎工序、原材料中转工序</w:t>
            </w:r>
          </w:p>
        </w:tc>
        <w:tc>
          <w:tcPr>
            <w:tcW w:w="996" w:type="pct"/>
            <w:vAlign w:val="center"/>
          </w:tcPr>
          <w:p w14:paraId="61D3DA46">
            <w:pPr>
              <w:spacing w:line="240" w:lineRule="exact"/>
              <w:jc w:val="center"/>
              <w:rPr>
                <w:rFonts w:ascii="宋体" w:hAnsi="宋体"/>
                <w:b w:val="0"/>
                <w:bCs/>
                <w:szCs w:val="21"/>
              </w:rPr>
            </w:pPr>
            <w:r>
              <w:rPr>
                <w:rFonts w:hint="eastAsia" w:ascii="宋体" w:hAnsi="宋体"/>
                <w:b w:val="0"/>
                <w:bCs/>
                <w:szCs w:val="21"/>
              </w:rPr>
              <w:t>人体吸入、危险物品达到着火点、起爆点</w:t>
            </w:r>
          </w:p>
        </w:tc>
        <w:tc>
          <w:tcPr>
            <w:tcW w:w="1102" w:type="pct"/>
            <w:vAlign w:val="center"/>
          </w:tcPr>
          <w:p w14:paraId="1769A6F1">
            <w:pPr>
              <w:spacing w:line="240" w:lineRule="exact"/>
              <w:jc w:val="center"/>
              <w:rPr>
                <w:rFonts w:ascii="宋体" w:hAnsi="宋体"/>
                <w:b w:val="0"/>
                <w:bCs/>
                <w:szCs w:val="21"/>
              </w:rPr>
            </w:pPr>
            <w:r>
              <w:rPr>
                <w:rFonts w:hint="eastAsia" w:ascii="宋体" w:hAnsi="宋体"/>
                <w:b w:val="0"/>
                <w:bCs/>
                <w:szCs w:val="21"/>
              </w:rPr>
              <w:t>中毒或火灾、爆炸</w:t>
            </w:r>
          </w:p>
        </w:tc>
      </w:tr>
      <w:tr w14:paraId="76ECC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252" w:type="pct"/>
            <w:vMerge w:val="continue"/>
            <w:vAlign w:val="center"/>
          </w:tcPr>
          <w:p w14:paraId="7A7011C0">
            <w:pPr>
              <w:widowControl/>
              <w:spacing w:line="240" w:lineRule="exact"/>
              <w:jc w:val="center"/>
              <w:rPr>
                <w:rFonts w:ascii="宋体" w:hAnsi="宋体"/>
                <w:b w:val="0"/>
                <w:bCs/>
                <w:szCs w:val="21"/>
              </w:rPr>
            </w:pPr>
          </w:p>
        </w:tc>
        <w:tc>
          <w:tcPr>
            <w:tcW w:w="814" w:type="pct"/>
            <w:vMerge w:val="continue"/>
            <w:vAlign w:val="center"/>
          </w:tcPr>
          <w:p w14:paraId="3865E23E">
            <w:pPr>
              <w:widowControl/>
              <w:spacing w:line="240" w:lineRule="exact"/>
              <w:jc w:val="center"/>
              <w:rPr>
                <w:rFonts w:ascii="宋体" w:hAnsi="宋体"/>
                <w:b w:val="0"/>
                <w:bCs/>
                <w:szCs w:val="21"/>
              </w:rPr>
            </w:pPr>
          </w:p>
        </w:tc>
        <w:tc>
          <w:tcPr>
            <w:tcW w:w="937" w:type="pct"/>
            <w:vAlign w:val="center"/>
          </w:tcPr>
          <w:p w14:paraId="37A54927">
            <w:pPr>
              <w:spacing w:line="240" w:lineRule="exact"/>
              <w:jc w:val="center"/>
              <w:rPr>
                <w:rFonts w:ascii="宋体" w:hAnsi="宋体"/>
                <w:b w:val="0"/>
                <w:bCs/>
                <w:szCs w:val="21"/>
              </w:rPr>
            </w:pPr>
            <w:r>
              <w:rPr>
                <w:rFonts w:hint="eastAsia" w:ascii="宋体" w:hAnsi="宋体"/>
                <w:b w:val="0"/>
                <w:bCs/>
                <w:szCs w:val="21"/>
              </w:rPr>
              <w:t>粉尘</w:t>
            </w:r>
            <w:r>
              <w:rPr>
                <w:rFonts w:ascii="宋体" w:hAnsi="宋体"/>
                <w:b w:val="0"/>
                <w:bCs/>
                <w:szCs w:val="21"/>
              </w:rPr>
              <w:t>2209</w:t>
            </w:r>
          </w:p>
        </w:tc>
        <w:tc>
          <w:tcPr>
            <w:tcW w:w="896" w:type="pct"/>
            <w:vAlign w:val="center"/>
          </w:tcPr>
          <w:p w14:paraId="5AF434D5">
            <w:pPr>
              <w:spacing w:line="240" w:lineRule="exact"/>
              <w:jc w:val="center"/>
              <w:rPr>
                <w:rFonts w:ascii="宋体" w:hAnsi="宋体"/>
                <w:b w:val="0"/>
                <w:bCs/>
                <w:szCs w:val="21"/>
              </w:rPr>
            </w:pPr>
            <w:r>
              <w:rPr>
                <w:rFonts w:hint="eastAsia" w:ascii="宋体" w:hAnsi="宋体"/>
                <w:b w:val="0"/>
                <w:bCs/>
                <w:szCs w:val="21"/>
              </w:rPr>
              <w:t>粉碎、自动混合/上潮/装模制片、二味球磨、三味球磨/筛选等工序</w:t>
            </w:r>
          </w:p>
        </w:tc>
        <w:tc>
          <w:tcPr>
            <w:tcW w:w="996" w:type="pct"/>
            <w:vAlign w:val="center"/>
          </w:tcPr>
          <w:p w14:paraId="659BBD26">
            <w:pPr>
              <w:spacing w:line="240" w:lineRule="exact"/>
              <w:jc w:val="center"/>
              <w:rPr>
                <w:rFonts w:ascii="宋体" w:hAnsi="宋体"/>
                <w:b w:val="0"/>
                <w:bCs/>
                <w:szCs w:val="21"/>
              </w:rPr>
            </w:pPr>
            <w:r>
              <w:rPr>
                <w:rFonts w:hint="eastAsia" w:ascii="宋体" w:hAnsi="宋体"/>
                <w:b w:val="0"/>
                <w:bCs/>
                <w:szCs w:val="21"/>
              </w:rPr>
              <w:t>人体吸入、危险物品达到着火点、起爆点</w:t>
            </w:r>
          </w:p>
        </w:tc>
        <w:tc>
          <w:tcPr>
            <w:tcW w:w="1102" w:type="pct"/>
            <w:vAlign w:val="center"/>
          </w:tcPr>
          <w:p w14:paraId="22B4389E">
            <w:pPr>
              <w:spacing w:line="240" w:lineRule="exact"/>
              <w:jc w:val="center"/>
              <w:rPr>
                <w:rFonts w:ascii="宋体" w:hAnsi="宋体"/>
                <w:b w:val="0"/>
                <w:bCs/>
                <w:szCs w:val="21"/>
              </w:rPr>
            </w:pPr>
            <w:r>
              <w:rPr>
                <w:rFonts w:hint="eastAsia" w:ascii="宋体" w:hAnsi="宋体"/>
                <w:b w:val="0"/>
                <w:bCs/>
                <w:szCs w:val="21"/>
              </w:rPr>
              <w:t>中毒或火灾、爆炸</w:t>
            </w:r>
          </w:p>
        </w:tc>
      </w:tr>
      <w:tr w14:paraId="38D10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restart"/>
            <w:vAlign w:val="center"/>
          </w:tcPr>
          <w:p w14:paraId="74DE9FA0">
            <w:pPr>
              <w:spacing w:line="240" w:lineRule="exact"/>
              <w:jc w:val="center"/>
              <w:rPr>
                <w:rFonts w:ascii="宋体" w:hAnsi="宋体"/>
                <w:b w:val="0"/>
                <w:bCs/>
                <w:szCs w:val="21"/>
              </w:rPr>
            </w:pPr>
            <w:r>
              <w:rPr>
                <w:rFonts w:hint="eastAsia" w:ascii="宋体" w:hAnsi="宋体"/>
                <w:b w:val="0"/>
                <w:bCs/>
                <w:szCs w:val="21"/>
              </w:rPr>
              <w:t>环境因素</w:t>
            </w:r>
            <w:r>
              <w:rPr>
                <w:rFonts w:ascii="宋体" w:hAnsi="宋体"/>
                <w:b w:val="0"/>
                <w:bCs/>
                <w:szCs w:val="21"/>
              </w:rPr>
              <w:t>3</w:t>
            </w:r>
          </w:p>
        </w:tc>
        <w:tc>
          <w:tcPr>
            <w:tcW w:w="814" w:type="pct"/>
            <w:vMerge w:val="restart"/>
            <w:vAlign w:val="center"/>
          </w:tcPr>
          <w:p w14:paraId="1B9EC5B9">
            <w:pPr>
              <w:spacing w:line="240" w:lineRule="exact"/>
              <w:jc w:val="center"/>
              <w:rPr>
                <w:rFonts w:ascii="宋体" w:hAnsi="宋体"/>
                <w:b w:val="0"/>
                <w:bCs/>
                <w:szCs w:val="21"/>
              </w:rPr>
            </w:pPr>
            <w:r>
              <w:rPr>
                <w:rFonts w:hint="eastAsia" w:ascii="宋体" w:hAnsi="宋体"/>
                <w:b w:val="0"/>
                <w:bCs/>
                <w:szCs w:val="21"/>
              </w:rPr>
              <w:t>室内作业环境不良</w:t>
            </w:r>
            <w:r>
              <w:rPr>
                <w:rFonts w:ascii="宋体" w:hAnsi="宋体"/>
                <w:b w:val="0"/>
                <w:bCs/>
                <w:szCs w:val="21"/>
              </w:rPr>
              <w:t>31</w:t>
            </w:r>
          </w:p>
        </w:tc>
        <w:tc>
          <w:tcPr>
            <w:tcW w:w="937" w:type="pct"/>
            <w:vAlign w:val="center"/>
          </w:tcPr>
          <w:p w14:paraId="351402C7">
            <w:pPr>
              <w:spacing w:line="240" w:lineRule="exact"/>
              <w:jc w:val="center"/>
              <w:rPr>
                <w:rFonts w:ascii="宋体" w:hAnsi="宋体"/>
                <w:b w:val="0"/>
                <w:bCs/>
                <w:szCs w:val="21"/>
              </w:rPr>
            </w:pPr>
            <w:r>
              <w:rPr>
                <w:rFonts w:hint="eastAsia" w:ascii="宋体" w:hAnsi="宋体"/>
                <w:b w:val="0"/>
                <w:bCs/>
                <w:szCs w:val="21"/>
              </w:rPr>
              <w:t>室内作业环境狭窄</w:t>
            </w:r>
            <w:r>
              <w:rPr>
                <w:rFonts w:ascii="宋体" w:hAnsi="宋体"/>
                <w:b w:val="0"/>
                <w:bCs/>
                <w:szCs w:val="21"/>
              </w:rPr>
              <w:t>3102</w:t>
            </w:r>
          </w:p>
        </w:tc>
        <w:tc>
          <w:tcPr>
            <w:tcW w:w="896" w:type="pct"/>
            <w:vAlign w:val="center"/>
          </w:tcPr>
          <w:p w14:paraId="5BBB6B73">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40160ED7">
            <w:pPr>
              <w:spacing w:line="240" w:lineRule="exact"/>
              <w:jc w:val="center"/>
              <w:rPr>
                <w:rFonts w:ascii="宋体" w:hAnsi="宋体"/>
                <w:b w:val="0"/>
                <w:bCs/>
                <w:szCs w:val="21"/>
              </w:rPr>
            </w:pPr>
            <w:r>
              <w:rPr>
                <w:rFonts w:hint="eastAsia" w:ascii="宋体" w:hAnsi="宋体"/>
                <w:b w:val="0"/>
                <w:bCs/>
                <w:szCs w:val="21"/>
              </w:rPr>
              <w:t>操作人员摔、跌、危险品跌落</w:t>
            </w:r>
          </w:p>
        </w:tc>
        <w:tc>
          <w:tcPr>
            <w:tcW w:w="1102" w:type="pct"/>
            <w:vAlign w:val="center"/>
          </w:tcPr>
          <w:p w14:paraId="294435CF">
            <w:pPr>
              <w:spacing w:line="240" w:lineRule="exact"/>
              <w:jc w:val="center"/>
              <w:rPr>
                <w:rFonts w:ascii="宋体" w:hAnsi="宋体"/>
                <w:b w:val="0"/>
                <w:bCs/>
                <w:szCs w:val="21"/>
              </w:rPr>
            </w:pPr>
            <w:r>
              <w:rPr>
                <w:rFonts w:hint="eastAsia" w:ascii="宋体" w:hAnsi="宋体"/>
                <w:b w:val="0"/>
                <w:bCs/>
                <w:szCs w:val="21"/>
              </w:rPr>
              <w:t>人体伤害或引发火灾、爆炸</w:t>
            </w:r>
          </w:p>
        </w:tc>
      </w:tr>
      <w:tr w14:paraId="2FE02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464619A7">
            <w:pPr>
              <w:widowControl/>
              <w:spacing w:line="240" w:lineRule="exact"/>
              <w:jc w:val="center"/>
              <w:rPr>
                <w:rFonts w:ascii="宋体" w:hAnsi="宋体"/>
                <w:b w:val="0"/>
                <w:bCs/>
                <w:szCs w:val="21"/>
              </w:rPr>
            </w:pPr>
          </w:p>
        </w:tc>
        <w:tc>
          <w:tcPr>
            <w:tcW w:w="814" w:type="pct"/>
            <w:vMerge w:val="continue"/>
            <w:vAlign w:val="center"/>
          </w:tcPr>
          <w:p w14:paraId="0A5308D8">
            <w:pPr>
              <w:widowControl/>
              <w:spacing w:line="240" w:lineRule="exact"/>
              <w:jc w:val="center"/>
              <w:rPr>
                <w:rFonts w:ascii="宋体" w:hAnsi="宋体"/>
                <w:b w:val="0"/>
                <w:bCs/>
                <w:szCs w:val="21"/>
              </w:rPr>
            </w:pPr>
          </w:p>
        </w:tc>
        <w:tc>
          <w:tcPr>
            <w:tcW w:w="937" w:type="pct"/>
            <w:vAlign w:val="center"/>
          </w:tcPr>
          <w:p w14:paraId="2E86EC89">
            <w:pPr>
              <w:spacing w:line="240" w:lineRule="exact"/>
              <w:jc w:val="center"/>
              <w:rPr>
                <w:rFonts w:ascii="宋体" w:hAnsi="宋体"/>
                <w:b w:val="0"/>
                <w:bCs/>
                <w:szCs w:val="21"/>
              </w:rPr>
            </w:pPr>
            <w:r>
              <w:rPr>
                <w:rFonts w:hint="eastAsia" w:ascii="宋体" w:hAnsi="宋体"/>
                <w:b w:val="0"/>
                <w:bCs/>
                <w:szCs w:val="21"/>
              </w:rPr>
              <w:t>采光、照明不良</w:t>
            </w:r>
            <w:r>
              <w:rPr>
                <w:rFonts w:ascii="宋体" w:hAnsi="宋体"/>
                <w:b w:val="0"/>
                <w:bCs/>
                <w:szCs w:val="21"/>
              </w:rPr>
              <w:t>3110</w:t>
            </w:r>
          </w:p>
        </w:tc>
        <w:tc>
          <w:tcPr>
            <w:tcW w:w="896" w:type="pct"/>
            <w:vAlign w:val="center"/>
          </w:tcPr>
          <w:p w14:paraId="092D01BD">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1EA86B75">
            <w:pPr>
              <w:spacing w:line="240" w:lineRule="exact"/>
              <w:jc w:val="center"/>
              <w:rPr>
                <w:rFonts w:ascii="宋体" w:hAnsi="宋体"/>
                <w:b w:val="0"/>
                <w:bCs/>
                <w:szCs w:val="21"/>
              </w:rPr>
            </w:pPr>
            <w:r>
              <w:rPr>
                <w:rFonts w:hint="eastAsia" w:ascii="宋体" w:hAnsi="宋体"/>
                <w:b w:val="0"/>
                <w:bCs/>
                <w:szCs w:val="21"/>
              </w:rPr>
              <w:t>人体常期接触</w:t>
            </w:r>
          </w:p>
        </w:tc>
        <w:tc>
          <w:tcPr>
            <w:tcW w:w="1102" w:type="pct"/>
            <w:vAlign w:val="center"/>
          </w:tcPr>
          <w:p w14:paraId="3E2F1908">
            <w:pPr>
              <w:spacing w:line="240" w:lineRule="exact"/>
              <w:jc w:val="center"/>
              <w:rPr>
                <w:rFonts w:ascii="宋体" w:hAnsi="宋体"/>
                <w:b w:val="0"/>
                <w:bCs/>
                <w:szCs w:val="21"/>
              </w:rPr>
            </w:pPr>
            <w:r>
              <w:rPr>
                <w:rFonts w:hint="eastAsia" w:ascii="宋体" w:hAnsi="宋体"/>
                <w:b w:val="0"/>
                <w:bCs/>
                <w:szCs w:val="21"/>
              </w:rPr>
              <w:t>健康危害</w:t>
            </w:r>
          </w:p>
        </w:tc>
      </w:tr>
      <w:tr w14:paraId="15422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44DA49CA">
            <w:pPr>
              <w:widowControl/>
              <w:spacing w:line="240" w:lineRule="exact"/>
              <w:jc w:val="center"/>
              <w:rPr>
                <w:rFonts w:ascii="宋体" w:hAnsi="宋体"/>
                <w:b w:val="0"/>
                <w:bCs/>
                <w:szCs w:val="21"/>
              </w:rPr>
            </w:pPr>
          </w:p>
        </w:tc>
        <w:tc>
          <w:tcPr>
            <w:tcW w:w="814" w:type="pct"/>
            <w:vMerge w:val="continue"/>
            <w:vAlign w:val="center"/>
          </w:tcPr>
          <w:p w14:paraId="054DB53C">
            <w:pPr>
              <w:widowControl/>
              <w:spacing w:line="240" w:lineRule="exact"/>
              <w:jc w:val="center"/>
              <w:rPr>
                <w:rFonts w:ascii="宋体" w:hAnsi="宋体"/>
                <w:b w:val="0"/>
                <w:bCs/>
                <w:szCs w:val="21"/>
              </w:rPr>
            </w:pPr>
          </w:p>
        </w:tc>
        <w:tc>
          <w:tcPr>
            <w:tcW w:w="937" w:type="pct"/>
            <w:vAlign w:val="center"/>
          </w:tcPr>
          <w:p w14:paraId="112E7306">
            <w:pPr>
              <w:spacing w:line="240" w:lineRule="exact"/>
              <w:jc w:val="center"/>
              <w:rPr>
                <w:rFonts w:ascii="宋体" w:hAnsi="宋体"/>
                <w:b w:val="0"/>
                <w:bCs/>
                <w:szCs w:val="21"/>
              </w:rPr>
            </w:pPr>
            <w:r>
              <w:rPr>
                <w:rFonts w:hint="eastAsia" w:ascii="宋体" w:hAnsi="宋体"/>
                <w:b w:val="0"/>
                <w:bCs/>
                <w:szCs w:val="21"/>
              </w:rPr>
              <w:t>室内温度、湿度不适</w:t>
            </w:r>
            <w:r>
              <w:rPr>
                <w:rFonts w:ascii="宋体" w:hAnsi="宋体"/>
                <w:b w:val="0"/>
                <w:bCs/>
                <w:szCs w:val="21"/>
              </w:rPr>
              <w:t>3112</w:t>
            </w:r>
          </w:p>
        </w:tc>
        <w:tc>
          <w:tcPr>
            <w:tcW w:w="896" w:type="pct"/>
            <w:vAlign w:val="center"/>
          </w:tcPr>
          <w:p w14:paraId="3DFF77CF">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0CA416BF">
            <w:pPr>
              <w:spacing w:line="240" w:lineRule="exact"/>
              <w:jc w:val="center"/>
              <w:rPr>
                <w:rFonts w:ascii="宋体" w:hAnsi="宋体"/>
                <w:b w:val="0"/>
                <w:bCs/>
                <w:szCs w:val="21"/>
              </w:rPr>
            </w:pPr>
            <w:r>
              <w:rPr>
                <w:rFonts w:hint="eastAsia" w:ascii="宋体" w:hAnsi="宋体"/>
                <w:b w:val="0"/>
                <w:bCs/>
                <w:szCs w:val="21"/>
              </w:rPr>
              <w:t>危险品达到燃点、起爆点</w:t>
            </w:r>
          </w:p>
        </w:tc>
        <w:tc>
          <w:tcPr>
            <w:tcW w:w="1102" w:type="pct"/>
            <w:vAlign w:val="center"/>
          </w:tcPr>
          <w:p w14:paraId="0E094900">
            <w:pPr>
              <w:spacing w:line="240" w:lineRule="exact"/>
              <w:jc w:val="center"/>
              <w:rPr>
                <w:rFonts w:ascii="宋体" w:hAnsi="宋体"/>
                <w:b w:val="0"/>
                <w:bCs/>
                <w:szCs w:val="21"/>
              </w:rPr>
            </w:pPr>
            <w:r>
              <w:rPr>
                <w:rFonts w:hint="eastAsia" w:ascii="宋体" w:hAnsi="宋体"/>
                <w:b w:val="0"/>
                <w:bCs/>
                <w:szCs w:val="21"/>
              </w:rPr>
              <w:t>火灾、爆炸</w:t>
            </w:r>
          </w:p>
        </w:tc>
      </w:tr>
      <w:tr w14:paraId="7FDBD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26D9C4E0">
            <w:pPr>
              <w:widowControl/>
              <w:spacing w:line="240" w:lineRule="exact"/>
              <w:jc w:val="center"/>
              <w:rPr>
                <w:rFonts w:ascii="宋体" w:hAnsi="宋体"/>
                <w:b w:val="0"/>
                <w:bCs/>
                <w:szCs w:val="21"/>
              </w:rPr>
            </w:pPr>
          </w:p>
        </w:tc>
        <w:tc>
          <w:tcPr>
            <w:tcW w:w="814" w:type="pct"/>
            <w:vMerge w:val="restart"/>
            <w:vAlign w:val="center"/>
          </w:tcPr>
          <w:p w14:paraId="0B6292A1">
            <w:pPr>
              <w:spacing w:line="240" w:lineRule="exact"/>
              <w:jc w:val="center"/>
              <w:rPr>
                <w:rFonts w:ascii="宋体" w:hAnsi="宋体"/>
                <w:b w:val="0"/>
                <w:bCs/>
                <w:szCs w:val="21"/>
              </w:rPr>
            </w:pPr>
            <w:r>
              <w:rPr>
                <w:rFonts w:hint="eastAsia" w:ascii="宋体" w:hAnsi="宋体"/>
                <w:b w:val="0"/>
                <w:bCs/>
                <w:szCs w:val="21"/>
              </w:rPr>
              <w:t>室外作业环境不良</w:t>
            </w:r>
            <w:r>
              <w:rPr>
                <w:rFonts w:ascii="宋体" w:hAnsi="宋体"/>
                <w:b w:val="0"/>
                <w:bCs/>
                <w:szCs w:val="21"/>
              </w:rPr>
              <w:t>32</w:t>
            </w:r>
          </w:p>
        </w:tc>
        <w:tc>
          <w:tcPr>
            <w:tcW w:w="937" w:type="pct"/>
            <w:vAlign w:val="center"/>
          </w:tcPr>
          <w:p w14:paraId="5F9FE861">
            <w:pPr>
              <w:spacing w:line="240" w:lineRule="exact"/>
              <w:jc w:val="center"/>
              <w:rPr>
                <w:rFonts w:ascii="宋体" w:hAnsi="宋体"/>
                <w:b w:val="0"/>
                <w:bCs/>
                <w:spacing w:val="-11"/>
                <w:szCs w:val="21"/>
              </w:rPr>
            </w:pPr>
            <w:r>
              <w:rPr>
                <w:rFonts w:hint="eastAsia" w:ascii="宋体" w:hAnsi="宋体"/>
                <w:b w:val="0"/>
                <w:bCs/>
                <w:spacing w:val="-11"/>
                <w:szCs w:val="21"/>
              </w:rPr>
              <w:t>作业场地和交通设施湿滑</w:t>
            </w:r>
            <w:r>
              <w:rPr>
                <w:rFonts w:ascii="宋体" w:hAnsi="宋体"/>
                <w:b w:val="0"/>
                <w:bCs/>
                <w:spacing w:val="-11"/>
                <w:szCs w:val="21"/>
              </w:rPr>
              <w:t>3202</w:t>
            </w:r>
          </w:p>
        </w:tc>
        <w:tc>
          <w:tcPr>
            <w:tcW w:w="896" w:type="pct"/>
            <w:vAlign w:val="center"/>
          </w:tcPr>
          <w:p w14:paraId="14A2AC6E">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3FBDAD9C">
            <w:pPr>
              <w:spacing w:line="240" w:lineRule="exact"/>
              <w:jc w:val="center"/>
              <w:rPr>
                <w:rFonts w:ascii="宋体" w:hAnsi="宋体"/>
                <w:b w:val="0"/>
                <w:bCs/>
                <w:szCs w:val="21"/>
              </w:rPr>
            </w:pPr>
            <w:r>
              <w:rPr>
                <w:rFonts w:hint="eastAsia" w:ascii="宋体" w:hAnsi="宋体"/>
                <w:b w:val="0"/>
                <w:bCs/>
                <w:szCs w:val="21"/>
              </w:rPr>
              <w:t>操作人员摔、跌、危险品跌落</w:t>
            </w:r>
          </w:p>
        </w:tc>
        <w:tc>
          <w:tcPr>
            <w:tcW w:w="1102" w:type="pct"/>
            <w:vAlign w:val="center"/>
          </w:tcPr>
          <w:p w14:paraId="6ABA159B">
            <w:pPr>
              <w:spacing w:line="240" w:lineRule="exact"/>
              <w:jc w:val="center"/>
              <w:rPr>
                <w:rFonts w:ascii="宋体" w:hAnsi="宋体"/>
                <w:b w:val="0"/>
                <w:bCs/>
                <w:szCs w:val="21"/>
              </w:rPr>
            </w:pPr>
            <w:r>
              <w:rPr>
                <w:rFonts w:hint="eastAsia" w:ascii="宋体" w:hAnsi="宋体"/>
                <w:b w:val="0"/>
                <w:bCs/>
                <w:szCs w:val="21"/>
              </w:rPr>
              <w:t>人体伤害或引发火灾、爆炸</w:t>
            </w:r>
          </w:p>
        </w:tc>
      </w:tr>
      <w:tr w14:paraId="25A1F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continue"/>
            <w:vAlign w:val="center"/>
          </w:tcPr>
          <w:p w14:paraId="2FC62AAB">
            <w:pPr>
              <w:widowControl/>
              <w:spacing w:line="240" w:lineRule="exact"/>
              <w:jc w:val="center"/>
              <w:rPr>
                <w:rFonts w:ascii="宋体" w:hAnsi="宋体"/>
                <w:b w:val="0"/>
                <w:bCs/>
                <w:szCs w:val="21"/>
              </w:rPr>
            </w:pPr>
          </w:p>
        </w:tc>
        <w:tc>
          <w:tcPr>
            <w:tcW w:w="814" w:type="pct"/>
            <w:vMerge w:val="continue"/>
            <w:vAlign w:val="center"/>
          </w:tcPr>
          <w:p w14:paraId="605FBAE9">
            <w:pPr>
              <w:widowControl/>
              <w:spacing w:line="240" w:lineRule="exact"/>
              <w:jc w:val="center"/>
              <w:rPr>
                <w:rFonts w:ascii="宋体" w:hAnsi="宋体"/>
                <w:b w:val="0"/>
                <w:bCs/>
                <w:szCs w:val="21"/>
              </w:rPr>
            </w:pPr>
          </w:p>
        </w:tc>
        <w:tc>
          <w:tcPr>
            <w:tcW w:w="937" w:type="pct"/>
            <w:vAlign w:val="center"/>
          </w:tcPr>
          <w:p w14:paraId="53925FD9">
            <w:pPr>
              <w:spacing w:line="240" w:lineRule="exact"/>
              <w:jc w:val="center"/>
              <w:rPr>
                <w:rFonts w:ascii="宋体" w:hAnsi="宋体"/>
                <w:b w:val="0"/>
                <w:bCs/>
                <w:spacing w:val="-11"/>
                <w:szCs w:val="21"/>
              </w:rPr>
            </w:pPr>
            <w:r>
              <w:rPr>
                <w:rFonts w:hint="eastAsia" w:ascii="宋体" w:hAnsi="宋体"/>
                <w:b w:val="0"/>
                <w:bCs/>
                <w:spacing w:val="-11"/>
                <w:szCs w:val="21"/>
              </w:rPr>
              <w:t>作业场地狭窄、杂乱、不平</w:t>
            </w:r>
            <w:r>
              <w:rPr>
                <w:rFonts w:ascii="宋体" w:hAnsi="宋体"/>
                <w:b w:val="0"/>
                <w:bCs/>
                <w:spacing w:val="-11"/>
                <w:szCs w:val="21"/>
              </w:rPr>
              <w:t>3203</w:t>
            </w:r>
            <w:r>
              <w:rPr>
                <w:rFonts w:hint="eastAsia" w:ascii="宋体" w:hAnsi="宋体"/>
                <w:b w:val="0"/>
                <w:bCs/>
                <w:spacing w:val="-11"/>
                <w:szCs w:val="21"/>
              </w:rPr>
              <w:t>、</w:t>
            </w:r>
            <w:r>
              <w:rPr>
                <w:rFonts w:ascii="宋体" w:hAnsi="宋体"/>
                <w:b w:val="0"/>
                <w:bCs/>
                <w:spacing w:val="-11"/>
                <w:szCs w:val="21"/>
              </w:rPr>
              <w:t>3204</w:t>
            </w:r>
            <w:r>
              <w:rPr>
                <w:rFonts w:hint="eastAsia" w:ascii="宋体" w:hAnsi="宋体"/>
                <w:b w:val="0"/>
                <w:bCs/>
                <w:spacing w:val="-11"/>
                <w:szCs w:val="21"/>
              </w:rPr>
              <w:t>、</w:t>
            </w:r>
            <w:r>
              <w:rPr>
                <w:rFonts w:ascii="宋体" w:hAnsi="宋体"/>
                <w:b w:val="0"/>
                <w:bCs/>
                <w:spacing w:val="-11"/>
                <w:szCs w:val="21"/>
              </w:rPr>
              <w:t>3205</w:t>
            </w:r>
          </w:p>
        </w:tc>
        <w:tc>
          <w:tcPr>
            <w:tcW w:w="896" w:type="pct"/>
            <w:vAlign w:val="center"/>
          </w:tcPr>
          <w:p w14:paraId="3173F48E">
            <w:pPr>
              <w:spacing w:line="240" w:lineRule="exact"/>
              <w:jc w:val="center"/>
              <w:rPr>
                <w:rFonts w:ascii="宋体" w:hAnsi="宋体"/>
                <w:b w:val="0"/>
                <w:bCs/>
                <w:szCs w:val="21"/>
              </w:rPr>
            </w:pPr>
            <w:r>
              <w:rPr>
                <w:rFonts w:hint="eastAsia" w:ascii="宋体" w:hAnsi="宋体"/>
                <w:b w:val="0"/>
                <w:bCs/>
                <w:szCs w:val="21"/>
              </w:rPr>
              <w:t>各危险性作业场所</w:t>
            </w:r>
          </w:p>
        </w:tc>
        <w:tc>
          <w:tcPr>
            <w:tcW w:w="996" w:type="pct"/>
            <w:vAlign w:val="center"/>
          </w:tcPr>
          <w:p w14:paraId="4879B491">
            <w:pPr>
              <w:spacing w:line="240" w:lineRule="exact"/>
              <w:jc w:val="center"/>
              <w:rPr>
                <w:rFonts w:ascii="宋体" w:hAnsi="宋体"/>
                <w:b w:val="0"/>
                <w:bCs/>
                <w:szCs w:val="21"/>
              </w:rPr>
            </w:pPr>
            <w:r>
              <w:rPr>
                <w:rFonts w:hint="eastAsia" w:ascii="宋体" w:hAnsi="宋体"/>
                <w:b w:val="0"/>
                <w:bCs/>
                <w:szCs w:val="21"/>
              </w:rPr>
              <w:t>操作人员摔、跌、危险品跌落</w:t>
            </w:r>
          </w:p>
        </w:tc>
        <w:tc>
          <w:tcPr>
            <w:tcW w:w="1102" w:type="pct"/>
            <w:vAlign w:val="center"/>
          </w:tcPr>
          <w:p w14:paraId="0010F55F">
            <w:pPr>
              <w:spacing w:line="240" w:lineRule="exact"/>
              <w:jc w:val="center"/>
              <w:rPr>
                <w:rFonts w:ascii="宋体" w:hAnsi="宋体"/>
                <w:b w:val="0"/>
                <w:bCs/>
                <w:szCs w:val="21"/>
              </w:rPr>
            </w:pPr>
            <w:r>
              <w:rPr>
                <w:rFonts w:hint="eastAsia" w:ascii="宋体" w:hAnsi="宋体"/>
                <w:b w:val="0"/>
                <w:bCs/>
                <w:szCs w:val="21"/>
              </w:rPr>
              <w:t>人体伤害或引发火灾、爆炸</w:t>
            </w:r>
          </w:p>
        </w:tc>
      </w:tr>
      <w:tr w14:paraId="5896D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restart"/>
            <w:vAlign w:val="center"/>
          </w:tcPr>
          <w:p w14:paraId="518FC11B">
            <w:pPr>
              <w:widowControl/>
              <w:spacing w:line="240" w:lineRule="exact"/>
              <w:jc w:val="center"/>
              <w:rPr>
                <w:rFonts w:ascii="宋体" w:hAnsi="宋体"/>
                <w:b w:val="0"/>
                <w:bCs/>
                <w:szCs w:val="21"/>
              </w:rPr>
            </w:pPr>
            <w:r>
              <w:rPr>
                <w:rFonts w:hint="eastAsia" w:ascii="宋体" w:hAnsi="宋体"/>
                <w:b w:val="0"/>
                <w:bCs/>
                <w:szCs w:val="21"/>
              </w:rPr>
              <w:t>管理</w:t>
            </w:r>
          </w:p>
          <w:p w14:paraId="12F01B4D">
            <w:pPr>
              <w:widowControl/>
              <w:spacing w:line="240" w:lineRule="exact"/>
              <w:jc w:val="center"/>
              <w:rPr>
                <w:rFonts w:ascii="宋体" w:hAnsi="宋体"/>
                <w:b w:val="0"/>
                <w:bCs/>
                <w:szCs w:val="21"/>
              </w:rPr>
            </w:pPr>
            <w:r>
              <w:rPr>
                <w:rFonts w:hint="eastAsia" w:ascii="宋体" w:hAnsi="宋体"/>
                <w:b w:val="0"/>
                <w:bCs/>
                <w:szCs w:val="21"/>
              </w:rPr>
              <w:t>因</w:t>
            </w:r>
          </w:p>
          <w:p w14:paraId="2054216E">
            <w:pPr>
              <w:widowControl/>
              <w:spacing w:line="240" w:lineRule="exact"/>
              <w:jc w:val="center"/>
              <w:rPr>
                <w:rFonts w:ascii="宋体" w:hAnsi="宋体"/>
                <w:b w:val="0"/>
                <w:bCs/>
                <w:szCs w:val="21"/>
              </w:rPr>
            </w:pPr>
            <w:r>
              <w:rPr>
                <w:rFonts w:hint="eastAsia" w:ascii="宋体" w:hAnsi="宋体"/>
                <w:b w:val="0"/>
                <w:bCs/>
                <w:szCs w:val="21"/>
              </w:rPr>
              <w:t>素</w:t>
            </w:r>
            <w:r>
              <w:rPr>
                <w:rFonts w:ascii="宋体" w:hAnsi="宋体"/>
                <w:b w:val="0"/>
                <w:bCs/>
                <w:szCs w:val="21"/>
              </w:rPr>
              <w:t>4</w:t>
            </w:r>
          </w:p>
        </w:tc>
        <w:tc>
          <w:tcPr>
            <w:tcW w:w="814" w:type="pct"/>
            <w:vAlign w:val="center"/>
          </w:tcPr>
          <w:p w14:paraId="5693453D">
            <w:pPr>
              <w:widowControl/>
              <w:spacing w:line="240" w:lineRule="exact"/>
              <w:jc w:val="center"/>
              <w:rPr>
                <w:rFonts w:ascii="宋体" w:hAnsi="宋体"/>
                <w:b w:val="0"/>
                <w:bCs/>
                <w:szCs w:val="21"/>
              </w:rPr>
            </w:pPr>
            <w:r>
              <w:rPr>
                <w:rFonts w:hint="eastAsia" w:ascii="宋体" w:hAnsi="宋体"/>
                <w:b w:val="0"/>
              </w:rPr>
              <w:t>职业安全卫生组织机构不健全</w:t>
            </w:r>
            <w:r>
              <w:rPr>
                <w:rFonts w:ascii="宋体" w:hAnsi="宋体"/>
                <w:b w:val="0"/>
              </w:rPr>
              <w:t>41</w:t>
            </w:r>
          </w:p>
        </w:tc>
        <w:tc>
          <w:tcPr>
            <w:tcW w:w="937" w:type="pct"/>
            <w:vAlign w:val="center"/>
          </w:tcPr>
          <w:p w14:paraId="6AD40B8D">
            <w:pPr>
              <w:spacing w:line="240" w:lineRule="exact"/>
              <w:jc w:val="center"/>
              <w:rPr>
                <w:rFonts w:ascii="宋体" w:hAnsi="宋体"/>
                <w:b w:val="0"/>
              </w:rPr>
            </w:pPr>
            <w:r>
              <w:rPr>
                <w:rFonts w:ascii="宋体" w:hAnsi="宋体"/>
                <w:b w:val="0"/>
              </w:rPr>
              <w:t>--</w:t>
            </w:r>
          </w:p>
        </w:tc>
        <w:tc>
          <w:tcPr>
            <w:tcW w:w="896" w:type="pct"/>
            <w:vAlign w:val="center"/>
          </w:tcPr>
          <w:p w14:paraId="63CC0A9E">
            <w:pPr>
              <w:spacing w:line="240" w:lineRule="exact"/>
              <w:jc w:val="center"/>
              <w:rPr>
                <w:rFonts w:ascii="宋体" w:hAnsi="宋体"/>
                <w:b w:val="0"/>
                <w:bCs/>
                <w:szCs w:val="21"/>
              </w:rPr>
            </w:pPr>
            <w:r>
              <w:rPr>
                <w:rFonts w:hint="eastAsia" w:ascii="宋体" w:hAnsi="宋体"/>
                <w:b w:val="0"/>
                <w:bCs/>
                <w:szCs w:val="21"/>
              </w:rPr>
              <w:t>危险性作业工工序</w:t>
            </w:r>
          </w:p>
        </w:tc>
        <w:tc>
          <w:tcPr>
            <w:tcW w:w="996" w:type="pct"/>
            <w:vAlign w:val="center"/>
          </w:tcPr>
          <w:p w14:paraId="25C04CE8">
            <w:pPr>
              <w:spacing w:line="240" w:lineRule="exact"/>
              <w:jc w:val="center"/>
              <w:rPr>
                <w:rFonts w:ascii="宋体" w:hAnsi="宋体"/>
                <w:b w:val="0"/>
                <w:bCs/>
                <w:szCs w:val="21"/>
              </w:rPr>
            </w:pPr>
            <w:r>
              <w:rPr>
                <w:rFonts w:hint="eastAsia" w:ascii="宋体" w:hAnsi="宋体"/>
                <w:b w:val="0"/>
                <w:bCs/>
                <w:szCs w:val="21"/>
              </w:rPr>
              <w:t>危险品受不安全因素影响</w:t>
            </w:r>
          </w:p>
        </w:tc>
        <w:tc>
          <w:tcPr>
            <w:tcW w:w="1102" w:type="pct"/>
            <w:vAlign w:val="center"/>
          </w:tcPr>
          <w:p w14:paraId="5D531D45">
            <w:pPr>
              <w:spacing w:line="240" w:lineRule="exact"/>
              <w:jc w:val="center"/>
              <w:rPr>
                <w:rFonts w:ascii="宋体" w:hAnsi="宋体"/>
                <w:b w:val="0"/>
                <w:bCs/>
                <w:szCs w:val="21"/>
              </w:rPr>
            </w:pPr>
            <w:r>
              <w:rPr>
                <w:rFonts w:hint="eastAsia" w:ascii="宋体" w:hAnsi="宋体"/>
                <w:b w:val="0"/>
                <w:bCs/>
                <w:szCs w:val="21"/>
              </w:rPr>
              <w:t>火灾、爆炸等各类安全事故</w:t>
            </w:r>
          </w:p>
        </w:tc>
      </w:tr>
      <w:tr w14:paraId="2A7DE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2" w:type="pct"/>
            <w:vMerge w:val="continue"/>
            <w:vAlign w:val="center"/>
          </w:tcPr>
          <w:p w14:paraId="2E51D24F">
            <w:pPr>
              <w:widowControl/>
              <w:spacing w:line="240" w:lineRule="exact"/>
              <w:jc w:val="center"/>
              <w:rPr>
                <w:rFonts w:ascii="宋体" w:hAnsi="宋体"/>
                <w:b w:val="0"/>
                <w:bCs/>
                <w:szCs w:val="21"/>
              </w:rPr>
            </w:pPr>
          </w:p>
        </w:tc>
        <w:tc>
          <w:tcPr>
            <w:tcW w:w="814" w:type="pct"/>
            <w:vAlign w:val="center"/>
          </w:tcPr>
          <w:p w14:paraId="13FDF825">
            <w:pPr>
              <w:widowControl/>
              <w:spacing w:line="240" w:lineRule="exact"/>
              <w:jc w:val="center"/>
              <w:rPr>
                <w:rFonts w:ascii="宋体" w:hAnsi="宋体"/>
                <w:b w:val="0"/>
                <w:bCs/>
                <w:szCs w:val="21"/>
              </w:rPr>
            </w:pPr>
            <w:r>
              <w:rPr>
                <w:rFonts w:hint="eastAsia" w:ascii="宋体" w:hAnsi="宋体"/>
                <w:b w:val="0"/>
              </w:rPr>
              <w:t>职业安全卫生责任制未落实</w:t>
            </w:r>
            <w:r>
              <w:rPr>
                <w:rFonts w:ascii="宋体" w:hAnsi="宋体"/>
                <w:b w:val="0"/>
              </w:rPr>
              <w:t>42</w:t>
            </w:r>
          </w:p>
        </w:tc>
        <w:tc>
          <w:tcPr>
            <w:tcW w:w="937" w:type="pct"/>
            <w:vAlign w:val="center"/>
          </w:tcPr>
          <w:p w14:paraId="112555F2">
            <w:pPr>
              <w:spacing w:line="240" w:lineRule="exact"/>
              <w:jc w:val="center"/>
              <w:rPr>
                <w:rFonts w:ascii="宋体" w:hAnsi="宋体"/>
                <w:b w:val="0"/>
              </w:rPr>
            </w:pPr>
            <w:r>
              <w:rPr>
                <w:rFonts w:ascii="宋体" w:hAnsi="宋体"/>
                <w:b w:val="0"/>
              </w:rPr>
              <w:t>--</w:t>
            </w:r>
          </w:p>
        </w:tc>
        <w:tc>
          <w:tcPr>
            <w:tcW w:w="896" w:type="pct"/>
            <w:vAlign w:val="center"/>
          </w:tcPr>
          <w:p w14:paraId="605EE8B9">
            <w:pPr>
              <w:spacing w:line="240" w:lineRule="exact"/>
              <w:jc w:val="center"/>
              <w:rPr>
                <w:rFonts w:ascii="宋体" w:hAnsi="宋体"/>
                <w:b w:val="0"/>
                <w:bCs/>
                <w:szCs w:val="21"/>
              </w:rPr>
            </w:pPr>
            <w:r>
              <w:rPr>
                <w:rFonts w:hint="eastAsia" w:ascii="宋体" w:hAnsi="宋体"/>
                <w:b w:val="0"/>
                <w:bCs/>
                <w:szCs w:val="21"/>
              </w:rPr>
              <w:t>危险性作业工工序</w:t>
            </w:r>
          </w:p>
        </w:tc>
        <w:tc>
          <w:tcPr>
            <w:tcW w:w="996" w:type="pct"/>
            <w:vAlign w:val="center"/>
          </w:tcPr>
          <w:p w14:paraId="3412E9CF">
            <w:pPr>
              <w:spacing w:line="240" w:lineRule="exact"/>
              <w:jc w:val="center"/>
              <w:rPr>
                <w:rFonts w:ascii="宋体" w:hAnsi="宋体"/>
                <w:b w:val="0"/>
                <w:bCs/>
                <w:szCs w:val="21"/>
              </w:rPr>
            </w:pPr>
            <w:r>
              <w:rPr>
                <w:rFonts w:hint="eastAsia" w:ascii="宋体" w:hAnsi="宋体"/>
                <w:b w:val="0"/>
                <w:bCs/>
                <w:szCs w:val="21"/>
              </w:rPr>
              <w:t>操作人员安全意识缺乏</w:t>
            </w:r>
          </w:p>
        </w:tc>
        <w:tc>
          <w:tcPr>
            <w:tcW w:w="1102" w:type="pct"/>
            <w:vAlign w:val="center"/>
          </w:tcPr>
          <w:p w14:paraId="54A0738E">
            <w:pPr>
              <w:spacing w:line="240" w:lineRule="exact"/>
              <w:jc w:val="center"/>
              <w:rPr>
                <w:rFonts w:ascii="宋体" w:hAnsi="宋体"/>
                <w:b w:val="0"/>
                <w:bCs/>
                <w:szCs w:val="21"/>
              </w:rPr>
            </w:pPr>
            <w:r>
              <w:rPr>
                <w:rFonts w:hint="eastAsia" w:ascii="宋体" w:hAnsi="宋体"/>
                <w:b w:val="0"/>
                <w:bCs/>
                <w:szCs w:val="21"/>
              </w:rPr>
              <w:t>火灾、爆炸等各类安全事故</w:t>
            </w:r>
          </w:p>
        </w:tc>
      </w:tr>
      <w:tr w14:paraId="6BEF0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52" w:type="pct"/>
            <w:vMerge w:val="continue"/>
            <w:vAlign w:val="center"/>
          </w:tcPr>
          <w:p w14:paraId="3A4A9AC8">
            <w:pPr>
              <w:widowControl/>
              <w:spacing w:line="240" w:lineRule="exact"/>
              <w:jc w:val="center"/>
              <w:rPr>
                <w:rFonts w:ascii="宋体" w:hAnsi="宋体"/>
                <w:b w:val="0"/>
                <w:bCs/>
                <w:szCs w:val="21"/>
              </w:rPr>
            </w:pPr>
          </w:p>
        </w:tc>
        <w:tc>
          <w:tcPr>
            <w:tcW w:w="814" w:type="pct"/>
            <w:vMerge w:val="restart"/>
            <w:vAlign w:val="center"/>
          </w:tcPr>
          <w:p w14:paraId="5B20B32F">
            <w:pPr>
              <w:widowControl/>
              <w:spacing w:line="240" w:lineRule="exact"/>
              <w:jc w:val="center"/>
              <w:rPr>
                <w:rFonts w:ascii="宋体" w:hAnsi="宋体"/>
                <w:b w:val="0"/>
                <w:bCs/>
                <w:szCs w:val="21"/>
              </w:rPr>
            </w:pPr>
            <w:r>
              <w:rPr>
                <w:rFonts w:hint="eastAsia" w:ascii="宋体" w:hAnsi="宋体"/>
                <w:b w:val="0"/>
                <w:bCs/>
                <w:szCs w:val="21"/>
              </w:rPr>
              <w:t>职业安全卫生管理规章制度不完善</w:t>
            </w:r>
          </w:p>
          <w:p w14:paraId="10870BB0">
            <w:pPr>
              <w:widowControl/>
              <w:spacing w:line="240" w:lineRule="exact"/>
              <w:jc w:val="center"/>
              <w:rPr>
                <w:rFonts w:ascii="宋体" w:hAnsi="宋体"/>
                <w:b w:val="0"/>
                <w:bCs/>
                <w:szCs w:val="21"/>
              </w:rPr>
            </w:pPr>
            <w:r>
              <w:rPr>
                <w:rFonts w:ascii="宋体" w:hAnsi="宋体"/>
                <w:b w:val="0"/>
                <w:bCs/>
                <w:szCs w:val="21"/>
              </w:rPr>
              <w:t>43</w:t>
            </w:r>
          </w:p>
        </w:tc>
        <w:tc>
          <w:tcPr>
            <w:tcW w:w="937" w:type="pct"/>
            <w:vAlign w:val="center"/>
          </w:tcPr>
          <w:p w14:paraId="27D80AD9">
            <w:pPr>
              <w:spacing w:line="240" w:lineRule="exact"/>
              <w:jc w:val="center"/>
              <w:rPr>
                <w:rFonts w:ascii="宋体" w:hAnsi="宋体"/>
                <w:b w:val="0"/>
              </w:rPr>
            </w:pPr>
            <w:r>
              <w:rPr>
                <w:rFonts w:hint="eastAsia" w:ascii="宋体" w:hAnsi="宋体"/>
                <w:b w:val="0"/>
              </w:rPr>
              <w:t>事故应急预案及响应缺陷</w:t>
            </w:r>
            <w:r>
              <w:rPr>
                <w:rFonts w:ascii="宋体" w:hAnsi="宋体"/>
                <w:b w:val="0"/>
              </w:rPr>
              <w:t>4303</w:t>
            </w:r>
          </w:p>
        </w:tc>
        <w:tc>
          <w:tcPr>
            <w:tcW w:w="896" w:type="pct"/>
            <w:vAlign w:val="center"/>
          </w:tcPr>
          <w:p w14:paraId="2624EB3E">
            <w:pPr>
              <w:spacing w:line="240" w:lineRule="exact"/>
              <w:jc w:val="center"/>
              <w:rPr>
                <w:rFonts w:ascii="宋体" w:hAnsi="宋体"/>
                <w:b w:val="0"/>
                <w:bCs/>
                <w:szCs w:val="21"/>
              </w:rPr>
            </w:pPr>
            <w:r>
              <w:rPr>
                <w:rFonts w:hint="eastAsia" w:ascii="宋体" w:hAnsi="宋体"/>
                <w:b w:val="0"/>
                <w:bCs/>
                <w:szCs w:val="21"/>
              </w:rPr>
              <w:t>危险性作业工工序</w:t>
            </w:r>
          </w:p>
        </w:tc>
        <w:tc>
          <w:tcPr>
            <w:tcW w:w="996" w:type="pct"/>
            <w:vAlign w:val="center"/>
          </w:tcPr>
          <w:p w14:paraId="71617D24">
            <w:pPr>
              <w:spacing w:line="240" w:lineRule="exact"/>
              <w:jc w:val="center"/>
              <w:rPr>
                <w:rFonts w:ascii="宋体" w:hAnsi="宋体"/>
                <w:b w:val="0"/>
                <w:bCs/>
                <w:szCs w:val="21"/>
              </w:rPr>
            </w:pPr>
            <w:r>
              <w:rPr>
                <w:rFonts w:hint="eastAsia" w:ascii="宋体" w:hAnsi="宋体"/>
                <w:b w:val="0"/>
                <w:bCs/>
                <w:szCs w:val="21"/>
              </w:rPr>
              <w:t>事故应急未得到及时响应</w:t>
            </w:r>
          </w:p>
        </w:tc>
        <w:tc>
          <w:tcPr>
            <w:tcW w:w="1102" w:type="pct"/>
            <w:vAlign w:val="center"/>
          </w:tcPr>
          <w:p w14:paraId="440AC331">
            <w:pPr>
              <w:spacing w:line="240" w:lineRule="exact"/>
              <w:jc w:val="center"/>
              <w:rPr>
                <w:rFonts w:ascii="宋体" w:hAnsi="宋体"/>
                <w:b w:val="0"/>
                <w:bCs/>
                <w:szCs w:val="21"/>
              </w:rPr>
            </w:pPr>
            <w:r>
              <w:rPr>
                <w:rFonts w:hint="eastAsia" w:ascii="宋体" w:hAnsi="宋体"/>
                <w:b w:val="0"/>
                <w:bCs/>
                <w:szCs w:val="21"/>
              </w:rPr>
              <w:t>火灾、爆炸等各类安全事故</w:t>
            </w:r>
          </w:p>
        </w:tc>
      </w:tr>
      <w:tr w14:paraId="0C129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52" w:type="pct"/>
            <w:vMerge w:val="continue"/>
            <w:tcBorders>
              <w:bottom w:val="single" w:color="auto" w:sz="12" w:space="0"/>
            </w:tcBorders>
            <w:vAlign w:val="center"/>
          </w:tcPr>
          <w:p w14:paraId="4BA15375">
            <w:pPr>
              <w:widowControl/>
              <w:spacing w:line="240" w:lineRule="exact"/>
              <w:jc w:val="center"/>
              <w:rPr>
                <w:rFonts w:ascii="宋体" w:hAnsi="宋体"/>
                <w:b w:val="0"/>
                <w:bCs/>
                <w:szCs w:val="21"/>
              </w:rPr>
            </w:pPr>
          </w:p>
        </w:tc>
        <w:tc>
          <w:tcPr>
            <w:tcW w:w="814" w:type="pct"/>
            <w:vMerge w:val="continue"/>
            <w:tcBorders>
              <w:bottom w:val="single" w:color="auto" w:sz="12" w:space="0"/>
            </w:tcBorders>
            <w:vAlign w:val="center"/>
          </w:tcPr>
          <w:p w14:paraId="070B8F0B">
            <w:pPr>
              <w:widowControl/>
              <w:spacing w:line="240" w:lineRule="exact"/>
              <w:jc w:val="center"/>
              <w:rPr>
                <w:rFonts w:ascii="宋体" w:hAnsi="宋体"/>
                <w:b w:val="0"/>
                <w:bCs/>
                <w:szCs w:val="21"/>
              </w:rPr>
            </w:pPr>
          </w:p>
        </w:tc>
        <w:tc>
          <w:tcPr>
            <w:tcW w:w="937" w:type="pct"/>
            <w:tcBorders>
              <w:bottom w:val="single" w:color="auto" w:sz="12" w:space="0"/>
            </w:tcBorders>
            <w:vAlign w:val="center"/>
          </w:tcPr>
          <w:p w14:paraId="617B3CCF">
            <w:pPr>
              <w:spacing w:line="240" w:lineRule="exact"/>
              <w:jc w:val="center"/>
              <w:rPr>
                <w:rFonts w:ascii="宋体" w:hAnsi="宋体"/>
                <w:b w:val="0"/>
              </w:rPr>
            </w:pPr>
            <w:r>
              <w:rPr>
                <w:rFonts w:hint="eastAsia" w:ascii="宋体" w:hAnsi="宋体"/>
                <w:b w:val="0"/>
              </w:rPr>
              <w:t>培训制度不完善</w:t>
            </w:r>
            <w:r>
              <w:rPr>
                <w:rFonts w:ascii="宋体" w:hAnsi="宋体"/>
                <w:b w:val="0"/>
              </w:rPr>
              <w:t>4304</w:t>
            </w:r>
          </w:p>
        </w:tc>
        <w:tc>
          <w:tcPr>
            <w:tcW w:w="896" w:type="pct"/>
            <w:tcBorders>
              <w:bottom w:val="single" w:color="auto" w:sz="12" w:space="0"/>
            </w:tcBorders>
            <w:vAlign w:val="center"/>
          </w:tcPr>
          <w:p w14:paraId="4FD8CAA8">
            <w:pPr>
              <w:spacing w:line="240" w:lineRule="exact"/>
              <w:jc w:val="center"/>
              <w:rPr>
                <w:rFonts w:ascii="宋体" w:hAnsi="宋体"/>
                <w:b w:val="0"/>
                <w:bCs/>
                <w:szCs w:val="21"/>
              </w:rPr>
            </w:pPr>
            <w:r>
              <w:rPr>
                <w:rFonts w:hint="eastAsia" w:ascii="宋体" w:hAnsi="宋体"/>
                <w:b w:val="0"/>
                <w:bCs/>
                <w:szCs w:val="21"/>
              </w:rPr>
              <w:t>危险性作业工工序</w:t>
            </w:r>
          </w:p>
        </w:tc>
        <w:tc>
          <w:tcPr>
            <w:tcW w:w="996" w:type="pct"/>
            <w:tcBorders>
              <w:bottom w:val="single" w:color="auto" w:sz="12" w:space="0"/>
            </w:tcBorders>
            <w:vAlign w:val="center"/>
          </w:tcPr>
          <w:p w14:paraId="4AE379BB">
            <w:pPr>
              <w:spacing w:line="240" w:lineRule="exact"/>
              <w:jc w:val="center"/>
              <w:rPr>
                <w:rFonts w:ascii="宋体" w:hAnsi="宋体"/>
                <w:b w:val="0"/>
                <w:bCs/>
                <w:szCs w:val="21"/>
              </w:rPr>
            </w:pPr>
            <w:r>
              <w:rPr>
                <w:rFonts w:hint="eastAsia" w:ascii="宋体" w:hAnsi="宋体"/>
                <w:b w:val="0"/>
                <w:bCs/>
                <w:szCs w:val="21"/>
              </w:rPr>
              <w:t>操作人员安全意识缺乏、操作不当</w:t>
            </w:r>
          </w:p>
        </w:tc>
        <w:tc>
          <w:tcPr>
            <w:tcW w:w="1102" w:type="pct"/>
            <w:tcBorders>
              <w:bottom w:val="single" w:color="auto" w:sz="12" w:space="0"/>
            </w:tcBorders>
            <w:vAlign w:val="center"/>
          </w:tcPr>
          <w:p w14:paraId="13C1C797">
            <w:pPr>
              <w:spacing w:line="240" w:lineRule="exact"/>
              <w:jc w:val="center"/>
              <w:rPr>
                <w:rFonts w:ascii="宋体" w:hAnsi="宋体"/>
                <w:b w:val="0"/>
                <w:bCs/>
                <w:szCs w:val="21"/>
              </w:rPr>
            </w:pPr>
            <w:r>
              <w:rPr>
                <w:rFonts w:hint="eastAsia" w:ascii="宋体" w:hAnsi="宋体"/>
                <w:b w:val="0"/>
                <w:bCs/>
                <w:szCs w:val="21"/>
              </w:rPr>
              <w:t>火灾、爆炸等各类安全事故</w:t>
            </w:r>
          </w:p>
        </w:tc>
      </w:tr>
    </w:tbl>
    <w:p w14:paraId="406BFD94">
      <w:pPr>
        <w:keepNext/>
        <w:keepLines/>
        <w:spacing w:before="120" w:beforeLines="50" w:line="360" w:lineRule="auto"/>
        <w:outlineLvl w:val="1"/>
        <w:rPr>
          <w:rFonts w:ascii="黑体" w:hAnsi="黑体" w:eastAsia="黑体"/>
          <w:b w:val="0"/>
          <w:bCs/>
          <w:snapToGrid w:val="0"/>
          <w:sz w:val="32"/>
          <w:szCs w:val="32"/>
        </w:rPr>
      </w:pPr>
      <w:bookmarkStart w:id="303" w:name="_Toc173077662"/>
      <w:bookmarkStart w:id="304" w:name="_Toc239191504"/>
      <w:bookmarkStart w:id="305" w:name="_Toc227869283"/>
      <w:bookmarkStart w:id="306" w:name="_Toc227869285"/>
      <w:bookmarkStart w:id="307" w:name="_Toc173077670"/>
      <w:bookmarkStart w:id="308" w:name="_Toc335902406"/>
      <w:r>
        <w:rPr>
          <w:rFonts w:hint="eastAsia" w:ascii="黑体" w:hAnsi="黑体" w:eastAsia="黑体"/>
          <w:b w:val="0"/>
          <w:bCs/>
          <w:snapToGrid w:val="0"/>
          <w:sz w:val="32"/>
          <w:szCs w:val="32"/>
        </w:rPr>
        <w:t>3.</w:t>
      </w:r>
      <w:r>
        <w:rPr>
          <w:rFonts w:ascii="黑体" w:hAnsi="黑体" w:eastAsia="黑体"/>
          <w:b w:val="0"/>
          <w:bCs/>
          <w:snapToGrid w:val="0"/>
          <w:sz w:val="32"/>
          <w:szCs w:val="32"/>
        </w:rPr>
        <w:t>5</w:t>
      </w:r>
      <w:r>
        <w:rPr>
          <w:rFonts w:hint="eastAsia" w:ascii="黑体" w:hAnsi="黑体" w:eastAsia="黑体"/>
          <w:b w:val="0"/>
          <w:bCs/>
          <w:snapToGrid w:val="0"/>
          <w:sz w:val="32"/>
          <w:szCs w:val="32"/>
        </w:rPr>
        <w:t>重大危险源辨识</w:t>
      </w:r>
      <w:bookmarkEnd w:id="303"/>
      <w:bookmarkEnd w:id="304"/>
      <w:bookmarkEnd w:id="305"/>
    </w:p>
    <w:p w14:paraId="09EBEFC9">
      <w:pPr>
        <w:spacing w:line="360" w:lineRule="auto"/>
        <w:ind w:firstLine="560" w:firstLineChars="200"/>
        <w:rPr>
          <w:rFonts w:ascii="宋体" w:hAnsi="宋体"/>
          <w:b w:val="0"/>
          <w:sz w:val="28"/>
          <w:szCs w:val="28"/>
        </w:rPr>
      </w:pPr>
      <w:r>
        <w:rPr>
          <w:rFonts w:hint="eastAsia" w:ascii="宋体" w:hAnsi="宋体"/>
          <w:b w:val="0"/>
          <w:sz w:val="28"/>
          <w:szCs w:val="28"/>
        </w:rPr>
        <w:t>该项目以《烟花爆竹重大危险源辨识》（AQ4131-2023）为依据对该企业进行烟花爆竹重大危险源辨识。</w:t>
      </w:r>
    </w:p>
    <w:p w14:paraId="3B5A9D67">
      <w:pPr>
        <w:spacing w:line="360" w:lineRule="auto"/>
        <w:outlineLvl w:val="2"/>
        <w:rPr>
          <w:rFonts w:ascii="黑体" w:hAnsi="黑体" w:eastAsia="黑体"/>
          <w:b w:val="0"/>
          <w:sz w:val="30"/>
          <w:szCs w:val="30"/>
        </w:rPr>
      </w:pPr>
      <w:bookmarkStart w:id="309" w:name="_Toc58861991"/>
      <w:bookmarkStart w:id="310" w:name="_Toc58946823"/>
      <w:bookmarkStart w:id="311" w:name="_Toc60129106"/>
      <w:bookmarkStart w:id="312" w:name="_Toc181194070"/>
      <w:bookmarkStart w:id="313" w:name="_Toc148036992"/>
      <w:bookmarkStart w:id="314" w:name="_Toc145275197"/>
      <w:bookmarkStart w:id="315" w:name="_Toc173077663"/>
      <w:r>
        <w:rPr>
          <w:rFonts w:hint="eastAsia" w:ascii="黑体" w:hAnsi="黑体" w:eastAsia="黑体"/>
          <w:b w:val="0"/>
          <w:sz w:val="30"/>
          <w:szCs w:val="30"/>
        </w:rPr>
        <w:t>3.</w:t>
      </w:r>
      <w:r>
        <w:rPr>
          <w:rFonts w:ascii="黑体" w:hAnsi="黑体" w:eastAsia="黑体"/>
          <w:b w:val="0"/>
          <w:sz w:val="30"/>
          <w:szCs w:val="30"/>
        </w:rPr>
        <w:t>5</w:t>
      </w:r>
      <w:r>
        <w:rPr>
          <w:rFonts w:hint="eastAsia" w:ascii="黑体" w:hAnsi="黑体" w:eastAsia="黑体"/>
          <w:b w:val="0"/>
          <w:sz w:val="30"/>
          <w:szCs w:val="30"/>
        </w:rPr>
        <w:t>.1</w:t>
      </w:r>
      <w:bookmarkEnd w:id="309"/>
      <w:bookmarkEnd w:id="310"/>
      <w:bookmarkEnd w:id="311"/>
      <w:r>
        <w:rPr>
          <w:rFonts w:hint="eastAsia" w:ascii="黑体" w:hAnsi="黑体" w:eastAsia="黑体"/>
          <w:b w:val="0"/>
          <w:sz w:val="30"/>
          <w:szCs w:val="30"/>
        </w:rPr>
        <w:t>烟花爆竹重大危险源定义</w:t>
      </w:r>
      <w:bookmarkEnd w:id="312"/>
      <w:bookmarkEnd w:id="313"/>
      <w:bookmarkEnd w:id="314"/>
      <w:bookmarkEnd w:id="315"/>
    </w:p>
    <w:p w14:paraId="1E5558C7">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长期地或临时地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14:paraId="4B3B946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生产单元是指危险品生产区，每栋工房、中转库或每个晾晒场划分为一个生产单元；当工房、中转库或晾晒场之间通过管道、传送带、转动装置等相连时，相连的所有工房、中转库或晾晒场划分为一个生产单元。</w:t>
      </w:r>
    </w:p>
    <w:p w14:paraId="47B8D92F">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储存单元是指危险品仓库区，每个库区内所有的烟火药(含黑火药,单基火药)、引火线、硝化纤维素仓库划分为一个储存单元；每栋独立的烟花爆竹成品和半成品仓库划分为一个储存单元。</w:t>
      </w:r>
    </w:p>
    <w:p w14:paraId="1970A888">
      <w:pPr>
        <w:spacing w:line="360" w:lineRule="auto"/>
        <w:ind w:firstLine="560" w:firstLineChars="200"/>
        <w:rPr>
          <w:rFonts w:ascii="宋体" w:hAnsi="宋体"/>
          <w:b w:val="0"/>
          <w:sz w:val="28"/>
          <w:szCs w:val="28"/>
        </w:rPr>
      </w:pPr>
      <w:r>
        <w:rPr>
          <w:rFonts w:hint="eastAsia" w:ascii="宋体" w:hAnsi="宋体"/>
          <w:b w:val="0"/>
          <w:sz w:val="28"/>
          <w:szCs w:val="28"/>
        </w:rPr>
        <w:t>按式（1）计算单元的重大危险源辨识指标</w:t>
      </w:r>
    </w:p>
    <w:p w14:paraId="11FE35B0">
      <w:pPr>
        <w:spacing w:line="360" w:lineRule="auto"/>
        <w:ind w:firstLine="1134" w:firstLineChars="405"/>
        <w:jc w:val="left"/>
        <w:rPr>
          <w:rFonts w:ascii="宋体" w:hAnsi="宋体"/>
          <w:b w:val="0"/>
          <w:sz w:val="28"/>
          <w:szCs w:val="28"/>
        </w:rPr>
      </w:pPr>
      <w:r>
        <w:rPr>
          <w:rFonts w:hint="eastAsia" w:ascii="宋体" w:hAnsi="宋体"/>
          <w:b w:val="0"/>
          <w:sz w:val="28"/>
          <w:szCs w:val="28"/>
        </w:rPr>
        <w:t>S=q1/Q1＋q2/Q2…＋qn/Qn ……………………………（1）</w:t>
      </w:r>
    </w:p>
    <w:p w14:paraId="605E50F7">
      <w:pPr>
        <w:spacing w:line="360" w:lineRule="auto"/>
        <w:ind w:firstLine="560" w:firstLineChars="200"/>
        <w:rPr>
          <w:rFonts w:ascii="宋体" w:hAnsi="宋体"/>
          <w:b w:val="0"/>
          <w:sz w:val="28"/>
          <w:szCs w:val="28"/>
        </w:rPr>
      </w:pPr>
      <w:r>
        <w:rPr>
          <w:rFonts w:hint="eastAsia" w:ascii="宋体" w:hAnsi="宋体"/>
          <w:b w:val="0"/>
          <w:sz w:val="28"/>
          <w:szCs w:val="28"/>
        </w:rPr>
        <w:t>式中：</w:t>
      </w:r>
    </w:p>
    <w:p w14:paraId="1D54FE22">
      <w:pPr>
        <w:spacing w:line="360" w:lineRule="auto"/>
        <w:ind w:firstLine="1134" w:firstLineChars="405"/>
        <w:rPr>
          <w:rFonts w:ascii="宋体" w:hAnsi="宋体"/>
          <w:b w:val="0"/>
          <w:sz w:val="28"/>
          <w:szCs w:val="28"/>
        </w:rPr>
      </w:pPr>
      <w:r>
        <w:rPr>
          <w:rFonts w:hint="eastAsia" w:ascii="宋体" w:hAnsi="宋体"/>
          <w:b w:val="0"/>
          <w:sz w:val="28"/>
          <w:szCs w:val="28"/>
        </w:rPr>
        <w:t>S——重大危险源辨识指标；</w:t>
      </w:r>
    </w:p>
    <w:p w14:paraId="60A60F21">
      <w:pPr>
        <w:spacing w:line="360" w:lineRule="auto"/>
        <w:ind w:firstLine="1134" w:firstLineChars="405"/>
        <w:rPr>
          <w:rFonts w:ascii="宋体" w:hAnsi="宋体"/>
          <w:b w:val="0"/>
          <w:sz w:val="28"/>
          <w:szCs w:val="28"/>
        </w:rPr>
      </w:pPr>
      <w:r>
        <w:rPr>
          <w:rFonts w:hint="eastAsia" w:ascii="宋体" w:hAnsi="宋体"/>
          <w:b w:val="0"/>
          <w:sz w:val="28"/>
          <w:szCs w:val="28"/>
        </w:rPr>
        <w:t>q1，q2，…，qn——各种危险品的设计存放量，单位为吨（t）；</w:t>
      </w:r>
    </w:p>
    <w:p w14:paraId="5D9F4857">
      <w:pPr>
        <w:spacing w:line="360" w:lineRule="auto"/>
        <w:ind w:firstLine="1134" w:firstLineChars="405"/>
        <w:rPr>
          <w:rFonts w:ascii="宋体" w:hAnsi="宋体"/>
          <w:b w:val="0"/>
          <w:sz w:val="28"/>
          <w:szCs w:val="28"/>
        </w:rPr>
      </w:pPr>
      <w:r>
        <w:rPr>
          <w:rFonts w:hint="eastAsia" w:ascii="宋体" w:hAnsi="宋体"/>
          <w:b w:val="0"/>
          <w:sz w:val="28"/>
          <w:szCs w:val="28"/>
        </w:rPr>
        <w:t>Q1，Q2，…，Qn——各种危险品对应的临界量，单位为吨（t）。</w:t>
      </w:r>
    </w:p>
    <w:p w14:paraId="42A72C43">
      <w:pPr>
        <w:spacing w:line="360" w:lineRule="auto"/>
        <w:ind w:firstLine="560" w:firstLineChars="200"/>
        <w:rPr>
          <w:rFonts w:ascii="宋体" w:hAnsi="宋体"/>
          <w:b w:val="0"/>
          <w:sz w:val="28"/>
          <w:szCs w:val="28"/>
        </w:rPr>
      </w:pPr>
      <w:r>
        <w:rPr>
          <w:rFonts w:hint="eastAsia" w:ascii="宋体" w:hAnsi="宋体"/>
          <w:b w:val="0"/>
          <w:sz w:val="28"/>
          <w:szCs w:val="28"/>
        </w:rPr>
        <w:t>当单元的S≥1时，则该单元判定为重大危险源</w:t>
      </w:r>
      <w:r>
        <w:rPr>
          <w:rFonts w:ascii="宋体" w:hAnsi="宋体"/>
          <w:b w:val="0"/>
          <w:sz w:val="28"/>
          <w:szCs w:val="28"/>
        </w:rPr>
        <w:t>。</w:t>
      </w:r>
    </w:p>
    <w:p w14:paraId="2259ED71">
      <w:pPr>
        <w:spacing w:line="360" w:lineRule="auto"/>
        <w:outlineLvl w:val="2"/>
        <w:rPr>
          <w:rFonts w:ascii="黑体" w:hAnsi="黑体" w:eastAsia="黑体"/>
          <w:b w:val="0"/>
          <w:sz w:val="30"/>
          <w:szCs w:val="30"/>
        </w:rPr>
      </w:pPr>
      <w:bookmarkStart w:id="316" w:name="_Toc145275198"/>
      <w:bookmarkStart w:id="317" w:name="_Toc181194071"/>
      <w:bookmarkStart w:id="318" w:name="_Toc148036993"/>
      <w:bookmarkStart w:id="319" w:name="_Toc173077664"/>
      <w:r>
        <w:rPr>
          <w:rFonts w:hint="eastAsia" w:ascii="黑体" w:hAnsi="黑体" w:eastAsia="黑体"/>
          <w:b w:val="0"/>
          <w:sz w:val="30"/>
          <w:szCs w:val="30"/>
        </w:rPr>
        <w:t>3.</w:t>
      </w:r>
      <w:r>
        <w:rPr>
          <w:rFonts w:ascii="黑体" w:hAnsi="黑体" w:eastAsia="黑体"/>
          <w:b w:val="0"/>
          <w:sz w:val="30"/>
          <w:szCs w:val="30"/>
        </w:rPr>
        <w:t>5</w:t>
      </w:r>
      <w:r>
        <w:rPr>
          <w:rFonts w:hint="eastAsia" w:ascii="黑体" w:hAnsi="黑体" w:eastAsia="黑体"/>
          <w:b w:val="0"/>
          <w:sz w:val="30"/>
          <w:szCs w:val="30"/>
        </w:rPr>
        <w:t>.2</w:t>
      </w:r>
      <w:bookmarkStart w:id="320" w:name="_Toc144559734"/>
      <w:bookmarkStart w:id="321" w:name="_Toc141368184"/>
      <w:r>
        <w:rPr>
          <w:rFonts w:hint="eastAsia" w:ascii="黑体" w:hAnsi="黑体" w:eastAsia="黑体"/>
          <w:b w:val="0"/>
          <w:sz w:val="30"/>
          <w:szCs w:val="30"/>
        </w:rPr>
        <w:t>烟花爆竹重大危险源临界量</w:t>
      </w:r>
      <w:bookmarkEnd w:id="316"/>
      <w:bookmarkEnd w:id="317"/>
      <w:bookmarkEnd w:id="318"/>
      <w:bookmarkEnd w:id="319"/>
      <w:bookmarkEnd w:id="320"/>
      <w:bookmarkEnd w:id="321"/>
    </w:p>
    <w:p w14:paraId="6EF6DF7D">
      <w:pPr>
        <w:spacing w:line="360" w:lineRule="auto"/>
        <w:ind w:firstLine="560" w:firstLineChars="200"/>
        <w:rPr>
          <w:rFonts w:ascii="宋体" w:hAnsi="宋体"/>
          <w:b w:val="0"/>
          <w:sz w:val="28"/>
          <w:szCs w:val="28"/>
        </w:rPr>
      </w:pPr>
      <w:r>
        <w:rPr>
          <w:rFonts w:hint="eastAsia" w:ascii="宋体" w:hAnsi="宋体"/>
          <w:b w:val="0"/>
          <w:sz w:val="28"/>
          <w:szCs w:val="28"/>
        </w:rPr>
        <w:t>根据《烟花爆竹重大危险源辨识》AQ4131-2023，烟花爆竹重大危险源临界量如下表1、表2、表3所示。</w:t>
      </w:r>
    </w:p>
    <w:p w14:paraId="0FE8BDA4">
      <w:pPr>
        <w:spacing w:line="360" w:lineRule="auto"/>
        <w:ind w:firstLine="536" w:firstLineChars="200"/>
        <w:rPr>
          <w:rFonts w:ascii="宋体" w:hAnsi="宋体"/>
          <w:b w:val="0"/>
          <w:snapToGrid w:val="0"/>
          <w:spacing w:val="-6"/>
          <w:sz w:val="28"/>
          <w:szCs w:val="28"/>
        </w:rPr>
      </w:pPr>
      <w:r>
        <w:rPr>
          <w:rFonts w:hint="eastAsia" w:ascii="宋体" w:hAnsi="宋体"/>
          <w:b w:val="0"/>
          <w:snapToGrid w:val="0"/>
          <w:spacing w:val="-6"/>
          <w:sz w:val="28"/>
          <w:szCs w:val="28"/>
        </w:rPr>
        <w:t>（1）</w:t>
      </w:r>
      <w:r>
        <w:rPr>
          <w:rFonts w:ascii="宋体" w:hAnsi="宋体"/>
          <w:b w:val="0"/>
          <w:snapToGrid w:val="0"/>
          <w:spacing w:val="-6"/>
          <w:sz w:val="28"/>
          <w:szCs w:val="28"/>
        </w:rPr>
        <w:t>生产烟花爆竹用化工原材料的临界量按AQ 4131确定，主要化工原材料的临界量见表1。</w:t>
      </w:r>
    </w:p>
    <w:p w14:paraId="6EC00089">
      <w:pPr>
        <w:jc w:val="center"/>
        <w:rPr>
          <w:rFonts w:ascii="黑体" w:hAnsi="宋体" w:eastAsia="黑体"/>
          <w:b w:val="0"/>
          <w:kern w:val="0"/>
          <w:sz w:val="24"/>
          <w:szCs w:val="28"/>
        </w:rPr>
      </w:pPr>
      <w:r>
        <w:rPr>
          <w:rFonts w:hint="eastAsia" w:ascii="黑体" w:hAnsi="宋体" w:eastAsia="黑体"/>
          <w:b w:val="0"/>
          <w:kern w:val="0"/>
          <w:sz w:val="24"/>
          <w:szCs w:val="28"/>
        </w:rPr>
        <w:t>表1  主要化工原材料临界量</w:t>
      </w:r>
    </w:p>
    <w:tbl>
      <w:tblPr>
        <w:tblStyle w:val="88"/>
        <w:tblW w:w="887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34"/>
        <w:gridCol w:w="5180"/>
        <w:gridCol w:w="1865"/>
      </w:tblGrid>
      <w:tr w14:paraId="2C22D5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34" w:type="dxa"/>
            <w:vAlign w:val="center"/>
          </w:tcPr>
          <w:p w14:paraId="56E17E4E">
            <w:pPr>
              <w:ind w:right="-65" w:rightChars="-31"/>
              <w:jc w:val="center"/>
              <w:rPr>
                <w:rFonts w:ascii="宋体" w:hAnsi="宋体"/>
                <w:szCs w:val="20"/>
              </w:rPr>
            </w:pPr>
            <w:r>
              <w:rPr>
                <w:rFonts w:ascii="宋体" w:hAnsi="宋体"/>
                <w:szCs w:val="20"/>
              </w:rPr>
              <w:t>类别</w:t>
            </w:r>
          </w:p>
        </w:tc>
        <w:tc>
          <w:tcPr>
            <w:tcW w:w="5180" w:type="dxa"/>
            <w:vAlign w:val="center"/>
          </w:tcPr>
          <w:p w14:paraId="23B75DF7">
            <w:pPr>
              <w:ind w:right="-65" w:rightChars="-31"/>
              <w:jc w:val="center"/>
              <w:rPr>
                <w:rFonts w:ascii="宋体" w:hAnsi="宋体"/>
                <w:szCs w:val="20"/>
              </w:rPr>
            </w:pPr>
            <w:r>
              <w:rPr>
                <w:rFonts w:ascii="宋体" w:hAnsi="宋体"/>
                <w:szCs w:val="20"/>
              </w:rPr>
              <w:t>名称</w:t>
            </w:r>
          </w:p>
        </w:tc>
        <w:tc>
          <w:tcPr>
            <w:tcW w:w="1865" w:type="dxa"/>
            <w:vAlign w:val="center"/>
          </w:tcPr>
          <w:p w14:paraId="4C9C8839">
            <w:pPr>
              <w:ind w:right="-65" w:rightChars="-31"/>
              <w:jc w:val="center"/>
              <w:rPr>
                <w:rFonts w:ascii="宋体" w:hAnsi="宋体"/>
                <w:szCs w:val="20"/>
              </w:rPr>
            </w:pPr>
            <w:r>
              <w:rPr>
                <w:rFonts w:ascii="宋体" w:hAnsi="宋体"/>
                <w:szCs w:val="20"/>
              </w:rPr>
              <w:t>临界量</w:t>
            </w:r>
            <w:r>
              <w:rPr>
                <w:rFonts w:hint="eastAsia" w:ascii="宋体" w:hAnsi="宋体"/>
                <w:szCs w:val="20"/>
              </w:rPr>
              <w:t>（吨）</w:t>
            </w:r>
          </w:p>
        </w:tc>
      </w:tr>
      <w:tr w14:paraId="142989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restart"/>
            <w:vAlign w:val="center"/>
          </w:tcPr>
          <w:p w14:paraId="4F5599CA">
            <w:pPr>
              <w:jc w:val="center"/>
              <w:rPr>
                <w:rFonts w:ascii="宋体" w:hAnsi="宋体"/>
                <w:b w:val="0"/>
                <w:szCs w:val="21"/>
              </w:rPr>
            </w:pPr>
            <w:r>
              <w:rPr>
                <w:rFonts w:ascii="宋体" w:hAnsi="宋体"/>
                <w:b w:val="0"/>
                <w:szCs w:val="21"/>
              </w:rPr>
              <w:t>氧化剂</w:t>
            </w:r>
          </w:p>
        </w:tc>
        <w:tc>
          <w:tcPr>
            <w:tcW w:w="5180" w:type="dxa"/>
            <w:vAlign w:val="center"/>
          </w:tcPr>
          <w:p w14:paraId="21F9AA55">
            <w:pPr>
              <w:jc w:val="center"/>
              <w:rPr>
                <w:rFonts w:ascii="宋体" w:hAnsi="宋体"/>
                <w:b w:val="0"/>
                <w:szCs w:val="21"/>
              </w:rPr>
            </w:pPr>
            <w:r>
              <w:rPr>
                <w:rFonts w:ascii="宋体" w:hAnsi="宋体"/>
                <w:b w:val="0"/>
                <w:szCs w:val="21"/>
              </w:rPr>
              <w:t>高氯酸铵</w:t>
            </w:r>
          </w:p>
        </w:tc>
        <w:tc>
          <w:tcPr>
            <w:tcW w:w="1865" w:type="dxa"/>
            <w:vAlign w:val="center"/>
          </w:tcPr>
          <w:p w14:paraId="02085174">
            <w:pPr>
              <w:jc w:val="center"/>
              <w:rPr>
                <w:rFonts w:ascii="宋体" w:hAnsi="宋体"/>
                <w:b w:val="0"/>
                <w:szCs w:val="21"/>
              </w:rPr>
            </w:pPr>
            <w:r>
              <w:rPr>
                <w:rFonts w:ascii="宋体" w:hAnsi="宋体"/>
                <w:b w:val="0"/>
                <w:szCs w:val="21"/>
              </w:rPr>
              <w:t>20</w:t>
            </w:r>
          </w:p>
        </w:tc>
      </w:tr>
      <w:tr w14:paraId="34FED9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187BEDF4">
            <w:pPr>
              <w:jc w:val="center"/>
              <w:rPr>
                <w:rFonts w:ascii="宋体" w:hAnsi="宋体"/>
                <w:b w:val="0"/>
                <w:szCs w:val="21"/>
              </w:rPr>
            </w:pPr>
          </w:p>
        </w:tc>
        <w:tc>
          <w:tcPr>
            <w:tcW w:w="5180" w:type="dxa"/>
            <w:vAlign w:val="center"/>
          </w:tcPr>
          <w:p w14:paraId="65646A87">
            <w:pPr>
              <w:jc w:val="center"/>
              <w:rPr>
                <w:rFonts w:ascii="宋体" w:hAnsi="宋体"/>
                <w:b w:val="0"/>
                <w:szCs w:val="21"/>
              </w:rPr>
            </w:pPr>
            <w:r>
              <w:rPr>
                <w:rFonts w:ascii="宋体" w:hAnsi="宋体"/>
                <w:b w:val="0"/>
                <w:szCs w:val="21"/>
              </w:rPr>
              <w:t>高氯酸钾、氯酸钾</w:t>
            </w:r>
          </w:p>
        </w:tc>
        <w:tc>
          <w:tcPr>
            <w:tcW w:w="1865" w:type="dxa"/>
            <w:vAlign w:val="center"/>
          </w:tcPr>
          <w:p w14:paraId="5857A26B">
            <w:pPr>
              <w:jc w:val="center"/>
              <w:rPr>
                <w:rFonts w:ascii="宋体" w:hAnsi="宋体"/>
                <w:b w:val="0"/>
                <w:szCs w:val="21"/>
              </w:rPr>
            </w:pPr>
            <w:r>
              <w:rPr>
                <w:rFonts w:ascii="宋体" w:hAnsi="宋体"/>
                <w:b w:val="0"/>
                <w:szCs w:val="21"/>
              </w:rPr>
              <w:t>100</w:t>
            </w:r>
          </w:p>
        </w:tc>
      </w:tr>
      <w:tr w14:paraId="7660DB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2FF8917C">
            <w:pPr>
              <w:jc w:val="center"/>
              <w:rPr>
                <w:rFonts w:ascii="宋体" w:hAnsi="宋体"/>
                <w:b w:val="0"/>
                <w:szCs w:val="21"/>
              </w:rPr>
            </w:pPr>
          </w:p>
        </w:tc>
        <w:tc>
          <w:tcPr>
            <w:tcW w:w="5180" w:type="dxa"/>
            <w:vAlign w:val="center"/>
          </w:tcPr>
          <w:p w14:paraId="6DF1FD3D">
            <w:pPr>
              <w:jc w:val="center"/>
              <w:rPr>
                <w:rFonts w:ascii="宋体" w:hAnsi="宋体"/>
                <w:b w:val="0"/>
                <w:szCs w:val="21"/>
              </w:rPr>
            </w:pPr>
            <w:r>
              <w:rPr>
                <w:rFonts w:ascii="宋体" w:hAnsi="宋体"/>
                <w:b w:val="0"/>
                <w:szCs w:val="21"/>
              </w:rPr>
              <w:t>硝酸钡、硝酸锶、硝酸钠</w:t>
            </w:r>
          </w:p>
        </w:tc>
        <w:tc>
          <w:tcPr>
            <w:tcW w:w="1865" w:type="dxa"/>
            <w:vAlign w:val="center"/>
          </w:tcPr>
          <w:p w14:paraId="778CFA07">
            <w:pPr>
              <w:jc w:val="center"/>
              <w:rPr>
                <w:rFonts w:ascii="宋体" w:hAnsi="宋体"/>
                <w:b w:val="0"/>
                <w:szCs w:val="21"/>
              </w:rPr>
            </w:pPr>
            <w:r>
              <w:rPr>
                <w:rFonts w:ascii="宋体" w:hAnsi="宋体"/>
                <w:b w:val="0"/>
                <w:szCs w:val="21"/>
              </w:rPr>
              <w:t>200</w:t>
            </w:r>
          </w:p>
        </w:tc>
      </w:tr>
      <w:tr w14:paraId="541EA3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7CE0DC0B">
            <w:pPr>
              <w:jc w:val="center"/>
              <w:rPr>
                <w:rFonts w:ascii="宋体" w:hAnsi="宋体"/>
                <w:b w:val="0"/>
                <w:szCs w:val="21"/>
              </w:rPr>
            </w:pPr>
          </w:p>
        </w:tc>
        <w:tc>
          <w:tcPr>
            <w:tcW w:w="5180" w:type="dxa"/>
            <w:vAlign w:val="center"/>
          </w:tcPr>
          <w:p w14:paraId="59669BF0">
            <w:pPr>
              <w:jc w:val="center"/>
              <w:rPr>
                <w:rFonts w:ascii="宋体" w:hAnsi="宋体"/>
                <w:b w:val="0"/>
                <w:szCs w:val="21"/>
              </w:rPr>
            </w:pPr>
            <w:r>
              <w:rPr>
                <w:rFonts w:ascii="宋体" w:hAnsi="宋体"/>
                <w:b w:val="0"/>
                <w:szCs w:val="21"/>
              </w:rPr>
              <w:t>硝酸钾</w:t>
            </w:r>
          </w:p>
        </w:tc>
        <w:tc>
          <w:tcPr>
            <w:tcW w:w="1865" w:type="dxa"/>
            <w:vAlign w:val="center"/>
          </w:tcPr>
          <w:p w14:paraId="50792F76">
            <w:pPr>
              <w:jc w:val="center"/>
              <w:rPr>
                <w:rFonts w:ascii="宋体" w:hAnsi="宋体"/>
                <w:b w:val="0"/>
                <w:szCs w:val="21"/>
              </w:rPr>
            </w:pPr>
            <w:r>
              <w:rPr>
                <w:rFonts w:ascii="宋体" w:hAnsi="宋体"/>
                <w:b w:val="0"/>
                <w:szCs w:val="21"/>
              </w:rPr>
              <w:t>1000</w:t>
            </w:r>
          </w:p>
        </w:tc>
      </w:tr>
      <w:tr w14:paraId="1F0F96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restart"/>
            <w:vAlign w:val="center"/>
          </w:tcPr>
          <w:p w14:paraId="367612D9">
            <w:pPr>
              <w:jc w:val="center"/>
              <w:rPr>
                <w:rFonts w:ascii="宋体" w:hAnsi="宋体"/>
                <w:b w:val="0"/>
                <w:szCs w:val="21"/>
              </w:rPr>
            </w:pPr>
            <w:r>
              <w:rPr>
                <w:rFonts w:ascii="宋体" w:hAnsi="宋体"/>
                <w:b w:val="0"/>
                <w:szCs w:val="21"/>
              </w:rPr>
              <w:t>还原剂</w:t>
            </w:r>
          </w:p>
        </w:tc>
        <w:tc>
          <w:tcPr>
            <w:tcW w:w="5180" w:type="dxa"/>
            <w:vAlign w:val="center"/>
          </w:tcPr>
          <w:p w14:paraId="6ABDDD81">
            <w:pPr>
              <w:jc w:val="center"/>
              <w:rPr>
                <w:rFonts w:ascii="宋体" w:hAnsi="宋体"/>
                <w:b w:val="0"/>
                <w:szCs w:val="21"/>
              </w:rPr>
            </w:pPr>
            <w:r>
              <w:rPr>
                <w:rFonts w:ascii="宋体" w:hAnsi="宋体"/>
                <w:b w:val="0"/>
                <w:szCs w:val="21"/>
              </w:rPr>
              <w:t>铝镁合金粉</w:t>
            </w:r>
          </w:p>
        </w:tc>
        <w:tc>
          <w:tcPr>
            <w:tcW w:w="1865" w:type="dxa"/>
            <w:vAlign w:val="center"/>
          </w:tcPr>
          <w:p w14:paraId="10E7936E">
            <w:pPr>
              <w:jc w:val="center"/>
              <w:rPr>
                <w:rFonts w:ascii="宋体" w:hAnsi="宋体"/>
                <w:b w:val="0"/>
                <w:szCs w:val="21"/>
              </w:rPr>
            </w:pPr>
            <w:r>
              <w:rPr>
                <w:rFonts w:ascii="宋体" w:hAnsi="宋体"/>
                <w:b w:val="0"/>
                <w:szCs w:val="21"/>
              </w:rPr>
              <w:t>50</w:t>
            </w:r>
          </w:p>
        </w:tc>
      </w:tr>
      <w:tr w14:paraId="33B2AA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340278C0">
            <w:pPr>
              <w:jc w:val="center"/>
              <w:rPr>
                <w:rFonts w:ascii="宋体" w:hAnsi="宋体"/>
                <w:b w:val="0"/>
                <w:szCs w:val="21"/>
              </w:rPr>
            </w:pPr>
          </w:p>
        </w:tc>
        <w:tc>
          <w:tcPr>
            <w:tcW w:w="5180" w:type="dxa"/>
            <w:vAlign w:val="center"/>
          </w:tcPr>
          <w:p w14:paraId="5DDF1D23">
            <w:pPr>
              <w:jc w:val="center"/>
              <w:rPr>
                <w:rFonts w:ascii="宋体" w:hAnsi="宋体"/>
                <w:b w:val="0"/>
                <w:szCs w:val="21"/>
              </w:rPr>
            </w:pPr>
            <w:r>
              <w:rPr>
                <w:rFonts w:ascii="宋体" w:hAnsi="宋体"/>
                <w:b w:val="0"/>
                <w:szCs w:val="21"/>
              </w:rPr>
              <w:t>铝粉(又称银粉)、钛粉、赤磷、硫黄</w:t>
            </w:r>
          </w:p>
        </w:tc>
        <w:tc>
          <w:tcPr>
            <w:tcW w:w="1865" w:type="dxa"/>
            <w:vAlign w:val="center"/>
          </w:tcPr>
          <w:p w14:paraId="536DBB2E">
            <w:pPr>
              <w:jc w:val="center"/>
              <w:rPr>
                <w:rFonts w:ascii="宋体" w:hAnsi="宋体"/>
                <w:b w:val="0"/>
                <w:szCs w:val="21"/>
              </w:rPr>
            </w:pPr>
            <w:r>
              <w:rPr>
                <w:rFonts w:ascii="宋体" w:hAnsi="宋体"/>
                <w:b w:val="0"/>
                <w:szCs w:val="21"/>
              </w:rPr>
              <w:t>200</w:t>
            </w:r>
          </w:p>
        </w:tc>
      </w:tr>
      <w:tr w14:paraId="31A02F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Align w:val="center"/>
          </w:tcPr>
          <w:p w14:paraId="6831B1F8">
            <w:pPr>
              <w:jc w:val="center"/>
              <w:rPr>
                <w:rFonts w:ascii="宋体" w:hAnsi="宋体"/>
                <w:b w:val="0"/>
                <w:szCs w:val="21"/>
              </w:rPr>
            </w:pPr>
            <w:r>
              <w:rPr>
                <w:rFonts w:ascii="宋体" w:hAnsi="宋体"/>
                <w:b w:val="0"/>
                <w:szCs w:val="21"/>
              </w:rPr>
              <w:t>有机溶剂</w:t>
            </w:r>
          </w:p>
        </w:tc>
        <w:tc>
          <w:tcPr>
            <w:tcW w:w="5180" w:type="dxa"/>
            <w:vAlign w:val="center"/>
          </w:tcPr>
          <w:p w14:paraId="558578B8">
            <w:pPr>
              <w:jc w:val="center"/>
              <w:rPr>
                <w:rFonts w:ascii="宋体" w:hAnsi="宋体"/>
                <w:b w:val="0"/>
                <w:szCs w:val="21"/>
              </w:rPr>
            </w:pPr>
            <w:r>
              <w:rPr>
                <w:rFonts w:ascii="宋体" w:hAnsi="宋体"/>
                <w:b w:val="0"/>
                <w:szCs w:val="21"/>
              </w:rPr>
              <w:t>乙醇、丙酮</w:t>
            </w:r>
          </w:p>
        </w:tc>
        <w:tc>
          <w:tcPr>
            <w:tcW w:w="1865" w:type="dxa"/>
            <w:vAlign w:val="center"/>
          </w:tcPr>
          <w:p w14:paraId="7C750DD2">
            <w:pPr>
              <w:jc w:val="center"/>
              <w:rPr>
                <w:rFonts w:ascii="宋体" w:hAnsi="宋体"/>
                <w:b w:val="0"/>
                <w:szCs w:val="21"/>
              </w:rPr>
            </w:pPr>
            <w:r>
              <w:rPr>
                <w:rFonts w:ascii="宋体" w:hAnsi="宋体"/>
                <w:b w:val="0"/>
                <w:szCs w:val="21"/>
              </w:rPr>
              <w:t>500</w:t>
            </w:r>
          </w:p>
        </w:tc>
      </w:tr>
      <w:tr w14:paraId="23CFB1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restart"/>
            <w:vAlign w:val="center"/>
          </w:tcPr>
          <w:p w14:paraId="6949E3EF">
            <w:pPr>
              <w:jc w:val="center"/>
              <w:rPr>
                <w:rFonts w:ascii="宋体" w:hAnsi="宋体"/>
                <w:b w:val="0"/>
                <w:szCs w:val="21"/>
              </w:rPr>
            </w:pPr>
            <w:r>
              <w:rPr>
                <w:rFonts w:ascii="宋体" w:hAnsi="宋体"/>
                <w:b w:val="0"/>
                <w:szCs w:val="21"/>
              </w:rPr>
              <w:t>硝化纤维素</w:t>
            </w:r>
          </w:p>
        </w:tc>
        <w:tc>
          <w:tcPr>
            <w:tcW w:w="5180" w:type="dxa"/>
            <w:vAlign w:val="center"/>
          </w:tcPr>
          <w:p w14:paraId="52BA43C1">
            <w:pPr>
              <w:jc w:val="center"/>
              <w:rPr>
                <w:rFonts w:ascii="宋体" w:hAnsi="宋体"/>
                <w:b w:val="0"/>
                <w:szCs w:val="21"/>
              </w:rPr>
            </w:pPr>
            <w:r>
              <w:rPr>
                <w:rFonts w:ascii="宋体" w:hAnsi="宋体"/>
                <w:b w:val="0"/>
                <w:szCs w:val="21"/>
              </w:rPr>
              <w:t>含水或乙醇小于25%</w:t>
            </w:r>
          </w:p>
        </w:tc>
        <w:tc>
          <w:tcPr>
            <w:tcW w:w="1865" w:type="dxa"/>
            <w:vAlign w:val="center"/>
          </w:tcPr>
          <w:p w14:paraId="4EC62D96">
            <w:pPr>
              <w:jc w:val="center"/>
              <w:rPr>
                <w:rFonts w:ascii="宋体" w:hAnsi="宋体"/>
                <w:b w:val="0"/>
                <w:szCs w:val="21"/>
              </w:rPr>
            </w:pPr>
            <w:r>
              <w:rPr>
                <w:rFonts w:ascii="宋体" w:hAnsi="宋体"/>
                <w:b w:val="0"/>
                <w:szCs w:val="21"/>
              </w:rPr>
              <w:t>1</w:t>
            </w:r>
          </w:p>
        </w:tc>
      </w:tr>
      <w:tr w14:paraId="3293B7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71DD402D">
            <w:pPr>
              <w:jc w:val="center"/>
              <w:rPr>
                <w:rFonts w:ascii="宋体" w:hAnsi="宋体"/>
                <w:b w:val="0"/>
                <w:szCs w:val="21"/>
              </w:rPr>
            </w:pPr>
          </w:p>
        </w:tc>
        <w:tc>
          <w:tcPr>
            <w:tcW w:w="5180" w:type="dxa"/>
            <w:vAlign w:val="center"/>
          </w:tcPr>
          <w:p w14:paraId="4FF3F961">
            <w:pPr>
              <w:jc w:val="center"/>
              <w:rPr>
                <w:rFonts w:ascii="宋体" w:hAnsi="宋体"/>
                <w:b w:val="0"/>
                <w:szCs w:val="21"/>
              </w:rPr>
            </w:pPr>
            <w:r>
              <w:rPr>
                <w:rFonts w:ascii="宋体" w:hAnsi="宋体"/>
                <w:b w:val="0"/>
                <w:szCs w:val="21"/>
              </w:rPr>
              <w:t>含乙醇大于等于25%</w:t>
            </w:r>
          </w:p>
        </w:tc>
        <w:tc>
          <w:tcPr>
            <w:tcW w:w="1865" w:type="dxa"/>
            <w:vAlign w:val="center"/>
          </w:tcPr>
          <w:p w14:paraId="5DB2E1F7">
            <w:pPr>
              <w:jc w:val="center"/>
              <w:rPr>
                <w:rFonts w:ascii="宋体" w:hAnsi="宋体"/>
                <w:b w:val="0"/>
                <w:szCs w:val="21"/>
              </w:rPr>
            </w:pPr>
            <w:r>
              <w:rPr>
                <w:rFonts w:ascii="宋体" w:hAnsi="宋体"/>
                <w:b w:val="0"/>
                <w:szCs w:val="21"/>
              </w:rPr>
              <w:t>10</w:t>
            </w:r>
          </w:p>
        </w:tc>
      </w:tr>
      <w:tr w14:paraId="38EF2F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34" w:type="dxa"/>
            <w:vMerge w:val="continue"/>
            <w:vAlign w:val="center"/>
          </w:tcPr>
          <w:p w14:paraId="68019224">
            <w:pPr>
              <w:jc w:val="center"/>
              <w:rPr>
                <w:rFonts w:ascii="宋体" w:hAnsi="宋体"/>
                <w:b w:val="0"/>
                <w:szCs w:val="21"/>
              </w:rPr>
            </w:pPr>
          </w:p>
        </w:tc>
        <w:tc>
          <w:tcPr>
            <w:tcW w:w="5180" w:type="dxa"/>
            <w:vAlign w:val="center"/>
          </w:tcPr>
          <w:p w14:paraId="1F506EC2">
            <w:pPr>
              <w:jc w:val="center"/>
              <w:rPr>
                <w:rFonts w:ascii="宋体" w:hAnsi="宋体"/>
                <w:b w:val="0"/>
                <w:szCs w:val="21"/>
              </w:rPr>
            </w:pPr>
            <w:r>
              <w:rPr>
                <w:rFonts w:ascii="宋体" w:hAnsi="宋体"/>
                <w:b w:val="0"/>
                <w:szCs w:val="21"/>
              </w:rPr>
              <w:t>含氮小于等于12.6%,或含水大于等于25%</w:t>
            </w:r>
          </w:p>
        </w:tc>
        <w:tc>
          <w:tcPr>
            <w:tcW w:w="1865" w:type="dxa"/>
            <w:vAlign w:val="center"/>
          </w:tcPr>
          <w:p w14:paraId="6BB5CFBB">
            <w:pPr>
              <w:jc w:val="center"/>
              <w:rPr>
                <w:rFonts w:ascii="宋体" w:hAnsi="宋体"/>
                <w:b w:val="0"/>
                <w:szCs w:val="21"/>
              </w:rPr>
            </w:pPr>
            <w:r>
              <w:rPr>
                <w:rFonts w:ascii="宋体" w:hAnsi="宋体"/>
                <w:b w:val="0"/>
                <w:szCs w:val="21"/>
              </w:rPr>
              <w:t>50</w:t>
            </w:r>
          </w:p>
        </w:tc>
      </w:tr>
    </w:tbl>
    <w:p w14:paraId="4AF176BD">
      <w:pPr>
        <w:spacing w:before="120" w:beforeLines="50" w:line="360" w:lineRule="auto"/>
        <w:ind w:firstLine="560" w:firstLineChars="200"/>
        <w:rPr>
          <w:rFonts w:ascii="黑体" w:hAnsi="黑体" w:eastAsia="黑体"/>
          <w:b w:val="0"/>
          <w:sz w:val="24"/>
        </w:rPr>
      </w:pPr>
      <w:r>
        <w:rPr>
          <w:rFonts w:hint="eastAsia" w:ascii="宋体" w:hAnsi="宋体"/>
          <w:b w:val="0"/>
          <w:sz w:val="28"/>
          <w:szCs w:val="28"/>
        </w:rPr>
        <w:t xml:space="preserve"> （2）</w:t>
      </w:r>
      <w:r>
        <w:rPr>
          <w:rFonts w:ascii="宋体" w:hAnsi="宋体"/>
          <w:b w:val="0"/>
          <w:sz w:val="28"/>
          <w:szCs w:val="28"/>
        </w:rPr>
        <w:t>生产烟花爆竹用烟火药(含黑火药、单基火药)、引火线的临界量按表2确定。</w:t>
      </w:r>
    </w:p>
    <w:p w14:paraId="2C64FCA4">
      <w:pPr>
        <w:widowControl/>
        <w:jc w:val="center"/>
        <w:rPr>
          <w:rFonts w:ascii="黑体" w:hAnsi="黑体" w:eastAsia="黑体"/>
          <w:b w:val="0"/>
          <w:sz w:val="24"/>
        </w:rPr>
      </w:pPr>
      <w:r>
        <w:rPr>
          <w:rFonts w:hint="eastAsia" w:ascii="黑体" w:hAnsi="黑体" w:eastAsia="黑体"/>
          <w:b w:val="0"/>
          <w:sz w:val="24"/>
        </w:rPr>
        <w:t>表2  烟火药（含黑火药）、引火线临界量</w:t>
      </w:r>
    </w:p>
    <w:tbl>
      <w:tblPr>
        <w:tblStyle w:val="88"/>
        <w:tblW w:w="88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26"/>
        <w:gridCol w:w="5457"/>
        <w:gridCol w:w="1556"/>
      </w:tblGrid>
      <w:tr w14:paraId="4BCFBE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7" w:hRule="atLeast"/>
          <w:tblHeader/>
          <w:jc w:val="center"/>
        </w:trPr>
        <w:tc>
          <w:tcPr>
            <w:tcW w:w="1826" w:type="dxa"/>
            <w:vAlign w:val="center"/>
          </w:tcPr>
          <w:p w14:paraId="393CDA19">
            <w:pPr>
              <w:ind w:right="-65" w:rightChars="-31"/>
              <w:jc w:val="center"/>
              <w:rPr>
                <w:rFonts w:ascii="宋体" w:hAnsi="宋体"/>
                <w:szCs w:val="20"/>
              </w:rPr>
            </w:pPr>
            <w:r>
              <w:rPr>
                <w:rFonts w:ascii="宋体" w:hAnsi="宋体"/>
                <w:szCs w:val="20"/>
              </w:rPr>
              <w:t>种类</w:t>
            </w:r>
          </w:p>
        </w:tc>
        <w:tc>
          <w:tcPr>
            <w:tcW w:w="5457" w:type="dxa"/>
            <w:vAlign w:val="center"/>
          </w:tcPr>
          <w:p w14:paraId="6E87C599">
            <w:pPr>
              <w:ind w:right="-65" w:rightChars="-31"/>
              <w:jc w:val="center"/>
              <w:rPr>
                <w:rFonts w:ascii="宋体" w:hAnsi="宋体"/>
                <w:szCs w:val="20"/>
              </w:rPr>
            </w:pPr>
            <w:r>
              <w:rPr>
                <w:rFonts w:ascii="宋体" w:hAnsi="宋体"/>
                <w:szCs w:val="20"/>
              </w:rPr>
              <w:t>规格(形态)</w:t>
            </w:r>
          </w:p>
        </w:tc>
        <w:tc>
          <w:tcPr>
            <w:tcW w:w="1556" w:type="dxa"/>
            <w:vAlign w:val="center"/>
          </w:tcPr>
          <w:p w14:paraId="69B47A96">
            <w:pPr>
              <w:ind w:right="-65" w:rightChars="-31"/>
              <w:jc w:val="center"/>
              <w:rPr>
                <w:rFonts w:ascii="宋体" w:hAnsi="宋体"/>
                <w:szCs w:val="20"/>
              </w:rPr>
            </w:pPr>
            <w:r>
              <w:rPr>
                <w:rFonts w:ascii="宋体" w:hAnsi="宋体"/>
                <w:szCs w:val="20"/>
              </w:rPr>
              <w:t>临界量</w:t>
            </w:r>
            <w:r>
              <w:rPr>
                <w:rFonts w:hint="eastAsia" w:ascii="宋体" w:hAnsi="宋体"/>
                <w:szCs w:val="20"/>
              </w:rPr>
              <w:t>（吨）</w:t>
            </w:r>
          </w:p>
        </w:tc>
      </w:tr>
      <w:tr w14:paraId="2C7405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Merge w:val="restart"/>
            <w:vAlign w:val="center"/>
          </w:tcPr>
          <w:p w14:paraId="7BB933AE">
            <w:pPr>
              <w:ind w:right="-65" w:rightChars="-31"/>
              <w:jc w:val="center"/>
              <w:rPr>
                <w:rFonts w:ascii="宋体" w:hAnsi="宋体"/>
                <w:b w:val="0"/>
                <w:szCs w:val="20"/>
              </w:rPr>
            </w:pPr>
            <w:r>
              <w:rPr>
                <w:rFonts w:ascii="宋体" w:hAnsi="宋体"/>
                <w:b w:val="0"/>
                <w:szCs w:val="20"/>
              </w:rPr>
              <w:t>烟火药</w:t>
            </w:r>
          </w:p>
        </w:tc>
        <w:tc>
          <w:tcPr>
            <w:tcW w:w="5457" w:type="dxa"/>
            <w:vAlign w:val="center"/>
          </w:tcPr>
          <w:p w14:paraId="0B009C11">
            <w:pPr>
              <w:ind w:right="-65" w:rightChars="-31"/>
              <w:jc w:val="center"/>
              <w:rPr>
                <w:rFonts w:ascii="宋体" w:hAnsi="宋体"/>
                <w:b w:val="0"/>
                <w:szCs w:val="20"/>
              </w:rPr>
            </w:pPr>
            <w:r>
              <w:rPr>
                <w:rFonts w:ascii="宋体" w:hAnsi="宋体"/>
                <w:b w:val="0"/>
                <w:szCs w:val="20"/>
              </w:rPr>
              <w:t>白药爆响药或白药开包药(如爆竹药、双响药、开包药等)</w:t>
            </w:r>
          </w:p>
        </w:tc>
        <w:tc>
          <w:tcPr>
            <w:tcW w:w="1556" w:type="dxa"/>
            <w:vAlign w:val="center"/>
          </w:tcPr>
          <w:p w14:paraId="316FE369">
            <w:pPr>
              <w:ind w:right="-65" w:rightChars="-31"/>
              <w:jc w:val="center"/>
              <w:rPr>
                <w:rFonts w:ascii="宋体" w:hAnsi="宋体"/>
                <w:b w:val="0"/>
                <w:szCs w:val="20"/>
              </w:rPr>
            </w:pPr>
            <w:r>
              <w:rPr>
                <w:rFonts w:ascii="宋体" w:hAnsi="宋体"/>
                <w:b w:val="0"/>
                <w:szCs w:val="20"/>
              </w:rPr>
              <w:t>1</w:t>
            </w:r>
          </w:p>
        </w:tc>
      </w:tr>
      <w:tr w14:paraId="499EC2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Merge w:val="continue"/>
            <w:vAlign w:val="center"/>
          </w:tcPr>
          <w:p w14:paraId="7A065E05">
            <w:pPr>
              <w:ind w:right="-65" w:rightChars="-31"/>
              <w:jc w:val="center"/>
              <w:rPr>
                <w:rFonts w:ascii="宋体" w:hAnsi="宋体"/>
                <w:b w:val="0"/>
                <w:szCs w:val="20"/>
              </w:rPr>
            </w:pPr>
          </w:p>
        </w:tc>
        <w:tc>
          <w:tcPr>
            <w:tcW w:w="5457" w:type="dxa"/>
            <w:vAlign w:val="center"/>
          </w:tcPr>
          <w:p w14:paraId="6151D78E">
            <w:pPr>
              <w:ind w:right="-65" w:rightChars="-31"/>
              <w:jc w:val="center"/>
              <w:rPr>
                <w:rFonts w:ascii="宋体" w:hAnsi="宋体"/>
                <w:b w:val="0"/>
                <w:szCs w:val="20"/>
              </w:rPr>
            </w:pPr>
            <w:r>
              <w:rPr>
                <w:rFonts w:ascii="宋体" w:hAnsi="宋体"/>
                <w:b w:val="0"/>
                <w:szCs w:val="20"/>
              </w:rPr>
              <w:t>其他烟火药</w:t>
            </w:r>
          </w:p>
        </w:tc>
        <w:tc>
          <w:tcPr>
            <w:tcW w:w="1556" w:type="dxa"/>
            <w:vAlign w:val="center"/>
          </w:tcPr>
          <w:p w14:paraId="1BC7589A">
            <w:pPr>
              <w:ind w:right="-65" w:rightChars="-31"/>
              <w:jc w:val="center"/>
              <w:rPr>
                <w:rFonts w:ascii="宋体" w:hAnsi="宋体"/>
                <w:b w:val="0"/>
                <w:szCs w:val="20"/>
              </w:rPr>
            </w:pPr>
            <w:r>
              <w:rPr>
                <w:rFonts w:ascii="宋体" w:hAnsi="宋体"/>
                <w:b w:val="0"/>
                <w:szCs w:val="20"/>
              </w:rPr>
              <w:t>5</w:t>
            </w:r>
          </w:p>
        </w:tc>
      </w:tr>
      <w:tr w14:paraId="7A7736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Align w:val="center"/>
          </w:tcPr>
          <w:p w14:paraId="6A9DFE58">
            <w:pPr>
              <w:ind w:right="-65" w:rightChars="-31"/>
              <w:jc w:val="center"/>
              <w:rPr>
                <w:rFonts w:ascii="宋体" w:hAnsi="宋体"/>
                <w:b w:val="0"/>
                <w:szCs w:val="20"/>
              </w:rPr>
            </w:pPr>
            <w:r>
              <w:rPr>
                <w:rFonts w:ascii="宋体" w:hAnsi="宋体"/>
                <w:b w:val="0"/>
                <w:szCs w:val="20"/>
              </w:rPr>
              <w:t>黑火药</w:t>
            </w:r>
          </w:p>
        </w:tc>
        <w:tc>
          <w:tcPr>
            <w:tcW w:w="5457" w:type="dxa"/>
            <w:vAlign w:val="center"/>
          </w:tcPr>
          <w:p w14:paraId="4A335DF8">
            <w:pPr>
              <w:ind w:right="-65" w:rightChars="-31"/>
              <w:jc w:val="center"/>
              <w:rPr>
                <w:rFonts w:ascii="宋体" w:hAnsi="宋体"/>
                <w:b w:val="0"/>
                <w:szCs w:val="20"/>
              </w:rPr>
            </w:pPr>
            <w:r>
              <w:rPr>
                <w:rFonts w:ascii="宋体" w:hAnsi="宋体"/>
                <w:b w:val="0"/>
                <w:szCs w:val="20"/>
              </w:rPr>
              <w:t>粉状、粒状</w:t>
            </w:r>
          </w:p>
        </w:tc>
        <w:tc>
          <w:tcPr>
            <w:tcW w:w="1556" w:type="dxa"/>
            <w:vAlign w:val="center"/>
          </w:tcPr>
          <w:p w14:paraId="2FA8D16E">
            <w:pPr>
              <w:ind w:right="-65" w:rightChars="-31"/>
              <w:jc w:val="center"/>
              <w:rPr>
                <w:rFonts w:ascii="宋体" w:hAnsi="宋体"/>
                <w:b w:val="0"/>
                <w:szCs w:val="20"/>
              </w:rPr>
            </w:pPr>
            <w:r>
              <w:rPr>
                <w:rFonts w:ascii="宋体" w:hAnsi="宋体"/>
                <w:b w:val="0"/>
                <w:szCs w:val="20"/>
              </w:rPr>
              <w:t>5</w:t>
            </w:r>
          </w:p>
        </w:tc>
      </w:tr>
      <w:tr w14:paraId="52D14A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Merge w:val="restart"/>
            <w:vAlign w:val="center"/>
          </w:tcPr>
          <w:p w14:paraId="4A7BB8F7">
            <w:pPr>
              <w:ind w:right="-65" w:rightChars="-31"/>
              <w:jc w:val="center"/>
              <w:rPr>
                <w:rFonts w:ascii="宋体" w:hAnsi="宋体"/>
                <w:b w:val="0"/>
                <w:szCs w:val="20"/>
              </w:rPr>
            </w:pPr>
            <w:r>
              <w:rPr>
                <w:rFonts w:ascii="宋体" w:hAnsi="宋体"/>
                <w:b w:val="0"/>
                <w:szCs w:val="20"/>
              </w:rPr>
              <w:t>单基火药</w:t>
            </w:r>
          </w:p>
        </w:tc>
        <w:tc>
          <w:tcPr>
            <w:tcW w:w="5457" w:type="dxa"/>
            <w:vAlign w:val="center"/>
          </w:tcPr>
          <w:p w14:paraId="0773C083">
            <w:pPr>
              <w:ind w:right="-65" w:rightChars="-31"/>
              <w:jc w:val="center"/>
              <w:rPr>
                <w:rFonts w:ascii="宋体" w:hAnsi="宋体"/>
                <w:b w:val="0"/>
                <w:szCs w:val="20"/>
              </w:rPr>
            </w:pPr>
            <w:r>
              <w:rPr>
                <w:rFonts w:ascii="宋体" w:hAnsi="宋体"/>
                <w:b w:val="0"/>
                <w:szCs w:val="20"/>
              </w:rPr>
              <w:t>含水或乙醇小于20%</w:t>
            </w:r>
          </w:p>
        </w:tc>
        <w:tc>
          <w:tcPr>
            <w:tcW w:w="1556" w:type="dxa"/>
            <w:vAlign w:val="center"/>
          </w:tcPr>
          <w:p w14:paraId="7EAD20D3">
            <w:pPr>
              <w:ind w:right="-65" w:rightChars="-31"/>
              <w:jc w:val="center"/>
              <w:rPr>
                <w:rFonts w:ascii="宋体" w:hAnsi="宋体"/>
                <w:b w:val="0"/>
                <w:szCs w:val="20"/>
              </w:rPr>
            </w:pPr>
            <w:r>
              <w:rPr>
                <w:rFonts w:ascii="宋体" w:hAnsi="宋体"/>
                <w:b w:val="0"/>
                <w:szCs w:val="20"/>
              </w:rPr>
              <w:t>1</w:t>
            </w:r>
          </w:p>
        </w:tc>
      </w:tr>
      <w:tr w14:paraId="4BA24A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Merge w:val="continue"/>
            <w:vAlign w:val="center"/>
          </w:tcPr>
          <w:p w14:paraId="42259521">
            <w:pPr>
              <w:ind w:right="-65" w:rightChars="-31"/>
              <w:jc w:val="center"/>
              <w:rPr>
                <w:rFonts w:ascii="宋体" w:hAnsi="宋体"/>
                <w:b w:val="0"/>
                <w:szCs w:val="20"/>
              </w:rPr>
            </w:pPr>
          </w:p>
        </w:tc>
        <w:tc>
          <w:tcPr>
            <w:tcW w:w="5457" w:type="dxa"/>
            <w:vAlign w:val="center"/>
          </w:tcPr>
          <w:p w14:paraId="36D6FCA3">
            <w:pPr>
              <w:ind w:right="-65" w:rightChars="-31"/>
              <w:jc w:val="center"/>
              <w:rPr>
                <w:rFonts w:ascii="宋体" w:hAnsi="宋体"/>
                <w:b w:val="0"/>
                <w:szCs w:val="20"/>
              </w:rPr>
            </w:pPr>
            <w:r>
              <w:rPr>
                <w:rFonts w:ascii="宋体" w:hAnsi="宋体"/>
                <w:b w:val="0"/>
                <w:szCs w:val="20"/>
              </w:rPr>
              <w:t>含水或乙醇大于等于20</w:t>
            </w:r>
          </w:p>
        </w:tc>
        <w:tc>
          <w:tcPr>
            <w:tcW w:w="1556" w:type="dxa"/>
            <w:vAlign w:val="center"/>
          </w:tcPr>
          <w:p w14:paraId="70A6D766">
            <w:pPr>
              <w:ind w:right="-65" w:rightChars="-31"/>
              <w:jc w:val="center"/>
              <w:rPr>
                <w:rFonts w:ascii="宋体" w:hAnsi="宋体"/>
                <w:b w:val="0"/>
                <w:szCs w:val="20"/>
              </w:rPr>
            </w:pPr>
            <w:r>
              <w:rPr>
                <w:rFonts w:ascii="宋体" w:hAnsi="宋体"/>
                <w:b w:val="0"/>
                <w:szCs w:val="20"/>
              </w:rPr>
              <w:t>8</w:t>
            </w:r>
          </w:p>
        </w:tc>
      </w:tr>
      <w:tr w14:paraId="137AC9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826" w:type="dxa"/>
            <w:vMerge w:val="restart"/>
            <w:vAlign w:val="center"/>
          </w:tcPr>
          <w:p w14:paraId="2C079687">
            <w:pPr>
              <w:ind w:right="-65" w:rightChars="-31"/>
              <w:jc w:val="center"/>
              <w:rPr>
                <w:rFonts w:ascii="宋体" w:hAnsi="宋体"/>
                <w:b w:val="0"/>
                <w:szCs w:val="20"/>
              </w:rPr>
            </w:pPr>
            <w:r>
              <w:rPr>
                <w:rFonts w:ascii="宋体" w:hAnsi="宋体"/>
                <w:b w:val="0"/>
                <w:szCs w:val="20"/>
              </w:rPr>
              <w:t>引火线</w:t>
            </w:r>
          </w:p>
        </w:tc>
        <w:tc>
          <w:tcPr>
            <w:tcW w:w="5457" w:type="dxa"/>
            <w:vAlign w:val="center"/>
          </w:tcPr>
          <w:p w14:paraId="3A2676A2">
            <w:pPr>
              <w:ind w:right="-65" w:rightChars="-31"/>
              <w:jc w:val="center"/>
              <w:rPr>
                <w:rFonts w:ascii="宋体" w:hAnsi="宋体"/>
                <w:b w:val="0"/>
                <w:szCs w:val="20"/>
              </w:rPr>
            </w:pPr>
            <w:r>
              <w:rPr>
                <w:rFonts w:ascii="宋体" w:hAnsi="宋体"/>
                <w:b w:val="0"/>
                <w:szCs w:val="20"/>
              </w:rPr>
              <w:t>燃速大于等于3.0cm/s的引火线(又称快速引火线)</w:t>
            </w:r>
          </w:p>
        </w:tc>
        <w:tc>
          <w:tcPr>
            <w:tcW w:w="1556" w:type="dxa"/>
            <w:vAlign w:val="center"/>
          </w:tcPr>
          <w:p w14:paraId="70A20A87">
            <w:pPr>
              <w:ind w:right="-65" w:rightChars="-31"/>
              <w:jc w:val="center"/>
              <w:rPr>
                <w:rFonts w:ascii="宋体" w:hAnsi="宋体"/>
                <w:b w:val="0"/>
                <w:szCs w:val="20"/>
              </w:rPr>
            </w:pPr>
            <w:r>
              <w:rPr>
                <w:rFonts w:ascii="宋体" w:hAnsi="宋体"/>
                <w:b w:val="0"/>
                <w:szCs w:val="20"/>
              </w:rPr>
              <w:t>5</w:t>
            </w:r>
          </w:p>
        </w:tc>
      </w:tr>
      <w:tr w14:paraId="56CA0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1826" w:type="dxa"/>
            <w:vMerge w:val="continue"/>
            <w:vAlign w:val="center"/>
          </w:tcPr>
          <w:p w14:paraId="68928D92">
            <w:pPr>
              <w:ind w:right="-65" w:rightChars="-31"/>
              <w:jc w:val="center"/>
              <w:rPr>
                <w:rFonts w:ascii="宋体" w:hAnsi="宋体"/>
                <w:b w:val="0"/>
                <w:szCs w:val="20"/>
              </w:rPr>
            </w:pPr>
          </w:p>
        </w:tc>
        <w:tc>
          <w:tcPr>
            <w:tcW w:w="5457" w:type="dxa"/>
            <w:vAlign w:val="center"/>
          </w:tcPr>
          <w:p w14:paraId="594DFD18">
            <w:pPr>
              <w:ind w:right="-65" w:rightChars="-31"/>
              <w:jc w:val="center"/>
              <w:rPr>
                <w:rFonts w:ascii="宋体" w:hAnsi="宋体"/>
                <w:b w:val="0"/>
                <w:szCs w:val="20"/>
              </w:rPr>
            </w:pPr>
            <w:r>
              <w:rPr>
                <w:rFonts w:ascii="宋体" w:hAnsi="宋体"/>
                <w:b w:val="0"/>
                <w:szCs w:val="20"/>
              </w:rPr>
              <w:t>燃速小于3.0 cm/s的引火线(又称慢速引火线)</w:t>
            </w:r>
          </w:p>
        </w:tc>
        <w:tc>
          <w:tcPr>
            <w:tcW w:w="1556" w:type="dxa"/>
            <w:vAlign w:val="center"/>
          </w:tcPr>
          <w:p w14:paraId="1FF36081">
            <w:pPr>
              <w:ind w:right="-65" w:rightChars="-31"/>
              <w:jc w:val="center"/>
              <w:rPr>
                <w:rFonts w:ascii="宋体" w:hAnsi="宋体"/>
                <w:b w:val="0"/>
                <w:szCs w:val="20"/>
              </w:rPr>
            </w:pPr>
            <w:r>
              <w:rPr>
                <w:rFonts w:ascii="宋体" w:hAnsi="宋体"/>
                <w:b w:val="0"/>
                <w:szCs w:val="20"/>
              </w:rPr>
              <w:t>8</w:t>
            </w:r>
          </w:p>
        </w:tc>
      </w:tr>
    </w:tbl>
    <w:p w14:paraId="1F584FF0">
      <w:pPr>
        <w:spacing w:before="120" w:beforeLines="50" w:line="360" w:lineRule="auto"/>
        <w:ind w:firstLine="560" w:firstLineChars="200"/>
        <w:rPr>
          <w:rFonts w:ascii="宋体" w:hAnsi="宋体"/>
          <w:b w:val="0"/>
          <w:sz w:val="28"/>
          <w:szCs w:val="28"/>
        </w:rPr>
      </w:pPr>
      <w:r>
        <w:rPr>
          <w:rFonts w:hint="eastAsia" w:ascii="宋体" w:hAnsi="宋体"/>
          <w:b w:val="0"/>
          <w:sz w:val="28"/>
          <w:szCs w:val="28"/>
        </w:rPr>
        <w:t xml:space="preserve"> （3）</w:t>
      </w:r>
      <w:r>
        <w:rPr>
          <w:rFonts w:ascii="宋体" w:hAnsi="宋体"/>
          <w:b w:val="0"/>
          <w:sz w:val="28"/>
          <w:szCs w:val="28"/>
        </w:rPr>
        <w:t>烟花爆竹成品和半成品的临界量按表3确定。</w:t>
      </w:r>
    </w:p>
    <w:p w14:paraId="19FF6AC7">
      <w:pPr>
        <w:tabs>
          <w:tab w:val="left" w:pos="900"/>
          <w:tab w:val="left" w:pos="1080"/>
        </w:tabs>
        <w:jc w:val="center"/>
        <w:rPr>
          <w:rFonts w:ascii="黑体" w:hAnsi="黑体" w:eastAsia="黑体"/>
          <w:b w:val="0"/>
          <w:sz w:val="24"/>
        </w:rPr>
      </w:pPr>
      <w:r>
        <w:rPr>
          <w:rFonts w:hint="eastAsia" w:ascii="黑体" w:hAnsi="黑体" w:eastAsia="黑体"/>
          <w:b w:val="0"/>
          <w:sz w:val="24"/>
        </w:rPr>
        <w:t>表3  烟花爆竹成品和半成品临界量</w:t>
      </w:r>
    </w:p>
    <w:tbl>
      <w:tblPr>
        <w:tblStyle w:val="88"/>
        <w:tblW w:w="86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119"/>
        <w:gridCol w:w="1520"/>
      </w:tblGrid>
      <w:tr w14:paraId="459FB3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119" w:type="dxa"/>
            <w:vAlign w:val="center"/>
          </w:tcPr>
          <w:p w14:paraId="76B01DCB">
            <w:pPr>
              <w:ind w:right="-65" w:rightChars="-31"/>
              <w:jc w:val="center"/>
              <w:rPr>
                <w:rFonts w:ascii="宋体" w:hAnsi="宋体"/>
                <w:szCs w:val="20"/>
              </w:rPr>
            </w:pPr>
            <w:r>
              <w:rPr>
                <w:rFonts w:ascii="宋体" w:hAnsi="宋体"/>
                <w:szCs w:val="20"/>
              </w:rPr>
              <w:t>种类</w:t>
            </w:r>
          </w:p>
        </w:tc>
        <w:tc>
          <w:tcPr>
            <w:tcW w:w="1520" w:type="dxa"/>
            <w:vAlign w:val="center"/>
          </w:tcPr>
          <w:p w14:paraId="5D73FC37">
            <w:pPr>
              <w:ind w:right="-65" w:rightChars="-31"/>
              <w:jc w:val="center"/>
              <w:rPr>
                <w:rFonts w:ascii="宋体" w:hAnsi="宋体"/>
                <w:szCs w:val="20"/>
              </w:rPr>
            </w:pPr>
            <w:r>
              <w:rPr>
                <w:rFonts w:ascii="宋体" w:hAnsi="宋体"/>
                <w:szCs w:val="20"/>
              </w:rPr>
              <w:t>临界量</w:t>
            </w:r>
            <w:r>
              <w:rPr>
                <w:rFonts w:hint="eastAsia" w:ascii="宋体" w:hAnsi="宋体"/>
                <w:szCs w:val="20"/>
              </w:rPr>
              <w:t>（吨）</w:t>
            </w:r>
          </w:p>
        </w:tc>
      </w:tr>
      <w:tr w14:paraId="0C4733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43" w:hRule="atLeast"/>
          <w:jc w:val="center"/>
        </w:trPr>
        <w:tc>
          <w:tcPr>
            <w:tcW w:w="7119" w:type="dxa"/>
            <w:vAlign w:val="center"/>
          </w:tcPr>
          <w:p w14:paraId="1AB26610">
            <w:pPr>
              <w:ind w:right="-65" w:rightChars="-31"/>
              <w:jc w:val="center"/>
              <w:rPr>
                <w:rFonts w:ascii="宋体" w:hAnsi="宋体"/>
                <w:b w:val="0"/>
                <w:szCs w:val="20"/>
              </w:rPr>
            </w:pPr>
            <w:r>
              <w:rPr>
                <w:rFonts w:ascii="宋体" w:hAnsi="宋体"/>
                <w:b w:val="0"/>
                <w:szCs w:val="20"/>
              </w:rPr>
              <w:t>含雷弹的礼花弹成品及其半成品；</w:t>
            </w:r>
          </w:p>
          <w:p w14:paraId="49024004">
            <w:pPr>
              <w:ind w:right="-65" w:rightChars="-31"/>
              <w:jc w:val="center"/>
              <w:rPr>
                <w:rFonts w:ascii="宋体" w:hAnsi="宋体"/>
                <w:b w:val="0"/>
                <w:szCs w:val="20"/>
              </w:rPr>
            </w:pPr>
            <w:r>
              <w:rPr>
                <w:rFonts w:ascii="宋体" w:hAnsi="宋体"/>
                <w:b w:val="0"/>
                <w:szCs w:val="20"/>
              </w:rPr>
              <w:t>7号及以上礼花弹成品及其半成品；</w:t>
            </w:r>
          </w:p>
          <w:p w14:paraId="765EA8E0">
            <w:pPr>
              <w:ind w:right="-65" w:rightChars="-31"/>
              <w:jc w:val="center"/>
              <w:rPr>
                <w:rFonts w:ascii="宋体" w:hAnsi="宋体"/>
                <w:b w:val="0"/>
                <w:szCs w:val="20"/>
              </w:rPr>
            </w:pPr>
            <w:r>
              <w:rPr>
                <w:rFonts w:ascii="宋体" w:hAnsi="宋体"/>
                <w:b w:val="0"/>
                <w:szCs w:val="20"/>
              </w:rPr>
              <w:t>白药开包药大于7g的小礼花类、组合烟花类成品及其半成品</w:t>
            </w:r>
          </w:p>
        </w:tc>
        <w:tc>
          <w:tcPr>
            <w:tcW w:w="1520" w:type="dxa"/>
            <w:vAlign w:val="center"/>
          </w:tcPr>
          <w:p w14:paraId="288187E5">
            <w:pPr>
              <w:ind w:right="-65" w:rightChars="-31"/>
              <w:jc w:val="center"/>
              <w:rPr>
                <w:rFonts w:ascii="宋体" w:hAnsi="宋体"/>
                <w:b w:val="0"/>
                <w:szCs w:val="20"/>
              </w:rPr>
            </w:pPr>
            <w:r>
              <w:rPr>
                <w:rFonts w:ascii="宋体" w:hAnsi="宋体"/>
                <w:b w:val="0"/>
                <w:szCs w:val="20"/>
              </w:rPr>
              <w:t>1</w:t>
            </w:r>
          </w:p>
        </w:tc>
      </w:tr>
      <w:tr w14:paraId="7197C8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564" w:hRule="atLeast"/>
          <w:jc w:val="center"/>
        </w:trPr>
        <w:tc>
          <w:tcPr>
            <w:tcW w:w="7119" w:type="dxa"/>
            <w:vAlign w:val="center"/>
          </w:tcPr>
          <w:p w14:paraId="227DA7C1">
            <w:pPr>
              <w:ind w:right="-65" w:rightChars="-31"/>
              <w:jc w:val="center"/>
              <w:rPr>
                <w:rFonts w:ascii="宋体" w:hAnsi="宋体"/>
                <w:b w:val="0"/>
                <w:szCs w:val="20"/>
              </w:rPr>
            </w:pPr>
            <w:r>
              <w:rPr>
                <w:rFonts w:ascii="宋体" w:hAnsi="宋体"/>
                <w:b w:val="0"/>
                <w:szCs w:val="20"/>
              </w:rPr>
              <w:t>6号及以下礼花弹成品及其半成品；</w:t>
            </w:r>
          </w:p>
          <w:p w14:paraId="49995587">
            <w:pPr>
              <w:ind w:right="-65" w:rightChars="-31"/>
              <w:jc w:val="center"/>
              <w:rPr>
                <w:rFonts w:ascii="宋体" w:hAnsi="宋体"/>
                <w:b w:val="0"/>
                <w:szCs w:val="20"/>
              </w:rPr>
            </w:pPr>
            <w:r>
              <w:rPr>
                <w:rFonts w:ascii="宋体" w:hAnsi="宋体"/>
                <w:b w:val="0"/>
                <w:szCs w:val="20"/>
              </w:rPr>
              <w:t>除雷弹外的其他效果内筒；</w:t>
            </w:r>
          </w:p>
          <w:p w14:paraId="1A7301A6">
            <w:pPr>
              <w:ind w:right="-65" w:rightChars="-31"/>
              <w:jc w:val="center"/>
              <w:rPr>
                <w:rFonts w:ascii="宋体" w:hAnsi="宋体"/>
                <w:b w:val="0"/>
                <w:szCs w:val="20"/>
              </w:rPr>
            </w:pPr>
            <w:r>
              <w:rPr>
                <w:rFonts w:ascii="宋体" w:hAnsi="宋体"/>
                <w:b w:val="0"/>
                <w:szCs w:val="20"/>
              </w:rPr>
              <w:t>白药开包药小于等于7g且大于个人燃放类中组合烟花类、小礼花类最大白药开包药药量的小礼花类、组合烟花类成品及其半成品；</w:t>
            </w:r>
          </w:p>
          <w:p w14:paraId="4912FC78">
            <w:pPr>
              <w:ind w:right="-65" w:rightChars="-31"/>
              <w:jc w:val="center"/>
              <w:rPr>
                <w:rFonts w:ascii="宋体" w:hAnsi="宋体"/>
                <w:b w:val="0"/>
                <w:szCs w:val="20"/>
              </w:rPr>
            </w:pPr>
            <w:r>
              <w:rPr>
                <w:rFonts w:ascii="宋体" w:hAnsi="宋体"/>
                <w:b w:val="0"/>
                <w:szCs w:val="20"/>
              </w:rPr>
              <w:t>双响成品及其半成品</w:t>
            </w:r>
          </w:p>
        </w:tc>
        <w:tc>
          <w:tcPr>
            <w:tcW w:w="1520" w:type="dxa"/>
            <w:vAlign w:val="center"/>
          </w:tcPr>
          <w:p w14:paraId="786C6626">
            <w:pPr>
              <w:ind w:right="-65" w:rightChars="-31"/>
              <w:jc w:val="center"/>
              <w:rPr>
                <w:rFonts w:ascii="宋体" w:hAnsi="宋体"/>
                <w:b w:val="0"/>
                <w:szCs w:val="20"/>
              </w:rPr>
            </w:pPr>
            <w:r>
              <w:rPr>
                <w:rFonts w:ascii="宋体" w:hAnsi="宋体"/>
                <w:b w:val="0"/>
                <w:szCs w:val="20"/>
              </w:rPr>
              <w:t>5</w:t>
            </w:r>
          </w:p>
        </w:tc>
      </w:tr>
      <w:tr w14:paraId="1C6EDD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7119" w:type="dxa"/>
            <w:vAlign w:val="center"/>
          </w:tcPr>
          <w:p w14:paraId="67010F36">
            <w:pPr>
              <w:ind w:right="-65" w:rightChars="-31"/>
              <w:jc w:val="center"/>
              <w:rPr>
                <w:rFonts w:ascii="宋体" w:hAnsi="宋体"/>
                <w:b w:val="0"/>
                <w:szCs w:val="20"/>
              </w:rPr>
            </w:pPr>
            <w:r>
              <w:rPr>
                <w:rFonts w:ascii="宋体" w:hAnsi="宋体"/>
                <w:b w:val="0"/>
                <w:szCs w:val="20"/>
              </w:rPr>
              <w:t>单个爆竹白药药量超过0.14g的结鞭爆竹及其半成品；</w:t>
            </w:r>
          </w:p>
          <w:p w14:paraId="2EB1777D">
            <w:pPr>
              <w:ind w:right="-65" w:rightChars="-31"/>
              <w:jc w:val="center"/>
              <w:rPr>
                <w:rFonts w:ascii="宋体" w:hAnsi="宋体"/>
                <w:b w:val="0"/>
                <w:szCs w:val="20"/>
              </w:rPr>
            </w:pPr>
            <w:r>
              <w:rPr>
                <w:rFonts w:ascii="宋体" w:hAnsi="宋体"/>
                <w:b w:val="0"/>
                <w:szCs w:val="20"/>
              </w:rPr>
              <w:t>单个爆竹黑药药量超过1g的结鞭爆竹及其半成品</w:t>
            </w:r>
          </w:p>
        </w:tc>
        <w:tc>
          <w:tcPr>
            <w:tcW w:w="1520" w:type="dxa"/>
            <w:vAlign w:val="center"/>
          </w:tcPr>
          <w:p w14:paraId="6941CD53">
            <w:pPr>
              <w:ind w:right="-65" w:rightChars="-31"/>
              <w:jc w:val="center"/>
              <w:rPr>
                <w:rFonts w:ascii="宋体" w:hAnsi="宋体"/>
                <w:b w:val="0"/>
                <w:szCs w:val="20"/>
              </w:rPr>
            </w:pPr>
            <w:r>
              <w:rPr>
                <w:rFonts w:ascii="宋体" w:hAnsi="宋体"/>
                <w:b w:val="0"/>
                <w:szCs w:val="20"/>
              </w:rPr>
              <w:t>10</w:t>
            </w:r>
          </w:p>
        </w:tc>
      </w:tr>
      <w:tr w14:paraId="68248E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77" w:hRule="atLeast"/>
          <w:jc w:val="center"/>
        </w:trPr>
        <w:tc>
          <w:tcPr>
            <w:tcW w:w="7119" w:type="dxa"/>
            <w:vAlign w:val="center"/>
          </w:tcPr>
          <w:p w14:paraId="64462D63">
            <w:pPr>
              <w:ind w:right="-65" w:rightChars="-31"/>
              <w:jc w:val="center"/>
              <w:rPr>
                <w:rFonts w:ascii="宋体" w:hAnsi="宋体"/>
                <w:b w:val="0"/>
                <w:szCs w:val="20"/>
              </w:rPr>
            </w:pPr>
            <w:r>
              <w:rPr>
                <w:rFonts w:ascii="宋体" w:hAnsi="宋体"/>
                <w:b w:val="0"/>
                <w:szCs w:val="20"/>
              </w:rPr>
              <w:t>个人燃放类组合烟花及其半成品；</w:t>
            </w:r>
          </w:p>
          <w:p w14:paraId="734814F0">
            <w:pPr>
              <w:ind w:right="-65" w:rightChars="-31"/>
              <w:jc w:val="center"/>
              <w:rPr>
                <w:rFonts w:ascii="宋体" w:hAnsi="宋体"/>
                <w:b w:val="0"/>
                <w:szCs w:val="20"/>
              </w:rPr>
            </w:pPr>
            <w:r>
              <w:rPr>
                <w:rFonts w:ascii="宋体" w:hAnsi="宋体"/>
                <w:b w:val="0"/>
                <w:szCs w:val="20"/>
              </w:rPr>
              <w:t>单个爆竹白药药量小于等于0.14g的结鞭爆竹及其半成品，单个爆竹黑药药量小于等于 1g的结鞭爆竹及其半成品</w:t>
            </w:r>
          </w:p>
        </w:tc>
        <w:tc>
          <w:tcPr>
            <w:tcW w:w="1520" w:type="dxa"/>
            <w:vAlign w:val="center"/>
          </w:tcPr>
          <w:p w14:paraId="2F58438F">
            <w:pPr>
              <w:ind w:right="-65" w:rightChars="-31"/>
              <w:jc w:val="center"/>
              <w:rPr>
                <w:rFonts w:ascii="宋体" w:hAnsi="宋体"/>
                <w:b w:val="0"/>
                <w:szCs w:val="20"/>
              </w:rPr>
            </w:pPr>
            <w:r>
              <w:rPr>
                <w:rFonts w:ascii="宋体" w:hAnsi="宋体"/>
                <w:b w:val="0"/>
                <w:szCs w:val="20"/>
              </w:rPr>
              <w:t>50</w:t>
            </w:r>
          </w:p>
        </w:tc>
      </w:tr>
    </w:tbl>
    <w:p w14:paraId="5D8B1878">
      <w:pPr>
        <w:spacing w:line="360" w:lineRule="auto"/>
        <w:ind w:firstLine="396" w:firstLineChars="200"/>
        <w:rPr>
          <w:rFonts w:ascii="宋体" w:hAnsi="宋体"/>
          <w:b w:val="0"/>
          <w:spacing w:val="-6"/>
          <w:sz w:val="28"/>
          <w:szCs w:val="28"/>
        </w:rPr>
      </w:pPr>
      <w:r>
        <w:rPr>
          <w:rFonts w:hint="eastAsia" w:ascii="宋体" w:hAnsi="宋体"/>
          <w:b w:val="0"/>
          <w:snapToGrid w:val="0"/>
          <w:spacing w:val="-6"/>
          <w:szCs w:val="21"/>
        </w:rPr>
        <w:t>注：</w:t>
      </w:r>
      <w:r>
        <w:rPr>
          <w:rFonts w:ascii="宋体" w:hAnsi="宋体"/>
          <w:b w:val="0"/>
          <w:snapToGrid w:val="0"/>
          <w:spacing w:val="-6"/>
          <w:szCs w:val="21"/>
        </w:rPr>
        <w:t>表3中未规定临界量的，A 级烟花爆竹成品的临界量为</w:t>
      </w:r>
      <w:r>
        <w:rPr>
          <w:rFonts w:hint="eastAsia" w:ascii="宋体" w:hAnsi="宋体"/>
          <w:b w:val="0"/>
          <w:snapToGrid w:val="0"/>
          <w:spacing w:val="-6"/>
          <w:szCs w:val="21"/>
        </w:rPr>
        <w:t>5</w:t>
      </w:r>
      <w:r>
        <w:rPr>
          <w:rFonts w:ascii="宋体" w:hAnsi="宋体"/>
          <w:b w:val="0"/>
          <w:snapToGrid w:val="0"/>
          <w:spacing w:val="-6"/>
          <w:szCs w:val="21"/>
        </w:rPr>
        <w:t>t,B级烟花爆竹成品的临界量为10t,C级和D级烟花爆竹成品的临界量为50t。烟花爆竹半成品参照同一级别的烟花爆竹成品确定临界量。</w:t>
      </w:r>
    </w:p>
    <w:p w14:paraId="3C36AAA8">
      <w:pPr>
        <w:spacing w:before="120" w:beforeLines="50" w:line="360" w:lineRule="auto"/>
        <w:outlineLvl w:val="2"/>
        <w:rPr>
          <w:rFonts w:ascii="黑体" w:hAnsi="黑体" w:eastAsia="黑体"/>
          <w:b w:val="0"/>
          <w:sz w:val="30"/>
          <w:szCs w:val="30"/>
        </w:rPr>
      </w:pPr>
      <w:bookmarkStart w:id="322" w:name="_Toc181194072"/>
      <w:bookmarkStart w:id="323" w:name="_Toc173077665"/>
      <w:bookmarkStart w:id="324" w:name="_Toc141114274"/>
      <w:bookmarkStart w:id="325" w:name="_Toc141368185"/>
      <w:bookmarkStart w:id="326" w:name="_Toc145275199"/>
      <w:bookmarkStart w:id="327" w:name="_Toc148036994"/>
      <w:bookmarkStart w:id="328" w:name="_Toc144559735"/>
      <w:r>
        <w:rPr>
          <w:rFonts w:hint="eastAsia" w:ascii="黑体" w:hAnsi="黑体" w:eastAsia="黑体"/>
          <w:b w:val="0"/>
          <w:sz w:val="30"/>
          <w:szCs w:val="30"/>
        </w:rPr>
        <w:t>3.</w:t>
      </w:r>
      <w:r>
        <w:rPr>
          <w:rFonts w:ascii="黑体" w:hAnsi="黑体" w:eastAsia="黑体"/>
          <w:b w:val="0"/>
          <w:sz w:val="30"/>
          <w:szCs w:val="30"/>
        </w:rPr>
        <w:t>5</w:t>
      </w:r>
      <w:r>
        <w:rPr>
          <w:rFonts w:hint="eastAsia" w:ascii="黑体" w:hAnsi="黑体" w:eastAsia="黑体"/>
          <w:b w:val="0"/>
          <w:sz w:val="30"/>
          <w:szCs w:val="30"/>
        </w:rPr>
        <w:t>.3</w:t>
      </w:r>
      <w:r>
        <w:rPr>
          <w:rFonts w:ascii="黑体" w:hAnsi="黑体" w:eastAsia="黑体"/>
          <w:b w:val="0"/>
          <w:sz w:val="30"/>
          <w:szCs w:val="30"/>
        </w:rPr>
        <w:t xml:space="preserve"> </w:t>
      </w:r>
      <w:r>
        <w:rPr>
          <w:rFonts w:hint="eastAsia" w:ascii="黑体" w:hAnsi="黑体" w:eastAsia="黑体"/>
          <w:b w:val="0"/>
          <w:sz w:val="30"/>
          <w:szCs w:val="30"/>
        </w:rPr>
        <w:t>烟花爆竹重大危险源辨识</w:t>
      </w:r>
      <w:bookmarkEnd w:id="322"/>
      <w:bookmarkEnd w:id="323"/>
      <w:bookmarkEnd w:id="324"/>
      <w:bookmarkEnd w:id="325"/>
      <w:bookmarkEnd w:id="326"/>
      <w:bookmarkEnd w:id="327"/>
      <w:bookmarkEnd w:id="328"/>
    </w:p>
    <w:p w14:paraId="183DBA90">
      <w:pPr>
        <w:spacing w:line="360" w:lineRule="auto"/>
        <w:ind w:firstLine="560" w:firstLineChars="200"/>
        <w:rPr>
          <w:rFonts w:ascii="宋体" w:hAnsi="宋体"/>
          <w:b w:val="0"/>
          <w:sz w:val="28"/>
          <w:szCs w:val="28"/>
        </w:rPr>
      </w:pPr>
      <w:r>
        <w:rPr>
          <w:rFonts w:hint="eastAsia" w:ascii="宋体" w:hAnsi="宋体"/>
          <w:b w:val="0"/>
          <w:sz w:val="28"/>
          <w:szCs w:val="28"/>
        </w:rPr>
        <w:t>本项目根据设计的储存量进行烟花爆竹重大危险源辨识，相关数据列于下表3.</w:t>
      </w:r>
      <w:r>
        <w:rPr>
          <w:rFonts w:ascii="宋体" w:hAnsi="宋体"/>
          <w:b w:val="0"/>
          <w:sz w:val="28"/>
          <w:szCs w:val="28"/>
        </w:rPr>
        <w:t>5</w:t>
      </w:r>
      <w:r>
        <w:rPr>
          <w:rFonts w:hint="eastAsia" w:ascii="宋体" w:hAnsi="宋体"/>
          <w:b w:val="0"/>
          <w:sz w:val="28"/>
          <w:szCs w:val="28"/>
        </w:rPr>
        <w:t>-1中。</w:t>
      </w:r>
    </w:p>
    <w:p w14:paraId="132ADD63">
      <w:pPr>
        <w:jc w:val="center"/>
        <w:rPr>
          <w:rFonts w:ascii="黑体" w:hAnsi="黑体" w:eastAsia="黑体"/>
          <w:b w:val="0"/>
          <w:sz w:val="24"/>
        </w:rPr>
      </w:pPr>
      <w:r>
        <w:rPr>
          <w:rFonts w:hint="eastAsia" w:ascii="黑体" w:hAnsi="黑体" w:eastAsia="黑体"/>
          <w:b w:val="0"/>
          <w:sz w:val="24"/>
        </w:rPr>
        <w:t>表3</w:t>
      </w:r>
      <w:r>
        <w:rPr>
          <w:rFonts w:ascii="黑体" w:hAnsi="黑体" w:eastAsia="黑体"/>
          <w:b w:val="0"/>
          <w:sz w:val="24"/>
        </w:rPr>
        <w:t>.5-</w:t>
      </w:r>
      <w:r>
        <w:rPr>
          <w:rFonts w:hint="eastAsia" w:ascii="黑体" w:hAnsi="黑体" w:eastAsia="黑体"/>
          <w:b w:val="0"/>
          <w:sz w:val="24"/>
        </w:rPr>
        <w:t>1 烟花爆竹重大危险源辨识</w:t>
      </w:r>
    </w:p>
    <w:tbl>
      <w:tblPr>
        <w:tblStyle w:val="88"/>
        <w:tblW w:w="91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Layout w:type="fixed"/>
        <w:tblCellMar>
          <w:top w:w="0" w:type="dxa"/>
          <w:left w:w="108" w:type="dxa"/>
          <w:bottom w:w="0" w:type="dxa"/>
          <w:right w:w="108" w:type="dxa"/>
        </w:tblCellMar>
      </w:tblPr>
      <w:tblGrid>
        <w:gridCol w:w="1098"/>
        <w:gridCol w:w="895"/>
        <w:gridCol w:w="1687"/>
        <w:gridCol w:w="1427"/>
        <w:gridCol w:w="1360"/>
        <w:gridCol w:w="2691"/>
      </w:tblGrid>
      <w:tr w14:paraId="7E3AA4A7">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531" w:hRule="atLeast"/>
          <w:tblHeader/>
          <w:jc w:val="center"/>
        </w:trPr>
        <w:tc>
          <w:tcPr>
            <w:tcW w:w="1098" w:type="dxa"/>
            <w:vAlign w:val="center"/>
          </w:tcPr>
          <w:p w14:paraId="6E7BE5D8">
            <w:pPr>
              <w:adjustRightInd w:val="0"/>
              <w:snapToGrid w:val="0"/>
              <w:jc w:val="center"/>
              <w:rPr>
                <w:rFonts w:ascii="宋体" w:hAnsi="宋体"/>
                <w:bCs/>
                <w:szCs w:val="21"/>
              </w:rPr>
            </w:pPr>
            <w:r>
              <w:rPr>
                <w:rFonts w:hint="eastAsia" w:ascii="宋体" w:hAnsi="宋体"/>
                <w:szCs w:val="21"/>
              </w:rPr>
              <w:t>辨识单元</w:t>
            </w:r>
          </w:p>
        </w:tc>
        <w:tc>
          <w:tcPr>
            <w:tcW w:w="2582" w:type="dxa"/>
            <w:gridSpan w:val="2"/>
            <w:vAlign w:val="center"/>
          </w:tcPr>
          <w:p w14:paraId="222D893B">
            <w:pPr>
              <w:adjustRightInd w:val="0"/>
              <w:snapToGrid w:val="0"/>
              <w:ind w:left="-107" w:leftChars="-51"/>
              <w:jc w:val="center"/>
              <w:rPr>
                <w:rFonts w:ascii="宋体" w:hAnsi="宋体"/>
                <w:bCs/>
                <w:szCs w:val="21"/>
              </w:rPr>
            </w:pPr>
            <w:r>
              <w:rPr>
                <w:rFonts w:hint="eastAsia" w:ascii="宋体" w:hAnsi="宋体"/>
                <w:bCs/>
                <w:szCs w:val="21"/>
              </w:rPr>
              <w:t>单元名称</w:t>
            </w:r>
          </w:p>
        </w:tc>
        <w:tc>
          <w:tcPr>
            <w:tcW w:w="1427" w:type="dxa"/>
            <w:vAlign w:val="center"/>
          </w:tcPr>
          <w:p w14:paraId="47F6565A">
            <w:pPr>
              <w:adjustRightInd w:val="0"/>
              <w:snapToGrid w:val="0"/>
              <w:jc w:val="center"/>
              <w:rPr>
                <w:rFonts w:ascii="宋体" w:hAnsi="宋体"/>
                <w:bCs/>
                <w:szCs w:val="21"/>
              </w:rPr>
            </w:pPr>
            <w:r>
              <w:rPr>
                <w:rFonts w:hint="eastAsia" w:ascii="宋体" w:hAnsi="宋体"/>
                <w:szCs w:val="21"/>
              </w:rPr>
              <w:t>单个</w:t>
            </w:r>
            <w:r>
              <w:rPr>
                <w:rFonts w:ascii="宋体" w:hAnsi="宋体"/>
                <w:szCs w:val="21"/>
              </w:rPr>
              <w:t>工房最大储存量</w:t>
            </w:r>
            <w:r>
              <w:rPr>
                <w:rFonts w:hint="eastAsia" w:ascii="宋体" w:hAnsi="宋体"/>
                <w:szCs w:val="21"/>
              </w:rPr>
              <w:t>(t)</w:t>
            </w:r>
          </w:p>
        </w:tc>
        <w:tc>
          <w:tcPr>
            <w:tcW w:w="1360" w:type="dxa"/>
            <w:vAlign w:val="center"/>
          </w:tcPr>
          <w:p w14:paraId="505BA432">
            <w:pPr>
              <w:adjustRightInd w:val="0"/>
              <w:snapToGrid w:val="0"/>
              <w:jc w:val="center"/>
              <w:rPr>
                <w:rFonts w:ascii="宋体" w:hAnsi="宋体"/>
                <w:bCs/>
                <w:szCs w:val="21"/>
              </w:rPr>
            </w:pPr>
            <w:r>
              <w:rPr>
                <w:rFonts w:ascii="宋体" w:hAnsi="宋体"/>
                <w:bCs/>
                <w:szCs w:val="21"/>
              </w:rPr>
              <w:t>标准规定</w:t>
            </w:r>
          </w:p>
          <w:p w14:paraId="66B6E269">
            <w:pPr>
              <w:adjustRightInd w:val="0"/>
              <w:snapToGrid w:val="0"/>
              <w:jc w:val="center"/>
              <w:rPr>
                <w:rFonts w:ascii="宋体" w:hAnsi="宋体"/>
                <w:bCs/>
                <w:szCs w:val="21"/>
              </w:rPr>
            </w:pPr>
            <w:r>
              <w:rPr>
                <w:rFonts w:ascii="宋体" w:hAnsi="宋体"/>
                <w:bCs/>
                <w:szCs w:val="21"/>
              </w:rPr>
              <w:t>临界量</w:t>
            </w:r>
            <w:r>
              <w:rPr>
                <w:rFonts w:hint="eastAsia" w:ascii="宋体" w:hAnsi="宋体"/>
                <w:szCs w:val="21"/>
              </w:rPr>
              <w:t>(t)</w:t>
            </w:r>
          </w:p>
        </w:tc>
        <w:tc>
          <w:tcPr>
            <w:tcW w:w="2691" w:type="dxa"/>
            <w:vAlign w:val="center"/>
          </w:tcPr>
          <w:p w14:paraId="1118C498">
            <w:pPr>
              <w:adjustRightInd w:val="0"/>
              <w:snapToGrid w:val="0"/>
              <w:jc w:val="center"/>
              <w:rPr>
                <w:rFonts w:ascii="宋体" w:hAnsi="宋体"/>
                <w:bCs/>
                <w:szCs w:val="21"/>
              </w:rPr>
            </w:pPr>
            <w:r>
              <w:rPr>
                <w:rFonts w:ascii="宋体" w:hAnsi="宋体"/>
                <w:bCs/>
                <w:szCs w:val="21"/>
              </w:rPr>
              <w:t>S=q</w:t>
            </w:r>
            <w:r>
              <w:rPr>
                <w:rFonts w:ascii="宋体" w:hAnsi="宋体"/>
                <w:bCs/>
                <w:szCs w:val="21"/>
                <w:vertAlign w:val="subscript"/>
              </w:rPr>
              <w:t>1</w:t>
            </w:r>
            <w:r>
              <w:rPr>
                <w:rFonts w:ascii="宋体" w:hAnsi="宋体"/>
                <w:bCs/>
                <w:szCs w:val="21"/>
              </w:rPr>
              <w:t>/Q</w:t>
            </w:r>
            <w:r>
              <w:rPr>
                <w:rFonts w:hint="eastAsia" w:ascii="宋体" w:hAnsi="宋体"/>
                <w:bCs/>
                <w:szCs w:val="21"/>
                <w:vertAlign w:val="subscript"/>
              </w:rPr>
              <w:t>1</w:t>
            </w:r>
            <w:r>
              <w:rPr>
                <w:rFonts w:ascii="宋体" w:hAnsi="宋体"/>
                <w:bCs/>
                <w:szCs w:val="21"/>
              </w:rPr>
              <w:t>+q</w:t>
            </w:r>
            <w:r>
              <w:rPr>
                <w:rFonts w:ascii="宋体" w:hAnsi="宋体"/>
                <w:bCs/>
                <w:szCs w:val="21"/>
                <w:vertAlign w:val="subscript"/>
              </w:rPr>
              <w:t>2</w:t>
            </w:r>
            <w:r>
              <w:rPr>
                <w:rFonts w:ascii="宋体" w:hAnsi="宋体"/>
                <w:bCs/>
                <w:szCs w:val="21"/>
              </w:rPr>
              <w:t>/Q</w:t>
            </w:r>
            <w:r>
              <w:rPr>
                <w:rFonts w:ascii="宋体" w:hAnsi="宋体"/>
                <w:bCs/>
                <w:szCs w:val="21"/>
                <w:vertAlign w:val="subscript"/>
              </w:rPr>
              <w:t>2</w:t>
            </w:r>
            <w:r>
              <w:rPr>
                <w:rFonts w:ascii="宋体" w:hAnsi="宋体"/>
                <w:bCs/>
                <w:szCs w:val="21"/>
              </w:rPr>
              <w:t>+…+ q</w:t>
            </w:r>
            <w:r>
              <w:rPr>
                <w:rFonts w:ascii="宋体" w:hAnsi="宋体"/>
                <w:bCs/>
                <w:szCs w:val="21"/>
                <w:vertAlign w:val="subscript"/>
              </w:rPr>
              <w:t>n</w:t>
            </w:r>
            <w:r>
              <w:rPr>
                <w:rFonts w:ascii="宋体" w:hAnsi="宋体"/>
                <w:bCs/>
                <w:szCs w:val="21"/>
              </w:rPr>
              <w:t>/Q</w:t>
            </w:r>
            <w:r>
              <w:rPr>
                <w:rFonts w:ascii="宋体" w:hAnsi="宋体"/>
                <w:bCs/>
                <w:szCs w:val="21"/>
                <w:vertAlign w:val="subscript"/>
              </w:rPr>
              <w:t>n</w:t>
            </w:r>
          </w:p>
        </w:tc>
      </w:tr>
      <w:tr w14:paraId="5B1C22EE">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restart"/>
            <w:vAlign w:val="center"/>
          </w:tcPr>
          <w:p w14:paraId="2ACB85AB">
            <w:pPr>
              <w:adjustRightInd w:val="0"/>
              <w:snapToGrid w:val="0"/>
              <w:jc w:val="center"/>
              <w:rPr>
                <w:rFonts w:ascii="宋体" w:hAnsi="宋体"/>
                <w:b w:val="0"/>
                <w:szCs w:val="21"/>
              </w:rPr>
            </w:pPr>
            <w:r>
              <w:rPr>
                <w:rFonts w:hint="eastAsia" w:ascii="宋体" w:hAnsi="宋体"/>
                <w:b w:val="0"/>
                <w:szCs w:val="21"/>
              </w:rPr>
              <w:t>生产单元</w:t>
            </w:r>
          </w:p>
        </w:tc>
        <w:tc>
          <w:tcPr>
            <w:tcW w:w="2582" w:type="dxa"/>
            <w:gridSpan w:val="2"/>
            <w:vAlign w:val="center"/>
          </w:tcPr>
          <w:p w14:paraId="5CD3B348">
            <w:pPr>
              <w:adjustRightInd w:val="0"/>
              <w:snapToGrid w:val="0"/>
              <w:ind w:left="-107" w:leftChars="-51"/>
              <w:jc w:val="center"/>
              <w:rPr>
                <w:rFonts w:ascii="宋体" w:hAnsi="宋体"/>
                <w:b w:val="0"/>
                <w:szCs w:val="21"/>
              </w:rPr>
            </w:pPr>
            <w:r>
              <w:rPr>
                <w:rFonts w:hint="eastAsia" w:ascii="宋体" w:hAnsi="宋体"/>
                <w:b w:val="0"/>
                <w:szCs w:val="21"/>
              </w:rPr>
              <w:t>1</w:t>
            </w:r>
            <w:r>
              <w:rPr>
                <w:rFonts w:ascii="宋体" w:hAnsi="宋体"/>
                <w:b w:val="0"/>
                <w:szCs w:val="21"/>
              </w:rPr>
              <w:t>0#</w:t>
            </w:r>
            <w:r>
              <w:rPr>
                <w:rFonts w:hint="eastAsia" w:ascii="宋体" w:hAnsi="宋体"/>
                <w:b w:val="0"/>
                <w:szCs w:val="21"/>
              </w:rPr>
              <w:t>硝酸钾粉中转</w:t>
            </w:r>
          </w:p>
        </w:tc>
        <w:tc>
          <w:tcPr>
            <w:tcW w:w="1427" w:type="dxa"/>
            <w:vAlign w:val="center"/>
          </w:tcPr>
          <w:p w14:paraId="4091B9E8">
            <w:pPr>
              <w:adjustRightInd w:val="0"/>
              <w:snapToGrid w:val="0"/>
              <w:jc w:val="center"/>
              <w:rPr>
                <w:rFonts w:ascii="宋体" w:hAnsi="宋体"/>
                <w:b w:val="0"/>
                <w:szCs w:val="21"/>
              </w:rPr>
            </w:pPr>
            <w:r>
              <w:rPr>
                <w:rFonts w:hint="eastAsia" w:ascii="宋体" w:hAnsi="宋体"/>
                <w:b w:val="0"/>
                <w:szCs w:val="21"/>
              </w:rPr>
              <w:t>0</w:t>
            </w:r>
            <w:r>
              <w:rPr>
                <w:rFonts w:ascii="宋体" w:hAnsi="宋体"/>
                <w:b w:val="0"/>
                <w:szCs w:val="21"/>
              </w:rPr>
              <w:t>.6</w:t>
            </w:r>
          </w:p>
        </w:tc>
        <w:tc>
          <w:tcPr>
            <w:tcW w:w="1360" w:type="dxa"/>
            <w:vAlign w:val="center"/>
          </w:tcPr>
          <w:p w14:paraId="3195D093">
            <w:pPr>
              <w:adjustRightInd w:val="0"/>
              <w:snapToGrid w:val="0"/>
              <w:jc w:val="center"/>
              <w:rPr>
                <w:rFonts w:ascii="宋体" w:hAnsi="宋体"/>
                <w:b w:val="0"/>
                <w:szCs w:val="21"/>
              </w:rPr>
            </w:pPr>
            <w:r>
              <w:rPr>
                <w:rFonts w:hint="eastAsia" w:ascii="宋体" w:hAnsi="宋体"/>
                <w:b w:val="0"/>
                <w:szCs w:val="21"/>
              </w:rPr>
              <w:t>1</w:t>
            </w:r>
            <w:r>
              <w:rPr>
                <w:rFonts w:ascii="宋体" w:hAnsi="宋体"/>
                <w:b w:val="0"/>
                <w:szCs w:val="21"/>
              </w:rPr>
              <w:t>000</w:t>
            </w:r>
          </w:p>
        </w:tc>
        <w:tc>
          <w:tcPr>
            <w:tcW w:w="2691" w:type="dxa"/>
            <w:vAlign w:val="center"/>
          </w:tcPr>
          <w:p w14:paraId="5B6F6254">
            <w:pPr>
              <w:jc w:val="center"/>
              <w:rPr>
                <w:rFonts w:ascii="宋体" w:hAnsi="宋体"/>
                <w:b w:val="0"/>
                <w:szCs w:val="21"/>
              </w:rPr>
            </w:pPr>
            <w:r>
              <w:rPr>
                <w:rFonts w:hint="eastAsia" w:ascii="宋体" w:hAnsi="宋体"/>
                <w:b w:val="0"/>
                <w:szCs w:val="21"/>
              </w:rPr>
              <w:t>0.</w:t>
            </w:r>
            <w:r>
              <w:rPr>
                <w:rFonts w:ascii="宋体" w:hAnsi="宋体"/>
                <w:b w:val="0"/>
                <w:szCs w:val="21"/>
              </w:rPr>
              <w:t>6</w:t>
            </w:r>
            <w:r>
              <w:rPr>
                <w:rFonts w:hint="eastAsia" w:ascii="宋体" w:hAnsi="宋体"/>
                <w:b w:val="0"/>
                <w:szCs w:val="21"/>
              </w:rPr>
              <w:t>/</w:t>
            </w:r>
            <w:r>
              <w:rPr>
                <w:rFonts w:ascii="宋体" w:hAnsi="宋体"/>
                <w:b w:val="0"/>
                <w:szCs w:val="21"/>
              </w:rPr>
              <w:t>1000=0.0006</w:t>
            </w:r>
            <w:r>
              <w:rPr>
                <w:rFonts w:hint="eastAsia" w:ascii="宋体" w:hAnsi="宋体"/>
                <w:b w:val="0"/>
                <w:szCs w:val="21"/>
              </w:rPr>
              <w:t>＜1</w:t>
            </w:r>
          </w:p>
        </w:tc>
      </w:tr>
      <w:tr w14:paraId="71D72DCB">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6174EC4F">
            <w:pPr>
              <w:adjustRightInd w:val="0"/>
              <w:snapToGrid w:val="0"/>
              <w:jc w:val="center"/>
              <w:rPr>
                <w:rFonts w:ascii="宋体" w:hAnsi="宋体"/>
                <w:b w:val="0"/>
                <w:szCs w:val="21"/>
              </w:rPr>
            </w:pPr>
          </w:p>
        </w:tc>
        <w:tc>
          <w:tcPr>
            <w:tcW w:w="2582" w:type="dxa"/>
            <w:gridSpan w:val="2"/>
            <w:vAlign w:val="center"/>
          </w:tcPr>
          <w:p w14:paraId="5D9A8976">
            <w:pPr>
              <w:adjustRightInd w:val="0"/>
              <w:snapToGrid w:val="0"/>
              <w:ind w:left="-107" w:leftChars="-51"/>
              <w:jc w:val="center"/>
              <w:rPr>
                <w:rFonts w:ascii="宋体" w:hAnsi="宋体"/>
                <w:b w:val="0"/>
                <w:szCs w:val="21"/>
              </w:rPr>
            </w:pPr>
            <w:r>
              <w:rPr>
                <w:rFonts w:hint="eastAsia" w:ascii="宋体" w:hAnsi="宋体"/>
                <w:b w:val="0"/>
                <w:szCs w:val="21"/>
              </w:rPr>
              <w:t>1</w:t>
            </w:r>
            <w:r>
              <w:rPr>
                <w:rFonts w:ascii="宋体" w:hAnsi="宋体"/>
                <w:b w:val="0"/>
                <w:szCs w:val="21"/>
              </w:rPr>
              <w:t>9#</w:t>
            </w:r>
            <w:r>
              <w:rPr>
                <w:rFonts w:hint="eastAsia" w:ascii="宋体" w:hAnsi="宋体"/>
                <w:b w:val="0"/>
                <w:szCs w:val="21"/>
              </w:rPr>
              <w:t>原材料中转</w:t>
            </w:r>
          </w:p>
        </w:tc>
        <w:tc>
          <w:tcPr>
            <w:tcW w:w="1427" w:type="dxa"/>
            <w:vAlign w:val="center"/>
          </w:tcPr>
          <w:p w14:paraId="0C9849E3">
            <w:pPr>
              <w:adjustRightInd w:val="0"/>
              <w:snapToGrid w:val="0"/>
              <w:jc w:val="center"/>
              <w:rPr>
                <w:rFonts w:ascii="宋体" w:hAnsi="宋体"/>
                <w:b w:val="0"/>
                <w:szCs w:val="21"/>
              </w:rPr>
            </w:pPr>
            <w:r>
              <w:rPr>
                <w:rFonts w:hint="eastAsia" w:ascii="宋体" w:hAnsi="宋体"/>
                <w:b w:val="0"/>
                <w:szCs w:val="21"/>
              </w:rPr>
              <w:t>2</w:t>
            </w:r>
          </w:p>
        </w:tc>
        <w:tc>
          <w:tcPr>
            <w:tcW w:w="1360" w:type="dxa"/>
            <w:vAlign w:val="center"/>
          </w:tcPr>
          <w:p w14:paraId="49575105">
            <w:pPr>
              <w:adjustRightInd w:val="0"/>
              <w:snapToGrid w:val="0"/>
              <w:jc w:val="center"/>
              <w:rPr>
                <w:rFonts w:ascii="宋体" w:hAnsi="宋体"/>
                <w:b w:val="0"/>
                <w:szCs w:val="21"/>
              </w:rPr>
            </w:pPr>
            <w:r>
              <w:rPr>
                <w:rFonts w:hint="eastAsia" w:ascii="宋体" w:hAnsi="宋体"/>
                <w:b w:val="0"/>
                <w:szCs w:val="21"/>
              </w:rPr>
              <w:t>2</w:t>
            </w:r>
            <w:r>
              <w:rPr>
                <w:rFonts w:ascii="宋体" w:hAnsi="宋体"/>
                <w:b w:val="0"/>
                <w:szCs w:val="21"/>
              </w:rPr>
              <w:t>00</w:t>
            </w:r>
          </w:p>
        </w:tc>
        <w:tc>
          <w:tcPr>
            <w:tcW w:w="2691" w:type="dxa"/>
            <w:vAlign w:val="center"/>
          </w:tcPr>
          <w:p w14:paraId="35CC1890">
            <w:pPr>
              <w:jc w:val="center"/>
              <w:rPr>
                <w:rFonts w:ascii="宋体" w:hAnsi="宋体"/>
                <w:b w:val="0"/>
                <w:szCs w:val="21"/>
              </w:rPr>
            </w:pPr>
            <w:r>
              <w:rPr>
                <w:rFonts w:ascii="宋体" w:hAnsi="宋体"/>
                <w:b w:val="0"/>
                <w:szCs w:val="21"/>
              </w:rPr>
              <w:t>2</w:t>
            </w:r>
            <w:r>
              <w:rPr>
                <w:rFonts w:hint="eastAsia" w:ascii="宋体" w:hAnsi="宋体"/>
                <w:b w:val="0"/>
                <w:szCs w:val="21"/>
              </w:rPr>
              <w:t>/</w:t>
            </w:r>
            <w:r>
              <w:rPr>
                <w:rFonts w:ascii="宋体" w:hAnsi="宋体"/>
                <w:b w:val="0"/>
                <w:szCs w:val="21"/>
              </w:rPr>
              <w:t>200=0.01</w:t>
            </w:r>
            <w:r>
              <w:rPr>
                <w:rFonts w:hint="eastAsia" w:ascii="宋体" w:hAnsi="宋体"/>
                <w:b w:val="0"/>
                <w:szCs w:val="21"/>
              </w:rPr>
              <w:t>＜1</w:t>
            </w:r>
          </w:p>
        </w:tc>
      </w:tr>
      <w:tr w14:paraId="095D01D0">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6704AAA6">
            <w:pPr>
              <w:adjustRightInd w:val="0"/>
              <w:snapToGrid w:val="0"/>
              <w:jc w:val="center"/>
              <w:rPr>
                <w:rFonts w:ascii="宋体" w:hAnsi="宋体"/>
                <w:b w:val="0"/>
                <w:szCs w:val="21"/>
              </w:rPr>
            </w:pPr>
          </w:p>
        </w:tc>
        <w:tc>
          <w:tcPr>
            <w:tcW w:w="2582" w:type="dxa"/>
            <w:gridSpan w:val="2"/>
            <w:vAlign w:val="center"/>
          </w:tcPr>
          <w:p w14:paraId="39137D58">
            <w:pPr>
              <w:adjustRightInd w:val="0"/>
              <w:snapToGrid w:val="0"/>
              <w:ind w:left="-107" w:leftChars="-51"/>
              <w:jc w:val="center"/>
              <w:rPr>
                <w:rFonts w:ascii="宋体" w:hAnsi="宋体"/>
                <w:b w:val="0"/>
                <w:szCs w:val="21"/>
              </w:rPr>
            </w:pPr>
            <w:r>
              <w:rPr>
                <w:rFonts w:ascii="宋体" w:hAnsi="宋体"/>
                <w:b w:val="0"/>
                <w:szCs w:val="21"/>
              </w:rPr>
              <w:t>69#</w:t>
            </w:r>
            <w:r>
              <w:rPr>
                <w:rFonts w:hint="eastAsia" w:ascii="宋体" w:hAnsi="宋体"/>
                <w:b w:val="0"/>
                <w:szCs w:val="21"/>
              </w:rPr>
              <w:t>原材料中转</w:t>
            </w:r>
          </w:p>
        </w:tc>
        <w:tc>
          <w:tcPr>
            <w:tcW w:w="1427" w:type="dxa"/>
            <w:vAlign w:val="center"/>
          </w:tcPr>
          <w:p w14:paraId="3BBC670B">
            <w:pPr>
              <w:adjustRightInd w:val="0"/>
              <w:snapToGrid w:val="0"/>
              <w:jc w:val="center"/>
              <w:rPr>
                <w:rFonts w:ascii="宋体" w:hAnsi="宋体"/>
                <w:b w:val="0"/>
                <w:szCs w:val="21"/>
              </w:rPr>
            </w:pPr>
            <w:r>
              <w:rPr>
                <w:rFonts w:hint="eastAsia" w:ascii="宋体" w:hAnsi="宋体"/>
                <w:b w:val="0"/>
                <w:szCs w:val="21"/>
              </w:rPr>
              <w:t>2</w:t>
            </w:r>
          </w:p>
        </w:tc>
        <w:tc>
          <w:tcPr>
            <w:tcW w:w="1360" w:type="dxa"/>
            <w:vAlign w:val="center"/>
          </w:tcPr>
          <w:p w14:paraId="45C9F52D">
            <w:pPr>
              <w:adjustRightInd w:val="0"/>
              <w:snapToGrid w:val="0"/>
              <w:jc w:val="center"/>
              <w:rPr>
                <w:rFonts w:ascii="宋体" w:hAnsi="宋体"/>
                <w:b w:val="0"/>
                <w:szCs w:val="21"/>
              </w:rPr>
            </w:pPr>
            <w:r>
              <w:rPr>
                <w:rFonts w:hint="eastAsia" w:ascii="宋体" w:hAnsi="宋体"/>
                <w:b w:val="0"/>
                <w:szCs w:val="21"/>
              </w:rPr>
              <w:t>2</w:t>
            </w:r>
            <w:r>
              <w:rPr>
                <w:rFonts w:ascii="宋体" w:hAnsi="宋体"/>
                <w:b w:val="0"/>
                <w:szCs w:val="21"/>
              </w:rPr>
              <w:t>00</w:t>
            </w:r>
          </w:p>
        </w:tc>
        <w:tc>
          <w:tcPr>
            <w:tcW w:w="2691" w:type="dxa"/>
            <w:vAlign w:val="center"/>
          </w:tcPr>
          <w:p w14:paraId="6FCF9391">
            <w:pPr>
              <w:jc w:val="center"/>
              <w:rPr>
                <w:rFonts w:ascii="宋体" w:hAnsi="宋体"/>
                <w:b w:val="0"/>
                <w:szCs w:val="21"/>
              </w:rPr>
            </w:pPr>
            <w:r>
              <w:rPr>
                <w:rFonts w:ascii="宋体" w:hAnsi="宋体"/>
                <w:b w:val="0"/>
                <w:szCs w:val="21"/>
              </w:rPr>
              <w:t>2</w:t>
            </w:r>
            <w:r>
              <w:rPr>
                <w:rFonts w:hint="eastAsia" w:ascii="宋体" w:hAnsi="宋体"/>
                <w:b w:val="0"/>
                <w:szCs w:val="21"/>
              </w:rPr>
              <w:t>/</w:t>
            </w:r>
            <w:r>
              <w:rPr>
                <w:rFonts w:ascii="宋体" w:hAnsi="宋体"/>
                <w:b w:val="0"/>
                <w:szCs w:val="21"/>
              </w:rPr>
              <w:t>200=0.01</w:t>
            </w:r>
            <w:r>
              <w:rPr>
                <w:rFonts w:hint="eastAsia" w:ascii="宋体" w:hAnsi="宋体"/>
                <w:b w:val="0"/>
                <w:szCs w:val="21"/>
              </w:rPr>
              <w:t>＜1</w:t>
            </w:r>
          </w:p>
        </w:tc>
      </w:tr>
      <w:tr w14:paraId="290C2818">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501B3DD6">
            <w:pPr>
              <w:adjustRightInd w:val="0"/>
              <w:snapToGrid w:val="0"/>
              <w:jc w:val="center"/>
              <w:rPr>
                <w:rFonts w:ascii="宋体" w:hAnsi="宋体"/>
                <w:b w:val="0"/>
                <w:szCs w:val="21"/>
              </w:rPr>
            </w:pPr>
          </w:p>
        </w:tc>
        <w:tc>
          <w:tcPr>
            <w:tcW w:w="2582" w:type="dxa"/>
            <w:gridSpan w:val="2"/>
            <w:vAlign w:val="center"/>
          </w:tcPr>
          <w:p w14:paraId="40201A33">
            <w:pPr>
              <w:adjustRightInd w:val="0"/>
              <w:snapToGrid w:val="0"/>
              <w:ind w:left="-107" w:leftChars="-51"/>
              <w:jc w:val="center"/>
              <w:rPr>
                <w:rFonts w:ascii="宋体" w:hAnsi="宋体"/>
                <w:b w:val="0"/>
                <w:szCs w:val="21"/>
              </w:rPr>
            </w:pPr>
            <w:r>
              <w:rPr>
                <w:rFonts w:hint="eastAsia" w:ascii="宋体" w:hAnsi="宋体"/>
                <w:b w:val="0"/>
                <w:szCs w:val="21"/>
              </w:rPr>
              <w:t>2</w:t>
            </w:r>
            <w:r>
              <w:rPr>
                <w:rFonts w:ascii="宋体" w:hAnsi="宋体"/>
                <w:b w:val="0"/>
                <w:szCs w:val="21"/>
              </w:rPr>
              <w:t>7#</w:t>
            </w:r>
            <w:r>
              <w:rPr>
                <w:rFonts w:hint="eastAsia" w:ascii="宋体" w:hAnsi="宋体"/>
                <w:b w:val="0"/>
                <w:szCs w:val="21"/>
              </w:rPr>
              <w:t>制片中转</w:t>
            </w:r>
          </w:p>
        </w:tc>
        <w:tc>
          <w:tcPr>
            <w:tcW w:w="1427" w:type="dxa"/>
            <w:vAlign w:val="center"/>
          </w:tcPr>
          <w:p w14:paraId="2A9A001A">
            <w:pPr>
              <w:adjustRightInd w:val="0"/>
              <w:snapToGrid w:val="0"/>
              <w:jc w:val="center"/>
              <w:rPr>
                <w:rFonts w:ascii="宋体" w:hAnsi="宋体"/>
                <w:b w:val="0"/>
                <w:szCs w:val="21"/>
              </w:rPr>
            </w:pPr>
            <w:r>
              <w:rPr>
                <w:rFonts w:hint="eastAsia" w:ascii="宋体" w:hAnsi="宋体"/>
                <w:b w:val="0"/>
                <w:szCs w:val="21"/>
              </w:rPr>
              <w:t>0</w:t>
            </w:r>
            <w:r>
              <w:rPr>
                <w:rFonts w:ascii="宋体" w:hAnsi="宋体"/>
                <w:b w:val="0"/>
                <w:szCs w:val="21"/>
              </w:rPr>
              <w:t>.5</w:t>
            </w:r>
          </w:p>
        </w:tc>
        <w:tc>
          <w:tcPr>
            <w:tcW w:w="1360" w:type="dxa"/>
            <w:vAlign w:val="center"/>
          </w:tcPr>
          <w:p w14:paraId="7102BCA9">
            <w:pPr>
              <w:adjustRightInd w:val="0"/>
              <w:snapToGrid w:val="0"/>
              <w:jc w:val="center"/>
              <w:rPr>
                <w:rFonts w:ascii="宋体" w:hAnsi="宋体"/>
                <w:b w:val="0"/>
                <w:szCs w:val="21"/>
              </w:rPr>
            </w:pPr>
            <w:r>
              <w:rPr>
                <w:rFonts w:hint="eastAsia" w:ascii="宋体" w:hAnsi="宋体"/>
                <w:b w:val="0"/>
                <w:szCs w:val="21"/>
              </w:rPr>
              <w:t>5</w:t>
            </w:r>
          </w:p>
        </w:tc>
        <w:tc>
          <w:tcPr>
            <w:tcW w:w="2691" w:type="dxa"/>
            <w:vAlign w:val="center"/>
          </w:tcPr>
          <w:p w14:paraId="110C89B9">
            <w:pPr>
              <w:jc w:val="center"/>
              <w:rPr>
                <w:rFonts w:ascii="宋体" w:hAnsi="宋体"/>
                <w:b w:val="0"/>
                <w:szCs w:val="21"/>
              </w:rPr>
            </w:pPr>
            <w:r>
              <w:rPr>
                <w:rFonts w:hint="eastAsia" w:ascii="宋体" w:hAnsi="宋体"/>
                <w:b w:val="0"/>
                <w:szCs w:val="21"/>
              </w:rPr>
              <w:t>0</w:t>
            </w:r>
            <w:r>
              <w:rPr>
                <w:rFonts w:ascii="宋体" w:hAnsi="宋体"/>
                <w:b w:val="0"/>
                <w:szCs w:val="21"/>
              </w:rPr>
              <w:t>.5/5=0.1</w:t>
            </w:r>
            <w:r>
              <w:rPr>
                <w:rFonts w:hint="eastAsia" w:ascii="宋体" w:hAnsi="宋体"/>
                <w:b w:val="0"/>
                <w:szCs w:val="21"/>
              </w:rPr>
              <w:t>＜1</w:t>
            </w:r>
          </w:p>
        </w:tc>
      </w:tr>
      <w:tr w14:paraId="4FECFE90">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526AE8CD">
            <w:pPr>
              <w:adjustRightInd w:val="0"/>
              <w:snapToGrid w:val="0"/>
              <w:jc w:val="center"/>
              <w:rPr>
                <w:rFonts w:ascii="宋体" w:hAnsi="宋体"/>
                <w:b w:val="0"/>
                <w:szCs w:val="21"/>
              </w:rPr>
            </w:pPr>
          </w:p>
        </w:tc>
        <w:tc>
          <w:tcPr>
            <w:tcW w:w="2582" w:type="dxa"/>
            <w:gridSpan w:val="2"/>
            <w:vAlign w:val="center"/>
          </w:tcPr>
          <w:p w14:paraId="6A71D045">
            <w:pPr>
              <w:adjustRightInd w:val="0"/>
              <w:snapToGrid w:val="0"/>
              <w:ind w:left="-107" w:leftChars="-51"/>
              <w:jc w:val="center"/>
              <w:rPr>
                <w:rFonts w:ascii="宋体" w:hAnsi="宋体"/>
                <w:b w:val="0"/>
                <w:szCs w:val="21"/>
              </w:rPr>
            </w:pPr>
            <w:r>
              <w:rPr>
                <w:rFonts w:hint="eastAsia" w:ascii="宋体" w:hAnsi="宋体"/>
                <w:b w:val="0"/>
                <w:szCs w:val="21"/>
              </w:rPr>
              <w:t>3</w:t>
            </w:r>
            <w:r>
              <w:rPr>
                <w:rFonts w:ascii="宋体" w:hAnsi="宋体"/>
                <w:b w:val="0"/>
                <w:szCs w:val="21"/>
              </w:rPr>
              <w:t>5#</w:t>
            </w:r>
            <w:r>
              <w:rPr>
                <w:rFonts w:hint="eastAsia" w:ascii="宋体" w:hAnsi="宋体"/>
                <w:b w:val="0"/>
                <w:szCs w:val="21"/>
              </w:rPr>
              <w:t>凉片</w:t>
            </w:r>
          </w:p>
        </w:tc>
        <w:tc>
          <w:tcPr>
            <w:tcW w:w="1427" w:type="dxa"/>
            <w:vAlign w:val="center"/>
          </w:tcPr>
          <w:p w14:paraId="2B4FD211">
            <w:pPr>
              <w:adjustRightInd w:val="0"/>
              <w:snapToGrid w:val="0"/>
              <w:jc w:val="center"/>
              <w:rPr>
                <w:rFonts w:ascii="宋体" w:hAnsi="宋体"/>
                <w:b w:val="0"/>
                <w:szCs w:val="21"/>
              </w:rPr>
            </w:pPr>
            <w:r>
              <w:rPr>
                <w:rFonts w:hint="eastAsia" w:ascii="宋体" w:hAnsi="宋体"/>
                <w:b w:val="0"/>
                <w:szCs w:val="21"/>
              </w:rPr>
              <w:t>0</w:t>
            </w:r>
            <w:r>
              <w:rPr>
                <w:rFonts w:ascii="宋体" w:hAnsi="宋体"/>
                <w:b w:val="0"/>
                <w:szCs w:val="21"/>
              </w:rPr>
              <w:t>.8</w:t>
            </w:r>
          </w:p>
        </w:tc>
        <w:tc>
          <w:tcPr>
            <w:tcW w:w="1360" w:type="dxa"/>
            <w:vAlign w:val="center"/>
          </w:tcPr>
          <w:p w14:paraId="303A9857">
            <w:pPr>
              <w:adjustRightInd w:val="0"/>
              <w:snapToGrid w:val="0"/>
              <w:jc w:val="center"/>
              <w:rPr>
                <w:rFonts w:ascii="宋体" w:hAnsi="宋体"/>
                <w:b w:val="0"/>
                <w:szCs w:val="21"/>
              </w:rPr>
            </w:pPr>
            <w:r>
              <w:rPr>
                <w:rFonts w:hint="eastAsia" w:ascii="宋体" w:hAnsi="宋体"/>
                <w:b w:val="0"/>
                <w:szCs w:val="21"/>
              </w:rPr>
              <w:t>5</w:t>
            </w:r>
          </w:p>
        </w:tc>
        <w:tc>
          <w:tcPr>
            <w:tcW w:w="2691" w:type="dxa"/>
            <w:vAlign w:val="center"/>
          </w:tcPr>
          <w:p w14:paraId="52F303FE">
            <w:pPr>
              <w:jc w:val="center"/>
              <w:rPr>
                <w:rFonts w:ascii="宋体" w:hAnsi="宋体"/>
                <w:b w:val="0"/>
                <w:szCs w:val="21"/>
              </w:rPr>
            </w:pPr>
            <w:r>
              <w:rPr>
                <w:rFonts w:hint="eastAsia" w:ascii="宋体" w:hAnsi="宋体"/>
                <w:b w:val="0"/>
                <w:szCs w:val="21"/>
              </w:rPr>
              <w:t>0</w:t>
            </w:r>
            <w:r>
              <w:rPr>
                <w:rFonts w:ascii="宋体" w:hAnsi="宋体"/>
                <w:b w:val="0"/>
                <w:szCs w:val="21"/>
              </w:rPr>
              <w:t>.8/5=0.16</w:t>
            </w:r>
            <w:r>
              <w:rPr>
                <w:rFonts w:hint="eastAsia" w:ascii="宋体" w:hAnsi="宋体"/>
                <w:b w:val="0"/>
                <w:szCs w:val="21"/>
              </w:rPr>
              <w:t>＜1</w:t>
            </w:r>
          </w:p>
        </w:tc>
      </w:tr>
      <w:tr w14:paraId="622F2ED3">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51EECB9A">
            <w:pPr>
              <w:adjustRightInd w:val="0"/>
              <w:snapToGrid w:val="0"/>
              <w:jc w:val="center"/>
              <w:rPr>
                <w:rFonts w:ascii="宋体" w:hAnsi="宋体"/>
                <w:b w:val="0"/>
                <w:szCs w:val="21"/>
              </w:rPr>
            </w:pPr>
          </w:p>
        </w:tc>
        <w:tc>
          <w:tcPr>
            <w:tcW w:w="2582" w:type="dxa"/>
            <w:gridSpan w:val="2"/>
            <w:vAlign w:val="center"/>
          </w:tcPr>
          <w:p w14:paraId="5105C55C">
            <w:pPr>
              <w:adjustRightInd w:val="0"/>
              <w:snapToGrid w:val="0"/>
              <w:ind w:left="-107" w:leftChars="-51"/>
              <w:jc w:val="center"/>
              <w:rPr>
                <w:rFonts w:ascii="宋体" w:hAnsi="宋体"/>
                <w:b w:val="0"/>
                <w:szCs w:val="21"/>
              </w:rPr>
            </w:pPr>
            <w:r>
              <w:rPr>
                <w:rFonts w:hint="eastAsia" w:ascii="宋体" w:hAnsi="宋体"/>
                <w:b w:val="0"/>
                <w:szCs w:val="21"/>
              </w:rPr>
              <w:t>1</w:t>
            </w:r>
            <w:r>
              <w:rPr>
                <w:rFonts w:ascii="宋体" w:hAnsi="宋体"/>
                <w:b w:val="0"/>
                <w:szCs w:val="21"/>
              </w:rPr>
              <w:t>04#</w:t>
            </w:r>
            <w:r>
              <w:rPr>
                <w:rFonts w:hint="eastAsia" w:ascii="宋体" w:hAnsi="宋体"/>
                <w:b w:val="0"/>
                <w:szCs w:val="21"/>
              </w:rPr>
              <w:t>包装中转</w:t>
            </w:r>
          </w:p>
        </w:tc>
        <w:tc>
          <w:tcPr>
            <w:tcW w:w="1427" w:type="dxa"/>
            <w:vAlign w:val="center"/>
          </w:tcPr>
          <w:p w14:paraId="65714245">
            <w:pPr>
              <w:adjustRightInd w:val="0"/>
              <w:snapToGrid w:val="0"/>
              <w:jc w:val="center"/>
              <w:rPr>
                <w:rFonts w:ascii="宋体" w:hAnsi="宋体"/>
                <w:b w:val="0"/>
                <w:szCs w:val="21"/>
              </w:rPr>
            </w:pPr>
            <w:r>
              <w:rPr>
                <w:rFonts w:hint="eastAsia" w:ascii="宋体" w:hAnsi="宋体"/>
                <w:b w:val="0"/>
                <w:szCs w:val="21"/>
              </w:rPr>
              <w:t>0</w:t>
            </w:r>
            <w:r>
              <w:rPr>
                <w:rFonts w:ascii="宋体" w:hAnsi="宋体"/>
                <w:b w:val="0"/>
                <w:szCs w:val="21"/>
              </w:rPr>
              <w:t>.5</w:t>
            </w:r>
          </w:p>
        </w:tc>
        <w:tc>
          <w:tcPr>
            <w:tcW w:w="1360" w:type="dxa"/>
            <w:vAlign w:val="center"/>
          </w:tcPr>
          <w:p w14:paraId="450847D4">
            <w:pPr>
              <w:adjustRightInd w:val="0"/>
              <w:snapToGrid w:val="0"/>
              <w:jc w:val="center"/>
              <w:rPr>
                <w:rFonts w:ascii="宋体" w:hAnsi="宋体"/>
                <w:b w:val="0"/>
                <w:szCs w:val="21"/>
              </w:rPr>
            </w:pPr>
            <w:r>
              <w:rPr>
                <w:rFonts w:hint="eastAsia" w:ascii="宋体" w:hAnsi="宋体"/>
                <w:b w:val="0"/>
                <w:szCs w:val="21"/>
              </w:rPr>
              <w:t>5</w:t>
            </w:r>
          </w:p>
        </w:tc>
        <w:tc>
          <w:tcPr>
            <w:tcW w:w="2691" w:type="dxa"/>
            <w:vAlign w:val="center"/>
          </w:tcPr>
          <w:p w14:paraId="69B86608">
            <w:pPr>
              <w:jc w:val="center"/>
              <w:rPr>
                <w:rFonts w:ascii="宋体" w:hAnsi="宋体"/>
                <w:b w:val="0"/>
                <w:szCs w:val="21"/>
              </w:rPr>
            </w:pPr>
            <w:r>
              <w:rPr>
                <w:rFonts w:hint="eastAsia" w:ascii="宋体" w:hAnsi="宋体"/>
                <w:b w:val="0"/>
                <w:szCs w:val="21"/>
              </w:rPr>
              <w:t>0</w:t>
            </w:r>
            <w:r>
              <w:rPr>
                <w:rFonts w:ascii="宋体" w:hAnsi="宋体"/>
                <w:b w:val="0"/>
                <w:szCs w:val="21"/>
              </w:rPr>
              <w:t>.5/5=0.1</w:t>
            </w:r>
            <w:r>
              <w:rPr>
                <w:rFonts w:hint="eastAsia" w:ascii="宋体" w:hAnsi="宋体"/>
                <w:b w:val="0"/>
                <w:szCs w:val="21"/>
              </w:rPr>
              <w:t>＜1</w:t>
            </w:r>
          </w:p>
        </w:tc>
      </w:tr>
      <w:tr w14:paraId="7B1C09C1">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restart"/>
            <w:vAlign w:val="center"/>
          </w:tcPr>
          <w:p w14:paraId="47244066">
            <w:pPr>
              <w:adjustRightInd w:val="0"/>
              <w:snapToGrid w:val="0"/>
              <w:ind w:left="-8" w:leftChars="-4"/>
              <w:jc w:val="center"/>
              <w:rPr>
                <w:rFonts w:ascii="宋体" w:hAnsi="宋体"/>
                <w:b w:val="0"/>
                <w:szCs w:val="21"/>
              </w:rPr>
            </w:pPr>
            <w:r>
              <w:rPr>
                <w:rFonts w:hint="eastAsia" w:ascii="宋体" w:hAnsi="宋体"/>
                <w:b w:val="0"/>
                <w:szCs w:val="21"/>
              </w:rPr>
              <w:t>储存</w:t>
            </w:r>
            <w:r>
              <w:rPr>
                <w:rFonts w:ascii="宋体" w:hAnsi="宋体"/>
                <w:b w:val="0"/>
                <w:szCs w:val="21"/>
              </w:rPr>
              <w:t>单元</w:t>
            </w:r>
          </w:p>
        </w:tc>
        <w:tc>
          <w:tcPr>
            <w:tcW w:w="2582" w:type="dxa"/>
            <w:gridSpan w:val="2"/>
            <w:vAlign w:val="center"/>
          </w:tcPr>
          <w:p w14:paraId="54C76A89">
            <w:pPr>
              <w:adjustRightInd w:val="0"/>
              <w:snapToGrid w:val="0"/>
              <w:jc w:val="center"/>
              <w:rPr>
                <w:rFonts w:ascii="宋体" w:hAnsi="宋体"/>
                <w:b w:val="0"/>
                <w:szCs w:val="21"/>
              </w:rPr>
            </w:pPr>
            <w:r>
              <w:rPr>
                <w:rFonts w:hint="eastAsia" w:ascii="宋体" w:hAnsi="宋体"/>
                <w:b w:val="0"/>
                <w:szCs w:val="21"/>
              </w:rPr>
              <w:t>8</w:t>
            </w:r>
            <w:r>
              <w:rPr>
                <w:rFonts w:ascii="宋体" w:hAnsi="宋体"/>
                <w:b w:val="0"/>
                <w:szCs w:val="21"/>
              </w:rPr>
              <w:t>#</w:t>
            </w:r>
            <w:r>
              <w:rPr>
                <w:rFonts w:hint="eastAsia" w:ascii="宋体" w:hAnsi="宋体"/>
                <w:b w:val="0"/>
                <w:szCs w:val="21"/>
              </w:rPr>
              <w:t>硝酸钾库</w:t>
            </w:r>
          </w:p>
        </w:tc>
        <w:tc>
          <w:tcPr>
            <w:tcW w:w="1427" w:type="dxa"/>
            <w:vAlign w:val="center"/>
          </w:tcPr>
          <w:p w14:paraId="014EEFAD">
            <w:pPr>
              <w:adjustRightInd w:val="0"/>
              <w:snapToGrid w:val="0"/>
              <w:jc w:val="center"/>
              <w:rPr>
                <w:rFonts w:ascii="宋体" w:hAnsi="宋体"/>
                <w:b w:val="0"/>
                <w:szCs w:val="21"/>
              </w:rPr>
            </w:pPr>
            <w:r>
              <w:rPr>
                <w:rFonts w:hint="eastAsia" w:ascii="宋体" w:hAnsi="宋体"/>
                <w:b w:val="0"/>
                <w:szCs w:val="21"/>
              </w:rPr>
              <w:t>3</w:t>
            </w:r>
            <w:r>
              <w:rPr>
                <w:rFonts w:ascii="宋体" w:hAnsi="宋体"/>
                <w:b w:val="0"/>
                <w:szCs w:val="21"/>
              </w:rPr>
              <w:t>0</w:t>
            </w:r>
          </w:p>
        </w:tc>
        <w:tc>
          <w:tcPr>
            <w:tcW w:w="1360" w:type="dxa"/>
            <w:vAlign w:val="center"/>
          </w:tcPr>
          <w:p w14:paraId="4C4D7486">
            <w:pPr>
              <w:adjustRightInd w:val="0"/>
              <w:snapToGrid w:val="0"/>
              <w:jc w:val="center"/>
              <w:rPr>
                <w:rFonts w:ascii="宋体" w:hAnsi="宋体"/>
                <w:b w:val="0"/>
                <w:szCs w:val="21"/>
              </w:rPr>
            </w:pPr>
            <w:r>
              <w:rPr>
                <w:rFonts w:hint="eastAsia" w:ascii="宋体" w:hAnsi="宋体"/>
                <w:b w:val="0"/>
                <w:szCs w:val="21"/>
              </w:rPr>
              <w:t>1</w:t>
            </w:r>
            <w:r>
              <w:rPr>
                <w:rFonts w:ascii="宋体" w:hAnsi="宋体"/>
                <w:b w:val="0"/>
                <w:szCs w:val="21"/>
              </w:rPr>
              <w:t>000</w:t>
            </w:r>
          </w:p>
        </w:tc>
        <w:tc>
          <w:tcPr>
            <w:tcW w:w="2691" w:type="dxa"/>
            <w:vAlign w:val="center"/>
          </w:tcPr>
          <w:p w14:paraId="527C06C1">
            <w:pPr>
              <w:jc w:val="center"/>
              <w:rPr>
                <w:rFonts w:ascii="宋体" w:hAnsi="宋体"/>
                <w:b w:val="0"/>
                <w:szCs w:val="21"/>
              </w:rPr>
            </w:pPr>
            <w:r>
              <w:rPr>
                <w:rFonts w:ascii="宋体" w:hAnsi="宋体"/>
                <w:b w:val="0"/>
                <w:szCs w:val="21"/>
              </w:rPr>
              <w:t>3</w:t>
            </w:r>
            <w:r>
              <w:rPr>
                <w:rFonts w:hint="eastAsia" w:ascii="宋体" w:hAnsi="宋体"/>
                <w:b w:val="0"/>
                <w:szCs w:val="21"/>
              </w:rPr>
              <w:t>0/</w:t>
            </w:r>
            <w:r>
              <w:rPr>
                <w:rFonts w:ascii="宋体" w:hAnsi="宋体"/>
                <w:b w:val="0"/>
                <w:szCs w:val="21"/>
              </w:rPr>
              <w:t>1000=0.03</w:t>
            </w:r>
            <w:r>
              <w:rPr>
                <w:rFonts w:hint="eastAsia" w:ascii="宋体" w:hAnsi="宋体"/>
                <w:b w:val="0"/>
                <w:szCs w:val="21"/>
              </w:rPr>
              <w:t>＜1</w:t>
            </w:r>
          </w:p>
        </w:tc>
      </w:tr>
      <w:tr w14:paraId="080BAF99">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7DAF23AD">
            <w:pPr>
              <w:adjustRightInd w:val="0"/>
              <w:snapToGrid w:val="0"/>
              <w:ind w:left="-8" w:leftChars="-4"/>
              <w:jc w:val="center"/>
              <w:rPr>
                <w:rFonts w:ascii="宋体" w:hAnsi="宋体"/>
                <w:b w:val="0"/>
                <w:szCs w:val="21"/>
              </w:rPr>
            </w:pPr>
          </w:p>
        </w:tc>
        <w:tc>
          <w:tcPr>
            <w:tcW w:w="2582" w:type="dxa"/>
            <w:gridSpan w:val="2"/>
            <w:vAlign w:val="center"/>
          </w:tcPr>
          <w:p w14:paraId="42F899B6">
            <w:pPr>
              <w:adjustRightInd w:val="0"/>
              <w:snapToGrid w:val="0"/>
              <w:jc w:val="center"/>
              <w:rPr>
                <w:rFonts w:ascii="宋体" w:hAnsi="宋体"/>
                <w:b w:val="0"/>
                <w:szCs w:val="21"/>
              </w:rPr>
            </w:pPr>
            <w:r>
              <w:rPr>
                <w:rFonts w:hint="eastAsia" w:ascii="宋体" w:hAnsi="宋体"/>
                <w:b w:val="0"/>
                <w:szCs w:val="21"/>
              </w:rPr>
              <w:t>1</w:t>
            </w:r>
            <w:r>
              <w:rPr>
                <w:rFonts w:ascii="宋体" w:hAnsi="宋体"/>
                <w:b w:val="0"/>
                <w:szCs w:val="21"/>
              </w:rPr>
              <w:t>3#</w:t>
            </w:r>
            <w:r>
              <w:rPr>
                <w:rFonts w:hint="eastAsia" w:ascii="宋体" w:hAnsi="宋体"/>
                <w:b w:val="0"/>
                <w:szCs w:val="21"/>
              </w:rPr>
              <w:t>硫磺库</w:t>
            </w:r>
          </w:p>
        </w:tc>
        <w:tc>
          <w:tcPr>
            <w:tcW w:w="1427" w:type="dxa"/>
            <w:vAlign w:val="center"/>
          </w:tcPr>
          <w:p w14:paraId="562DAA51">
            <w:pPr>
              <w:adjustRightInd w:val="0"/>
              <w:snapToGrid w:val="0"/>
              <w:jc w:val="center"/>
              <w:rPr>
                <w:rFonts w:ascii="宋体" w:hAnsi="宋体"/>
                <w:b w:val="0"/>
                <w:szCs w:val="21"/>
              </w:rPr>
            </w:pPr>
            <w:r>
              <w:rPr>
                <w:rFonts w:hint="eastAsia" w:ascii="宋体" w:hAnsi="宋体"/>
                <w:b w:val="0"/>
                <w:szCs w:val="21"/>
              </w:rPr>
              <w:t>2</w:t>
            </w:r>
            <w:r>
              <w:rPr>
                <w:rFonts w:ascii="宋体" w:hAnsi="宋体"/>
                <w:b w:val="0"/>
                <w:szCs w:val="21"/>
              </w:rPr>
              <w:t>0</w:t>
            </w:r>
          </w:p>
        </w:tc>
        <w:tc>
          <w:tcPr>
            <w:tcW w:w="1360" w:type="dxa"/>
            <w:vAlign w:val="center"/>
          </w:tcPr>
          <w:p w14:paraId="30EBBF0B">
            <w:pPr>
              <w:adjustRightInd w:val="0"/>
              <w:snapToGrid w:val="0"/>
              <w:jc w:val="center"/>
              <w:rPr>
                <w:rFonts w:ascii="宋体" w:hAnsi="宋体"/>
                <w:b w:val="0"/>
                <w:szCs w:val="21"/>
              </w:rPr>
            </w:pPr>
            <w:r>
              <w:rPr>
                <w:rFonts w:hint="eastAsia" w:ascii="宋体" w:hAnsi="宋体"/>
                <w:b w:val="0"/>
                <w:szCs w:val="21"/>
              </w:rPr>
              <w:t>2</w:t>
            </w:r>
            <w:r>
              <w:rPr>
                <w:rFonts w:ascii="宋体" w:hAnsi="宋体"/>
                <w:b w:val="0"/>
                <w:szCs w:val="21"/>
              </w:rPr>
              <w:t>00</w:t>
            </w:r>
          </w:p>
        </w:tc>
        <w:tc>
          <w:tcPr>
            <w:tcW w:w="2691" w:type="dxa"/>
            <w:vAlign w:val="center"/>
          </w:tcPr>
          <w:p w14:paraId="5F0CC5C3">
            <w:pPr>
              <w:jc w:val="center"/>
              <w:rPr>
                <w:rFonts w:ascii="宋体" w:hAnsi="宋体"/>
                <w:b w:val="0"/>
                <w:szCs w:val="21"/>
              </w:rPr>
            </w:pPr>
            <w:r>
              <w:rPr>
                <w:rFonts w:ascii="宋体" w:hAnsi="宋体"/>
                <w:b w:val="0"/>
                <w:szCs w:val="21"/>
              </w:rPr>
              <w:t>20</w:t>
            </w:r>
            <w:r>
              <w:rPr>
                <w:rFonts w:hint="eastAsia" w:ascii="宋体" w:hAnsi="宋体"/>
                <w:b w:val="0"/>
                <w:szCs w:val="21"/>
              </w:rPr>
              <w:t>/</w:t>
            </w:r>
            <w:r>
              <w:rPr>
                <w:rFonts w:ascii="宋体" w:hAnsi="宋体"/>
                <w:b w:val="0"/>
                <w:szCs w:val="21"/>
              </w:rPr>
              <w:t>200=0.1</w:t>
            </w:r>
            <w:r>
              <w:rPr>
                <w:rFonts w:hint="eastAsia" w:ascii="宋体" w:hAnsi="宋体"/>
                <w:b w:val="0"/>
                <w:szCs w:val="21"/>
              </w:rPr>
              <w:t>＜1</w:t>
            </w:r>
          </w:p>
        </w:tc>
      </w:tr>
      <w:tr w14:paraId="6E23B373">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435C2752">
            <w:pPr>
              <w:adjustRightInd w:val="0"/>
              <w:snapToGrid w:val="0"/>
              <w:ind w:left="-8" w:leftChars="-4"/>
              <w:jc w:val="center"/>
              <w:rPr>
                <w:rFonts w:ascii="宋体" w:hAnsi="宋体"/>
                <w:b w:val="0"/>
                <w:szCs w:val="21"/>
              </w:rPr>
            </w:pPr>
          </w:p>
        </w:tc>
        <w:tc>
          <w:tcPr>
            <w:tcW w:w="895" w:type="dxa"/>
            <w:vMerge w:val="restart"/>
            <w:vAlign w:val="center"/>
          </w:tcPr>
          <w:p w14:paraId="415D4B1B">
            <w:pPr>
              <w:rPr>
                <w:rFonts w:ascii="宋体" w:hAnsi="宋体"/>
                <w:b w:val="0"/>
                <w:szCs w:val="21"/>
              </w:rPr>
            </w:pPr>
            <w:r>
              <w:rPr>
                <w:rFonts w:hint="eastAsia" w:ascii="宋体" w:hAnsi="宋体"/>
                <w:b w:val="0"/>
                <w:szCs w:val="21"/>
              </w:rPr>
              <w:t>1号黑火药库区（厂区西南面）</w:t>
            </w:r>
          </w:p>
        </w:tc>
        <w:tc>
          <w:tcPr>
            <w:tcW w:w="1687" w:type="dxa"/>
            <w:vAlign w:val="center"/>
          </w:tcPr>
          <w:p w14:paraId="33172E3D">
            <w:pPr>
              <w:jc w:val="center"/>
              <w:rPr>
                <w:rFonts w:ascii="宋体" w:hAnsi="宋体" w:cs="Arial"/>
                <w:b w:val="0"/>
                <w:szCs w:val="21"/>
              </w:rPr>
            </w:pPr>
            <w:r>
              <w:rPr>
                <w:rFonts w:hint="eastAsia" w:ascii="宋体" w:hAnsi="宋体" w:cs="Arial"/>
                <w:b w:val="0"/>
                <w:szCs w:val="21"/>
              </w:rPr>
              <w:t>5</w:t>
            </w:r>
            <w:r>
              <w:rPr>
                <w:rFonts w:ascii="宋体" w:hAnsi="宋体" w:cs="Arial"/>
                <w:b w:val="0"/>
                <w:szCs w:val="21"/>
              </w:rPr>
              <w:t>7#</w:t>
            </w:r>
            <w:r>
              <w:rPr>
                <w:rFonts w:hint="eastAsia" w:ascii="宋体" w:hAnsi="宋体" w:cs="Arial"/>
                <w:b w:val="0"/>
                <w:szCs w:val="21"/>
              </w:rPr>
              <w:t>黑火药库</w:t>
            </w:r>
          </w:p>
        </w:tc>
        <w:tc>
          <w:tcPr>
            <w:tcW w:w="1427" w:type="dxa"/>
            <w:vAlign w:val="center"/>
          </w:tcPr>
          <w:p w14:paraId="1B55B56D">
            <w:pPr>
              <w:jc w:val="center"/>
              <w:rPr>
                <w:rFonts w:ascii="宋体" w:hAnsi="宋体" w:cs="Arial"/>
                <w:b w:val="0"/>
                <w:szCs w:val="21"/>
              </w:rPr>
            </w:pPr>
            <w:r>
              <w:rPr>
                <w:rFonts w:hint="eastAsia" w:ascii="宋体" w:hAnsi="宋体" w:cs="Arial"/>
                <w:b w:val="0"/>
                <w:szCs w:val="21"/>
              </w:rPr>
              <w:t>1</w:t>
            </w:r>
          </w:p>
        </w:tc>
        <w:tc>
          <w:tcPr>
            <w:tcW w:w="1360" w:type="dxa"/>
            <w:vAlign w:val="center"/>
          </w:tcPr>
          <w:p w14:paraId="421DD337">
            <w:pPr>
              <w:adjustRightInd w:val="0"/>
              <w:snapToGrid w:val="0"/>
              <w:jc w:val="center"/>
              <w:rPr>
                <w:rFonts w:ascii="宋体" w:hAnsi="宋体"/>
                <w:b w:val="0"/>
                <w:szCs w:val="21"/>
              </w:rPr>
            </w:pPr>
            <w:r>
              <w:rPr>
                <w:rFonts w:hint="eastAsia" w:ascii="宋体" w:hAnsi="宋体"/>
                <w:b w:val="0"/>
                <w:szCs w:val="21"/>
              </w:rPr>
              <w:t>5</w:t>
            </w:r>
          </w:p>
        </w:tc>
        <w:tc>
          <w:tcPr>
            <w:tcW w:w="2691" w:type="dxa"/>
            <w:vMerge w:val="restart"/>
            <w:vAlign w:val="center"/>
          </w:tcPr>
          <w:p w14:paraId="0D3CBCCD">
            <w:pPr>
              <w:jc w:val="center"/>
              <w:rPr>
                <w:rFonts w:ascii="宋体" w:hAnsi="宋体"/>
                <w:b w:val="0"/>
                <w:szCs w:val="21"/>
              </w:rPr>
            </w:pPr>
            <w:r>
              <w:rPr>
                <w:rFonts w:hint="eastAsia" w:ascii="宋体" w:hAnsi="宋体"/>
                <w:b w:val="0"/>
                <w:szCs w:val="21"/>
              </w:rPr>
              <w:t>（1</w:t>
            </w:r>
            <w:r>
              <w:rPr>
                <w:rFonts w:ascii="宋体" w:hAnsi="宋体"/>
                <w:b w:val="0"/>
                <w:szCs w:val="21"/>
              </w:rPr>
              <w:t>+2.5+4+3.5+6+3.5+7+7+3+1.5</w:t>
            </w:r>
            <w:r>
              <w:rPr>
                <w:rFonts w:hint="eastAsia" w:ascii="宋体" w:hAnsi="宋体"/>
                <w:b w:val="0"/>
                <w:szCs w:val="21"/>
              </w:rPr>
              <w:t>）/</w:t>
            </w:r>
            <w:r>
              <w:rPr>
                <w:rFonts w:ascii="宋体" w:hAnsi="宋体"/>
                <w:b w:val="0"/>
                <w:szCs w:val="21"/>
              </w:rPr>
              <w:t>5=7.8</w:t>
            </w:r>
            <w:r>
              <w:rPr>
                <w:rFonts w:hint="eastAsia" w:ascii="宋体" w:hAnsi="宋体"/>
                <w:b w:val="0"/>
                <w:szCs w:val="21"/>
              </w:rPr>
              <w:t>＜1</w:t>
            </w:r>
          </w:p>
        </w:tc>
      </w:tr>
      <w:tr w14:paraId="46423FC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6AA83EB5">
            <w:pPr>
              <w:adjustRightInd w:val="0"/>
              <w:snapToGrid w:val="0"/>
              <w:ind w:left="-8" w:leftChars="-4"/>
              <w:jc w:val="center"/>
              <w:rPr>
                <w:rFonts w:ascii="宋体" w:hAnsi="宋体"/>
                <w:b w:val="0"/>
                <w:szCs w:val="21"/>
              </w:rPr>
            </w:pPr>
          </w:p>
        </w:tc>
        <w:tc>
          <w:tcPr>
            <w:tcW w:w="895" w:type="dxa"/>
            <w:vMerge w:val="continue"/>
            <w:vAlign w:val="center"/>
          </w:tcPr>
          <w:p w14:paraId="537A9060">
            <w:pPr>
              <w:jc w:val="center"/>
              <w:rPr>
                <w:rFonts w:ascii="宋体" w:hAnsi="宋体"/>
                <w:b w:val="0"/>
                <w:szCs w:val="21"/>
              </w:rPr>
            </w:pPr>
          </w:p>
        </w:tc>
        <w:tc>
          <w:tcPr>
            <w:tcW w:w="1687" w:type="dxa"/>
            <w:vAlign w:val="center"/>
          </w:tcPr>
          <w:p w14:paraId="20019EED">
            <w:pPr>
              <w:jc w:val="center"/>
              <w:rPr>
                <w:rFonts w:ascii="宋体" w:hAnsi="宋体" w:cs="Arial"/>
                <w:b w:val="0"/>
                <w:szCs w:val="21"/>
              </w:rPr>
            </w:pPr>
            <w:r>
              <w:rPr>
                <w:rFonts w:hint="eastAsia" w:ascii="宋体" w:hAnsi="宋体" w:cs="Arial"/>
                <w:b w:val="0"/>
                <w:szCs w:val="21"/>
              </w:rPr>
              <w:t>5</w:t>
            </w:r>
            <w:r>
              <w:rPr>
                <w:rFonts w:ascii="宋体" w:hAnsi="宋体" w:cs="Arial"/>
                <w:b w:val="0"/>
                <w:szCs w:val="21"/>
              </w:rPr>
              <w:t>8#</w:t>
            </w:r>
            <w:r>
              <w:rPr>
                <w:rFonts w:hint="eastAsia" w:ascii="宋体" w:hAnsi="宋体" w:cs="Arial"/>
                <w:b w:val="0"/>
                <w:szCs w:val="21"/>
              </w:rPr>
              <w:t>黑火药库</w:t>
            </w:r>
          </w:p>
        </w:tc>
        <w:tc>
          <w:tcPr>
            <w:tcW w:w="1427" w:type="dxa"/>
            <w:vAlign w:val="center"/>
          </w:tcPr>
          <w:p w14:paraId="793A9AB9">
            <w:pPr>
              <w:jc w:val="center"/>
              <w:rPr>
                <w:rFonts w:ascii="宋体" w:hAnsi="宋体" w:cs="Arial"/>
                <w:b w:val="0"/>
                <w:szCs w:val="21"/>
              </w:rPr>
            </w:pPr>
            <w:r>
              <w:rPr>
                <w:rFonts w:hint="eastAsia" w:ascii="宋体" w:hAnsi="宋体" w:cs="Arial"/>
                <w:b w:val="0"/>
                <w:szCs w:val="21"/>
              </w:rPr>
              <w:t>2</w:t>
            </w:r>
            <w:r>
              <w:rPr>
                <w:rFonts w:ascii="宋体" w:hAnsi="宋体" w:cs="Arial"/>
                <w:b w:val="0"/>
                <w:szCs w:val="21"/>
              </w:rPr>
              <w:t>.5</w:t>
            </w:r>
          </w:p>
        </w:tc>
        <w:tc>
          <w:tcPr>
            <w:tcW w:w="1360" w:type="dxa"/>
            <w:vAlign w:val="center"/>
          </w:tcPr>
          <w:p w14:paraId="584EA6FD">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5C691472">
            <w:pPr>
              <w:jc w:val="center"/>
              <w:rPr>
                <w:rFonts w:ascii="宋体" w:hAnsi="宋体"/>
                <w:b w:val="0"/>
                <w:szCs w:val="21"/>
              </w:rPr>
            </w:pPr>
          </w:p>
        </w:tc>
      </w:tr>
      <w:tr w14:paraId="0BE93EE6">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769520AF">
            <w:pPr>
              <w:adjustRightInd w:val="0"/>
              <w:snapToGrid w:val="0"/>
              <w:ind w:left="-8" w:leftChars="-4"/>
              <w:jc w:val="center"/>
              <w:rPr>
                <w:rFonts w:ascii="宋体" w:hAnsi="宋体"/>
                <w:b w:val="0"/>
                <w:szCs w:val="21"/>
              </w:rPr>
            </w:pPr>
          </w:p>
        </w:tc>
        <w:tc>
          <w:tcPr>
            <w:tcW w:w="895" w:type="dxa"/>
            <w:vMerge w:val="continue"/>
            <w:vAlign w:val="center"/>
          </w:tcPr>
          <w:p w14:paraId="5213DBA6">
            <w:pPr>
              <w:jc w:val="center"/>
              <w:rPr>
                <w:rFonts w:ascii="宋体" w:hAnsi="宋体"/>
                <w:b w:val="0"/>
                <w:szCs w:val="21"/>
              </w:rPr>
            </w:pPr>
          </w:p>
        </w:tc>
        <w:tc>
          <w:tcPr>
            <w:tcW w:w="1687" w:type="dxa"/>
            <w:vAlign w:val="center"/>
          </w:tcPr>
          <w:p w14:paraId="5EDE55BB">
            <w:pPr>
              <w:jc w:val="center"/>
              <w:rPr>
                <w:rFonts w:ascii="宋体" w:hAnsi="宋体" w:cs="Arial"/>
                <w:b w:val="0"/>
                <w:szCs w:val="21"/>
              </w:rPr>
            </w:pPr>
            <w:r>
              <w:rPr>
                <w:rFonts w:hint="eastAsia" w:ascii="宋体" w:hAnsi="宋体" w:cs="Arial"/>
                <w:b w:val="0"/>
                <w:szCs w:val="21"/>
              </w:rPr>
              <w:t>5</w:t>
            </w:r>
            <w:r>
              <w:rPr>
                <w:rFonts w:ascii="宋体" w:hAnsi="宋体" w:cs="Arial"/>
                <w:b w:val="0"/>
                <w:szCs w:val="21"/>
              </w:rPr>
              <w:t>9#</w:t>
            </w:r>
            <w:r>
              <w:rPr>
                <w:rFonts w:hint="eastAsia" w:ascii="宋体" w:hAnsi="宋体" w:cs="Arial"/>
                <w:b w:val="0"/>
                <w:szCs w:val="21"/>
              </w:rPr>
              <w:t>黑火药库</w:t>
            </w:r>
          </w:p>
        </w:tc>
        <w:tc>
          <w:tcPr>
            <w:tcW w:w="1427" w:type="dxa"/>
            <w:vAlign w:val="center"/>
          </w:tcPr>
          <w:p w14:paraId="128BCC64">
            <w:pPr>
              <w:jc w:val="center"/>
              <w:rPr>
                <w:rFonts w:ascii="宋体" w:hAnsi="宋体" w:cs="Arial"/>
                <w:b w:val="0"/>
                <w:szCs w:val="21"/>
              </w:rPr>
            </w:pPr>
            <w:r>
              <w:rPr>
                <w:rFonts w:hint="eastAsia" w:ascii="宋体" w:hAnsi="宋体" w:cs="Arial"/>
                <w:b w:val="0"/>
                <w:szCs w:val="21"/>
              </w:rPr>
              <w:t>4</w:t>
            </w:r>
          </w:p>
        </w:tc>
        <w:tc>
          <w:tcPr>
            <w:tcW w:w="1360" w:type="dxa"/>
            <w:vAlign w:val="center"/>
          </w:tcPr>
          <w:p w14:paraId="182CC98F">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93D3364">
            <w:pPr>
              <w:jc w:val="center"/>
              <w:rPr>
                <w:rFonts w:ascii="宋体" w:hAnsi="宋体"/>
                <w:b w:val="0"/>
                <w:szCs w:val="21"/>
              </w:rPr>
            </w:pPr>
          </w:p>
        </w:tc>
      </w:tr>
      <w:tr w14:paraId="49DE9BE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0E1EC08B">
            <w:pPr>
              <w:adjustRightInd w:val="0"/>
              <w:snapToGrid w:val="0"/>
              <w:ind w:left="-8" w:leftChars="-4"/>
              <w:jc w:val="center"/>
              <w:rPr>
                <w:rFonts w:ascii="宋体" w:hAnsi="宋体"/>
                <w:b w:val="0"/>
                <w:szCs w:val="21"/>
              </w:rPr>
            </w:pPr>
          </w:p>
        </w:tc>
        <w:tc>
          <w:tcPr>
            <w:tcW w:w="895" w:type="dxa"/>
            <w:vMerge w:val="continue"/>
            <w:vAlign w:val="center"/>
          </w:tcPr>
          <w:p w14:paraId="4CCD56CF">
            <w:pPr>
              <w:jc w:val="center"/>
              <w:rPr>
                <w:rFonts w:ascii="宋体" w:hAnsi="宋体"/>
                <w:b w:val="0"/>
                <w:szCs w:val="21"/>
              </w:rPr>
            </w:pPr>
          </w:p>
        </w:tc>
        <w:tc>
          <w:tcPr>
            <w:tcW w:w="1687" w:type="dxa"/>
            <w:vAlign w:val="center"/>
          </w:tcPr>
          <w:p w14:paraId="7C881385">
            <w:pPr>
              <w:jc w:val="center"/>
              <w:rPr>
                <w:rFonts w:ascii="宋体" w:hAnsi="宋体" w:cs="Arial"/>
                <w:b w:val="0"/>
                <w:szCs w:val="21"/>
              </w:rPr>
            </w:pPr>
            <w:r>
              <w:rPr>
                <w:rFonts w:ascii="宋体" w:hAnsi="宋体" w:cs="Arial"/>
                <w:b w:val="0"/>
                <w:szCs w:val="21"/>
              </w:rPr>
              <w:t>60#</w:t>
            </w:r>
            <w:r>
              <w:rPr>
                <w:rFonts w:hint="eastAsia" w:ascii="宋体" w:hAnsi="宋体" w:cs="Arial"/>
                <w:b w:val="0"/>
                <w:szCs w:val="21"/>
              </w:rPr>
              <w:t>黑火药库</w:t>
            </w:r>
          </w:p>
        </w:tc>
        <w:tc>
          <w:tcPr>
            <w:tcW w:w="1427" w:type="dxa"/>
            <w:vAlign w:val="center"/>
          </w:tcPr>
          <w:p w14:paraId="0B61CABC">
            <w:pPr>
              <w:jc w:val="center"/>
              <w:rPr>
                <w:rFonts w:ascii="宋体" w:hAnsi="宋体" w:cs="Arial"/>
                <w:b w:val="0"/>
                <w:szCs w:val="21"/>
              </w:rPr>
            </w:pPr>
            <w:r>
              <w:rPr>
                <w:rFonts w:hint="eastAsia" w:ascii="宋体" w:hAnsi="宋体" w:cs="Arial"/>
                <w:b w:val="0"/>
                <w:szCs w:val="21"/>
              </w:rPr>
              <w:t>3</w:t>
            </w:r>
            <w:r>
              <w:rPr>
                <w:rFonts w:ascii="宋体" w:hAnsi="宋体" w:cs="Arial"/>
                <w:b w:val="0"/>
                <w:szCs w:val="21"/>
              </w:rPr>
              <w:t>.5</w:t>
            </w:r>
          </w:p>
        </w:tc>
        <w:tc>
          <w:tcPr>
            <w:tcW w:w="1360" w:type="dxa"/>
            <w:vAlign w:val="center"/>
          </w:tcPr>
          <w:p w14:paraId="41AB33B0">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5FEAB2EA">
            <w:pPr>
              <w:jc w:val="center"/>
              <w:rPr>
                <w:rFonts w:ascii="宋体" w:hAnsi="宋体"/>
                <w:b w:val="0"/>
                <w:szCs w:val="21"/>
              </w:rPr>
            </w:pPr>
          </w:p>
        </w:tc>
      </w:tr>
      <w:tr w14:paraId="605000A0">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7C0F4E58">
            <w:pPr>
              <w:adjustRightInd w:val="0"/>
              <w:snapToGrid w:val="0"/>
              <w:ind w:left="-8" w:leftChars="-4"/>
              <w:jc w:val="center"/>
              <w:rPr>
                <w:rFonts w:ascii="宋体" w:hAnsi="宋体"/>
                <w:b w:val="0"/>
                <w:szCs w:val="21"/>
              </w:rPr>
            </w:pPr>
          </w:p>
        </w:tc>
        <w:tc>
          <w:tcPr>
            <w:tcW w:w="895" w:type="dxa"/>
            <w:vMerge w:val="continue"/>
            <w:vAlign w:val="center"/>
          </w:tcPr>
          <w:p w14:paraId="723D81F9">
            <w:pPr>
              <w:jc w:val="center"/>
              <w:rPr>
                <w:rFonts w:ascii="宋体" w:hAnsi="宋体"/>
                <w:b w:val="0"/>
                <w:szCs w:val="21"/>
              </w:rPr>
            </w:pPr>
          </w:p>
        </w:tc>
        <w:tc>
          <w:tcPr>
            <w:tcW w:w="1687" w:type="dxa"/>
            <w:vAlign w:val="center"/>
          </w:tcPr>
          <w:p w14:paraId="3CB01EF9">
            <w:pPr>
              <w:jc w:val="center"/>
              <w:rPr>
                <w:rFonts w:ascii="宋体" w:hAnsi="宋体" w:cs="Arial"/>
                <w:b w:val="0"/>
                <w:szCs w:val="21"/>
              </w:rPr>
            </w:pPr>
            <w:r>
              <w:rPr>
                <w:rFonts w:ascii="宋体" w:hAnsi="宋体" w:cs="Arial"/>
                <w:b w:val="0"/>
                <w:szCs w:val="21"/>
              </w:rPr>
              <w:t>61#</w:t>
            </w:r>
            <w:r>
              <w:rPr>
                <w:rFonts w:hint="eastAsia" w:ascii="宋体" w:hAnsi="宋体" w:cs="Arial"/>
                <w:b w:val="0"/>
                <w:szCs w:val="21"/>
              </w:rPr>
              <w:t>黑火药库</w:t>
            </w:r>
          </w:p>
        </w:tc>
        <w:tc>
          <w:tcPr>
            <w:tcW w:w="1427" w:type="dxa"/>
            <w:vAlign w:val="center"/>
          </w:tcPr>
          <w:p w14:paraId="4BA1177D">
            <w:pPr>
              <w:jc w:val="center"/>
              <w:rPr>
                <w:rFonts w:ascii="宋体" w:hAnsi="宋体" w:cs="Arial"/>
                <w:b w:val="0"/>
                <w:szCs w:val="21"/>
              </w:rPr>
            </w:pPr>
            <w:r>
              <w:rPr>
                <w:rFonts w:hint="eastAsia" w:ascii="宋体" w:hAnsi="宋体" w:cs="Arial"/>
                <w:b w:val="0"/>
                <w:szCs w:val="21"/>
              </w:rPr>
              <w:t>6</w:t>
            </w:r>
          </w:p>
        </w:tc>
        <w:tc>
          <w:tcPr>
            <w:tcW w:w="1360" w:type="dxa"/>
            <w:vAlign w:val="center"/>
          </w:tcPr>
          <w:p w14:paraId="7E0EF8DD">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1F6E2A0D">
            <w:pPr>
              <w:jc w:val="center"/>
              <w:rPr>
                <w:rFonts w:ascii="宋体" w:hAnsi="宋体"/>
                <w:b w:val="0"/>
                <w:szCs w:val="21"/>
              </w:rPr>
            </w:pPr>
          </w:p>
        </w:tc>
      </w:tr>
      <w:tr w14:paraId="4A3D02E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7834D409">
            <w:pPr>
              <w:adjustRightInd w:val="0"/>
              <w:snapToGrid w:val="0"/>
              <w:ind w:left="-8" w:leftChars="-4"/>
              <w:jc w:val="center"/>
              <w:rPr>
                <w:rFonts w:ascii="宋体" w:hAnsi="宋体"/>
                <w:b w:val="0"/>
                <w:szCs w:val="21"/>
              </w:rPr>
            </w:pPr>
          </w:p>
        </w:tc>
        <w:tc>
          <w:tcPr>
            <w:tcW w:w="895" w:type="dxa"/>
            <w:vMerge w:val="continue"/>
            <w:vAlign w:val="center"/>
          </w:tcPr>
          <w:p w14:paraId="1DB75C47">
            <w:pPr>
              <w:jc w:val="center"/>
              <w:rPr>
                <w:rFonts w:ascii="宋体" w:hAnsi="宋体"/>
                <w:b w:val="0"/>
                <w:szCs w:val="21"/>
              </w:rPr>
            </w:pPr>
          </w:p>
        </w:tc>
        <w:tc>
          <w:tcPr>
            <w:tcW w:w="1687" w:type="dxa"/>
            <w:vAlign w:val="center"/>
          </w:tcPr>
          <w:p w14:paraId="1E5BBEC7">
            <w:pPr>
              <w:jc w:val="center"/>
              <w:rPr>
                <w:rFonts w:ascii="宋体" w:hAnsi="宋体" w:cs="Arial"/>
                <w:b w:val="0"/>
                <w:szCs w:val="21"/>
              </w:rPr>
            </w:pPr>
            <w:r>
              <w:rPr>
                <w:rFonts w:ascii="宋体" w:hAnsi="宋体" w:cs="Arial"/>
                <w:b w:val="0"/>
                <w:szCs w:val="21"/>
              </w:rPr>
              <w:t>62#</w:t>
            </w:r>
            <w:r>
              <w:rPr>
                <w:rFonts w:hint="eastAsia" w:ascii="宋体" w:hAnsi="宋体" w:cs="Arial"/>
                <w:b w:val="0"/>
                <w:szCs w:val="21"/>
              </w:rPr>
              <w:t>黑火药库</w:t>
            </w:r>
          </w:p>
        </w:tc>
        <w:tc>
          <w:tcPr>
            <w:tcW w:w="1427" w:type="dxa"/>
            <w:vAlign w:val="center"/>
          </w:tcPr>
          <w:p w14:paraId="40B28780">
            <w:pPr>
              <w:jc w:val="center"/>
              <w:rPr>
                <w:rFonts w:ascii="宋体" w:hAnsi="宋体" w:cs="Arial"/>
                <w:b w:val="0"/>
                <w:szCs w:val="21"/>
              </w:rPr>
            </w:pPr>
            <w:r>
              <w:rPr>
                <w:rFonts w:hint="eastAsia" w:ascii="宋体" w:hAnsi="宋体" w:cs="Arial"/>
                <w:b w:val="0"/>
                <w:szCs w:val="21"/>
              </w:rPr>
              <w:t>3</w:t>
            </w:r>
            <w:r>
              <w:rPr>
                <w:rFonts w:ascii="宋体" w:hAnsi="宋体" w:cs="Arial"/>
                <w:b w:val="0"/>
                <w:szCs w:val="21"/>
              </w:rPr>
              <w:t>.5</w:t>
            </w:r>
          </w:p>
        </w:tc>
        <w:tc>
          <w:tcPr>
            <w:tcW w:w="1360" w:type="dxa"/>
            <w:vAlign w:val="center"/>
          </w:tcPr>
          <w:p w14:paraId="1C04FD9D">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68227C9">
            <w:pPr>
              <w:jc w:val="center"/>
              <w:rPr>
                <w:rFonts w:ascii="宋体" w:hAnsi="宋体"/>
                <w:b w:val="0"/>
                <w:szCs w:val="21"/>
              </w:rPr>
            </w:pPr>
          </w:p>
        </w:tc>
      </w:tr>
      <w:tr w14:paraId="76198C07">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21A4B980">
            <w:pPr>
              <w:adjustRightInd w:val="0"/>
              <w:snapToGrid w:val="0"/>
              <w:ind w:left="-8" w:leftChars="-4"/>
              <w:jc w:val="center"/>
              <w:rPr>
                <w:rFonts w:ascii="宋体" w:hAnsi="宋体"/>
                <w:b w:val="0"/>
                <w:szCs w:val="21"/>
              </w:rPr>
            </w:pPr>
          </w:p>
        </w:tc>
        <w:tc>
          <w:tcPr>
            <w:tcW w:w="895" w:type="dxa"/>
            <w:vMerge w:val="continue"/>
            <w:vAlign w:val="center"/>
          </w:tcPr>
          <w:p w14:paraId="476D20B7">
            <w:pPr>
              <w:jc w:val="center"/>
              <w:rPr>
                <w:rFonts w:ascii="宋体" w:hAnsi="宋体"/>
                <w:b w:val="0"/>
                <w:szCs w:val="21"/>
              </w:rPr>
            </w:pPr>
          </w:p>
        </w:tc>
        <w:tc>
          <w:tcPr>
            <w:tcW w:w="1687" w:type="dxa"/>
            <w:vAlign w:val="center"/>
          </w:tcPr>
          <w:p w14:paraId="408CF5AE">
            <w:pPr>
              <w:jc w:val="center"/>
              <w:rPr>
                <w:rFonts w:ascii="宋体" w:hAnsi="宋体" w:cs="Arial"/>
                <w:b w:val="0"/>
                <w:szCs w:val="21"/>
              </w:rPr>
            </w:pPr>
            <w:r>
              <w:rPr>
                <w:rFonts w:ascii="宋体" w:hAnsi="宋体" w:cs="Arial"/>
                <w:b w:val="0"/>
                <w:szCs w:val="21"/>
              </w:rPr>
              <w:t>63#</w:t>
            </w:r>
            <w:r>
              <w:rPr>
                <w:rFonts w:hint="eastAsia" w:ascii="宋体" w:hAnsi="宋体" w:cs="Arial"/>
                <w:b w:val="0"/>
                <w:szCs w:val="21"/>
              </w:rPr>
              <w:t>黑火药库</w:t>
            </w:r>
          </w:p>
        </w:tc>
        <w:tc>
          <w:tcPr>
            <w:tcW w:w="1427" w:type="dxa"/>
            <w:vAlign w:val="center"/>
          </w:tcPr>
          <w:p w14:paraId="7AB9EEF2">
            <w:pPr>
              <w:jc w:val="center"/>
              <w:rPr>
                <w:rFonts w:ascii="宋体" w:hAnsi="宋体" w:cs="Arial"/>
                <w:b w:val="0"/>
                <w:szCs w:val="21"/>
              </w:rPr>
            </w:pPr>
            <w:r>
              <w:rPr>
                <w:rFonts w:hint="eastAsia" w:ascii="宋体" w:hAnsi="宋体" w:cs="Arial"/>
                <w:b w:val="0"/>
                <w:szCs w:val="21"/>
              </w:rPr>
              <w:t>7</w:t>
            </w:r>
          </w:p>
        </w:tc>
        <w:tc>
          <w:tcPr>
            <w:tcW w:w="1360" w:type="dxa"/>
            <w:vAlign w:val="center"/>
          </w:tcPr>
          <w:p w14:paraId="4A10B8D8">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7E9004EA">
            <w:pPr>
              <w:jc w:val="center"/>
              <w:rPr>
                <w:rFonts w:ascii="宋体" w:hAnsi="宋体"/>
                <w:b w:val="0"/>
                <w:szCs w:val="21"/>
              </w:rPr>
            </w:pPr>
          </w:p>
        </w:tc>
      </w:tr>
      <w:tr w14:paraId="068F49E5">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4D1DCEAB">
            <w:pPr>
              <w:adjustRightInd w:val="0"/>
              <w:snapToGrid w:val="0"/>
              <w:ind w:left="-8" w:leftChars="-4"/>
              <w:jc w:val="center"/>
              <w:rPr>
                <w:rFonts w:ascii="宋体" w:hAnsi="宋体"/>
                <w:b w:val="0"/>
                <w:szCs w:val="21"/>
              </w:rPr>
            </w:pPr>
          </w:p>
        </w:tc>
        <w:tc>
          <w:tcPr>
            <w:tcW w:w="895" w:type="dxa"/>
            <w:vMerge w:val="continue"/>
            <w:vAlign w:val="center"/>
          </w:tcPr>
          <w:p w14:paraId="0B8E6624">
            <w:pPr>
              <w:jc w:val="center"/>
              <w:rPr>
                <w:rFonts w:ascii="宋体" w:hAnsi="宋体"/>
                <w:b w:val="0"/>
                <w:szCs w:val="21"/>
              </w:rPr>
            </w:pPr>
          </w:p>
        </w:tc>
        <w:tc>
          <w:tcPr>
            <w:tcW w:w="1687" w:type="dxa"/>
            <w:vAlign w:val="center"/>
          </w:tcPr>
          <w:p w14:paraId="70F13BC2">
            <w:pPr>
              <w:jc w:val="center"/>
              <w:rPr>
                <w:rFonts w:ascii="宋体" w:hAnsi="宋体" w:cs="Arial"/>
                <w:b w:val="0"/>
                <w:szCs w:val="21"/>
              </w:rPr>
            </w:pPr>
            <w:r>
              <w:rPr>
                <w:rFonts w:ascii="宋体" w:hAnsi="宋体" w:cs="Arial"/>
                <w:b w:val="0"/>
                <w:szCs w:val="21"/>
              </w:rPr>
              <w:t>64#</w:t>
            </w:r>
            <w:r>
              <w:rPr>
                <w:rFonts w:hint="eastAsia" w:ascii="宋体" w:hAnsi="宋体" w:cs="Arial"/>
                <w:b w:val="0"/>
                <w:szCs w:val="21"/>
              </w:rPr>
              <w:t>黑火药库</w:t>
            </w:r>
          </w:p>
        </w:tc>
        <w:tc>
          <w:tcPr>
            <w:tcW w:w="1427" w:type="dxa"/>
            <w:vAlign w:val="center"/>
          </w:tcPr>
          <w:p w14:paraId="718E62A8">
            <w:pPr>
              <w:jc w:val="center"/>
              <w:rPr>
                <w:rFonts w:ascii="宋体" w:hAnsi="宋体" w:cs="Arial"/>
                <w:b w:val="0"/>
                <w:szCs w:val="21"/>
              </w:rPr>
            </w:pPr>
            <w:r>
              <w:rPr>
                <w:rFonts w:hint="eastAsia" w:ascii="宋体" w:hAnsi="宋体" w:cs="Arial"/>
                <w:b w:val="0"/>
                <w:szCs w:val="21"/>
              </w:rPr>
              <w:t>7</w:t>
            </w:r>
          </w:p>
        </w:tc>
        <w:tc>
          <w:tcPr>
            <w:tcW w:w="1360" w:type="dxa"/>
            <w:vAlign w:val="center"/>
          </w:tcPr>
          <w:p w14:paraId="7E6BB77F">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56B75B5">
            <w:pPr>
              <w:jc w:val="center"/>
              <w:rPr>
                <w:rFonts w:ascii="宋体" w:hAnsi="宋体"/>
                <w:b w:val="0"/>
                <w:szCs w:val="21"/>
              </w:rPr>
            </w:pPr>
          </w:p>
        </w:tc>
      </w:tr>
      <w:tr w14:paraId="38BD13DC">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42127EF4">
            <w:pPr>
              <w:adjustRightInd w:val="0"/>
              <w:snapToGrid w:val="0"/>
              <w:ind w:left="-8" w:leftChars="-4"/>
              <w:jc w:val="center"/>
              <w:rPr>
                <w:rFonts w:ascii="宋体" w:hAnsi="宋体"/>
                <w:b w:val="0"/>
                <w:szCs w:val="21"/>
              </w:rPr>
            </w:pPr>
          </w:p>
        </w:tc>
        <w:tc>
          <w:tcPr>
            <w:tcW w:w="895" w:type="dxa"/>
            <w:vMerge w:val="continue"/>
            <w:vAlign w:val="center"/>
          </w:tcPr>
          <w:p w14:paraId="5A9D2949">
            <w:pPr>
              <w:jc w:val="center"/>
              <w:rPr>
                <w:rFonts w:ascii="宋体" w:hAnsi="宋体"/>
                <w:b w:val="0"/>
                <w:szCs w:val="21"/>
              </w:rPr>
            </w:pPr>
          </w:p>
        </w:tc>
        <w:tc>
          <w:tcPr>
            <w:tcW w:w="1687" w:type="dxa"/>
            <w:vAlign w:val="center"/>
          </w:tcPr>
          <w:p w14:paraId="5A45BCC5">
            <w:pPr>
              <w:jc w:val="center"/>
              <w:rPr>
                <w:rFonts w:ascii="宋体" w:hAnsi="宋体" w:cs="Arial"/>
                <w:b w:val="0"/>
                <w:szCs w:val="21"/>
              </w:rPr>
            </w:pPr>
            <w:r>
              <w:rPr>
                <w:rFonts w:ascii="宋体" w:hAnsi="宋体" w:cs="Arial"/>
                <w:b w:val="0"/>
                <w:szCs w:val="21"/>
              </w:rPr>
              <w:t>65#</w:t>
            </w:r>
            <w:r>
              <w:rPr>
                <w:rFonts w:hint="eastAsia" w:ascii="宋体" w:hAnsi="宋体" w:cs="Arial"/>
                <w:b w:val="0"/>
                <w:szCs w:val="21"/>
              </w:rPr>
              <w:t>黑火药库</w:t>
            </w:r>
          </w:p>
        </w:tc>
        <w:tc>
          <w:tcPr>
            <w:tcW w:w="1427" w:type="dxa"/>
            <w:vAlign w:val="center"/>
          </w:tcPr>
          <w:p w14:paraId="4067B6F2">
            <w:pPr>
              <w:jc w:val="center"/>
              <w:rPr>
                <w:rFonts w:ascii="宋体" w:hAnsi="宋体" w:cs="Arial"/>
                <w:b w:val="0"/>
                <w:szCs w:val="21"/>
              </w:rPr>
            </w:pPr>
            <w:r>
              <w:rPr>
                <w:rFonts w:hint="eastAsia" w:ascii="宋体" w:hAnsi="宋体" w:cs="Arial"/>
                <w:b w:val="0"/>
                <w:szCs w:val="21"/>
              </w:rPr>
              <w:t>3</w:t>
            </w:r>
          </w:p>
        </w:tc>
        <w:tc>
          <w:tcPr>
            <w:tcW w:w="1360" w:type="dxa"/>
            <w:vAlign w:val="center"/>
          </w:tcPr>
          <w:p w14:paraId="65E23289">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31B99CB2">
            <w:pPr>
              <w:jc w:val="center"/>
              <w:rPr>
                <w:rFonts w:ascii="宋体" w:hAnsi="宋体"/>
                <w:b w:val="0"/>
                <w:szCs w:val="21"/>
              </w:rPr>
            </w:pPr>
          </w:p>
        </w:tc>
      </w:tr>
      <w:tr w14:paraId="617FDB70">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48AFA56E">
            <w:pPr>
              <w:adjustRightInd w:val="0"/>
              <w:snapToGrid w:val="0"/>
              <w:ind w:left="-8" w:leftChars="-4"/>
              <w:jc w:val="center"/>
              <w:rPr>
                <w:rFonts w:ascii="宋体" w:hAnsi="宋体"/>
                <w:b w:val="0"/>
                <w:szCs w:val="21"/>
              </w:rPr>
            </w:pPr>
          </w:p>
        </w:tc>
        <w:tc>
          <w:tcPr>
            <w:tcW w:w="895" w:type="dxa"/>
            <w:vMerge w:val="continue"/>
            <w:vAlign w:val="center"/>
          </w:tcPr>
          <w:p w14:paraId="156A43E1">
            <w:pPr>
              <w:jc w:val="center"/>
              <w:rPr>
                <w:rFonts w:ascii="宋体" w:hAnsi="宋体"/>
                <w:b w:val="0"/>
                <w:szCs w:val="21"/>
              </w:rPr>
            </w:pPr>
          </w:p>
        </w:tc>
        <w:tc>
          <w:tcPr>
            <w:tcW w:w="1687" w:type="dxa"/>
            <w:vAlign w:val="center"/>
          </w:tcPr>
          <w:p w14:paraId="28BADD31">
            <w:pPr>
              <w:jc w:val="center"/>
              <w:rPr>
                <w:rFonts w:ascii="宋体" w:hAnsi="宋体" w:cs="Arial"/>
                <w:b w:val="0"/>
                <w:szCs w:val="21"/>
              </w:rPr>
            </w:pPr>
            <w:r>
              <w:rPr>
                <w:rFonts w:ascii="宋体" w:hAnsi="宋体" w:cs="Arial"/>
                <w:b w:val="0"/>
                <w:szCs w:val="21"/>
              </w:rPr>
              <w:t>66#</w:t>
            </w:r>
            <w:r>
              <w:rPr>
                <w:rFonts w:hint="eastAsia" w:ascii="宋体" w:hAnsi="宋体" w:cs="Arial"/>
                <w:b w:val="0"/>
                <w:szCs w:val="21"/>
              </w:rPr>
              <w:t>黑火药库</w:t>
            </w:r>
          </w:p>
        </w:tc>
        <w:tc>
          <w:tcPr>
            <w:tcW w:w="1427" w:type="dxa"/>
            <w:vAlign w:val="center"/>
          </w:tcPr>
          <w:p w14:paraId="23C45B19">
            <w:pPr>
              <w:jc w:val="center"/>
              <w:rPr>
                <w:rFonts w:ascii="宋体" w:hAnsi="宋体" w:cs="Arial"/>
                <w:b w:val="0"/>
                <w:szCs w:val="21"/>
              </w:rPr>
            </w:pPr>
            <w:r>
              <w:rPr>
                <w:rFonts w:hint="eastAsia" w:ascii="宋体" w:hAnsi="宋体" w:cs="Arial"/>
                <w:b w:val="0"/>
                <w:szCs w:val="21"/>
              </w:rPr>
              <w:t>1</w:t>
            </w:r>
            <w:r>
              <w:rPr>
                <w:rFonts w:ascii="宋体" w:hAnsi="宋体" w:cs="Arial"/>
                <w:b w:val="0"/>
                <w:szCs w:val="21"/>
              </w:rPr>
              <w:t>.5</w:t>
            </w:r>
          </w:p>
        </w:tc>
        <w:tc>
          <w:tcPr>
            <w:tcW w:w="1360" w:type="dxa"/>
            <w:vAlign w:val="center"/>
          </w:tcPr>
          <w:p w14:paraId="3EE78DB2">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5433C7AB">
            <w:pPr>
              <w:jc w:val="center"/>
              <w:rPr>
                <w:rFonts w:ascii="宋体" w:hAnsi="宋体"/>
                <w:b w:val="0"/>
                <w:szCs w:val="21"/>
              </w:rPr>
            </w:pPr>
          </w:p>
        </w:tc>
      </w:tr>
      <w:tr w14:paraId="0FF73097">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01123C3F">
            <w:pPr>
              <w:adjustRightInd w:val="0"/>
              <w:snapToGrid w:val="0"/>
              <w:ind w:left="-8" w:leftChars="-4"/>
              <w:jc w:val="center"/>
              <w:rPr>
                <w:rFonts w:ascii="宋体" w:hAnsi="宋体"/>
                <w:b w:val="0"/>
                <w:szCs w:val="21"/>
              </w:rPr>
            </w:pPr>
          </w:p>
        </w:tc>
        <w:tc>
          <w:tcPr>
            <w:tcW w:w="895" w:type="dxa"/>
            <w:vMerge w:val="restart"/>
            <w:vAlign w:val="center"/>
          </w:tcPr>
          <w:p w14:paraId="339DE739">
            <w:pPr>
              <w:rPr>
                <w:rFonts w:ascii="宋体" w:hAnsi="宋体"/>
                <w:b w:val="0"/>
                <w:szCs w:val="21"/>
              </w:rPr>
            </w:pPr>
            <w:r>
              <w:rPr>
                <w:rFonts w:ascii="宋体" w:hAnsi="宋体"/>
                <w:b w:val="0"/>
                <w:szCs w:val="21"/>
              </w:rPr>
              <w:t>2</w:t>
            </w:r>
            <w:r>
              <w:rPr>
                <w:rFonts w:hint="eastAsia" w:ascii="宋体" w:hAnsi="宋体"/>
                <w:b w:val="0"/>
                <w:szCs w:val="21"/>
              </w:rPr>
              <w:t>号黑火药库区（厂区西北面）</w:t>
            </w:r>
          </w:p>
        </w:tc>
        <w:tc>
          <w:tcPr>
            <w:tcW w:w="1687" w:type="dxa"/>
            <w:vAlign w:val="center"/>
          </w:tcPr>
          <w:p w14:paraId="4BBC413C">
            <w:pPr>
              <w:jc w:val="center"/>
              <w:rPr>
                <w:rFonts w:ascii="宋体" w:hAnsi="宋体" w:cs="Arial"/>
                <w:b w:val="0"/>
                <w:szCs w:val="21"/>
              </w:rPr>
            </w:pPr>
            <w:r>
              <w:rPr>
                <w:rFonts w:ascii="宋体" w:hAnsi="宋体" w:cs="Arial"/>
                <w:b w:val="0"/>
                <w:szCs w:val="21"/>
              </w:rPr>
              <w:t>107#</w:t>
            </w:r>
            <w:r>
              <w:rPr>
                <w:rFonts w:hint="eastAsia" w:ascii="宋体" w:hAnsi="宋体" w:cs="Arial"/>
                <w:b w:val="0"/>
                <w:szCs w:val="21"/>
              </w:rPr>
              <w:t>黑火药库</w:t>
            </w:r>
          </w:p>
        </w:tc>
        <w:tc>
          <w:tcPr>
            <w:tcW w:w="1427" w:type="dxa"/>
            <w:vAlign w:val="center"/>
          </w:tcPr>
          <w:p w14:paraId="101F83BD">
            <w:pPr>
              <w:jc w:val="center"/>
              <w:rPr>
                <w:rFonts w:ascii="宋体" w:hAnsi="宋体" w:cs="Arial"/>
                <w:b w:val="0"/>
                <w:szCs w:val="21"/>
              </w:rPr>
            </w:pPr>
            <w:r>
              <w:rPr>
                <w:rFonts w:hint="eastAsia" w:ascii="宋体" w:hAnsi="宋体" w:cs="Arial"/>
                <w:b w:val="0"/>
                <w:szCs w:val="21"/>
              </w:rPr>
              <w:t>2</w:t>
            </w:r>
            <w:r>
              <w:rPr>
                <w:rFonts w:ascii="宋体" w:hAnsi="宋体" w:cs="Arial"/>
                <w:b w:val="0"/>
                <w:szCs w:val="21"/>
              </w:rPr>
              <w:t>.4</w:t>
            </w:r>
          </w:p>
        </w:tc>
        <w:tc>
          <w:tcPr>
            <w:tcW w:w="1360" w:type="dxa"/>
            <w:vAlign w:val="center"/>
          </w:tcPr>
          <w:p w14:paraId="240D98DE">
            <w:pPr>
              <w:adjustRightInd w:val="0"/>
              <w:snapToGrid w:val="0"/>
              <w:jc w:val="center"/>
              <w:rPr>
                <w:rFonts w:ascii="宋体" w:hAnsi="宋体"/>
                <w:b w:val="0"/>
                <w:szCs w:val="21"/>
              </w:rPr>
            </w:pPr>
            <w:r>
              <w:rPr>
                <w:rFonts w:hint="eastAsia" w:ascii="宋体" w:hAnsi="宋体"/>
                <w:b w:val="0"/>
                <w:szCs w:val="21"/>
              </w:rPr>
              <w:t>5</w:t>
            </w:r>
          </w:p>
        </w:tc>
        <w:tc>
          <w:tcPr>
            <w:tcW w:w="2691" w:type="dxa"/>
            <w:vMerge w:val="restart"/>
            <w:vAlign w:val="center"/>
          </w:tcPr>
          <w:p w14:paraId="38AE40C2">
            <w:pPr>
              <w:jc w:val="center"/>
              <w:rPr>
                <w:rFonts w:ascii="宋体" w:hAnsi="宋体"/>
                <w:b w:val="0"/>
                <w:szCs w:val="21"/>
              </w:rPr>
            </w:pPr>
            <w:r>
              <w:rPr>
                <w:rFonts w:hint="eastAsia" w:ascii="宋体" w:hAnsi="宋体"/>
                <w:b w:val="0"/>
                <w:szCs w:val="21"/>
              </w:rPr>
              <w:t>（2</w:t>
            </w:r>
            <w:r>
              <w:rPr>
                <w:rFonts w:ascii="宋体" w:hAnsi="宋体"/>
                <w:b w:val="0"/>
                <w:szCs w:val="21"/>
              </w:rPr>
              <w:t>.4+5+3+3+2+3+3</w:t>
            </w:r>
            <w:r>
              <w:rPr>
                <w:rFonts w:hint="eastAsia" w:ascii="宋体" w:hAnsi="宋体"/>
                <w:b w:val="0"/>
                <w:szCs w:val="21"/>
              </w:rPr>
              <w:t>）/</w:t>
            </w:r>
            <w:r>
              <w:rPr>
                <w:rFonts w:ascii="宋体" w:hAnsi="宋体"/>
                <w:b w:val="0"/>
                <w:szCs w:val="21"/>
              </w:rPr>
              <w:t>5=4.28</w:t>
            </w:r>
            <w:r>
              <w:rPr>
                <w:rFonts w:hint="eastAsia" w:ascii="宋体" w:hAnsi="宋体"/>
                <w:b w:val="0"/>
                <w:szCs w:val="21"/>
              </w:rPr>
              <w:t>＜1</w:t>
            </w:r>
          </w:p>
        </w:tc>
      </w:tr>
      <w:tr w14:paraId="47E14FD1">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190FC9BB">
            <w:pPr>
              <w:adjustRightInd w:val="0"/>
              <w:snapToGrid w:val="0"/>
              <w:ind w:left="-8" w:leftChars="-4"/>
              <w:jc w:val="center"/>
              <w:rPr>
                <w:rFonts w:ascii="宋体" w:hAnsi="宋体"/>
                <w:b w:val="0"/>
                <w:szCs w:val="21"/>
              </w:rPr>
            </w:pPr>
          </w:p>
        </w:tc>
        <w:tc>
          <w:tcPr>
            <w:tcW w:w="895" w:type="dxa"/>
            <w:vMerge w:val="continue"/>
            <w:vAlign w:val="center"/>
          </w:tcPr>
          <w:p w14:paraId="0DBAB93E">
            <w:pPr>
              <w:jc w:val="center"/>
              <w:rPr>
                <w:rFonts w:ascii="宋体" w:hAnsi="宋体"/>
                <w:b w:val="0"/>
                <w:szCs w:val="21"/>
              </w:rPr>
            </w:pPr>
          </w:p>
        </w:tc>
        <w:tc>
          <w:tcPr>
            <w:tcW w:w="1687" w:type="dxa"/>
            <w:vAlign w:val="center"/>
          </w:tcPr>
          <w:p w14:paraId="4F613CBD">
            <w:pPr>
              <w:jc w:val="center"/>
              <w:rPr>
                <w:rFonts w:ascii="宋体" w:hAnsi="宋体" w:cs="Arial"/>
                <w:b w:val="0"/>
                <w:szCs w:val="21"/>
              </w:rPr>
            </w:pPr>
            <w:r>
              <w:rPr>
                <w:rFonts w:ascii="宋体" w:hAnsi="宋体" w:cs="Arial"/>
                <w:b w:val="0"/>
                <w:szCs w:val="21"/>
              </w:rPr>
              <w:t>108#</w:t>
            </w:r>
            <w:r>
              <w:rPr>
                <w:rFonts w:hint="eastAsia" w:ascii="宋体" w:hAnsi="宋体" w:cs="Arial"/>
                <w:b w:val="0"/>
                <w:szCs w:val="21"/>
              </w:rPr>
              <w:t>黑火药库</w:t>
            </w:r>
          </w:p>
        </w:tc>
        <w:tc>
          <w:tcPr>
            <w:tcW w:w="1427" w:type="dxa"/>
            <w:vAlign w:val="center"/>
          </w:tcPr>
          <w:p w14:paraId="606407DC">
            <w:pPr>
              <w:jc w:val="center"/>
              <w:rPr>
                <w:rFonts w:ascii="宋体" w:hAnsi="宋体" w:cs="Arial"/>
                <w:b w:val="0"/>
                <w:szCs w:val="21"/>
              </w:rPr>
            </w:pPr>
            <w:r>
              <w:rPr>
                <w:rFonts w:hint="eastAsia" w:ascii="宋体" w:hAnsi="宋体" w:cs="Arial"/>
                <w:b w:val="0"/>
                <w:szCs w:val="21"/>
              </w:rPr>
              <w:t>5</w:t>
            </w:r>
          </w:p>
        </w:tc>
        <w:tc>
          <w:tcPr>
            <w:tcW w:w="1360" w:type="dxa"/>
            <w:vAlign w:val="center"/>
          </w:tcPr>
          <w:p w14:paraId="788E5DA8">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8ABF4F7">
            <w:pPr>
              <w:jc w:val="center"/>
              <w:rPr>
                <w:rFonts w:ascii="宋体" w:hAnsi="宋体"/>
                <w:b w:val="0"/>
                <w:szCs w:val="21"/>
              </w:rPr>
            </w:pPr>
          </w:p>
        </w:tc>
      </w:tr>
      <w:tr w14:paraId="52EAB4AB">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29BFE596">
            <w:pPr>
              <w:adjustRightInd w:val="0"/>
              <w:snapToGrid w:val="0"/>
              <w:ind w:left="-8" w:leftChars="-4"/>
              <w:jc w:val="center"/>
              <w:rPr>
                <w:rFonts w:ascii="宋体" w:hAnsi="宋体"/>
                <w:b w:val="0"/>
                <w:szCs w:val="21"/>
              </w:rPr>
            </w:pPr>
          </w:p>
        </w:tc>
        <w:tc>
          <w:tcPr>
            <w:tcW w:w="895" w:type="dxa"/>
            <w:vMerge w:val="continue"/>
            <w:vAlign w:val="center"/>
          </w:tcPr>
          <w:p w14:paraId="41D76B1B">
            <w:pPr>
              <w:jc w:val="center"/>
              <w:rPr>
                <w:rFonts w:ascii="宋体" w:hAnsi="宋体"/>
                <w:b w:val="0"/>
                <w:szCs w:val="21"/>
              </w:rPr>
            </w:pPr>
          </w:p>
        </w:tc>
        <w:tc>
          <w:tcPr>
            <w:tcW w:w="1687" w:type="dxa"/>
            <w:vAlign w:val="center"/>
          </w:tcPr>
          <w:p w14:paraId="0034CCD2">
            <w:pPr>
              <w:jc w:val="center"/>
              <w:rPr>
                <w:rFonts w:ascii="宋体" w:hAnsi="宋体" w:cs="Arial"/>
                <w:b w:val="0"/>
                <w:szCs w:val="21"/>
              </w:rPr>
            </w:pPr>
            <w:r>
              <w:rPr>
                <w:rFonts w:ascii="宋体" w:hAnsi="宋体" w:cs="Arial"/>
                <w:b w:val="0"/>
                <w:szCs w:val="21"/>
              </w:rPr>
              <w:t>109#</w:t>
            </w:r>
            <w:r>
              <w:rPr>
                <w:rFonts w:hint="eastAsia" w:ascii="宋体" w:hAnsi="宋体" w:cs="Arial"/>
                <w:b w:val="0"/>
                <w:szCs w:val="21"/>
              </w:rPr>
              <w:t>黑火药库</w:t>
            </w:r>
          </w:p>
        </w:tc>
        <w:tc>
          <w:tcPr>
            <w:tcW w:w="1427" w:type="dxa"/>
            <w:vAlign w:val="center"/>
          </w:tcPr>
          <w:p w14:paraId="04A237E2">
            <w:pPr>
              <w:jc w:val="center"/>
              <w:rPr>
                <w:rFonts w:ascii="宋体" w:hAnsi="宋体" w:cs="Arial"/>
                <w:b w:val="0"/>
                <w:szCs w:val="21"/>
              </w:rPr>
            </w:pPr>
            <w:r>
              <w:rPr>
                <w:rFonts w:hint="eastAsia" w:ascii="宋体" w:hAnsi="宋体" w:cs="Arial"/>
                <w:b w:val="0"/>
                <w:szCs w:val="21"/>
              </w:rPr>
              <w:t>3</w:t>
            </w:r>
          </w:p>
        </w:tc>
        <w:tc>
          <w:tcPr>
            <w:tcW w:w="1360" w:type="dxa"/>
            <w:vAlign w:val="center"/>
          </w:tcPr>
          <w:p w14:paraId="5E46974B">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5526F751">
            <w:pPr>
              <w:jc w:val="center"/>
              <w:rPr>
                <w:rFonts w:ascii="宋体" w:hAnsi="宋体"/>
                <w:b w:val="0"/>
                <w:szCs w:val="21"/>
              </w:rPr>
            </w:pPr>
          </w:p>
        </w:tc>
      </w:tr>
      <w:tr w14:paraId="091DDAC1">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1121E096">
            <w:pPr>
              <w:adjustRightInd w:val="0"/>
              <w:snapToGrid w:val="0"/>
              <w:ind w:left="-8" w:leftChars="-4"/>
              <w:jc w:val="center"/>
              <w:rPr>
                <w:rFonts w:ascii="宋体" w:hAnsi="宋体"/>
                <w:b w:val="0"/>
                <w:szCs w:val="21"/>
              </w:rPr>
            </w:pPr>
          </w:p>
        </w:tc>
        <w:tc>
          <w:tcPr>
            <w:tcW w:w="895" w:type="dxa"/>
            <w:vMerge w:val="continue"/>
            <w:vAlign w:val="center"/>
          </w:tcPr>
          <w:p w14:paraId="5BB19383">
            <w:pPr>
              <w:jc w:val="center"/>
              <w:rPr>
                <w:rFonts w:ascii="宋体" w:hAnsi="宋体"/>
                <w:b w:val="0"/>
                <w:szCs w:val="21"/>
              </w:rPr>
            </w:pPr>
          </w:p>
        </w:tc>
        <w:tc>
          <w:tcPr>
            <w:tcW w:w="1687" w:type="dxa"/>
            <w:vAlign w:val="center"/>
          </w:tcPr>
          <w:p w14:paraId="4674EB32">
            <w:pPr>
              <w:jc w:val="center"/>
              <w:rPr>
                <w:rFonts w:ascii="宋体" w:hAnsi="宋体" w:cs="Arial"/>
                <w:b w:val="0"/>
                <w:szCs w:val="21"/>
              </w:rPr>
            </w:pPr>
            <w:r>
              <w:rPr>
                <w:rFonts w:ascii="宋体" w:hAnsi="宋体" w:cs="Arial"/>
                <w:b w:val="0"/>
                <w:szCs w:val="21"/>
              </w:rPr>
              <w:t>110#</w:t>
            </w:r>
            <w:r>
              <w:rPr>
                <w:rFonts w:hint="eastAsia" w:ascii="宋体" w:hAnsi="宋体" w:cs="Arial"/>
                <w:b w:val="0"/>
                <w:szCs w:val="21"/>
              </w:rPr>
              <w:t>黑火药库</w:t>
            </w:r>
          </w:p>
        </w:tc>
        <w:tc>
          <w:tcPr>
            <w:tcW w:w="1427" w:type="dxa"/>
            <w:vAlign w:val="center"/>
          </w:tcPr>
          <w:p w14:paraId="0E6FB881">
            <w:pPr>
              <w:jc w:val="center"/>
              <w:rPr>
                <w:rFonts w:ascii="宋体" w:hAnsi="宋体" w:cs="Arial"/>
                <w:b w:val="0"/>
                <w:szCs w:val="21"/>
              </w:rPr>
            </w:pPr>
            <w:r>
              <w:rPr>
                <w:rFonts w:hint="eastAsia" w:ascii="宋体" w:hAnsi="宋体" w:cs="Arial"/>
                <w:b w:val="0"/>
                <w:szCs w:val="21"/>
              </w:rPr>
              <w:t>3</w:t>
            </w:r>
          </w:p>
        </w:tc>
        <w:tc>
          <w:tcPr>
            <w:tcW w:w="1360" w:type="dxa"/>
            <w:vAlign w:val="center"/>
          </w:tcPr>
          <w:p w14:paraId="6F05F072">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51E63F79">
            <w:pPr>
              <w:jc w:val="center"/>
              <w:rPr>
                <w:rFonts w:ascii="宋体" w:hAnsi="宋体"/>
                <w:b w:val="0"/>
                <w:szCs w:val="21"/>
              </w:rPr>
            </w:pPr>
          </w:p>
        </w:tc>
      </w:tr>
      <w:tr w14:paraId="146E8EB3">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595DD0C3">
            <w:pPr>
              <w:adjustRightInd w:val="0"/>
              <w:snapToGrid w:val="0"/>
              <w:ind w:left="-8" w:leftChars="-4"/>
              <w:jc w:val="center"/>
              <w:rPr>
                <w:rFonts w:ascii="宋体" w:hAnsi="宋体"/>
                <w:b w:val="0"/>
                <w:szCs w:val="21"/>
              </w:rPr>
            </w:pPr>
          </w:p>
        </w:tc>
        <w:tc>
          <w:tcPr>
            <w:tcW w:w="895" w:type="dxa"/>
            <w:vMerge w:val="continue"/>
            <w:vAlign w:val="center"/>
          </w:tcPr>
          <w:p w14:paraId="7F1EC0F2">
            <w:pPr>
              <w:jc w:val="center"/>
              <w:rPr>
                <w:rFonts w:ascii="宋体" w:hAnsi="宋体"/>
                <w:b w:val="0"/>
                <w:szCs w:val="21"/>
              </w:rPr>
            </w:pPr>
          </w:p>
        </w:tc>
        <w:tc>
          <w:tcPr>
            <w:tcW w:w="1687" w:type="dxa"/>
            <w:vAlign w:val="center"/>
          </w:tcPr>
          <w:p w14:paraId="59DD0AA2">
            <w:pPr>
              <w:jc w:val="center"/>
              <w:rPr>
                <w:rFonts w:ascii="宋体" w:hAnsi="宋体" w:cs="Arial"/>
                <w:b w:val="0"/>
                <w:szCs w:val="21"/>
              </w:rPr>
            </w:pPr>
            <w:r>
              <w:rPr>
                <w:rFonts w:ascii="宋体" w:hAnsi="宋体" w:cs="Arial"/>
                <w:b w:val="0"/>
                <w:szCs w:val="21"/>
              </w:rPr>
              <w:t>111#</w:t>
            </w:r>
            <w:r>
              <w:rPr>
                <w:rFonts w:hint="eastAsia" w:ascii="宋体" w:hAnsi="宋体" w:cs="Arial"/>
                <w:b w:val="0"/>
                <w:szCs w:val="21"/>
              </w:rPr>
              <w:t>黑火药库</w:t>
            </w:r>
          </w:p>
        </w:tc>
        <w:tc>
          <w:tcPr>
            <w:tcW w:w="1427" w:type="dxa"/>
            <w:vAlign w:val="center"/>
          </w:tcPr>
          <w:p w14:paraId="0FEDD979">
            <w:pPr>
              <w:jc w:val="center"/>
              <w:rPr>
                <w:rFonts w:ascii="宋体" w:hAnsi="宋体" w:cs="Arial"/>
                <w:b w:val="0"/>
                <w:szCs w:val="21"/>
              </w:rPr>
            </w:pPr>
            <w:r>
              <w:rPr>
                <w:rFonts w:hint="eastAsia" w:ascii="宋体" w:hAnsi="宋体" w:cs="Arial"/>
                <w:b w:val="0"/>
                <w:szCs w:val="21"/>
              </w:rPr>
              <w:t>3</w:t>
            </w:r>
          </w:p>
        </w:tc>
        <w:tc>
          <w:tcPr>
            <w:tcW w:w="1360" w:type="dxa"/>
            <w:vAlign w:val="center"/>
          </w:tcPr>
          <w:p w14:paraId="32BCAAA9">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AEBD59D">
            <w:pPr>
              <w:jc w:val="center"/>
              <w:rPr>
                <w:rFonts w:ascii="宋体" w:hAnsi="宋体"/>
                <w:b w:val="0"/>
                <w:szCs w:val="21"/>
              </w:rPr>
            </w:pPr>
          </w:p>
        </w:tc>
      </w:tr>
      <w:tr w14:paraId="5295D951">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70653860">
            <w:pPr>
              <w:adjustRightInd w:val="0"/>
              <w:snapToGrid w:val="0"/>
              <w:ind w:left="-8" w:leftChars="-4"/>
              <w:jc w:val="center"/>
              <w:rPr>
                <w:rFonts w:ascii="宋体" w:hAnsi="宋体"/>
                <w:b w:val="0"/>
                <w:szCs w:val="21"/>
              </w:rPr>
            </w:pPr>
          </w:p>
        </w:tc>
        <w:tc>
          <w:tcPr>
            <w:tcW w:w="895" w:type="dxa"/>
            <w:vMerge w:val="continue"/>
            <w:vAlign w:val="center"/>
          </w:tcPr>
          <w:p w14:paraId="7630A26C">
            <w:pPr>
              <w:jc w:val="center"/>
              <w:rPr>
                <w:rFonts w:ascii="宋体" w:hAnsi="宋体"/>
                <w:b w:val="0"/>
                <w:szCs w:val="21"/>
              </w:rPr>
            </w:pPr>
          </w:p>
        </w:tc>
        <w:tc>
          <w:tcPr>
            <w:tcW w:w="1687" w:type="dxa"/>
            <w:vAlign w:val="center"/>
          </w:tcPr>
          <w:p w14:paraId="42D40AA3">
            <w:pPr>
              <w:jc w:val="center"/>
              <w:rPr>
                <w:rFonts w:ascii="宋体" w:hAnsi="宋体" w:cs="Arial"/>
                <w:b w:val="0"/>
                <w:szCs w:val="21"/>
              </w:rPr>
            </w:pPr>
            <w:r>
              <w:rPr>
                <w:rFonts w:ascii="宋体" w:hAnsi="宋体" w:cs="Arial"/>
                <w:b w:val="0"/>
                <w:szCs w:val="21"/>
              </w:rPr>
              <w:t>112#</w:t>
            </w:r>
            <w:r>
              <w:rPr>
                <w:rFonts w:hint="eastAsia" w:ascii="宋体" w:hAnsi="宋体" w:cs="Arial"/>
                <w:b w:val="0"/>
                <w:szCs w:val="21"/>
              </w:rPr>
              <w:t>黑火药库</w:t>
            </w:r>
          </w:p>
        </w:tc>
        <w:tc>
          <w:tcPr>
            <w:tcW w:w="1427" w:type="dxa"/>
            <w:vAlign w:val="center"/>
          </w:tcPr>
          <w:p w14:paraId="5BA8DD5D">
            <w:pPr>
              <w:jc w:val="center"/>
              <w:rPr>
                <w:rFonts w:ascii="宋体" w:hAnsi="宋体" w:cs="Arial"/>
                <w:b w:val="0"/>
                <w:szCs w:val="21"/>
              </w:rPr>
            </w:pPr>
            <w:r>
              <w:rPr>
                <w:rFonts w:hint="eastAsia" w:ascii="宋体" w:hAnsi="宋体" w:cs="Arial"/>
                <w:b w:val="0"/>
                <w:szCs w:val="21"/>
              </w:rPr>
              <w:t>3</w:t>
            </w:r>
          </w:p>
        </w:tc>
        <w:tc>
          <w:tcPr>
            <w:tcW w:w="1360" w:type="dxa"/>
            <w:vAlign w:val="center"/>
          </w:tcPr>
          <w:p w14:paraId="784123EE">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760C57EB">
            <w:pPr>
              <w:jc w:val="center"/>
              <w:rPr>
                <w:rFonts w:ascii="宋体" w:hAnsi="宋体"/>
                <w:b w:val="0"/>
                <w:szCs w:val="21"/>
              </w:rPr>
            </w:pPr>
          </w:p>
        </w:tc>
      </w:tr>
      <w:tr w14:paraId="0F4D5BB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1098" w:type="dxa"/>
            <w:vMerge w:val="continue"/>
            <w:vAlign w:val="center"/>
          </w:tcPr>
          <w:p w14:paraId="59BED782">
            <w:pPr>
              <w:adjustRightInd w:val="0"/>
              <w:snapToGrid w:val="0"/>
              <w:ind w:left="-8" w:leftChars="-4"/>
              <w:jc w:val="center"/>
              <w:rPr>
                <w:rFonts w:ascii="宋体" w:hAnsi="宋体"/>
                <w:b w:val="0"/>
                <w:szCs w:val="21"/>
              </w:rPr>
            </w:pPr>
          </w:p>
        </w:tc>
        <w:tc>
          <w:tcPr>
            <w:tcW w:w="895" w:type="dxa"/>
            <w:vMerge w:val="continue"/>
            <w:vAlign w:val="center"/>
          </w:tcPr>
          <w:p w14:paraId="095E8353">
            <w:pPr>
              <w:jc w:val="center"/>
              <w:rPr>
                <w:rFonts w:ascii="宋体" w:hAnsi="宋体"/>
                <w:b w:val="0"/>
                <w:szCs w:val="21"/>
              </w:rPr>
            </w:pPr>
          </w:p>
        </w:tc>
        <w:tc>
          <w:tcPr>
            <w:tcW w:w="1687" w:type="dxa"/>
            <w:vAlign w:val="center"/>
          </w:tcPr>
          <w:p w14:paraId="09E0CC9D">
            <w:pPr>
              <w:jc w:val="center"/>
              <w:rPr>
                <w:rFonts w:ascii="宋体" w:hAnsi="宋体" w:cs="Arial"/>
                <w:b w:val="0"/>
                <w:szCs w:val="21"/>
              </w:rPr>
            </w:pPr>
            <w:r>
              <w:rPr>
                <w:rFonts w:ascii="宋体" w:hAnsi="宋体" w:cs="Arial"/>
                <w:b w:val="0"/>
                <w:szCs w:val="21"/>
              </w:rPr>
              <w:t>113#</w:t>
            </w:r>
            <w:r>
              <w:rPr>
                <w:rFonts w:hint="eastAsia" w:ascii="宋体" w:hAnsi="宋体" w:cs="Arial"/>
                <w:b w:val="0"/>
                <w:szCs w:val="21"/>
              </w:rPr>
              <w:t>黑火药库</w:t>
            </w:r>
          </w:p>
        </w:tc>
        <w:tc>
          <w:tcPr>
            <w:tcW w:w="1427" w:type="dxa"/>
            <w:vAlign w:val="center"/>
          </w:tcPr>
          <w:p w14:paraId="10166520">
            <w:pPr>
              <w:jc w:val="center"/>
              <w:rPr>
                <w:rFonts w:ascii="宋体" w:hAnsi="宋体" w:cs="Arial"/>
                <w:b w:val="0"/>
                <w:szCs w:val="21"/>
              </w:rPr>
            </w:pPr>
            <w:r>
              <w:rPr>
                <w:rFonts w:hint="eastAsia" w:ascii="宋体" w:hAnsi="宋体" w:cs="Arial"/>
                <w:b w:val="0"/>
                <w:szCs w:val="21"/>
              </w:rPr>
              <w:t>2</w:t>
            </w:r>
          </w:p>
        </w:tc>
        <w:tc>
          <w:tcPr>
            <w:tcW w:w="1360" w:type="dxa"/>
            <w:vAlign w:val="center"/>
          </w:tcPr>
          <w:p w14:paraId="4632380B">
            <w:pPr>
              <w:adjustRightInd w:val="0"/>
              <w:snapToGrid w:val="0"/>
              <w:jc w:val="center"/>
              <w:rPr>
                <w:rFonts w:ascii="宋体" w:hAnsi="宋体"/>
                <w:b w:val="0"/>
                <w:szCs w:val="21"/>
              </w:rPr>
            </w:pPr>
            <w:r>
              <w:rPr>
                <w:rFonts w:hint="eastAsia" w:ascii="宋体" w:hAnsi="宋体"/>
                <w:b w:val="0"/>
                <w:szCs w:val="21"/>
              </w:rPr>
              <w:t>5</w:t>
            </w:r>
          </w:p>
        </w:tc>
        <w:tc>
          <w:tcPr>
            <w:tcW w:w="2691" w:type="dxa"/>
            <w:vMerge w:val="continue"/>
            <w:vAlign w:val="center"/>
          </w:tcPr>
          <w:p w14:paraId="0F9CD969">
            <w:pPr>
              <w:jc w:val="center"/>
              <w:rPr>
                <w:rFonts w:ascii="宋体" w:hAnsi="宋体"/>
                <w:b w:val="0"/>
                <w:szCs w:val="21"/>
              </w:rPr>
            </w:pPr>
          </w:p>
        </w:tc>
      </w:tr>
      <w:tr w14:paraId="7B294928">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108" w:type="dxa"/>
            <w:bottom w:w="0" w:type="dxa"/>
            <w:right w:w="108" w:type="dxa"/>
          </w:tblCellMar>
        </w:tblPrEx>
        <w:trPr>
          <w:cantSplit/>
          <w:trHeight w:val="797" w:hRule="atLeast"/>
          <w:jc w:val="center"/>
        </w:trPr>
        <w:tc>
          <w:tcPr>
            <w:tcW w:w="9158" w:type="dxa"/>
            <w:gridSpan w:val="6"/>
            <w:vAlign w:val="center"/>
          </w:tcPr>
          <w:p w14:paraId="25C3B19A">
            <w:pPr>
              <w:adjustRightInd w:val="0"/>
              <w:snapToGrid w:val="0"/>
              <w:rPr>
                <w:rFonts w:ascii="宋体" w:hAnsi="宋体" w:cs="宋体"/>
                <w:b w:val="0"/>
                <w:szCs w:val="21"/>
              </w:rPr>
            </w:pPr>
            <w:r>
              <w:rPr>
                <w:rFonts w:hint="eastAsia" w:ascii="宋体" w:hAnsi="宋体" w:cs="宋体"/>
                <w:b w:val="0"/>
                <w:szCs w:val="21"/>
              </w:rPr>
              <w:t>备注：①生产单元为了简化计算，</w:t>
            </w:r>
            <w:r>
              <w:rPr>
                <w:rFonts w:ascii="宋体" w:hAnsi="宋体" w:cs="宋体"/>
                <w:b w:val="0"/>
                <w:szCs w:val="21"/>
              </w:rPr>
              <w:t>1.1</w:t>
            </w:r>
            <w:r>
              <w:rPr>
                <w:rFonts w:hint="eastAsia" w:ascii="宋体" w:hAnsi="宋体" w:cs="宋体"/>
                <w:b w:val="0"/>
                <w:szCs w:val="21"/>
              </w:rPr>
              <w:t>级和</w:t>
            </w:r>
            <w:r>
              <w:rPr>
                <w:rFonts w:ascii="宋体" w:hAnsi="宋体" w:cs="宋体"/>
                <w:b w:val="0"/>
                <w:szCs w:val="21"/>
              </w:rPr>
              <w:t>1.3</w:t>
            </w:r>
            <w:r>
              <w:rPr>
                <w:rFonts w:hint="eastAsia" w:ascii="宋体" w:hAnsi="宋体" w:cs="宋体"/>
                <w:b w:val="0"/>
                <w:szCs w:val="21"/>
              </w:rPr>
              <w:t>级工房分别选取计算药量最大的工房为代表；</w:t>
            </w:r>
          </w:p>
          <w:p w14:paraId="5F813709">
            <w:pPr>
              <w:adjustRightInd w:val="0"/>
              <w:snapToGrid w:val="0"/>
              <w:ind w:firstLine="630" w:firstLineChars="300"/>
              <w:rPr>
                <w:rFonts w:ascii="宋体" w:hAnsi="宋体"/>
                <w:b w:val="0"/>
                <w:szCs w:val="21"/>
              </w:rPr>
            </w:pPr>
            <w:r>
              <w:rPr>
                <w:rFonts w:hint="eastAsia" w:ascii="宋体" w:hAnsi="宋体" w:cs="宋体"/>
                <w:b w:val="0"/>
                <w:szCs w:val="21"/>
              </w:rPr>
              <w:t>②1</w:t>
            </w:r>
            <w:r>
              <w:rPr>
                <w:rFonts w:ascii="宋体" w:hAnsi="宋体" w:cs="宋体"/>
                <w:b w:val="0"/>
                <w:szCs w:val="21"/>
              </w:rPr>
              <w:t>9#</w:t>
            </w:r>
            <w:r>
              <w:rPr>
                <w:rFonts w:hint="eastAsia" w:ascii="宋体" w:hAnsi="宋体" w:cs="宋体"/>
                <w:b w:val="0"/>
                <w:szCs w:val="21"/>
              </w:rPr>
              <w:t>、6</w:t>
            </w:r>
            <w:r>
              <w:rPr>
                <w:rFonts w:ascii="宋体" w:hAnsi="宋体" w:cs="宋体"/>
                <w:b w:val="0"/>
                <w:szCs w:val="21"/>
              </w:rPr>
              <w:t>9#</w:t>
            </w:r>
            <w:r>
              <w:rPr>
                <w:rFonts w:hint="eastAsia" w:ascii="宋体" w:hAnsi="宋体" w:cs="宋体"/>
                <w:b w:val="0"/>
                <w:szCs w:val="21"/>
              </w:rPr>
              <w:t>原材料中转考虑到存放物质为“硝酸钾、硫磺、木炭”，各物质临界量均不同，此次以储存的物质中临界量最小的硫磺为标准临界量取值。</w:t>
            </w:r>
          </w:p>
        </w:tc>
      </w:tr>
    </w:tbl>
    <w:p w14:paraId="79E86B27">
      <w:pPr>
        <w:spacing w:before="120" w:beforeLines="50" w:line="360" w:lineRule="auto"/>
        <w:ind w:firstLine="560" w:firstLineChars="200"/>
        <w:rPr>
          <w:rFonts w:ascii="宋体" w:hAnsi="宋体"/>
          <w:b w:val="0"/>
          <w:sz w:val="28"/>
          <w:szCs w:val="28"/>
        </w:rPr>
      </w:pPr>
      <w:r>
        <w:rPr>
          <w:rFonts w:hint="eastAsia" w:ascii="宋体" w:hAnsi="宋体"/>
          <w:b w:val="0"/>
          <w:sz w:val="28"/>
          <w:szCs w:val="28"/>
        </w:rPr>
        <w:t>根据以上计算，本项目辨识单元中1号黑火药库区储存单元（厂区西南面）和2号黑火药库区储存单元（厂区西北面）已构成烟花爆竹重大危险源，其他辨识单位均不构成烟花爆竹重大危险源。</w:t>
      </w:r>
    </w:p>
    <w:p w14:paraId="6463BF76">
      <w:pPr>
        <w:spacing w:before="120" w:beforeLines="50" w:line="360" w:lineRule="auto"/>
        <w:outlineLvl w:val="2"/>
        <w:rPr>
          <w:rFonts w:ascii="黑体" w:hAnsi="黑体" w:eastAsia="黑体"/>
          <w:b w:val="0"/>
          <w:sz w:val="30"/>
          <w:szCs w:val="30"/>
        </w:rPr>
      </w:pPr>
      <w:r>
        <w:rPr>
          <w:rFonts w:hint="eastAsia" w:ascii="黑体" w:hAnsi="黑体" w:eastAsia="黑体"/>
          <w:b w:val="0"/>
          <w:sz w:val="30"/>
          <w:szCs w:val="30"/>
        </w:rPr>
        <w:t>3.</w:t>
      </w:r>
      <w:r>
        <w:rPr>
          <w:rFonts w:ascii="黑体" w:hAnsi="黑体" w:eastAsia="黑体"/>
          <w:b w:val="0"/>
          <w:sz w:val="30"/>
          <w:szCs w:val="30"/>
        </w:rPr>
        <w:t>5</w:t>
      </w:r>
      <w:r>
        <w:rPr>
          <w:rFonts w:hint="eastAsia" w:ascii="黑体" w:hAnsi="黑体" w:eastAsia="黑体"/>
          <w:b w:val="0"/>
          <w:sz w:val="30"/>
          <w:szCs w:val="30"/>
        </w:rPr>
        <w:t>.</w:t>
      </w:r>
      <w:r>
        <w:rPr>
          <w:rFonts w:ascii="黑体" w:hAnsi="黑体" w:eastAsia="黑体"/>
          <w:b w:val="0"/>
          <w:sz w:val="30"/>
          <w:szCs w:val="30"/>
        </w:rPr>
        <w:t>4</w:t>
      </w:r>
      <w:r>
        <w:rPr>
          <w:rFonts w:hint="eastAsia" w:ascii="黑体" w:hAnsi="黑体" w:eastAsia="黑体"/>
          <w:b w:val="0"/>
          <w:sz w:val="30"/>
          <w:szCs w:val="30"/>
        </w:rPr>
        <w:t>重大危险源分级</w:t>
      </w:r>
    </w:p>
    <w:p w14:paraId="61B4FB4A">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根据《危险化学品重大危险源监督管理暂行规定》（</w:t>
      </w:r>
      <w:r>
        <w:rPr>
          <w:rFonts w:hint="eastAsia" w:ascii="宋体" w:hAnsi="宋体" w:cs="宋体"/>
          <w:b w:val="0"/>
          <w:bCs/>
          <w:color w:val="000000"/>
          <w:sz w:val="28"/>
          <w:szCs w:val="28"/>
        </w:rPr>
        <w:t>安全监管总局令第</w:t>
      </w:r>
      <w:r>
        <w:rPr>
          <w:rFonts w:ascii="宋体" w:hAnsi="宋体" w:cs="宋体"/>
          <w:b w:val="0"/>
          <w:bCs/>
          <w:color w:val="000000"/>
          <w:sz w:val="28"/>
          <w:szCs w:val="28"/>
        </w:rPr>
        <w:t>40</w:t>
      </w:r>
      <w:r>
        <w:rPr>
          <w:rFonts w:hint="eastAsia" w:ascii="宋体" w:hAnsi="宋体" w:cs="宋体"/>
          <w:b w:val="0"/>
          <w:bCs/>
          <w:color w:val="000000"/>
          <w:sz w:val="28"/>
          <w:szCs w:val="28"/>
        </w:rPr>
        <w:t>号</w:t>
      </w:r>
      <w:r>
        <w:rPr>
          <w:rFonts w:hint="eastAsia" w:ascii="宋体" w:hAnsi="宋体" w:cs="宋体"/>
          <w:b w:val="0"/>
          <w:color w:val="000000"/>
          <w:sz w:val="28"/>
          <w:szCs w:val="28"/>
        </w:rPr>
        <w:t>）对湖南金帝烟花爆竹制造有限公司泉水工区已构成烟花爆竹重大危险源的</w:t>
      </w:r>
      <w:r>
        <w:rPr>
          <w:rFonts w:hint="eastAsia" w:ascii="宋体" w:hAnsi="宋体"/>
          <w:b w:val="0"/>
          <w:sz w:val="28"/>
          <w:szCs w:val="28"/>
        </w:rPr>
        <w:t>1号黑火药库区储存单元（厂区西南面）和2号黑火药库区储存单元（厂区西北面）</w:t>
      </w:r>
      <w:r>
        <w:rPr>
          <w:rFonts w:hint="eastAsia" w:ascii="宋体" w:hAnsi="宋体" w:cs="宋体"/>
          <w:b w:val="0"/>
          <w:color w:val="000000"/>
          <w:sz w:val="28"/>
          <w:szCs w:val="28"/>
        </w:rPr>
        <w:t>进行重大危险源分级。</w:t>
      </w:r>
    </w:p>
    <w:p w14:paraId="77193586">
      <w:pPr>
        <w:spacing w:line="360" w:lineRule="auto"/>
        <w:ind w:firstLine="562" w:firstLineChars="200"/>
        <w:rPr>
          <w:rFonts w:ascii="宋体" w:hAns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1</w:t>
      </w:r>
      <w:r>
        <w:rPr>
          <w:rFonts w:hint="eastAsia" w:ascii="宋体" w:hAnsi="宋体" w:cs="宋体"/>
          <w:color w:val="000000"/>
          <w:sz w:val="28"/>
          <w:szCs w:val="28"/>
        </w:rPr>
        <w:t>）危险化学品重大危险源分级方法</w:t>
      </w:r>
    </w:p>
    <w:p w14:paraId="1D27483F">
      <w:pPr>
        <w:spacing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1</w:t>
      </w:r>
      <w:r>
        <w:rPr>
          <w:rFonts w:hint="eastAsia" w:ascii="宋体" w:hAnsi="宋体" w:cs="宋体"/>
          <w:b w:val="0"/>
          <w:color w:val="000000"/>
          <w:sz w:val="28"/>
          <w:szCs w:val="28"/>
        </w:rPr>
        <w:t>）分级指标</w:t>
      </w:r>
    </w:p>
    <w:p w14:paraId="070B6864">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采用单元内各种危险化学品实际存在量与其相对应的临界量比值，经校正系数校正后的比值之和</w:t>
      </w:r>
      <w:r>
        <w:rPr>
          <w:rFonts w:ascii="宋体" w:hAnsi="宋体" w:cs="宋体"/>
          <w:b w:val="0"/>
          <w:i/>
          <w:color w:val="000000"/>
          <w:sz w:val="28"/>
          <w:szCs w:val="28"/>
        </w:rPr>
        <w:t>R</w:t>
      </w:r>
      <w:r>
        <w:rPr>
          <w:rFonts w:hint="eastAsia" w:ascii="宋体" w:hAnsi="宋体" w:cs="宋体"/>
          <w:b w:val="0"/>
          <w:color w:val="000000"/>
          <w:sz w:val="28"/>
          <w:szCs w:val="28"/>
        </w:rPr>
        <w:t>作为分级指标。</w:t>
      </w:r>
    </w:p>
    <w:p w14:paraId="5BB06D16">
      <w:pPr>
        <w:spacing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2</w:t>
      </w:r>
      <w:r>
        <w:rPr>
          <w:rFonts w:hint="eastAsia" w:ascii="宋体" w:hAnsi="宋体" w:cs="宋体"/>
          <w:b w:val="0"/>
          <w:color w:val="000000"/>
          <w:sz w:val="28"/>
          <w:szCs w:val="28"/>
        </w:rPr>
        <w:t>）</w:t>
      </w:r>
      <w:r>
        <w:rPr>
          <w:rFonts w:ascii="宋体" w:hAnsi="宋体" w:cs="宋体"/>
          <w:b w:val="0"/>
          <w:color w:val="000000"/>
          <w:sz w:val="28"/>
          <w:szCs w:val="28"/>
        </w:rPr>
        <w:t>R</w:t>
      </w:r>
      <w:r>
        <w:rPr>
          <w:rFonts w:hint="eastAsia" w:ascii="宋体" w:hAnsi="宋体" w:cs="宋体"/>
          <w:b w:val="0"/>
          <w:color w:val="000000"/>
          <w:sz w:val="28"/>
          <w:szCs w:val="28"/>
        </w:rPr>
        <w:t>的计算方法</w:t>
      </w:r>
    </w:p>
    <w:p w14:paraId="1A55DE01">
      <w:pPr>
        <w:spacing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drawing>
          <wp:inline distT="0" distB="0" distL="0" distR="0">
            <wp:extent cx="3076575" cy="6191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076575" cy="619125"/>
                    </a:xfrm>
                    <a:prstGeom prst="rect">
                      <a:avLst/>
                    </a:prstGeom>
                    <a:noFill/>
                    <a:ln>
                      <a:noFill/>
                    </a:ln>
                  </pic:spPr>
                </pic:pic>
              </a:graphicData>
            </a:graphic>
          </wp:inline>
        </w:drawing>
      </w:r>
    </w:p>
    <w:p w14:paraId="6B328D40">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式中：</w:t>
      </w:r>
    </w:p>
    <w:p w14:paraId="0D61B5A2">
      <w:pPr>
        <w:spacing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R—</w:t>
      </w:r>
      <w:r>
        <w:rPr>
          <w:rFonts w:hint="eastAsia" w:ascii="宋体" w:hAnsi="宋体" w:cs="宋体"/>
          <w:b w:val="0"/>
          <w:color w:val="000000"/>
          <w:sz w:val="28"/>
          <w:szCs w:val="28"/>
        </w:rPr>
        <w:t>重大危险源分级指标</w:t>
      </w:r>
    </w:p>
    <w:p w14:paraId="7881B22F">
      <w:pPr>
        <w:spacing w:line="360" w:lineRule="auto"/>
        <w:ind w:firstLine="560" w:firstLineChars="200"/>
        <w:rPr>
          <w:rFonts w:ascii="宋体" w:hAnsi="宋体" w:cs="宋体"/>
          <w:b w:val="0"/>
          <w:color w:val="000000"/>
          <w:sz w:val="28"/>
          <w:szCs w:val="28"/>
        </w:rPr>
      </w:pPr>
      <w:r>
        <w:rPr>
          <w:rFonts w:ascii="宋体" w:hAnsi="宋体" w:cs="宋体"/>
          <w:b w:val="0"/>
          <w:i/>
          <w:color w:val="000000"/>
          <w:sz w:val="28"/>
          <w:szCs w:val="28"/>
        </w:rPr>
        <w:t>q</w:t>
      </w:r>
      <w:r>
        <w:rPr>
          <w:rFonts w:ascii="宋体" w:hAnsi="宋体" w:cs="宋体"/>
          <w:b w:val="0"/>
          <w:i/>
          <w:color w:val="000000"/>
          <w:sz w:val="28"/>
          <w:szCs w:val="28"/>
          <w:vertAlign w:val="subscript"/>
        </w:rPr>
        <w:t>1</w:t>
      </w:r>
      <w:r>
        <w:rPr>
          <w:rFonts w:ascii="宋体" w:hAnsi="宋体" w:cs="宋体"/>
          <w:b w:val="0"/>
          <w:i/>
          <w:color w:val="000000"/>
          <w:sz w:val="28"/>
          <w:szCs w:val="28"/>
        </w:rPr>
        <w:t>,q</w:t>
      </w:r>
      <w:r>
        <w:rPr>
          <w:rFonts w:ascii="宋体" w:hAnsi="宋体" w:cs="宋体"/>
          <w:b w:val="0"/>
          <w:i/>
          <w:color w:val="000000"/>
          <w:sz w:val="28"/>
          <w:szCs w:val="28"/>
          <w:vertAlign w:val="subscript"/>
        </w:rPr>
        <w:t>2</w:t>
      </w:r>
      <w:r>
        <w:rPr>
          <w:rFonts w:ascii="宋体" w:hAnsi="宋体" w:cs="宋体"/>
          <w:b w:val="0"/>
          <w:i/>
          <w:color w:val="000000"/>
          <w:sz w:val="28"/>
          <w:szCs w:val="28"/>
        </w:rPr>
        <w:t>,</w:t>
      </w:r>
      <w:r>
        <w:rPr>
          <w:rFonts w:hint="eastAsia" w:ascii="宋体" w:hAnsi="宋体" w:cs="宋体"/>
          <w:b w:val="0"/>
          <w:i/>
          <w:color w:val="000000"/>
          <w:sz w:val="28"/>
          <w:szCs w:val="28"/>
        </w:rPr>
        <w:t>…</w:t>
      </w:r>
      <w:r>
        <w:rPr>
          <w:rFonts w:ascii="宋体" w:hAnsi="宋体" w:cs="宋体"/>
          <w:b w:val="0"/>
          <w:i/>
          <w:color w:val="000000"/>
          <w:sz w:val="28"/>
          <w:szCs w:val="28"/>
        </w:rPr>
        <w:t>,q</w:t>
      </w:r>
      <w:r>
        <w:rPr>
          <w:rFonts w:ascii="宋体" w:hAnsi="宋体" w:cs="宋体"/>
          <w:b w:val="0"/>
          <w:i/>
          <w:color w:val="000000"/>
          <w:sz w:val="28"/>
          <w:szCs w:val="28"/>
          <w:vertAlign w:val="subscript"/>
        </w:rPr>
        <w:t>n</w:t>
      </w:r>
      <w:r>
        <w:rPr>
          <w:rFonts w:ascii="宋体" w:hAnsi="宋体" w:cs="宋体"/>
          <w:b w:val="0"/>
          <w:color w:val="000000"/>
          <w:sz w:val="28"/>
          <w:szCs w:val="28"/>
        </w:rPr>
        <w:t xml:space="preserve"> —</w:t>
      </w:r>
      <w:r>
        <w:rPr>
          <w:rFonts w:hint="eastAsia" w:ascii="宋体" w:hAnsi="宋体" w:cs="宋体"/>
          <w:b w:val="0"/>
          <w:color w:val="000000"/>
          <w:sz w:val="28"/>
          <w:szCs w:val="28"/>
        </w:rPr>
        <w:t>每种危险化学品实际存在（在线）量（单位：吨）；</w:t>
      </w:r>
    </w:p>
    <w:p w14:paraId="229DA6F8">
      <w:pPr>
        <w:spacing w:line="360" w:lineRule="auto"/>
        <w:ind w:firstLine="560" w:firstLineChars="200"/>
        <w:rPr>
          <w:rFonts w:ascii="宋体" w:hAnsi="宋体" w:cs="宋体"/>
          <w:b w:val="0"/>
          <w:color w:val="000000"/>
          <w:sz w:val="28"/>
          <w:szCs w:val="28"/>
        </w:rPr>
      </w:pPr>
      <w:r>
        <w:rPr>
          <w:rFonts w:ascii="宋体" w:hAnsi="宋体" w:cs="宋体"/>
          <w:b w:val="0"/>
          <w:i/>
          <w:color w:val="000000"/>
          <w:sz w:val="28"/>
          <w:szCs w:val="28"/>
        </w:rPr>
        <w:t>Q</w:t>
      </w:r>
      <w:r>
        <w:rPr>
          <w:rFonts w:ascii="宋体" w:hAnsi="宋体" w:cs="宋体"/>
          <w:b w:val="0"/>
          <w:i/>
          <w:color w:val="000000"/>
          <w:sz w:val="28"/>
          <w:szCs w:val="28"/>
          <w:vertAlign w:val="subscript"/>
        </w:rPr>
        <w:t>1</w:t>
      </w:r>
      <w:r>
        <w:rPr>
          <w:rFonts w:ascii="宋体" w:hAnsi="宋体" w:cs="宋体"/>
          <w:b w:val="0"/>
          <w:i/>
          <w:color w:val="000000"/>
          <w:sz w:val="28"/>
          <w:szCs w:val="28"/>
        </w:rPr>
        <w:t>,Q</w:t>
      </w:r>
      <w:r>
        <w:rPr>
          <w:rFonts w:ascii="宋体" w:hAnsi="宋体" w:cs="宋体"/>
          <w:b w:val="0"/>
          <w:i/>
          <w:color w:val="000000"/>
          <w:sz w:val="28"/>
          <w:szCs w:val="28"/>
          <w:vertAlign w:val="subscript"/>
        </w:rPr>
        <w:t>2</w:t>
      </w:r>
      <w:r>
        <w:rPr>
          <w:rFonts w:ascii="宋体" w:hAnsi="宋体" w:cs="宋体"/>
          <w:b w:val="0"/>
          <w:i/>
          <w:color w:val="000000"/>
          <w:sz w:val="28"/>
          <w:szCs w:val="28"/>
        </w:rPr>
        <w:t>,</w:t>
      </w:r>
      <w:r>
        <w:rPr>
          <w:rFonts w:hint="eastAsia" w:ascii="宋体" w:hAnsi="宋体" w:cs="宋体"/>
          <w:b w:val="0"/>
          <w:i/>
          <w:color w:val="000000"/>
          <w:sz w:val="28"/>
          <w:szCs w:val="28"/>
        </w:rPr>
        <w:t>…</w:t>
      </w:r>
      <w:r>
        <w:rPr>
          <w:rFonts w:ascii="宋体" w:hAnsi="宋体" w:cs="宋体"/>
          <w:b w:val="0"/>
          <w:i/>
          <w:color w:val="000000"/>
          <w:sz w:val="28"/>
          <w:szCs w:val="28"/>
        </w:rPr>
        <w:t>,Q</w:t>
      </w:r>
      <w:r>
        <w:rPr>
          <w:rFonts w:ascii="宋体" w:hAnsi="宋体" w:cs="宋体"/>
          <w:b w:val="0"/>
          <w:i/>
          <w:color w:val="000000"/>
          <w:sz w:val="28"/>
          <w:szCs w:val="28"/>
          <w:vertAlign w:val="subscript"/>
        </w:rPr>
        <w:t>n</w:t>
      </w:r>
      <w:r>
        <w:rPr>
          <w:rFonts w:ascii="宋体" w:hAnsi="宋体" w:cs="宋体"/>
          <w:b w:val="0"/>
          <w:color w:val="000000"/>
          <w:sz w:val="28"/>
          <w:szCs w:val="28"/>
        </w:rPr>
        <w:t xml:space="preserve"> —</w:t>
      </w:r>
      <w:r>
        <w:rPr>
          <w:rFonts w:hint="eastAsia" w:ascii="宋体" w:hAnsi="宋体" w:cs="宋体"/>
          <w:b w:val="0"/>
          <w:color w:val="000000"/>
          <w:sz w:val="28"/>
          <w:szCs w:val="28"/>
        </w:rPr>
        <w:t>与各危险化学品相对应的临界量（单位：吨）；</w:t>
      </w:r>
    </w:p>
    <w:p w14:paraId="151B2F2B">
      <w:pPr>
        <w:spacing w:line="360" w:lineRule="auto"/>
        <w:ind w:firstLine="560" w:firstLineChars="200"/>
        <w:rPr>
          <w:rFonts w:ascii="宋体" w:hAnsi="宋体" w:cs="宋体"/>
          <w:b w:val="0"/>
          <w:color w:val="000000"/>
          <w:sz w:val="28"/>
          <w:szCs w:val="28"/>
        </w:rPr>
      </w:pPr>
      <w:r>
        <w:rPr>
          <w:rFonts w:hint="eastAsia" w:ascii="宋体" w:hAnsi="宋体" w:cs="宋体"/>
          <w:b w:val="0"/>
          <w:i/>
          <w:color w:val="000000"/>
          <w:sz w:val="28"/>
          <w:szCs w:val="28"/>
        </w:rPr>
        <w:t>β</w:t>
      </w:r>
      <w:r>
        <w:rPr>
          <w:rFonts w:ascii="宋体" w:hAnsi="宋体" w:cs="宋体"/>
          <w:b w:val="0"/>
          <w:i/>
          <w:color w:val="000000"/>
          <w:sz w:val="28"/>
          <w:szCs w:val="28"/>
          <w:vertAlign w:val="subscript"/>
        </w:rPr>
        <w:t>1</w:t>
      </w:r>
      <w:r>
        <w:rPr>
          <w:rFonts w:hint="eastAsia" w:ascii="宋体" w:hAnsi="宋体" w:cs="宋体"/>
          <w:b w:val="0"/>
          <w:color w:val="000000"/>
          <w:sz w:val="28"/>
          <w:szCs w:val="28"/>
        </w:rPr>
        <w:t>，</w:t>
      </w:r>
      <w:r>
        <w:rPr>
          <w:rFonts w:hint="eastAsia" w:ascii="宋体" w:hAnsi="宋体" w:cs="宋体"/>
          <w:b w:val="0"/>
          <w:i/>
          <w:color w:val="000000"/>
          <w:sz w:val="28"/>
          <w:szCs w:val="28"/>
        </w:rPr>
        <w:t>β</w:t>
      </w:r>
      <w:r>
        <w:rPr>
          <w:rFonts w:ascii="宋体" w:hAnsi="宋体" w:cs="宋体"/>
          <w:b w:val="0"/>
          <w:i/>
          <w:color w:val="000000"/>
          <w:sz w:val="28"/>
          <w:szCs w:val="28"/>
          <w:vertAlign w:val="subscript"/>
        </w:rPr>
        <w:t>2</w:t>
      </w:r>
      <w:r>
        <w:rPr>
          <w:rFonts w:hint="eastAsia" w:ascii="宋体" w:hAnsi="宋体" w:cs="宋体"/>
          <w:b w:val="0"/>
          <w:i/>
          <w:color w:val="000000"/>
          <w:sz w:val="28"/>
          <w:szCs w:val="28"/>
        </w:rPr>
        <w:t>…</w:t>
      </w:r>
      <w:r>
        <w:rPr>
          <w:rFonts w:ascii="宋体" w:hAnsi="宋体" w:cs="宋体"/>
          <w:b w:val="0"/>
          <w:i/>
          <w:color w:val="000000"/>
          <w:sz w:val="28"/>
          <w:szCs w:val="28"/>
        </w:rPr>
        <w:t>,</w:t>
      </w:r>
      <w:r>
        <w:rPr>
          <w:rFonts w:hint="eastAsia" w:ascii="宋体" w:hAnsi="宋体" w:cs="宋体"/>
          <w:b w:val="0"/>
          <w:i/>
          <w:color w:val="000000"/>
          <w:sz w:val="28"/>
          <w:szCs w:val="28"/>
        </w:rPr>
        <w:t>β</w:t>
      </w:r>
      <w:r>
        <w:rPr>
          <w:rFonts w:ascii="宋体" w:hAnsi="宋体" w:cs="宋体"/>
          <w:b w:val="0"/>
          <w:i/>
          <w:color w:val="000000"/>
          <w:sz w:val="28"/>
          <w:szCs w:val="28"/>
          <w:vertAlign w:val="subscript"/>
        </w:rPr>
        <w:t>n</w:t>
      </w:r>
      <w:r>
        <w:rPr>
          <w:rFonts w:ascii="宋体" w:hAnsi="宋体" w:cs="宋体"/>
          <w:b w:val="0"/>
          <w:color w:val="000000"/>
          <w:sz w:val="28"/>
          <w:szCs w:val="28"/>
        </w:rPr>
        <w:t xml:space="preserve">— </w:t>
      </w:r>
      <w:r>
        <w:rPr>
          <w:rFonts w:hint="eastAsia" w:ascii="宋体" w:hAnsi="宋体" w:cs="宋体"/>
          <w:b w:val="0"/>
          <w:color w:val="000000"/>
          <w:sz w:val="28"/>
          <w:szCs w:val="28"/>
        </w:rPr>
        <w:t>与各危险化学品相对应的校正系数；</w:t>
      </w:r>
    </w:p>
    <w:p w14:paraId="4EED4B81">
      <w:pPr>
        <w:spacing w:line="360" w:lineRule="auto"/>
        <w:ind w:firstLine="560" w:firstLineChars="200"/>
        <w:rPr>
          <w:rFonts w:ascii="宋体" w:hAnsi="宋体" w:cs="宋体"/>
          <w:b w:val="0"/>
          <w:color w:val="000000"/>
          <w:sz w:val="28"/>
          <w:szCs w:val="28"/>
        </w:rPr>
      </w:pPr>
      <w:r>
        <w:rPr>
          <w:rFonts w:hint="eastAsia" w:ascii="宋体" w:hAnsi="宋体" w:cs="宋体"/>
          <w:b w:val="0"/>
          <w:i/>
          <w:color w:val="000000"/>
          <w:sz w:val="28"/>
          <w:szCs w:val="28"/>
        </w:rPr>
        <w:t>α</w:t>
      </w:r>
      <w:r>
        <w:rPr>
          <w:rFonts w:ascii="宋体" w:hAnsi="宋体" w:cs="宋体"/>
          <w:b w:val="0"/>
          <w:color w:val="000000"/>
          <w:sz w:val="28"/>
          <w:szCs w:val="28"/>
        </w:rPr>
        <w:t xml:space="preserve">— </w:t>
      </w:r>
      <w:r>
        <w:rPr>
          <w:rFonts w:hint="eastAsia" w:ascii="宋体" w:hAnsi="宋体" w:cs="宋体"/>
          <w:b w:val="0"/>
          <w:color w:val="000000"/>
          <w:sz w:val="28"/>
          <w:szCs w:val="28"/>
        </w:rPr>
        <w:t>该危险化学品重大危险源厂区外暴露人员的校正系数。</w:t>
      </w:r>
    </w:p>
    <w:p w14:paraId="00766743">
      <w:pPr>
        <w:spacing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3</w:t>
      </w:r>
      <w:r>
        <w:rPr>
          <w:rFonts w:hint="eastAsia" w:ascii="宋体" w:hAnsi="宋体" w:cs="宋体"/>
          <w:b w:val="0"/>
          <w:color w:val="000000"/>
          <w:sz w:val="28"/>
          <w:szCs w:val="28"/>
        </w:rPr>
        <w:t>）校正系数</w:t>
      </w:r>
      <w:r>
        <w:rPr>
          <w:rFonts w:ascii="宋体" w:hAnsi="宋体" w:cs="宋体"/>
          <w:b w:val="0"/>
          <w:i/>
          <w:color w:val="000000"/>
          <w:sz w:val="28"/>
          <w:szCs w:val="28"/>
        </w:rPr>
        <w:t>β</w:t>
      </w:r>
      <w:r>
        <w:rPr>
          <w:rFonts w:hint="eastAsia" w:ascii="宋体" w:hAnsi="宋体" w:cs="宋体"/>
          <w:b w:val="0"/>
          <w:color w:val="000000"/>
          <w:sz w:val="28"/>
          <w:szCs w:val="28"/>
        </w:rPr>
        <w:t>的取值</w:t>
      </w:r>
    </w:p>
    <w:p w14:paraId="59642F2F">
      <w:pPr>
        <w:spacing w:line="360" w:lineRule="auto"/>
        <w:jc w:val="center"/>
        <w:rPr>
          <w:rFonts w:ascii="宋体" w:hAnsi="宋体" w:cs="宋体"/>
          <w:b w:val="0"/>
          <w:color w:val="000000"/>
          <w:sz w:val="28"/>
          <w:szCs w:val="28"/>
        </w:rPr>
      </w:pPr>
      <w:r>
        <w:rPr>
          <w:rFonts w:hint="eastAsia" w:ascii="宋体" w:hAnsi="宋体" w:cs="宋体"/>
          <w:b w:val="0"/>
          <w:color w:val="000000"/>
          <w:sz w:val="28"/>
          <w:szCs w:val="28"/>
        </w:rPr>
        <w:t>根据单元内危险化学品的类别不同，设定校正系数</w:t>
      </w:r>
      <w:r>
        <w:rPr>
          <w:rFonts w:hint="eastAsia" w:ascii="宋体" w:hAnsi="宋体" w:cs="宋体"/>
          <w:b w:val="0"/>
          <w:i/>
          <w:color w:val="000000"/>
          <w:sz w:val="28"/>
          <w:szCs w:val="28"/>
        </w:rPr>
        <w:t>β</w:t>
      </w:r>
      <w:r>
        <w:rPr>
          <w:rFonts w:hint="eastAsia" w:ascii="宋体" w:hAnsi="宋体" w:cs="宋体"/>
          <w:b w:val="0"/>
          <w:color w:val="000000"/>
          <w:sz w:val="28"/>
          <w:szCs w:val="28"/>
        </w:rPr>
        <w:t>值，见表</w:t>
      </w:r>
      <w:r>
        <w:rPr>
          <w:rFonts w:ascii="宋体" w:hAnsi="宋体" w:cs="宋体"/>
          <w:b w:val="0"/>
          <w:color w:val="000000"/>
          <w:sz w:val="28"/>
          <w:szCs w:val="28"/>
        </w:rPr>
        <w:t>3.5-2</w:t>
      </w:r>
      <w:r>
        <w:rPr>
          <w:rFonts w:hint="eastAsia" w:ascii="宋体" w:hAnsi="宋体" w:cs="宋体"/>
          <w:b w:val="0"/>
          <w:color w:val="000000"/>
          <w:sz w:val="28"/>
          <w:szCs w:val="28"/>
        </w:rPr>
        <w:t>：</w:t>
      </w:r>
    </w:p>
    <w:p w14:paraId="7373009A">
      <w:pPr>
        <w:jc w:val="center"/>
        <w:rPr>
          <w:rFonts w:ascii="黑体" w:hAnsi="黑体" w:eastAsia="黑体"/>
          <w:b w:val="0"/>
          <w:color w:val="000000"/>
          <w:sz w:val="24"/>
        </w:rPr>
      </w:pPr>
      <w:r>
        <w:rPr>
          <w:rFonts w:hint="eastAsia" w:ascii="黑体" w:hAnsi="黑体" w:eastAsia="黑体"/>
          <w:b w:val="0"/>
          <w:color w:val="000000"/>
          <w:sz w:val="24"/>
        </w:rPr>
        <w:t>表</w:t>
      </w:r>
      <w:r>
        <w:rPr>
          <w:rFonts w:ascii="黑体" w:hAnsi="黑体" w:eastAsia="黑体"/>
          <w:b w:val="0"/>
          <w:color w:val="000000"/>
          <w:sz w:val="24"/>
        </w:rPr>
        <w:t xml:space="preserve">3.5-2 </w:t>
      </w:r>
      <w:r>
        <w:rPr>
          <w:rFonts w:hint="eastAsia" w:ascii="黑体" w:hAnsi="黑体" w:eastAsia="黑体"/>
          <w:b w:val="0"/>
          <w:color w:val="000000"/>
          <w:sz w:val="24"/>
        </w:rPr>
        <w:t>校正系数β取值表</w:t>
      </w:r>
    </w:p>
    <w:tbl>
      <w:tblPr>
        <w:tblStyle w:val="88"/>
        <w:tblW w:w="8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2261"/>
        <w:gridCol w:w="2867"/>
      </w:tblGrid>
      <w:tr w14:paraId="6CF3C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510" w:type="dxa"/>
            <w:tcBorders>
              <w:top w:val="single" w:color="auto" w:sz="12" w:space="0"/>
            </w:tcBorders>
            <w:vAlign w:val="center"/>
          </w:tcPr>
          <w:p w14:paraId="1DEB1A25">
            <w:pPr>
              <w:jc w:val="center"/>
              <w:rPr>
                <w:rFonts w:ascii="宋体" w:hAnsi="宋体"/>
                <w:color w:val="000000"/>
                <w:szCs w:val="21"/>
              </w:rPr>
            </w:pPr>
            <w:r>
              <w:rPr>
                <w:rFonts w:hint="eastAsia" w:ascii="宋体" w:hAnsi="宋体"/>
                <w:color w:val="000000"/>
                <w:szCs w:val="21"/>
              </w:rPr>
              <w:t>危险化学品类别</w:t>
            </w:r>
          </w:p>
        </w:tc>
        <w:tc>
          <w:tcPr>
            <w:tcW w:w="2261" w:type="dxa"/>
            <w:tcBorders>
              <w:top w:val="single" w:color="auto" w:sz="12" w:space="0"/>
            </w:tcBorders>
            <w:vAlign w:val="center"/>
          </w:tcPr>
          <w:p w14:paraId="5F56BD34">
            <w:pPr>
              <w:jc w:val="center"/>
              <w:rPr>
                <w:rFonts w:ascii="宋体" w:hAnsi="宋体"/>
                <w:color w:val="000000"/>
                <w:szCs w:val="21"/>
              </w:rPr>
            </w:pPr>
            <w:r>
              <w:rPr>
                <w:rFonts w:hint="eastAsia" w:ascii="宋体" w:hAnsi="宋体"/>
                <w:color w:val="000000"/>
                <w:szCs w:val="21"/>
              </w:rPr>
              <w:t>爆炸品</w:t>
            </w:r>
          </w:p>
        </w:tc>
        <w:tc>
          <w:tcPr>
            <w:tcW w:w="2867" w:type="dxa"/>
            <w:tcBorders>
              <w:top w:val="single" w:color="auto" w:sz="12" w:space="0"/>
            </w:tcBorders>
            <w:vAlign w:val="center"/>
          </w:tcPr>
          <w:p w14:paraId="1DA563D6">
            <w:pPr>
              <w:jc w:val="center"/>
              <w:rPr>
                <w:rFonts w:ascii="宋体" w:hAnsi="宋体"/>
                <w:color w:val="000000"/>
                <w:szCs w:val="21"/>
              </w:rPr>
            </w:pPr>
            <w:r>
              <w:rPr>
                <w:rFonts w:hint="eastAsia" w:ascii="宋体" w:hAnsi="宋体"/>
                <w:color w:val="000000"/>
                <w:szCs w:val="21"/>
              </w:rPr>
              <w:t>其他类危险化学品</w:t>
            </w:r>
          </w:p>
        </w:tc>
      </w:tr>
      <w:tr w14:paraId="726B58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510" w:type="dxa"/>
            <w:tcBorders>
              <w:bottom w:val="single" w:color="auto" w:sz="12" w:space="0"/>
            </w:tcBorders>
            <w:vAlign w:val="center"/>
          </w:tcPr>
          <w:p w14:paraId="5FAAA971">
            <w:pPr>
              <w:jc w:val="center"/>
              <w:rPr>
                <w:rFonts w:ascii="宋体" w:hAnsi="宋体"/>
                <w:b w:val="0"/>
                <w:color w:val="000000"/>
                <w:szCs w:val="21"/>
              </w:rPr>
            </w:pPr>
            <w:r>
              <w:rPr>
                <w:rFonts w:ascii="宋体" w:hAnsi="宋体"/>
                <w:b w:val="0"/>
                <w:color w:val="000000"/>
                <w:szCs w:val="21"/>
              </w:rPr>
              <w:t>β</w:t>
            </w:r>
          </w:p>
        </w:tc>
        <w:tc>
          <w:tcPr>
            <w:tcW w:w="2261" w:type="dxa"/>
            <w:tcBorders>
              <w:bottom w:val="single" w:color="auto" w:sz="12" w:space="0"/>
            </w:tcBorders>
            <w:vAlign w:val="center"/>
          </w:tcPr>
          <w:p w14:paraId="31334412">
            <w:pPr>
              <w:jc w:val="center"/>
              <w:rPr>
                <w:rFonts w:ascii="宋体" w:hAnsi="宋体"/>
                <w:b w:val="0"/>
                <w:color w:val="000000"/>
                <w:szCs w:val="21"/>
              </w:rPr>
            </w:pPr>
            <w:r>
              <w:rPr>
                <w:rFonts w:ascii="宋体" w:hAnsi="宋体"/>
                <w:b w:val="0"/>
                <w:color w:val="000000"/>
                <w:szCs w:val="21"/>
              </w:rPr>
              <w:t>2</w:t>
            </w:r>
          </w:p>
        </w:tc>
        <w:tc>
          <w:tcPr>
            <w:tcW w:w="2867" w:type="dxa"/>
            <w:tcBorders>
              <w:bottom w:val="single" w:color="auto" w:sz="12" w:space="0"/>
            </w:tcBorders>
            <w:vAlign w:val="center"/>
          </w:tcPr>
          <w:p w14:paraId="16C72F39">
            <w:pPr>
              <w:jc w:val="center"/>
              <w:rPr>
                <w:rFonts w:ascii="宋体" w:hAnsi="宋体"/>
                <w:b w:val="0"/>
                <w:color w:val="000000"/>
                <w:szCs w:val="21"/>
              </w:rPr>
            </w:pPr>
            <w:r>
              <w:rPr>
                <w:rFonts w:ascii="宋体" w:hAnsi="宋体"/>
                <w:b w:val="0"/>
                <w:color w:val="000000"/>
                <w:szCs w:val="21"/>
              </w:rPr>
              <w:t>1</w:t>
            </w:r>
          </w:p>
        </w:tc>
      </w:tr>
    </w:tbl>
    <w:p w14:paraId="1B2FFD13">
      <w:pPr>
        <w:spacing w:before="120" w:beforeLines="50"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4</w:t>
      </w:r>
      <w:r>
        <w:rPr>
          <w:rFonts w:hint="eastAsia" w:ascii="宋体" w:hAnsi="宋体" w:cs="宋体"/>
          <w:b w:val="0"/>
          <w:color w:val="000000"/>
          <w:sz w:val="28"/>
          <w:szCs w:val="28"/>
        </w:rPr>
        <w:t>）校正系数</w:t>
      </w:r>
      <w:r>
        <w:rPr>
          <w:rFonts w:ascii="宋体" w:hAnsi="宋体" w:cs="宋体"/>
          <w:b w:val="0"/>
          <w:i/>
          <w:color w:val="000000"/>
          <w:sz w:val="28"/>
          <w:szCs w:val="28"/>
        </w:rPr>
        <w:t>α</w:t>
      </w:r>
      <w:r>
        <w:rPr>
          <w:rFonts w:hint="eastAsia" w:ascii="宋体" w:hAnsi="宋体" w:cs="宋体"/>
          <w:b w:val="0"/>
          <w:color w:val="000000"/>
          <w:sz w:val="28"/>
          <w:szCs w:val="28"/>
        </w:rPr>
        <w:t>的取值</w:t>
      </w:r>
    </w:p>
    <w:p w14:paraId="1B0C8710">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根据重大危险源的厂区边界向外扩展</w:t>
      </w:r>
      <w:r>
        <w:rPr>
          <w:rFonts w:ascii="宋体" w:hAnsi="宋体" w:cs="宋体"/>
          <w:b w:val="0"/>
          <w:color w:val="000000"/>
          <w:sz w:val="28"/>
          <w:szCs w:val="28"/>
        </w:rPr>
        <w:t>500</w:t>
      </w:r>
      <w:r>
        <w:rPr>
          <w:rFonts w:hint="eastAsia" w:ascii="宋体" w:hAnsi="宋体" w:cs="宋体"/>
          <w:b w:val="0"/>
          <w:color w:val="000000"/>
          <w:sz w:val="28"/>
          <w:szCs w:val="28"/>
        </w:rPr>
        <w:t>米范围内常住人口数量，设定厂外暴露人员校正系数</w:t>
      </w:r>
      <w:r>
        <w:rPr>
          <w:rFonts w:hint="eastAsia" w:ascii="宋体" w:hAnsi="宋体" w:cs="宋体"/>
          <w:b w:val="0"/>
          <w:i/>
          <w:color w:val="000000"/>
          <w:sz w:val="28"/>
          <w:szCs w:val="28"/>
        </w:rPr>
        <w:t>α</w:t>
      </w:r>
      <w:r>
        <w:rPr>
          <w:rFonts w:hint="eastAsia" w:ascii="宋体" w:hAnsi="宋体" w:cs="宋体"/>
          <w:b w:val="0"/>
          <w:color w:val="000000"/>
          <w:sz w:val="28"/>
          <w:szCs w:val="28"/>
        </w:rPr>
        <w:t>值，见表</w:t>
      </w:r>
      <w:r>
        <w:rPr>
          <w:rFonts w:ascii="宋体" w:hAnsi="宋体" w:cs="宋体"/>
          <w:b w:val="0"/>
          <w:color w:val="000000"/>
          <w:sz w:val="28"/>
          <w:szCs w:val="28"/>
        </w:rPr>
        <w:t>3.5-3</w:t>
      </w:r>
      <w:r>
        <w:rPr>
          <w:rFonts w:hint="eastAsia" w:ascii="宋体" w:hAnsi="宋体" w:cs="宋体"/>
          <w:b w:val="0"/>
          <w:color w:val="000000"/>
          <w:sz w:val="28"/>
          <w:szCs w:val="28"/>
        </w:rPr>
        <w:t>：</w:t>
      </w:r>
    </w:p>
    <w:p w14:paraId="4AA63D64">
      <w:pPr>
        <w:adjustRightInd w:val="0"/>
        <w:snapToGrid w:val="0"/>
        <w:jc w:val="center"/>
        <w:rPr>
          <w:rFonts w:ascii="黑体" w:hAnsi="黑体" w:eastAsia="黑体"/>
          <w:b w:val="0"/>
          <w:color w:val="000000"/>
          <w:sz w:val="24"/>
        </w:rPr>
      </w:pPr>
      <w:r>
        <w:rPr>
          <w:rFonts w:hint="eastAsia" w:ascii="黑体" w:hAnsi="黑体" w:eastAsia="黑体"/>
          <w:b w:val="0"/>
          <w:color w:val="000000"/>
          <w:sz w:val="24"/>
        </w:rPr>
        <w:t>表</w:t>
      </w:r>
      <w:r>
        <w:rPr>
          <w:rFonts w:ascii="黑体" w:hAnsi="黑体" w:eastAsia="黑体"/>
          <w:b w:val="0"/>
          <w:color w:val="000000"/>
          <w:sz w:val="24"/>
        </w:rPr>
        <w:t xml:space="preserve">3.5-3 </w:t>
      </w:r>
      <w:r>
        <w:rPr>
          <w:rFonts w:hint="eastAsia" w:ascii="黑体" w:hAnsi="黑体" w:eastAsia="黑体"/>
          <w:b w:val="0"/>
          <w:color w:val="000000"/>
          <w:sz w:val="24"/>
        </w:rPr>
        <w:t>校正系数α取值表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78"/>
        <w:gridCol w:w="4255"/>
      </w:tblGrid>
      <w:tr w14:paraId="49A0B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378" w:type="dxa"/>
            <w:tcBorders>
              <w:top w:val="single" w:color="auto" w:sz="12" w:space="0"/>
            </w:tcBorders>
            <w:vAlign w:val="center"/>
          </w:tcPr>
          <w:p w14:paraId="668DF13A">
            <w:pPr>
              <w:jc w:val="center"/>
              <w:rPr>
                <w:rFonts w:ascii="宋体" w:hAnsi="宋体"/>
                <w:color w:val="000000"/>
                <w:szCs w:val="21"/>
              </w:rPr>
            </w:pPr>
            <w:r>
              <w:rPr>
                <w:rFonts w:hint="eastAsia" w:ascii="宋体" w:hAnsi="宋体"/>
                <w:color w:val="000000"/>
                <w:szCs w:val="21"/>
              </w:rPr>
              <w:t>厂外可能暴露人员数量</w:t>
            </w:r>
          </w:p>
        </w:tc>
        <w:tc>
          <w:tcPr>
            <w:tcW w:w="4255" w:type="dxa"/>
            <w:tcBorders>
              <w:top w:val="single" w:color="auto" w:sz="12" w:space="0"/>
            </w:tcBorders>
            <w:vAlign w:val="center"/>
          </w:tcPr>
          <w:p w14:paraId="6E6C3E58">
            <w:pPr>
              <w:jc w:val="center"/>
              <w:rPr>
                <w:rFonts w:ascii="宋体" w:hAnsi="宋体"/>
                <w:color w:val="000000"/>
                <w:szCs w:val="21"/>
              </w:rPr>
            </w:pPr>
            <w:r>
              <w:rPr>
                <w:rFonts w:ascii="宋体" w:hAnsi="宋体"/>
                <w:color w:val="000000"/>
                <w:szCs w:val="21"/>
              </w:rPr>
              <w:t>α</w:t>
            </w:r>
          </w:p>
        </w:tc>
      </w:tr>
      <w:tr w14:paraId="44689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8" w:type="dxa"/>
            <w:vAlign w:val="center"/>
          </w:tcPr>
          <w:p w14:paraId="354B89CD">
            <w:pPr>
              <w:jc w:val="center"/>
              <w:rPr>
                <w:rFonts w:ascii="宋体" w:hAnsi="宋体"/>
                <w:b w:val="0"/>
                <w:color w:val="000000"/>
                <w:szCs w:val="21"/>
              </w:rPr>
            </w:pPr>
            <w:r>
              <w:rPr>
                <w:rFonts w:ascii="宋体" w:hAnsi="宋体"/>
                <w:b w:val="0"/>
                <w:color w:val="000000"/>
                <w:szCs w:val="21"/>
              </w:rPr>
              <w:t>100</w:t>
            </w:r>
            <w:r>
              <w:rPr>
                <w:rFonts w:hint="eastAsia" w:ascii="宋体" w:hAnsi="宋体"/>
                <w:b w:val="0"/>
                <w:color w:val="000000"/>
                <w:szCs w:val="21"/>
              </w:rPr>
              <w:t>人以上</w:t>
            </w:r>
          </w:p>
        </w:tc>
        <w:tc>
          <w:tcPr>
            <w:tcW w:w="4255" w:type="dxa"/>
            <w:vAlign w:val="center"/>
          </w:tcPr>
          <w:p w14:paraId="2DF2530B">
            <w:pPr>
              <w:jc w:val="center"/>
              <w:rPr>
                <w:rFonts w:ascii="宋体" w:hAnsi="宋体"/>
                <w:b w:val="0"/>
                <w:color w:val="000000"/>
                <w:szCs w:val="21"/>
              </w:rPr>
            </w:pPr>
            <w:r>
              <w:rPr>
                <w:rFonts w:ascii="宋体" w:hAnsi="宋体"/>
                <w:b w:val="0"/>
                <w:color w:val="000000"/>
                <w:szCs w:val="21"/>
              </w:rPr>
              <w:t>2.0</w:t>
            </w:r>
          </w:p>
        </w:tc>
      </w:tr>
      <w:tr w14:paraId="3C7ED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8" w:type="dxa"/>
            <w:vAlign w:val="center"/>
          </w:tcPr>
          <w:p w14:paraId="7A9396EA">
            <w:pPr>
              <w:jc w:val="center"/>
              <w:rPr>
                <w:rFonts w:ascii="宋体" w:hAnsi="宋体"/>
                <w:b w:val="0"/>
                <w:color w:val="000000"/>
                <w:szCs w:val="21"/>
              </w:rPr>
            </w:pPr>
            <w:r>
              <w:rPr>
                <w:rFonts w:ascii="宋体" w:hAnsi="宋体"/>
                <w:b w:val="0"/>
                <w:color w:val="000000"/>
                <w:szCs w:val="21"/>
              </w:rPr>
              <w:t>50</w:t>
            </w:r>
            <w:r>
              <w:rPr>
                <w:rFonts w:hint="eastAsia" w:ascii="宋体" w:hAnsi="宋体"/>
                <w:b w:val="0"/>
                <w:color w:val="000000"/>
                <w:szCs w:val="21"/>
              </w:rPr>
              <w:t>人～</w:t>
            </w:r>
            <w:r>
              <w:rPr>
                <w:rFonts w:ascii="宋体" w:hAnsi="宋体"/>
                <w:b w:val="0"/>
                <w:color w:val="000000"/>
                <w:szCs w:val="21"/>
              </w:rPr>
              <w:t>99</w:t>
            </w:r>
            <w:r>
              <w:rPr>
                <w:rFonts w:hint="eastAsia" w:ascii="宋体" w:hAnsi="宋体"/>
                <w:b w:val="0"/>
                <w:color w:val="000000"/>
                <w:szCs w:val="21"/>
              </w:rPr>
              <w:t>人</w:t>
            </w:r>
          </w:p>
        </w:tc>
        <w:tc>
          <w:tcPr>
            <w:tcW w:w="4255" w:type="dxa"/>
            <w:vAlign w:val="center"/>
          </w:tcPr>
          <w:p w14:paraId="0B11949C">
            <w:pPr>
              <w:jc w:val="center"/>
              <w:rPr>
                <w:rFonts w:ascii="宋体" w:hAnsi="宋体"/>
                <w:b w:val="0"/>
                <w:color w:val="000000"/>
                <w:szCs w:val="21"/>
              </w:rPr>
            </w:pPr>
            <w:r>
              <w:rPr>
                <w:rFonts w:ascii="宋体" w:hAnsi="宋体"/>
                <w:b w:val="0"/>
                <w:color w:val="000000"/>
                <w:szCs w:val="21"/>
              </w:rPr>
              <w:t>1.5</w:t>
            </w:r>
          </w:p>
        </w:tc>
      </w:tr>
      <w:tr w14:paraId="2C91D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8" w:type="dxa"/>
            <w:vAlign w:val="center"/>
          </w:tcPr>
          <w:p w14:paraId="68738445">
            <w:pPr>
              <w:jc w:val="center"/>
              <w:rPr>
                <w:rFonts w:ascii="宋体" w:hAnsi="宋体"/>
                <w:b w:val="0"/>
                <w:color w:val="000000"/>
                <w:szCs w:val="21"/>
              </w:rPr>
            </w:pPr>
            <w:r>
              <w:rPr>
                <w:rFonts w:ascii="宋体" w:hAnsi="宋体"/>
                <w:b w:val="0"/>
                <w:color w:val="000000"/>
                <w:szCs w:val="21"/>
              </w:rPr>
              <w:t>30</w:t>
            </w:r>
            <w:r>
              <w:rPr>
                <w:rFonts w:hint="eastAsia" w:ascii="宋体" w:hAnsi="宋体"/>
                <w:b w:val="0"/>
                <w:color w:val="000000"/>
                <w:szCs w:val="21"/>
              </w:rPr>
              <w:t>人～</w:t>
            </w:r>
            <w:r>
              <w:rPr>
                <w:rFonts w:ascii="宋体" w:hAnsi="宋体"/>
                <w:b w:val="0"/>
                <w:color w:val="000000"/>
                <w:szCs w:val="21"/>
              </w:rPr>
              <w:t>49</w:t>
            </w:r>
            <w:r>
              <w:rPr>
                <w:rFonts w:hint="eastAsia" w:ascii="宋体" w:hAnsi="宋体"/>
                <w:b w:val="0"/>
                <w:color w:val="000000"/>
                <w:szCs w:val="21"/>
              </w:rPr>
              <w:t>人</w:t>
            </w:r>
          </w:p>
        </w:tc>
        <w:tc>
          <w:tcPr>
            <w:tcW w:w="4255" w:type="dxa"/>
            <w:vAlign w:val="center"/>
          </w:tcPr>
          <w:p w14:paraId="32A63025">
            <w:pPr>
              <w:jc w:val="center"/>
              <w:rPr>
                <w:rFonts w:ascii="宋体" w:hAnsi="宋体"/>
                <w:b w:val="0"/>
                <w:color w:val="000000"/>
                <w:szCs w:val="21"/>
              </w:rPr>
            </w:pPr>
            <w:r>
              <w:rPr>
                <w:rFonts w:ascii="宋体" w:hAnsi="宋体"/>
                <w:b w:val="0"/>
                <w:color w:val="000000"/>
                <w:szCs w:val="21"/>
              </w:rPr>
              <w:t>1.2</w:t>
            </w:r>
          </w:p>
        </w:tc>
      </w:tr>
      <w:tr w14:paraId="060FF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8" w:type="dxa"/>
            <w:vAlign w:val="center"/>
          </w:tcPr>
          <w:p w14:paraId="71E0DAA0">
            <w:pPr>
              <w:jc w:val="center"/>
              <w:rPr>
                <w:rFonts w:ascii="宋体" w:hAnsi="宋体"/>
                <w:b w:val="0"/>
                <w:color w:val="000000"/>
                <w:szCs w:val="21"/>
              </w:rPr>
            </w:pPr>
            <w:r>
              <w:rPr>
                <w:rFonts w:ascii="宋体" w:hAnsi="宋体"/>
                <w:b w:val="0"/>
                <w:color w:val="000000"/>
                <w:szCs w:val="21"/>
              </w:rPr>
              <w:t>1</w:t>
            </w:r>
            <w:r>
              <w:rPr>
                <w:rFonts w:hint="eastAsia" w:ascii="宋体" w:hAnsi="宋体"/>
                <w:b w:val="0"/>
                <w:color w:val="000000"/>
                <w:szCs w:val="21"/>
              </w:rPr>
              <w:t>～</w:t>
            </w:r>
            <w:r>
              <w:rPr>
                <w:rFonts w:ascii="宋体" w:hAnsi="宋体"/>
                <w:b w:val="0"/>
                <w:color w:val="000000"/>
                <w:szCs w:val="21"/>
              </w:rPr>
              <w:t>35</w:t>
            </w:r>
            <w:r>
              <w:rPr>
                <w:rFonts w:hint="eastAsia" w:ascii="宋体" w:hAnsi="宋体"/>
                <w:b w:val="0"/>
                <w:color w:val="000000"/>
                <w:szCs w:val="21"/>
              </w:rPr>
              <w:t>人</w:t>
            </w:r>
          </w:p>
        </w:tc>
        <w:tc>
          <w:tcPr>
            <w:tcW w:w="4255" w:type="dxa"/>
            <w:vAlign w:val="center"/>
          </w:tcPr>
          <w:p w14:paraId="5A30328C">
            <w:pPr>
              <w:jc w:val="center"/>
              <w:rPr>
                <w:rFonts w:ascii="宋体" w:hAnsi="宋体"/>
                <w:b w:val="0"/>
                <w:color w:val="000000"/>
                <w:szCs w:val="21"/>
              </w:rPr>
            </w:pPr>
            <w:r>
              <w:rPr>
                <w:rFonts w:ascii="宋体" w:hAnsi="宋体"/>
                <w:b w:val="0"/>
                <w:color w:val="000000"/>
                <w:szCs w:val="21"/>
              </w:rPr>
              <w:t>1.0</w:t>
            </w:r>
          </w:p>
        </w:tc>
      </w:tr>
      <w:tr w14:paraId="64BCB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8" w:type="dxa"/>
            <w:tcBorders>
              <w:bottom w:val="single" w:color="auto" w:sz="12" w:space="0"/>
            </w:tcBorders>
            <w:vAlign w:val="center"/>
          </w:tcPr>
          <w:p w14:paraId="2DE7737F">
            <w:pPr>
              <w:jc w:val="center"/>
              <w:rPr>
                <w:rFonts w:ascii="宋体" w:hAnsi="宋体"/>
                <w:b w:val="0"/>
                <w:color w:val="000000"/>
                <w:szCs w:val="21"/>
              </w:rPr>
            </w:pPr>
            <w:r>
              <w:rPr>
                <w:rFonts w:ascii="宋体" w:hAnsi="宋体"/>
                <w:b w:val="0"/>
                <w:color w:val="000000"/>
                <w:szCs w:val="21"/>
              </w:rPr>
              <w:t>0</w:t>
            </w:r>
            <w:r>
              <w:rPr>
                <w:rFonts w:hint="eastAsia" w:ascii="宋体" w:hAnsi="宋体"/>
                <w:b w:val="0"/>
                <w:color w:val="000000"/>
                <w:szCs w:val="21"/>
              </w:rPr>
              <w:t>人</w:t>
            </w:r>
          </w:p>
        </w:tc>
        <w:tc>
          <w:tcPr>
            <w:tcW w:w="4255" w:type="dxa"/>
            <w:tcBorders>
              <w:bottom w:val="single" w:color="auto" w:sz="12" w:space="0"/>
            </w:tcBorders>
            <w:vAlign w:val="center"/>
          </w:tcPr>
          <w:p w14:paraId="23468DDB">
            <w:pPr>
              <w:jc w:val="center"/>
              <w:rPr>
                <w:rFonts w:ascii="宋体" w:hAnsi="宋体"/>
                <w:b w:val="0"/>
                <w:color w:val="000000"/>
                <w:szCs w:val="21"/>
              </w:rPr>
            </w:pPr>
            <w:r>
              <w:rPr>
                <w:rFonts w:ascii="宋体" w:hAnsi="宋体"/>
                <w:b w:val="0"/>
                <w:color w:val="000000"/>
                <w:szCs w:val="21"/>
              </w:rPr>
              <w:t>0.5</w:t>
            </w:r>
          </w:p>
        </w:tc>
      </w:tr>
    </w:tbl>
    <w:p w14:paraId="38040EBE">
      <w:pPr>
        <w:spacing w:before="120" w:beforeLines="50" w:line="360" w:lineRule="auto"/>
        <w:ind w:firstLine="560" w:firstLineChars="200"/>
        <w:rPr>
          <w:rFonts w:ascii="宋体" w:hAnsi="宋体" w:cs="宋体"/>
          <w:b w:val="0"/>
          <w:color w:val="000000"/>
          <w:sz w:val="28"/>
          <w:szCs w:val="28"/>
        </w:rPr>
      </w:pPr>
      <w:r>
        <w:rPr>
          <w:rFonts w:ascii="宋体" w:hAnsi="宋体" w:cs="宋体"/>
          <w:b w:val="0"/>
          <w:color w:val="000000"/>
          <w:sz w:val="28"/>
          <w:szCs w:val="28"/>
        </w:rPr>
        <w:t>5</w:t>
      </w:r>
      <w:r>
        <w:rPr>
          <w:rFonts w:hint="eastAsia" w:ascii="宋体" w:hAnsi="宋体" w:cs="宋体"/>
          <w:b w:val="0"/>
          <w:color w:val="000000"/>
          <w:sz w:val="28"/>
          <w:szCs w:val="28"/>
        </w:rPr>
        <w:t>）分级标准</w:t>
      </w:r>
    </w:p>
    <w:p w14:paraId="0EB66F16">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根据计算出来的</w:t>
      </w:r>
      <w:r>
        <w:rPr>
          <w:rFonts w:ascii="宋体" w:hAnsi="宋体" w:cs="宋体"/>
          <w:b w:val="0"/>
          <w:i/>
          <w:color w:val="000000"/>
          <w:sz w:val="28"/>
          <w:szCs w:val="28"/>
        </w:rPr>
        <w:t>R</w:t>
      </w:r>
      <w:r>
        <w:rPr>
          <w:rFonts w:hint="eastAsia" w:ascii="宋体" w:hAnsi="宋体" w:cs="宋体"/>
          <w:b w:val="0"/>
          <w:color w:val="000000"/>
          <w:sz w:val="28"/>
          <w:szCs w:val="28"/>
        </w:rPr>
        <w:t>值，按表</w:t>
      </w:r>
      <w:r>
        <w:rPr>
          <w:rFonts w:ascii="宋体" w:hAnsi="宋体" w:cs="宋体"/>
          <w:b w:val="0"/>
          <w:color w:val="000000"/>
          <w:sz w:val="28"/>
          <w:szCs w:val="28"/>
        </w:rPr>
        <w:t>3.5-4</w:t>
      </w:r>
      <w:r>
        <w:rPr>
          <w:rFonts w:hint="eastAsia" w:ascii="宋体" w:hAnsi="宋体" w:cs="宋体"/>
          <w:b w:val="0"/>
          <w:color w:val="000000"/>
          <w:sz w:val="28"/>
          <w:szCs w:val="28"/>
        </w:rPr>
        <w:t>确定危险化学品重大危险源的级别。</w:t>
      </w:r>
    </w:p>
    <w:p w14:paraId="07D04D3A">
      <w:pPr>
        <w:adjustRightInd w:val="0"/>
        <w:snapToGrid w:val="0"/>
        <w:jc w:val="center"/>
        <w:rPr>
          <w:rFonts w:ascii="黑体" w:hAnsi="黑体" w:eastAsia="黑体"/>
          <w:b w:val="0"/>
          <w:color w:val="000000"/>
          <w:sz w:val="24"/>
        </w:rPr>
      </w:pPr>
      <w:r>
        <w:rPr>
          <w:rFonts w:hint="eastAsia" w:ascii="黑体" w:hAnsi="黑体" w:eastAsia="黑体"/>
          <w:b w:val="0"/>
          <w:color w:val="000000"/>
          <w:sz w:val="24"/>
        </w:rPr>
        <w:t>表</w:t>
      </w:r>
      <w:r>
        <w:rPr>
          <w:rFonts w:ascii="黑体" w:hAnsi="黑体" w:eastAsia="黑体"/>
          <w:b w:val="0"/>
          <w:color w:val="000000"/>
          <w:sz w:val="24"/>
        </w:rPr>
        <w:t xml:space="preserve">3.5-4 </w:t>
      </w:r>
      <w:r>
        <w:rPr>
          <w:rFonts w:hint="eastAsia" w:ascii="黑体" w:hAnsi="黑体" w:eastAsia="黑体"/>
          <w:b w:val="0"/>
          <w:color w:val="000000"/>
          <w:sz w:val="24"/>
        </w:rPr>
        <w:t>危险化学品重大危险源级别和</w:t>
      </w:r>
      <w:r>
        <w:rPr>
          <w:rFonts w:ascii="黑体" w:hAnsi="黑体" w:eastAsia="黑体"/>
          <w:b w:val="0"/>
          <w:color w:val="000000"/>
          <w:sz w:val="24"/>
        </w:rPr>
        <w:t>R</w:t>
      </w:r>
      <w:r>
        <w:rPr>
          <w:rFonts w:hint="eastAsia" w:ascii="黑体" w:hAnsi="黑体" w:eastAsia="黑体"/>
          <w:b w:val="0"/>
          <w:color w:val="000000"/>
          <w:sz w:val="24"/>
        </w:rPr>
        <w:t>值的对应关系</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9"/>
        <w:gridCol w:w="4316"/>
      </w:tblGrid>
      <w:tr w14:paraId="6FB6A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319" w:type="dxa"/>
            <w:tcBorders>
              <w:top w:val="single" w:color="auto" w:sz="12" w:space="0"/>
            </w:tcBorders>
            <w:vAlign w:val="center"/>
          </w:tcPr>
          <w:p w14:paraId="5D2F6051">
            <w:pPr>
              <w:jc w:val="center"/>
              <w:rPr>
                <w:rFonts w:ascii="宋体" w:hAnsi="宋体"/>
                <w:color w:val="000000"/>
                <w:szCs w:val="21"/>
              </w:rPr>
            </w:pPr>
            <w:r>
              <w:rPr>
                <w:rFonts w:hint="eastAsia" w:ascii="宋体" w:hAnsi="宋体"/>
                <w:color w:val="000000"/>
                <w:szCs w:val="21"/>
              </w:rPr>
              <w:t>危险化学品重大危险源级别</w:t>
            </w:r>
          </w:p>
        </w:tc>
        <w:tc>
          <w:tcPr>
            <w:tcW w:w="4316" w:type="dxa"/>
            <w:tcBorders>
              <w:top w:val="single" w:color="auto" w:sz="12" w:space="0"/>
            </w:tcBorders>
            <w:vAlign w:val="center"/>
          </w:tcPr>
          <w:p w14:paraId="7D8EF0BE">
            <w:pPr>
              <w:jc w:val="center"/>
              <w:rPr>
                <w:rFonts w:ascii="宋体" w:hAnsi="宋体"/>
                <w:color w:val="000000"/>
                <w:szCs w:val="21"/>
              </w:rPr>
            </w:pPr>
            <w:r>
              <w:rPr>
                <w:rFonts w:ascii="宋体" w:hAnsi="宋体"/>
                <w:color w:val="000000"/>
                <w:szCs w:val="21"/>
              </w:rPr>
              <w:t>R</w:t>
            </w:r>
            <w:r>
              <w:rPr>
                <w:rFonts w:hint="eastAsia" w:ascii="宋体" w:hAnsi="宋体"/>
                <w:color w:val="000000"/>
                <w:szCs w:val="21"/>
              </w:rPr>
              <w:t>值</w:t>
            </w:r>
          </w:p>
        </w:tc>
      </w:tr>
      <w:tr w14:paraId="5F67B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19" w:type="dxa"/>
            <w:vAlign w:val="center"/>
          </w:tcPr>
          <w:p w14:paraId="4D9B06FC">
            <w:pPr>
              <w:jc w:val="center"/>
              <w:rPr>
                <w:rFonts w:ascii="宋体" w:hAnsi="宋体"/>
                <w:b w:val="0"/>
                <w:color w:val="000000"/>
                <w:szCs w:val="21"/>
              </w:rPr>
            </w:pPr>
            <w:r>
              <w:rPr>
                <w:rFonts w:hint="eastAsia" w:ascii="宋体" w:hAnsi="宋体"/>
                <w:b w:val="0"/>
                <w:color w:val="000000"/>
                <w:szCs w:val="21"/>
              </w:rPr>
              <w:t>一级</w:t>
            </w:r>
          </w:p>
        </w:tc>
        <w:tc>
          <w:tcPr>
            <w:tcW w:w="4316" w:type="dxa"/>
            <w:vAlign w:val="center"/>
          </w:tcPr>
          <w:p w14:paraId="4F67E277">
            <w:pPr>
              <w:jc w:val="center"/>
              <w:rPr>
                <w:rFonts w:ascii="宋体" w:hAnsi="宋体"/>
                <w:b w:val="0"/>
                <w:color w:val="000000"/>
                <w:szCs w:val="21"/>
              </w:rPr>
            </w:pPr>
            <w:r>
              <w:rPr>
                <w:rFonts w:ascii="宋体" w:hAnsi="宋体"/>
                <w:b w:val="0"/>
                <w:color w:val="000000"/>
                <w:szCs w:val="21"/>
              </w:rPr>
              <w:t>R</w:t>
            </w:r>
            <w:r>
              <w:rPr>
                <w:rFonts w:hint="eastAsia" w:ascii="宋体" w:hAnsi="宋体"/>
                <w:b w:val="0"/>
                <w:color w:val="000000"/>
                <w:szCs w:val="21"/>
              </w:rPr>
              <w:t>≥</w:t>
            </w:r>
            <w:r>
              <w:rPr>
                <w:rFonts w:ascii="宋体" w:hAnsi="宋体"/>
                <w:b w:val="0"/>
                <w:color w:val="000000"/>
                <w:szCs w:val="21"/>
              </w:rPr>
              <w:t>100</w:t>
            </w:r>
          </w:p>
        </w:tc>
      </w:tr>
      <w:tr w14:paraId="16494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19" w:type="dxa"/>
            <w:vAlign w:val="center"/>
          </w:tcPr>
          <w:p w14:paraId="2A0FBAEE">
            <w:pPr>
              <w:jc w:val="center"/>
              <w:rPr>
                <w:rFonts w:ascii="宋体" w:hAnsi="宋体"/>
                <w:b w:val="0"/>
                <w:color w:val="000000"/>
                <w:szCs w:val="21"/>
              </w:rPr>
            </w:pPr>
            <w:r>
              <w:rPr>
                <w:rFonts w:hint="eastAsia" w:ascii="宋体" w:hAnsi="宋体"/>
                <w:b w:val="0"/>
                <w:color w:val="000000"/>
                <w:szCs w:val="21"/>
              </w:rPr>
              <w:t>二级</w:t>
            </w:r>
          </w:p>
        </w:tc>
        <w:tc>
          <w:tcPr>
            <w:tcW w:w="4316" w:type="dxa"/>
            <w:vAlign w:val="center"/>
          </w:tcPr>
          <w:p w14:paraId="38830AFD">
            <w:pPr>
              <w:jc w:val="center"/>
              <w:rPr>
                <w:rFonts w:ascii="宋体" w:hAnsi="宋体"/>
                <w:b w:val="0"/>
                <w:color w:val="000000"/>
                <w:szCs w:val="21"/>
              </w:rPr>
            </w:pPr>
            <w:r>
              <w:rPr>
                <w:rFonts w:ascii="宋体" w:hAnsi="宋体"/>
                <w:b w:val="0"/>
                <w:color w:val="000000"/>
                <w:szCs w:val="21"/>
              </w:rPr>
              <w:t>100</w:t>
            </w:r>
            <w:r>
              <w:rPr>
                <w:rFonts w:hint="eastAsia" w:ascii="宋体" w:hAnsi="宋体"/>
                <w:b w:val="0"/>
                <w:color w:val="000000"/>
                <w:szCs w:val="21"/>
              </w:rPr>
              <w:t>＞</w:t>
            </w:r>
            <w:r>
              <w:rPr>
                <w:rFonts w:ascii="宋体" w:hAnsi="宋体"/>
                <w:b w:val="0"/>
                <w:color w:val="000000"/>
                <w:szCs w:val="21"/>
              </w:rPr>
              <w:t>R</w:t>
            </w:r>
            <w:r>
              <w:rPr>
                <w:rFonts w:hint="eastAsia" w:ascii="宋体" w:hAnsi="宋体"/>
                <w:b w:val="0"/>
                <w:color w:val="000000"/>
                <w:szCs w:val="21"/>
              </w:rPr>
              <w:t>≥</w:t>
            </w:r>
            <w:r>
              <w:rPr>
                <w:rFonts w:ascii="宋体" w:hAnsi="宋体"/>
                <w:b w:val="0"/>
                <w:color w:val="000000"/>
                <w:szCs w:val="21"/>
              </w:rPr>
              <w:t>50</w:t>
            </w:r>
          </w:p>
        </w:tc>
      </w:tr>
      <w:tr w14:paraId="40937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19" w:type="dxa"/>
            <w:vAlign w:val="center"/>
          </w:tcPr>
          <w:p w14:paraId="152272D8">
            <w:pPr>
              <w:jc w:val="center"/>
              <w:rPr>
                <w:rFonts w:ascii="宋体" w:hAnsi="宋体"/>
                <w:b w:val="0"/>
                <w:color w:val="000000"/>
                <w:szCs w:val="21"/>
              </w:rPr>
            </w:pPr>
            <w:r>
              <w:rPr>
                <w:rFonts w:hint="eastAsia" w:ascii="宋体" w:hAnsi="宋体"/>
                <w:b w:val="0"/>
                <w:color w:val="000000"/>
                <w:szCs w:val="21"/>
              </w:rPr>
              <w:t>三级</w:t>
            </w:r>
          </w:p>
        </w:tc>
        <w:tc>
          <w:tcPr>
            <w:tcW w:w="4316" w:type="dxa"/>
            <w:vAlign w:val="center"/>
          </w:tcPr>
          <w:p w14:paraId="659C847C">
            <w:pPr>
              <w:jc w:val="center"/>
              <w:rPr>
                <w:rFonts w:ascii="宋体" w:hAnsi="宋体"/>
                <w:b w:val="0"/>
                <w:color w:val="000000"/>
                <w:szCs w:val="21"/>
              </w:rPr>
            </w:pPr>
            <w:r>
              <w:rPr>
                <w:rFonts w:ascii="宋体" w:hAnsi="宋体"/>
                <w:b w:val="0"/>
                <w:color w:val="000000"/>
                <w:szCs w:val="21"/>
              </w:rPr>
              <w:t>50</w:t>
            </w:r>
            <w:r>
              <w:rPr>
                <w:rFonts w:hint="eastAsia" w:ascii="宋体" w:hAnsi="宋体"/>
                <w:b w:val="0"/>
                <w:color w:val="000000"/>
                <w:szCs w:val="21"/>
              </w:rPr>
              <w:t>＞</w:t>
            </w:r>
            <w:r>
              <w:rPr>
                <w:rFonts w:ascii="宋体" w:hAnsi="宋体"/>
                <w:b w:val="0"/>
                <w:color w:val="000000"/>
                <w:szCs w:val="21"/>
              </w:rPr>
              <w:t>R</w:t>
            </w:r>
            <w:r>
              <w:rPr>
                <w:rFonts w:hint="eastAsia" w:ascii="宋体" w:hAnsi="宋体"/>
                <w:b w:val="0"/>
                <w:color w:val="000000"/>
                <w:szCs w:val="21"/>
              </w:rPr>
              <w:t>≥</w:t>
            </w:r>
            <w:r>
              <w:rPr>
                <w:rFonts w:ascii="宋体" w:hAnsi="宋体"/>
                <w:b w:val="0"/>
                <w:color w:val="000000"/>
                <w:szCs w:val="21"/>
              </w:rPr>
              <w:t>10</w:t>
            </w:r>
          </w:p>
        </w:tc>
      </w:tr>
      <w:tr w14:paraId="25D3C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19" w:type="dxa"/>
            <w:tcBorders>
              <w:bottom w:val="single" w:color="auto" w:sz="12" w:space="0"/>
            </w:tcBorders>
            <w:vAlign w:val="center"/>
          </w:tcPr>
          <w:p w14:paraId="741CAF6A">
            <w:pPr>
              <w:jc w:val="center"/>
              <w:rPr>
                <w:rFonts w:ascii="宋体" w:hAnsi="宋体"/>
                <w:b w:val="0"/>
                <w:color w:val="000000"/>
                <w:szCs w:val="21"/>
              </w:rPr>
            </w:pPr>
            <w:r>
              <w:rPr>
                <w:rFonts w:hint="eastAsia" w:ascii="宋体" w:hAnsi="宋体"/>
                <w:b w:val="0"/>
                <w:color w:val="000000"/>
                <w:szCs w:val="21"/>
              </w:rPr>
              <w:t>四级</w:t>
            </w:r>
          </w:p>
        </w:tc>
        <w:tc>
          <w:tcPr>
            <w:tcW w:w="4316" w:type="dxa"/>
            <w:tcBorders>
              <w:bottom w:val="single" w:color="auto" w:sz="12" w:space="0"/>
            </w:tcBorders>
            <w:vAlign w:val="center"/>
          </w:tcPr>
          <w:p w14:paraId="0B826E72">
            <w:pPr>
              <w:jc w:val="center"/>
              <w:rPr>
                <w:rFonts w:ascii="宋体" w:hAnsi="宋体"/>
                <w:b w:val="0"/>
                <w:color w:val="000000"/>
                <w:szCs w:val="21"/>
              </w:rPr>
            </w:pPr>
            <w:r>
              <w:rPr>
                <w:rFonts w:ascii="宋体" w:hAnsi="宋体"/>
                <w:b w:val="0"/>
                <w:color w:val="000000"/>
                <w:szCs w:val="21"/>
              </w:rPr>
              <w:t>R</w:t>
            </w:r>
            <w:r>
              <w:rPr>
                <w:rFonts w:hint="eastAsia" w:ascii="宋体" w:hAnsi="宋体"/>
                <w:b w:val="0"/>
                <w:color w:val="000000"/>
                <w:szCs w:val="21"/>
              </w:rPr>
              <w:t>＜</w:t>
            </w:r>
            <w:r>
              <w:rPr>
                <w:rFonts w:ascii="宋体" w:hAnsi="宋体"/>
                <w:b w:val="0"/>
                <w:color w:val="000000"/>
                <w:szCs w:val="21"/>
              </w:rPr>
              <w:t>10</w:t>
            </w:r>
          </w:p>
        </w:tc>
      </w:tr>
    </w:tbl>
    <w:p w14:paraId="484BF71E">
      <w:pPr>
        <w:spacing w:before="120" w:beforeLines="50" w:line="360" w:lineRule="auto"/>
        <w:ind w:firstLine="562" w:firstLineChars="200"/>
        <w:rPr>
          <w:rFonts w:ascii="宋体" w:hAns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2</w:t>
      </w:r>
      <w:r>
        <w:rPr>
          <w:rFonts w:hint="eastAsia" w:ascii="宋体" w:hAnsi="宋体" w:cs="宋体"/>
          <w:color w:val="000000"/>
          <w:sz w:val="28"/>
          <w:szCs w:val="28"/>
        </w:rPr>
        <w:t>）</w:t>
      </w:r>
      <w:r>
        <w:rPr>
          <w:rFonts w:ascii="宋体" w:hAnsi="宋体" w:cs="宋体"/>
          <w:color w:val="000000"/>
          <w:sz w:val="28"/>
          <w:szCs w:val="28"/>
        </w:rPr>
        <w:t xml:space="preserve"> </w:t>
      </w:r>
      <w:r>
        <w:rPr>
          <w:rFonts w:hint="eastAsia" w:ascii="宋体" w:hAnsi="宋体" w:cs="宋体"/>
          <w:color w:val="000000"/>
          <w:sz w:val="28"/>
          <w:szCs w:val="28"/>
        </w:rPr>
        <w:t>重大危险源分级</w:t>
      </w:r>
    </w:p>
    <w:p w14:paraId="25542845">
      <w:pPr>
        <w:spacing w:line="360" w:lineRule="auto"/>
        <w:ind w:firstLine="536" w:firstLineChars="200"/>
        <w:rPr>
          <w:rFonts w:ascii="宋体" w:hAnsi="宋体" w:cs="宋体"/>
          <w:b w:val="0"/>
          <w:color w:val="000000"/>
          <w:sz w:val="28"/>
          <w:szCs w:val="28"/>
        </w:rPr>
      </w:pPr>
      <w:r>
        <w:rPr>
          <w:rFonts w:hint="eastAsia" w:ascii="宋体" w:hAnsi="宋体" w:cs="宋体"/>
          <w:b w:val="0"/>
          <w:color w:val="000000"/>
          <w:spacing w:val="-6"/>
          <w:sz w:val="28"/>
          <w:szCs w:val="28"/>
        </w:rPr>
        <w:t>根据湖南金帝烟花爆竹制造有限公司提供的相关资料及评价组现场勘查，湖南金帝烟花爆竹制造有限公司已构成烟花爆竹重大危险源的1号黑火药库区（厂区西南面）和2号黑火药库区（厂区西北面）外</w:t>
      </w:r>
      <w:r>
        <w:rPr>
          <w:rFonts w:ascii="宋体" w:hAnsi="宋体" w:cs="宋体"/>
          <w:b w:val="0"/>
          <w:color w:val="000000"/>
          <w:spacing w:val="-6"/>
          <w:sz w:val="28"/>
          <w:szCs w:val="28"/>
        </w:rPr>
        <w:t>500</w:t>
      </w:r>
      <w:r>
        <w:rPr>
          <w:rFonts w:hint="eastAsia" w:ascii="宋体" w:hAnsi="宋体" w:cs="宋体"/>
          <w:b w:val="0"/>
          <w:color w:val="000000"/>
          <w:spacing w:val="-6"/>
          <w:sz w:val="28"/>
          <w:szCs w:val="28"/>
        </w:rPr>
        <w:t>米范围内常住人口数量均在</w:t>
      </w:r>
      <w:r>
        <w:rPr>
          <w:rFonts w:ascii="宋体" w:hAnsi="宋体" w:cs="宋体"/>
          <w:b w:val="0"/>
          <w:color w:val="000000"/>
          <w:spacing w:val="-6"/>
          <w:sz w:val="28"/>
          <w:szCs w:val="28"/>
        </w:rPr>
        <w:t>100</w:t>
      </w:r>
      <w:r>
        <w:rPr>
          <w:rFonts w:hint="eastAsia" w:ascii="宋体" w:hAnsi="宋体" w:cs="宋体"/>
          <w:b w:val="0"/>
          <w:color w:val="000000"/>
          <w:spacing w:val="-6"/>
          <w:sz w:val="28"/>
          <w:szCs w:val="28"/>
        </w:rPr>
        <w:t>人以上，同时，参考重大危险源辨识表</w:t>
      </w:r>
      <w:r>
        <w:rPr>
          <w:rFonts w:ascii="宋体" w:hAnsi="宋体" w:cs="宋体"/>
          <w:b w:val="0"/>
          <w:color w:val="000000"/>
          <w:spacing w:val="-6"/>
          <w:sz w:val="28"/>
          <w:szCs w:val="28"/>
        </w:rPr>
        <w:t>3.5-1</w:t>
      </w:r>
      <w:r>
        <w:rPr>
          <w:rFonts w:hint="eastAsia" w:ascii="宋体" w:hAnsi="宋体" w:cs="宋体"/>
          <w:b w:val="0"/>
          <w:color w:val="000000"/>
          <w:spacing w:val="-6"/>
          <w:sz w:val="28"/>
          <w:szCs w:val="28"/>
        </w:rPr>
        <w:t>，可知：</w:t>
      </w:r>
    </w:p>
    <w:p w14:paraId="2899A7E6">
      <w:pPr>
        <w:spacing w:line="360" w:lineRule="auto"/>
        <w:ind w:firstLine="1680" w:firstLineChars="600"/>
        <w:rPr>
          <w:rFonts w:ascii="宋体" w:hAnsi="宋体" w:cs="宋体"/>
          <w:b w:val="0"/>
          <w:color w:val="000000"/>
          <w:sz w:val="28"/>
          <w:szCs w:val="28"/>
        </w:rPr>
      </w:pPr>
      <w:r>
        <w:rPr>
          <w:rFonts w:ascii="宋体" w:hAnsi="宋体" w:cs="宋体"/>
          <w:b w:val="0"/>
          <w:i/>
          <w:color w:val="000000"/>
          <w:sz w:val="28"/>
          <w:szCs w:val="28"/>
        </w:rPr>
        <w:t>R</w:t>
      </w:r>
      <w:r>
        <w:rPr>
          <w:rFonts w:ascii="宋体" w:hAnsi="宋体" w:cs="宋体"/>
          <w:b w:val="0"/>
          <w:i/>
          <w:color w:val="000000"/>
          <w:sz w:val="28"/>
          <w:szCs w:val="28"/>
          <w:vertAlign w:val="subscript"/>
        </w:rPr>
        <w:t>1</w:t>
      </w:r>
      <w:r>
        <w:rPr>
          <w:rFonts w:ascii="宋体" w:hAnsi="宋体" w:cs="宋体"/>
          <w:b w:val="0"/>
          <w:i/>
          <w:color w:val="000000"/>
          <w:sz w:val="28"/>
          <w:szCs w:val="28"/>
        </w:rPr>
        <w:t xml:space="preserve"> </w:t>
      </w:r>
      <w:r>
        <w:rPr>
          <w:rFonts w:hint="eastAsia" w:ascii="宋体" w:hAnsi="宋体" w:cs="宋体"/>
          <w:b w:val="0"/>
          <w:color w:val="000000"/>
          <w:sz w:val="28"/>
          <w:szCs w:val="28"/>
        </w:rPr>
        <w:t>1号黑火药库区＝</w:t>
      </w:r>
      <w:r>
        <w:rPr>
          <w:rFonts w:ascii="宋体" w:hAnsi="宋体" w:cs="宋体"/>
          <w:b w:val="0"/>
          <w:color w:val="000000"/>
          <w:sz w:val="28"/>
          <w:szCs w:val="28"/>
        </w:rPr>
        <w:t>2</w:t>
      </w:r>
      <w:r>
        <w:rPr>
          <w:rFonts w:hint="eastAsia" w:ascii="宋体" w:hAnsi="宋体" w:cs="宋体"/>
          <w:b w:val="0"/>
          <w:color w:val="000000"/>
          <w:sz w:val="28"/>
          <w:szCs w:val="28"/>
        </w:rPr>
        <w:t>×</w:t>
      </w:r>
      <w:r>
        <w:rPr>
          <w:rFonts w:ascii="宋体" w:hAnsi="宋体" w:cs="宋体"/>
          <w:b w:val="0"/>
          <w:color w:val="000000"/>
          <w:sz w:val="28"/>
          <w:szCs w:val="28"/>
        </w:rPr>
        <w:t>{2</w:t>
      </w:r>
      <w:r>
        <w:rPr>
          <w:rFonts w:hint="eastAsia" w:ascii="宋体" w:hAnsi="宋体" w:cs="宋体"/>
          <w:b w:val="0"/>
          <w:color w:val="000000"/>
          <w:sz w:val="28"/>
          <w:szCs w:val="28"/>
        </w:rPr>
        <w:t>×</w:t>
      </w:r>
      <w:r>
        <w:rPr>
          <w:rFonts w:ascii="宋体" w:hAnsi="宋体" w:cs="宋体"/>
          <w:b w:val="0"/>
          <w:color w:val="000000"/>
          <w:sz w:val="28"/>
          <w:szCs w:val="28"/>
        </w:rPr>
        <w:t>7.8}</w:t>
      </w:r>
      <w:r>
        <w:rPr>
          <w:rFonts w:hint="eastAsia" w:ascii="宋体" w:hAnsi="宋体" w:cs="宋体"/>
          <w:b w:val="0"/>
          <w:color w:val="000000"/>
          <w:sz w:val="28"/>
          <w:szCs w:val="28"/>
        </w:rPr>
        <w:t>＝</w:t>
      </w:r>
      <w:r>
        <w:rPr>
          <w:rFonts w:ascii="宋体" w:hAnsi="宋体" w:cs="宋体"/>
          <w:b w:val="0"/>
          <w:color w:val="000000"/>
          <w:sz w:val="28"/>
          <w:szCs w:val="28"/>
        </w:rPr>
        <w:t>31.2</w:t>
      </w:r>
    </w:p>
    <w:p w14:paraId="29CAEB50">
      <w:pPr>
        <w:spacing w:line="360" w:lineRule="auto"/>
        <w:ind w:firstLine="1680" w:firstLineChars="600"/>
        <w:rPr>
          <w:rFonts w:ascii="宋体" w:hAnsi="宋体" w:cs="宋体"/>
          <w:b w:val="0"/>
          <w:color w:val="000000"/>
          <w:sz w:val="28"/>
          <w:szCs w:val="28"/>
        </w:rPr>
      </w:pPr>
      <w:r>
        <w:rPr>
          <w:rFonts w:ascii="宋体" w:hAnsi="宋体" w:cs="宋体"/>
          <w:b w:val="0"/>
          <w:i/>
          <w:color w:val="000000"/>
          <w:sz w:val="28"/>
          <w:szCs w:val="28"/>
        </w:rPr>
        <w:t>R</w:t>
      </w:r>
      <w:r>
        <w:rPr>
          <w:rFonts w:ascii="宋体" w:hAnsi="宋体" w:cs="宋体"/>
          <w:b w:val="0"/>
          <w:i/>
          <w:color w:val="000000"/>
          <w:sz w:val="28"/>
          <w:szCs w:val="28"/>
          <w:vertAlign w:val="subscript"/>
        </w:rPr>
        <w:t>2</w:t>
      </w:r>
      <w:r>
        <w:rPr>
          <w:rFonts w:ascii="宋体" w:hAnsi="宋体" w:cs="宋体"/>
          <w:b w:val="0"/>
          <w:i/>
          <w:color w:val="000000"/>
          <w:sz w:val="28"/>
          <w:szCs w:val="28"/>
        </w:rPr>
        <w:t xml:space="preserve"> </w:t>
      </w:r>
      <w:r>
        <w:rPr>
          <w:rFonts w:ascii="宋体" w:hAnsi="宋体" w:cs="宋体"/>
          <w:b w:val="0"/>
          <w:color w:val="000000"/>
          <w:sz w:val="28"/>
          <w:szCs w:val="28"/>
        </w:rPr>
        <w:t>2</w:t>
      </w:r>
      <w:r>
        <w:rPr>
          <w:rFonts w:hint="eastAsia" w:ascii="宋体" w:hAnsi="宋体" w:cs="宋体"/>
          <w:b w:val="0"/>
          <w:color w:val="000000"/>
          <w:sz w:val="28"/>
          <w:szCs w:val="28"/>
        </w:rPr>
        <w:t>号黑火药库区＝</w:t>
      </w:r>
      <w:r>
        <w:rPr>
          <w:rFonts w:ascii="宋体" w:hAnsi="宋体" w:cs="宋体"/>
          <w:b w:val="0"/>
          <w:color w:val="000000"/>
          <w:sz w:val="28"/>
          <w:szCs w:val="28"/>
        </w:rPr>
        <w:t>2</w:t>
      </w:r>
      <w:r>
        <w:rPr>
          <w:rFonts w:hint="eastAsia" w:ascii="宋体" w:hAnsi="宋体" w:cs="宋体"/>
          <w:b w:val="0"/>
          <w:color w:val="000000"/>
          <w:sz w:val="28"/>
          <w:szCs w:val="28"/>
        </w:rPr>
        <w:t>×</w:t>
      </w:r>
      <w:r>
        <w:rPr>
          <w:rFonts w:ascii="宋体" w:hAnsi="宋体" w:cs="宋体"/>
          <w:b w:val="0"/>
          <w:color w:val="000000"/>
          <w:sz w:val="28"/>
          <w:szCs w:val="28"/>
        </w:rPr>
        <w:t>{2</w:t>
      </w:r>
      <w:r>
        <w:rPr>
          <w:rFonts w:hint="eastAsia" w:ascii="宋体" w:hAnsi="宋体" w:cs="宋体"/>
          <w:b w:val="0"/>
          <w:color w:val="000000"/>
          <w:sz w:val="28"/>
          <w:szCs w:val="28"/>
        </w:rPr>
        <w:t>×</w:t>
      </w:r>
      <w:r>
        <w:rPr>
          <w:rFonts w:ascii="宋体" w:hAnsi="宋体" w:cs="宋体"/>
          <w:b w:val="0"/>
          <w:color w:val="000000"/>
          <w:sz w:val="28"/>
          <w:szCs w:val="28"/>
        </w:rPr>
        <w:t>4.28}</w:t>
      </w:r>
      <w:r>
        <w:rPr>
          <w:rFonts w:hint="eastAsia" w:ascii="宋体" w:hAnsi="宋体" w:cs="宋体"/>
          <w:b w:val="0"/>
          <w:color w:val="000000"/>
          <w:sz w:val="28"/>
          <w:szCs w:val="28"/>
        </w:rPr>
        <w:t>＝</w:t>
      </w:r>
      <w:r>
        <w:rPr>
          <w:rFonts w:ascii="宋体" w:hAnsi="宋体" w:cs="宋体"/>
          <w:b w:val="0"/>
          <w:color w:val="000000"/>
          <w:sz w:val="28"/>
          <w:szCs w:val="28"/>
        </w:rPr>
        <w:t>17.12</w:t>
      </w:r>
    </w:p>
    <w:p w14:paraId="68B21DD9">
      <w:pPr>
        <w:spacing w:line="360" w:lineRule="auto"/>
        <w:ind w:firstLine="560" w:firstLineChars="200"/>
        <w:rPr>
          <w:rFonts w:ascii="宋体" w:hAnsi="宋体" w:cs="宋体"/>
          <w:b w:val="0"/>
          <w:color w:val="000000"/>
          <w:sz w:val="28"/>
          <w:szCs w:val="28"/>
        </w:rPr>
      </w:pPr>
      <w:r>
        <w:rPr>
          <w:rFonts w:hint="eastAsia" w:ascii="宋体" w:hAnsi="宋体" w:cs="宋体"/>
          <w:b w:val="0"/>
          <w:color w:val="000000"/>
          <w:sz w:val="28"/>
          <w:szCs w:val="28"/>
        </w:rPr>
        <w:t>由表</w:t>
      </w:r>
      <w:r>
        <w:rPr>
          <w:rFonts w:ascii="宋体" w:hAnsi="宋体" w:cs="宋体"/>
          <w:b w:val="0"/>
          <w:color w:val="000000"/>
          <w:sz w:val="28"/>
          <w:szCs w:val="28"/>
        </w:rPr>
        <w:t>3.5-4</w:t>
      </w:r>
      <w:r>
        <w:rPr>
          <w:rFonts w:hint="eastAsia" w:ascii="宋体" w:hAnsi="宋体" w:cs="宋体"/>
          <w:b w:val="0"/>
          <w:color w:val="000000"/>
          <w:sz w:val="28"/>
          <w:szCs w:val="28"/>
        </w:rPr>
        <w:t>可知：湖南金帝烟花爆竹制造有限公司泉水工区储存单元中1号黑火药库区（厂区西南面）和2号黑火药库区（厂区西北面）均已构成三级烟花爆竹重大危险源。</w:t>
      </w:r>
      <w:bookmarkStart w:id="329" w:name="_Toc239191505"/>
    </w:p>
    <w:p w14:paraId="142FFA1B">
      <w:pPr>
        <w:keepNext/>
        <w:keepLines/>
        <w:spacing w:line="360" w:lineRule="auto"/>
        <w:outlineLvl w:val="1"/>
        <w:rPr>
          <w:rFonts w:ascii="黑体" w:hAnsi="黑体" w:eastAsia="黑体"/>
          <w:b w:val="0"/>
          <w:bCs/>
          <w:snapToGrid w:val="0"/>
          <w:sz w:val="32"/>
          <w:szCs w:val="32"/>
        </w:rPr>
      </w:pPr>
      <w:r>
        <w:rPr>
          <w:rFonts w:hint="eastAsia" w:ascii="黑体" w:hAnsi="黑体" w:eastAsia="黑体"/>
          <w:b w:val="0"/>
          <w:bCs/>
          <w:snapToGrid w:val="0"/>
          <w:sz w:val="32"/>
          <w:szCs w:val="32"/>
        </w:rPr>
        <w:t>3.</w:t>
      </w:r>
      <w:r>
        <w:rPr>
          <w:rFonts w:ascii="黑体" w:hAnsi="黑体" w:eastAsia="黑体"/>
          <w:b w:val="0"/>
          <w:bCs/>
          <w:snapToGrid w:val="0"/>
          <w:sz w:val="32"/>
          <w:szCs w:val="32"/>
        </w:rPr>
        <w:t>6</w:t>
      </w:r>
      <w:r>
        <w:rPr>
          <w:rFonts w:hint="eastAsia" w:ascii="黑体" w:hAnsi="黑体" w:eastAsia="黑体"/>
          <w:b w:val="0"/>
          <w:bCs/>
          <w:snapToGrid w:val="0"/>
          <w:sz w:val="32"/>
          <w:szCs w:val="32"/>
        </w:rPr>
        <w:t>主要机械设备危险有害因素分析</w:t>
      </w:r>
      <w:bookmarkEnd w:id="306"/>
      <w:bookmarkEnd w:id="307"/>
      <w:bookmarkEnd w:id="308"/>
      <w:bookmarkEnd w:id="329"/>
    </w:p>
    <w:p w14:paraId="0F9AA358">
      <w:pPr>
        <w:pStyle w:val="3"/>
        <w:ind w:firstLine="560" w:firstLineChars="200"/>
        <w:rPr>
          <w:rFonts w:ascii="宋体" w:eastAsia="宋体" w:cs="宋体"/>
          <w:b w:val="0"/>
          <w:szCs w:val="28"/>
          <w:lang w:val="zh-CN"/>
        </w:rPr>
      </w:pPr>
      <w:bookmarkStart w:id="330" w:name="_Toc271898766"/>
      <w:bookmarkStart w:id="331" w:name="_Toc294247821"/>
      <w:bookmarkStart w:id="332" w:name="_Toc335902407"/>
      <w:bookmarkStart w:id="333" w:name="_Toc173077671"/>
      <w:r>
        <w:rPr>
          <w:rFonts w:hint="eastAsia" w:ascii="宋体" w:eastAsia="宋体" w:cs="宋体"/>
          <w:b w:val="0"/>
          <w:szCs w:val="28"/>
          <w:lang w:val="zh-CN"/>
        </w:rPr>
        <w:t>该项目所涉及的主要生产设备有：粉碎机、二味球磨机、黑火药智能自动混合/上潮/装模制片一体机、油压机、油温机、造粒机、抛光机、筛选机、三味球磨/筛选机等，其危险有害因素分析如下：</w:t>
      </w:r>
    </w:p>
    <w:p w14:paraId="3A793006">
      <w:pPr>
        <w:pStyle w:val="3"/>
        <w:ind w:firstLine="561"/>
        <w:rPr>
          <w:rFonts w:ascii="宋体" w:hAnsi="宋体" w:eastAsia="宋体" w:cs="宋体"/>
          <w:szCs w:val="24"/>
        </w:rPr>
      </w:pPr>
      <w:r>
        <w:rPr>
          <w:rFonts w:hint="eastAsia" w:ascii="宋体" w:hAnsi="宋体" w:eastAsia="宋体" w:cs="宋体"/>
          <w:szCs w:val="24"/>
        </w:rPr>
        <w:t>（1）粉碎机</w:t>
      </w:r>
    </w:p>
    <w:p w14:paraId="563433D7">
      <w:pPr>
        <w:spacing w:line="360" w:lineRule="auto"/>
        <w:ind w:firstLine="560" w:firstLineChars="200"/>
        <w:rPr>
          <w:rFonts w:ascii="宋体" w:hAnsi="宋体"/>
          <w:b w:val="0"/>
          <w:bCs/>
          <w:spacing w:val="-3"/>
          <w:sz w:val="28"/>
          <w:szCs w:val="28"/>
        </w:rPr>
      </w:pPr>
      <w:r>
        <w:rPr>
          <w:rFonts w:hint="eastAsia" w:ascii="宋体" w:cs="宋体"/>
          <w:b w:val="0"/>
          <w:kern w:val="0"/>
          <w:sz w:val="28"/>
          <w:szCs w:val="28"/>
          <w:lang w:val="zh-CN"/>
        </w:rPr>
        <w:t>该企业粉碎原则上只粉碎硝酸钾，是一种单料粉碎。粉碎机主要危险有害因素：</w:t>
      </w:r>
      <w:r>
        <w:rPr>
          <w:rFonts w:hint="eastAsia" w:ascii="宋体" w:hAnsi="宋体"/>
          <w:b w:val="0"/>
          <w:bCs/>
          <w:spacing w:val="-3"/>
          <w:sz w:val="28"/>
          <w:szCs w:val="28"/>
        </w:rPr>
        <w:t>①</w:t>
      </w:r>
      <w:r>
        <w:rPr>
          <w:rFonts w:ascii="宋体" w:hAnsi="宋体"/>
          <w:b w:val="0"/>
          <w:bCs/>
          <w:spacing w:val="-5"/>
          <w:sz w:val="28"/>
          <w:szCs w:val="28"/>
        </w:rPr>
        <w:t>若设备强度、刚度不够或稳定性差，不能满足使用要求，可能引起机械伤害和药剂燃烧爆炸事故。</w:t>
      </w:r>
      <w:r>
        <w:rPr>
          <w:rFonts w:hint="eastAsia" w:ascii="宋体" w:hAnsi="宋体"/>
          <w:b w:val="0"/>
          <w:bCs/>
          <w:spacing w:val="-3"/>
          <w:sz w:val="28"/>
          <w:szCs w:val="28"/>
        </w:rPr>
        <w:t>②</w:t>
      </w:r>
      <w:r>
        <w:rPr>
          <w:rFonts w:ascii="宋体" w:hAnsi="宋体"/>
          <w:b w:val="0"/>
          <w:bCs/>
          <w:spacing w:val="-2"/>
          <w:sz w:val="28"/>
          <w:szCs w:val="28"/>
        </w:rPr>
        <w:t>若设备未使</w:t>
      </w:r>
      <w:r>
        <w:rPr>
          <w:rFonts w:ascii="宋体" w:hAnsi="宋体"/>
          <w:b w:val="0"/>
          <w:bCs/>
          <w:spacing w:val="1"/>
          <w:sz w:val="28"/>
          <w:szCs w:val="28"/>
        </w:rPr>
        <w:t>用防爆电机、线路老化、未接地等不符合火灾爆炸危险场所电气要求，可能</w:t>
      </w:r>
      <w:r>
        <w:rPr>
          <w:rFonts w:ascii="宋体" w:hAnsi="宋体"/>
          <w:b w:val="0"/>
          <w:bCs/>
          <w:spacing w:val="-6"/>
          <w:sz w:val="28"/>
          <w:szCs w:val="28"/>
        </w:rPr>
        <w:t>发生触电、火灾、爆炸事故。</w:t>
      </w:r>
      <w:r>
        <w:rPr>
          <w:rFonts w:hint="eastAsia" w:ascii="宋体" w:hAnsi="宋体"/>
          <w:b w:val="0"/>
          <w:bCs/>
          <w:spacing w:val="-1"/>
          <w:sz w:val="28"/>
          <w:szCs w:val="28"/>
        </w:rPr>
        <w:t>③</w:t>
      </w:r>
      <w:r>
        <w:rPr>
          <w:rFonts w:ascii="宋体" w:hAnsi="宋体"/>
          <w:b w:val="0"/>
          <w:bCs/>
          <w:spacing w:val="-4"/>
          <w:sz w:val="28"/>
          <w:szCs w:val="28"/>
        </w:rPr>
        <w:t>若传动及其他运动部件未做润滑处理，运</w:t>
      </w:r>
      <w:r>
        <w:rPr>
          <w:rFonts w:ascii="宋体" w:hAnsi="宋体"/>
          <w:b w:val="0"/>
          <w:bCs/>
          <w:spacing w:val="-5"/>
          <w:sz w:val="28"/>
          <w:szCs w:val="28"/>
        </w:rPr>
        <w:t>动部件间摩擦力增加，可能使药粉因摩擦积热引起燃烧。</w:t>
      </w:r>
      <w:r>
        <w:rPr>
          <w:rFonts w:hint="eastAsia" w:ascii="宋体" w:hAnsi="宋体"/>
          <w:b w:val="0"/>
          <w:bCs/>
          <w:spacing w:val="-3"/>
          <w:sz w:val="28"/>
          <w:szCs w:val="28"/>
        </w:rPr>
        <w:t>④</w:t>
      </w:r>
      <w:r>
        <w:rPr>
          <w:rFonts w:ascii="宋体" w:hAnsi="宋体"/>
          <w:b w:val="0"/>
          <w:bCs/>
          <w:spacing w:val="-3"/>
          <w:sz w:val="28"/>
          <w:szCs w:val="28"/>
        </w:rPr>
        <w:t>若设备危险部</w:t>
      </w:r>
      <w:r>
        <w:rPr>
          <w:rFonts w:ascii="宋体" w:hAnsi="宋体"/>
          <w:b w:val="0"/>
          <w:bCs/>
          <w:spacing w:val="1"/>
          <w:sz w:val="28"/>
          <w:szCs w:val="28"/>
        </w:rPr>
        <w:t>位无警示或误操作也可能使肢体误入运动部位，发生夹击、碰撞、卷入等机</w:t>
      </w:r>
      <w:r>
        <w:rPr>
          <w:rFonts w:ascii="宋体" w:hAnsi="宋体"/>
          <w:b w:val="0"/>
          <w:bCs/>
          <w:spacing w:val="-23"/>
          <w:sz w:val="28"/>
          <w:szCs w:val="28"/>
        </w:rPr>
        <w:t>械伤害。</w:t>
      </w:r>
      <w:r>
        <w:rPr>
          <w:rFonts w:hint="eastAsia" w:ascii="宋体" w:hAnsi="宋体"/>
          <w:b w:val="0"/>
          <w:bCs/>
          <w:spacing w:val="-1"/>
          <w:sz w:val="28"/>
          <w:szCs w:val="28"/>
        </w:rPr>
        <w:t>⑤</w:t>
      </w:r>
      <w:r>
        <w:rPr>
          <w:rFonts w:ascii="宋体" w:hAnsi="宋体"/>
          <w:b w:val="0"/>
          <w:bCs/>
          <w:spacing w:val="-7"/>
          <w:sz w:val="28"/>
          <w:szCs w:val="28"/>
        </w:rPr>
        <w:t>设备无检修自锁装置，检修可能因意外启动引起机械伤害事故。</w:t>
      </w:r>
      <w:r>
        <w:rPr>
          <w:rFonts w:ascii="宋体" w:hAnsi="宋体"/>
          <w:b w:val="0"/>
          <w:bCs/>
          <w:spacing w:val="-3"/>
          <w:sz w:val="28"/>
          <w:szCs w:val="28"/>
        </w:rPr>
        <w:t>粉碎机必须专机专用</w:t>
      </w:r>
      <w:r>
        <w:rPr>
          <w:rFonts w:hint="eastAsia" w:ascii="宋体" w:hAnsi="宋体"/>
          <w:b w:val="0"/>
          <w:bCs/>
          <w:spacing w:val="-3"/>
          <w:sz w:val="28"/>
          <w:szCs w:val="28"/>
        </w:rPr>
        <w:t>。</w:t>
      </w:r>
    </w:p>
    <w:p w14:paraId="2BB59AE5">
      <w:pPr>
        <w:pStyle w:val="3"/>
        <w:ind w:firstLine="561"/>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2</w:t>
      </w:r>
      <w:r>
        <w:rPr>
          <w:rFonts w:hint="eastAsia" w:ascii="宋体" w:hAnsi="宋体" w:eastAsia="宋体" w:cs="宋体"/>
          <w:szCs w:val="24"/>
        </w:rPr>
        <w:t>）二味球磨机</w:t>
      </w:r>
    </w:p>
    <w:p w14:paraId="71040A39">
      <w:pPr>
        <w:spacing w:line="360" w:lineRule="auto"/>
        <w:ind w:firstLine="560" w:firstLineChars="200"/>
        <w:rPr>
          <w:rFonts w:ascii="宋体" w:cs="宋体"/>
          <w:b w:val="0"/>
          <w:kern w:val="0"/>
          <w:sz w:val="28"/>
          <w:szCs w:val="28"/>
          <w:lang w:val="zh-CN"/>
        </w:rPr>
      </w:pPr>
      <w:r>
        <w:rPr>
          <w:rFonts w:hint="eastAsia" w:ascii="宋体" w:cs="宋体"/>
          <w:b w:val="0"/>
          <w:kern w:val="0"/>
          <w:sz w:val="28"/>
          <w:szCs w:val="28"/>
          <w:lang w:val="zh-CN"/>
        </w:rPr>
        <w:t>二味球磨机是指将黑火药需要的原料（硫磺、木炭）充分混合制作成二味粉留待进一步加工的过程。球磨机（二味球磨）为封闭结构加工设备，其主要危险有害因素：设备故障或操作失误引起的触电、机械伤害；因球磨机滚动过快、球磨时间过长，球磨机内部热能积聚产生高温，引起药粉燃烧和爆炸；物料中混入铁屑、砂石等硬质杂质，在内部撞击摩擦产生点火源，可引发药粉燃爆；传动运动部件防护缺失、无检修自锁装置，检修作业误启动可造成挤压、卷入类机械伤害；设备未采用防爆电气、接地防静电措施失效，可诱发触电、药粉燃爆事故。</w:t>
      </w:r>
    </w:p>
    <w:p w14:paraId="43090E0A">
      <w:pPr>
        <w:pStyle w:val="3"/>
        <w:ind w:firstLine="561"/>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3</w:t>
      </w:r>
      <w:r>
        <w:rPr>
          <w:rFonts w:hint="eastAsia" w:ascii="宋体" w:hAnsi="宋体" w:eastAsia="宋体" w:cs="宋体"/>
          <w:szCs w:val="24"/>
        </w:rPr>
        <w:t>）黑火药智能自动混合/上潮/装模制片一体机</w:t>
      </w:r>
    </w:p>
    <w:p w14:paraId="4D6C6DAC">
      <w:pPr>
        <w:pStyle w:val="2"/>
        <w:ind w:firstLine="560"/>
        <w:rPr>
          <w:rFonts w:ascii="宋体" w:hAnsi="宋体" w:eastAsia="宋体" w:cs="宋体"/>
          <w:b w:val="0"/>
          <w:bCs/>
          <w:color w:val="000000" w:themeColor="text1"/>
          <w:szCs w:val="28"/>
          <w14:textFill>
            <w14:solidFill>
              <w14:schemeClr w14:val="tx1"/>
            </w14:solidFill>
          </w14:textFill>
        </w:rPr>
      </w:pPr>
      <w:r>
        <w:rPr>
          <w:rFonts w:hint="eastAsia" w:ascii="宋体" w:hAnsi="宋体" w:eastAsia="宋体" w:cs="宋体"/>
          <w:b w:val="0"/>
          <w:bCs/>
          <w:color w:val="000000" w:themeColor="text1"/>
          <w:szCs w:val="28"/>
          <w14:textFill>
            <w14:solidFill>
              <w14:schemeClr w14:val="tx1"/>
            </w14:solidFill>
          </w14:textFill>
        </w:rPr>
        <w:t>黑火药智能自动混合/上潮/装模制片一体机主要危险有害因素：设备故障或操作失误引起的触电、机械伤害、药物燃爆，摩擦、撞击产生高温、火花等产生一定的能量引起药物燃爆。因设备运行时因过载、短路等故障，产生高温、引起电气火花，导致药物燃烧、爆炸。因外部裸露部件自身缺陷、设备故障或未按规程操作造成触电、机械伤害等。因设备电气线路短路、设备安装不符合标准要求产生电气火花导致药物燃烧、爆炸，传动部件摩擦、静电、撞击等引起药物燃烧、爆炸。</w:t>
      </w:r>
    </w:p>
    <w:p w14:paraId="53B849BB">
      <w:pPr>
        <w:pStyle w:val="3"/>
        <w:ind w:firstLine="561"/>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4</w:t>
      </w:r>
      <w:r>
        <w:rPr>
          <w:rFonts w:hint="eastAsia" w:ascii="宋体" w:hAnsi="宋体" w:eastAsia="宋体" w:cs="宋体"/>
          <w:szCs w:val="24"/>
        </w:rPr>
        <w:t>）油压机（压药）</w:t>
      </w:r>
    </w:p>
    <w:p w14:paraId="5FF17A80">
      <w:pPr>
        <w:pStyle w:val="2"/>
        <w:ind w:firstLine="560"/>
        <w:rPr>
          <w:rFonts w:ascii="宋体" w:hAnsi="宋体" w:eastAsia="宋体" w:cs="宋体"/>
          <w:b w:val="0"/>
          <w:bCs/>
          <w:color w:val="000000" w:themeColor="text1"/>
          <w:szCs w:val="28"/>
          <w14:textFill>
            <w14:solidFill>
              <w14:schemeClr w14:val="tx1"/>
            </w14:solidFill>
          </w14:textFill>
        </w:rPr>
      </w:pPr>
      <w:r>
        <w:rPr>
          <w:rFonts w:hint="eastAsia" w:ascii="宋体" w:hAnsi="宋体" w:eastAsia="宋体" w:cs="宋体"/>
          <w:b w:val="0"/>
          <w:bCs/>
          <w:color w:val="000000" w:themeColor="text1"/>
          <w:szCs w:val="28"/>
          <w14:textFill>
            <w14:solidFill>
              <w14:schemeClr w14:val="tx1"/>
            </w14:solidFill>
          </w14:textFill>
        </w:rPr>
        <w:t>油压机（压药）主要危险有害因素：机械伤害、触电、油压机在将药片压实过程中因滑块挤压药物产生高温引起的燃烧和爆炸、因设备故障或操作失误引起的药物燃爆。</w:t>
      </w:r>
    </w:p>
    <w:p w14:paraId="4DF56C19">
      <w:pPr>
        <w:pStyle w:val="2"/>
        <w:ind w:firstLine="562"/>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5</w:t>
      </w:r>
      <w:r>
        <w:rPr>
          <w:rFonts w:hint="eastAsia" w:ascii="宋体" w:hAnsi="宋体" w:eastAsia="宋体" w:cs="宋体"/>
          <w:szCs w:val="24"/>
        </w:rPr>
        <w:t>）油温机</w:t>
      </w:r>
    </w:p>
    <w:p w14:paraId="5B40CEA0">
      <w:pPr>
        <w:pStyle w:val="2"/>
        <w:ind w:firstLine="560"/>
        <w:rPr>
          <w:rFonts w:ascii="宋体" w:hAnsi="宋体" w:eastAsia="宋体" w:cs="宋体"/>
          <w:b w:val="0"/>
          <w:bCs/>
          <w:color w:val="000000" w:themeColor="text1"/>
          <w:szCs w:val="28"/>
          <w14:textFill>
            <w14:solidFill>
              <w14:schemeClr w14:val="tx1"/>
            </w14:solidFill>
          </w14:textFill>
        </w:rPr>
      </w:pPr>
      <w:r>
        <w:rPr>
          <w:rFonts w:hint="eastAsia" w:ascii="宋体" w:hAnsi="宋体" w:eastAsia="宋体" w:cs="宋体"/>
          <w:b w:val="0"/>
          <w:bCs/>
          <w:color w:val="000000" w:themeColor="text1"/>
          <w:szCs w:val="28"/>
          <w14:textFill>
            <w14:solidFill>
              <w14:schemeClr w14:val="tx1"/>
            </w14:solidFill>
          </w14:textFill>
        </w:rPr>
        <w:t>油温机主要危险有害因素：机械伤害和灼伤，油温机是一种高温的有一定危险性的传热媒体，稳定传热是它的特性，但若使用油温机时出现漏油、渗油而没有及时发现及时处理，轻则影响油温机性能发挥，重则会引起安全事故危害生产安全。</w:t>
      </w:r>
    </w:p>
    <w:p w14:paraId="6043BE45">
      <w:pPr>
        <w:pStyle w:val="2"/>
        <w:ind w:firstLine="562"/>
        <w:rPr>
          <w:rFonts w:ascii="宋体" w:hAnsi="宋体" w:eastAsia="宋体" w:cs="宋体"/>
          <w:szCs w:val="24"/>
        </w:rPr>
      </w:pPr>
      <w:r>
        <w:rPr>
          <w:rFonts w:hint="eastAsia" w:ascii="宋体" w:hAnsi="宋体" w:eastAsia="宋体" w:cs="宋体"/>
          <w:szCs w:val="24"/>
        </w:rPr>
        <w:t>（6）造粒机</w:t>
      </w:r>
    </w:p>
    <w:p w14:paraId="21E7375B">
      <w:pPr>
        <w:pStyle w:val="2"/>
        <w:ind w:firstLine="560"/>
        <w:rPr>
          <w:rFonts w:ascii="宋体" w:hAnsi="宋体" w:eastAsia="宋体" w:cs="宋体"/>
          <w:b w:val="0"/>
          <w:bCs/>
          <w:color w:val="000000" w:themeColor="text1"/>
          <w:szCs w:val="28"/>
          <w14:textFill>
            <w14:solidFill>
              <w14:schemeClr w14:val="tx1"/>
            </w14:solidFill>
          </w14:textFill>
        </w:rPr>
      </w:pPr>
      <w:r>
        <w:rPr>
          <w:rFonts w:hint="eastAsia" w:ascii="宋体" w:hAnsi="宋体" w:eastAsia="宋体" w:cs="宋体"/>
          <w:b w:val="0"/>
          <w:bCs/>
          <w:color w:val="000000" w:themeColor="text1"/>
          <w:szCs w:val="28"/>
          <w14:textFill>
            <w14:solidFill>
              <w14:schemeClr w14:val="tx1"/>
            </w14:solidFill>
          </w14:textFill>
        </w:rPr>
        <w:t>造粒机主要危险有害因素：机械伤害；触电。因设备故障或操作失误引起的药物燃爆。当造粒机未选用防爆电机时，由于造粒工房内药物粉尘有可能通过墙壁上的洞及缝隙浸入电机房，这样就有可能产生火灾及爆炸事故。碎片造粒时，将大黑火药药块挤压成小颗粒过程中摩擦、撞击产生高温、火花等产生一定的能量引起药物燃爆，因设备管理及使用维护不当，致使造粒机工作时其零部件的松动或脱落造成相互撞击，产生摩擦了热与火花，也将形成安全隐患。若药物散热后仍有余热，也是导致碎片造粒时升温过高引起燃烧、爆炸。</w:t>
      </w:r>
    </w:p>
    <w:p w14:paraId="3E43732D">
      <w:pPr>
        <w:pStyle w:val="2"/>
        <w:ind w:firstLine="562"/>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7</w:t>
      </w:r>
      <w:r>
        <w:rPr>
          <w:rFonts w:hint="eastAsia" w:ascii="宋体" w:hAnsi="宋体" w:eastAsia="宋体" w:cs="宋体"/>
          <w:szCs w:val="24"/>
        </w:rPr>
        <w:t>）抛光机</w:t>
      </w:r>
    </w:p>
    <w:p w14:paraId="3CA66C60">
      <w:pPr>
        <w:pStyle w:val="2"/>
        <w:ind w:firstLine="560"/>
        <w:rPr>
          <w:rFonts w:ascii="宋体" w:hAnsi="宋体" w:eastAsia="宋体" w:cs="宋体"/>
          <w:b w:val="0"/>
          <w:bCs/>
          <w:szCs w:val="24"/>
        </w:rPr>
      </w:pPr>
      <w:r>
        <w:rPr>
          <w:rFonts w:hint="eastAsia" w:ascii="宋体" w:hAnsi="宋体" w:eastAsia="宋体" w:cs="宋体"/>
          <w:b w:val="0"/>
          <w:bCs/>
          <w:spacing w:val="-6"/>
          <w:sz w:val="28"/>
          <w:szCs w:val="24"/>
        </w:rPr>
        <w:t>抛光机属于封闭结构加工，一旦发生事故爆炸威力大，是黑火药厂生产风险较高的工序。其主要危险有害因素：设备故障或操作失误引起的触电、机械伤害；因抛光机转速过快、时间过长，设备内热能积累产生高温引起药物燃烧和爆炸；物料混入硬质杂质产生撞击摩擦点火源，引发药剂燃爆。</w:t>
      </w:r>
    </w:p>
    <w:p w14:paraId="57986F59">
      <w:pPr>
        <w:pStyle w:val="2"/>
        <w:ind w:firstLine="562"/>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8</w:t>
      </w:r>
      <w:r>
        <w:rPr>
          <w:rFonts w:hint="eastAsia" w:ascii="宋体" w:hAnsi="宋体" w:eastAsia="宋体" w:cs="宋体"/>
          <w:szCs w:val="24"/>
        </w:rPr>
        <w:t>）筛选机</w:t>
      </w:r>
    </w:p>
    <w:p w14:paraId="0DF48652">
      <w:pPr>
        <w:pStyle w:val="2"/>
        <w:ind w:firstLine="560"/>
        <w:rPr>
          <w:rFonts w:cs="宋体" w:asciiTheme="minorEastAsia" w:hAnsiTheme="minorEastAsia" w:eastAsiaTheme="minorEastAsia"/>
          <w:b w:val="0"/>
          <w:bCs/>
          <w:color w:val="000000" w:themeColor="text1"/>
          <w:szCs w:val="28"/>
          <w14:textFill>
            <w14:solidFill>
              <w14:schemeClr w14:val="tx1"/>
            </w14:solidFill>
          </w14:textFill>
        </w:rPr>
      </w:pPr>
      <w:r>
        <w:rPr>
          <w:rFonts w:hint="eastAsia" w:cs="宋体" w:asciiTheme="minorEastAsia" w:hAnsiTheme="minorEastAsia" w:eastAsiaTheme="minorEastAsia"/>
          <w:b w:val="0"/>
          <w:bCs/>
          <w:color w:val="000000" w:themeColor="text1"/>
          <w:szCs w:val="28"/>
          <w14:textFill>
            <w14:solidFill>
              <w14:schemeClr w14:val="tx1"/>
            </w14:solidFill>
          </w14:textFill>
        </w:rPr>
        <w:t>筛选机主要危险有害因素：筛箱内物料在筛分过程中处于不停的摩擦撞击状态下，因摩擦、撞击、静电导致燃烧爆炸；</w:t>
      </w:r>
      <w:r>
        <w:rPr>
          <w:rFonts w:cs="宋体" w:asciiTheme="minorEastAsia" w:hAnsiTheme="minorEastAsia" w:eastAsiaTheme="minorEastAsia"/>
          <w:b w:val="0"/>
          <w:bCs/>
          <w:color w:val="000000" w:themeColor="text1"/>
          <w:szCs w:val="28"/>
          <w14:textFill>
            <w14:solidFill>
              <w14:schemeClr w14:val="tx1"/>
            </w14:solidFill>
          </w14:textFill>
        </w:rPr>
        <w:t>筛</w:t>
      </w:r>
      <w:r>
        <w:rPr>
          <w:rFonts w:hint="eastAsia" w:cs="宋体" w:asciiTheme="minorEastAsia" w:hAnsiTheme="minorEastAsia" w:eastAsiaTheme="minorEastAsia"/>
          <w:b w:val="0"/>
          <w:bCs/>
          <w:color w:val="000000" w:themeColor="text1"/>
          <w:szCs w:val="28"/>
          <w14:textFill>
            <w14:solidFill>
              <w14:schemeClr w14:val="tx1"/>
            </w14:solidFill>
          </w14:textFill>
        </w:rPr>
        <w:t>箱受震动扬起粉尘，产生粉尘危险；振动筛机因故障或操作失误引起的触电、机械伤害。</w:t>
      </w:r>
    </w:p>
    <w:p w14:paraId="78D1BB39">
      <w:pPr>
        <w:pStyle w:val="2"/>
        <w:ind w:firstLine="562"/>
        <w:rPr>
          <w:rFonts w:ascii="宋体" w:hAnsi="宋体" w:eastAsia="宋体" w:cs="宋体"/>
          <w:szCs w:val="24"/>
        </w:rPr>
      </w:pPr>
      <w:r>
        <w:rPr>
          <w:rFonts w:hint="eastAsia" w:ascii="宋体" w:hAnsi="宋体" w:eastAsia="宋体" w:cs="宋体"/>
          <w:szCs w:val="24"/>
        </w:rPr>
        <w:t>（</w:t>
      </w:r>
      <w:r>
        <w:rPr>
          <w:rFonts w:ascii="宋体" w:hAnsi="宋体" w:eastAsia="宋体" w:cs="宋体"/>
          <w:szCs w:val="24"/>
        </w:rPr>
        <w:t>9</w:t>
      </w:r>
      <w:r>
        <w:rPr>
          <w:rFonts w:hint="eastAsia" w:ascii="宋体" w:hAnsi="宋体" w:eastAsia="宋体" w:cs="宋体"/>
          <w:szCs w:val="24"/>
        </w:rPr>
        <w:t>）三味球磨/筛选机</w:t>
      </w:r>
    </w:p>
    <w:p w14:paraId="210865D5">
      <w:pPr>
        <w:pStyle w:val="2"/>
        <w:ind w:firstLine="560"/>
        <w:rPr>
          <w:rFonts w:ascii="宋体" w:hAnsi="宋体" w:eastAsia="宋体" w:cs="宋体"/>
          <w:b w:val="0"/>
          <w:bCs/>
          <w:szCs w:val="28"/>
        </w:rPr>
      </w:pPr>
      <w:r>
        <w:rPr>
          <w:rFonts w:hint="eastAsia" w:ascii="宋体" w:hAnsi="宋体" w:eastAsia="宋体" w:cs="宋体"/>
          <w:b w:val="0"/>
          <w:bCs/>
          <w:szCs w:val="28"/>
        </w:rPr>
        <w:t>三味球磨/筛选将黑火药需要的三种原料（硝酸钾、硫磺、木炭）充分混合制作成具有爆炸性能的粉状黑火药，并按不同规格分级的过程。主要危险有害因素：</w:t>
      </w:r>
      <w:r>
        <w:rPr>
          <w:rFonts w:ascii="宋体" w:hAnsi="宋体" w:eastAsia="宋体" w:cs="宋体"/>
          <w:b w:val="0"/>
          <w:bCs/>
          <w:szCs w:val="28"/>
        </w:rPr>
        <w:t>摩擦、撞击、静电、电气火花引起的燃爆，机器运转时的机械伤害；球磨时将两种原料混装在同一器具内，因混入杂质或设备质量缺陷，有火灾危险以及粉尘健康危害；机械设备电气绝缘损坏造成的触电伤害</w:t>
      </w:r>
      <w:r>
        <w:rPr>
          <w:rFonts w:hint="eastAsia" w:ascii="宋体" w:hAnsi="宋体" w:eastAsia="宋体" w:cs="宋体"/>
          <w:b w:val="0"/>
          <w:bCs/>
          <w:szCs w:val="28"/>
        </w:rPr>
        <w:t>。</w:t>
      </w:r>
    </w:p>
    <w:p w14:paraId="5A37540D">
      <w:pPr>
        <w:keepNext/>
        <w:keepLines/>
        <w:spacing w:before="120" w:beforeLines="50" w:line="360" w:lineRule="auto"/>
        <w:outlineLvl w:val="1"/>
        <w:rPr>
          <w:rFonts w:ascii="黑体" w:hAnsi="黑体" w:eastAsia="黑体"/>
          <w:b w:val="0"/>
          <w:bCs/>
          <w:snapToGrid w:val="0"/>
          <w:sz w:val="32"/>
          <w:szCs w:val="32"/>
        </w:rPr>
      </w:pPr>
      <w:bookmarkStart w:id="334" w:name="_Toc227869286"/>
      <w:bookmarkStart w:id="335" w:name="_Toc239191506"/>
      <w:r>
        <w:rPr>
          <w:rFonts w:hint="eastAsia" w:ascii="黑体" w:hAnsi="黑体" w:eastAsia="黑体"/>
          <w:b w:val="0"/>
          <w:bCs/>
          <w:snapToGrid w:val="0"/>
          <w:sz w:val="32"/>
          <w:szCs w:val="32"/>
        </w:rPr>
        <w:t>3.</w:t>
      </w:r>
      <w:r>
        <w:rPr>
          <w:rFonts w:ascii="黑体" w:hAnsi="黑体" w:eastAsia="黑体"/>
          <w:b w:val="0"/>
          <w:bCs/>
          <w:snapToGrid w:val="0"/>
          <w:sz w:val="32"/>
          <w:szCs w:val="32"/>
        </w:rPr>
        <w:t>7</w:t>
      </w:r>
      <w:r>
        <w:rPr>
          <w:rFonts w:hint="eastAsia" w:ascii="黑体" w:hAnsi="黑体" w:eastAsia="黑体"/>
          <w:b w:val="0"/>
          <w:bCs/>
          <w:snapToGrid w:val="0"/>
          <w:sz w:val="32"/>
          <w:szCs w:val="32"/>
        </w:rPr>
        <w:t>安全距离危险有害因素分析</w:t>
      </w:r>
      <w:bookmarkEnd w:id="330"/>
      <w:bookmarkEnd w:id="331"/>
      <w:bookmarkEnd w:id="332"/>
      <w:bookmarkEnd w:id="333"/>
      <w:bookmarkEnd w:id="334"/>
      <w:bookmarkEnd w:id="335"/>
    </w:p>
    <w:p w14:paraId="17A04EFE">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安全距离是指当燃烧爆炸危险品发生燃烧爆炸事故时,由燃爆中心到能保护人身安全和使建筑物遭受破坏的程度被限制在设防标准允许的破坏等级之内的最小距离。</w:t>
      </w:r>
    </w:p>
    <w:p w14:paraId="7C0318B2">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安全距离分外部安全距离和内部安全距离。燃烧爆炸危险品生产、经营企业与本企业住宅区之间或周围住户、人口集中场所、重要设施和交通路线、高压输电线路等之间的距离为外部安全距离；企业内部危险建筑物与相邻建、构筑物之间的距离为内部安全距离。</w:t>
      </w:r>
    </w:p>
    <w:p w14:paraId="1DD76E3C">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安全距离危险有害因素分析如下：</w:t>
      </w:r>
    </w:p>
    <w:p w14:paraId="6CACBA27">
      <w:pPr>
        <w:spacing w:line="360" w:lineRule="auto"/>
        <w:ind w:firstLine="552" w:firstLineChars="200"/>
        <w:rPr>
          <w:rFonts w:ascii="宋体" w:hAnsi="宋体"/>
          <w:b w:val="0"/>
          <w:spacing w:val="-2"/>
          <w:sz w:val="28"/>
        </w:rPr>
      </w:pPr>
      <w:r>
        <w:rPr>
          <w:rFonts w:hint="eastAsia" w:ascii="宋体" w:hAnsi="宋体"/>
          <w:b w:val="0"/>
          <w:spacing w:val="-2"/>
          <w:sz w:val="28"/>
        </w:rPr>
        <w:t>（</w:t>
      </w:r>
      <w:r>
        <w:rPr>
          <w:rFonts w:ascii="宋体" w:hAnsi="宋体"/>
          <w:b w:val="0"/>
          <w:spacing w:val="-2"/>
          <w:sz w:val="28"/>
        </w:rPr>
        <w:t>1</w:t>
      </w:r>
      <w:r>
        <w:rPr>
          <w:rFonts w:hint="eastAsia" w:ascii="宋体" w:hAnsi="宋体"/>
          <w:b w:val="0"/>
          <w:spacing w:val="-2"/>
          <w:sz w:val="28"/>
        </w:rPr>
        <w:t>）若外部安全距离小于标准要求的距离，危险工库房内危险品一旦发生燃烧、爆炸事故，产生的火焰、热辐射、爆炸冲击波、爆炸飞散物等会对周围人员和建、构筑物造成伤害和损坏，使周边人员的生命财产受到损失。</w:t>
      </w:r>
    </w:p>
    <w:p w14:paraId="396E5983">
      <w:pPr>
        <w:spacing w:line="360" w:lineRule="auto"/>
        <w:ind w:firstLine="560" w:firstLineChars="200"/>
        <w:rPr>
          <w:rFonts w:ascii="宋体" w:hAnsi="宋体"/>
          <w:b w:val="0"/>
          <w:snapToGrid w:val="0"/>
          <w:sz w:val="28"/>
          <w:szCs w:val="28"/>
        </w:rPr>
      </w:pPr>
      <w:r>
        <w:rPr>
          <w:rFonts w:hint="eastAsia" w:ascii="宋体" w:hAnsi="宋体"/>
          <w:b w:val="0"/>
          <w:sz w:val="28"/>
        </w:rPr>
        <w:t>（</w:t>
      </w:r>
      <w:r>
        <w:rPr>
          <w:rFonts w:ascii="宋体" w:hAnsi="宋体"/>
          <w:b w:val="0"/>
          <w:sz w:val="28"/>
        </w:rPr>
        <w:t>2</w:t>
      </w:r>
      <w:r>
        <w:rPr>
          <w:rFonts w:hint="eastAsia" w:ascii="宋体" w:hAnsi="宋体"/>
          <w:b w:val="0"/>
          <w:sz w:val="28"/>
        </w:rPr>
        <w:t>）若内部安全距离小于标准要求的距离，一旦某工库房发生燃烧爆炸事故，产生的火焰、热辐射、爆炸冲击波、爆炸飞散物等有可能引起其他工库房内危险品的燃烧和殉爆，扩大事故范围，增大事故损失。若内部安全距离大于标准要求的距离过多，影响工艺连接流畅性，增大危险品运输距离，从而增加不安全因素，同时增大了企业占地面积，既增加企业成本，又浪费土地资源</w:t>
      </w:r>
      <w:r>
        <w:rPr>
          <w:rFonts w:hint="eastAsia" w:ascii="宋体" w:hAnsi="宋体"/>
          <w:b w:val="0"/>
          <w:snapToGrid w:val="0"/>
          <w:sz w:val="28"/>
          <w:szCs w:val="28"/>
        </w:rPr>
        <w:t>。</w:t>
      </w:r>
    </w:p>
    <w:p w14:paraId="596CCD6E">
      <w:pPr>
        <w:keepNext/>
        <w:keepLines/>
        <w:spacing w:before="120" w:beforeLines="50" w:line="360" w:lineRule="auto"/>
        <w:outlineLvl w:val="1"/>
        <w:rPr>
          <w:rFonts w:ascii="黑体" w:hAnsi="黑体" w:eastAsia="黑体"/>
          <w:b w:val="0"/>
          <w:bCs/>
          <w:snapToGrid w:val="0"/>
          <w:sz w:val="32"/>
          <w:szCs w:val="32"/>
        </w:rPr>
      </w:pPr>
      <w:bookmarkStart w:id="336" w:name="_Toc335902408"/>
      <w:bookmarkStart w:id="337" w:name="_Toc294247822"/>
      <w:bookmarkStart w:id="338" w:name="_Toc173077672"/>
      <w:bookmarkStart w:id="339" w:name="_Toc271898767"/>
      <w:bookmarkStart w:id="340" w:name="_Toc227869287"/>
      <w:bookmarkStart w:id="341" w:name="_Toc239191507"/>
      <w:r>
        <w:rPr>
          <w:rFonts w:hint="eastAsia" w:ascii="黑体" w:hAnsi="黑体" w:eastAsia="黑体"/>
          <w:b w:val="0"/>
          <w:bCs/>
          <w:snapToGrid w:val="0"/>
          <w:sz w:val="32"/>
          <w:szCs w:val="32"/>
        </w:rPr>
        <w:t>3.</w:t>
      </w:r>
      <w:r>
        <w:rPr>
          <w:rFonts w:ascii="黑体" w:hAnsi="黑体" w:eastAsia="黑体"/>
          <w:b w:val="0"/>
          <w:bCs/>
          <w:snapToGrid w:val="0"/>
          <w:sz w:val="32"/>
          <w:szCs w:val="32"/>
        </w:rPr>
        <w:t>8</w:t>
      </w:r>
      <w:r>
        <w:rPr>
          <w:rFonts w:hint="eastAsia" w:ascii="黑体" w:hAnsi="黑体" w:eastAsia="黑体"/>
          <w:b w:val="0"/>
          <w:bCs/>
          <w:snapToGrid w:val="0"/>
          <w:sz w:val="32"/>
          <w:szCs w:val="32"/>
        </w:rPr>
        <w:t>储运过程危险有害因素分析</w:t>
      </w:r>
      <w:bookmarkEnd w:id="336"/>
      <w:bookmarkEnd w:id="337"/>
      <w:bookmarkEnd w:id="338"/>
      <w:bookmarkEnd w:id="339"/>
      <w:bookmarkEnd w:id="340"/>
      <w:bookmarkEnd w:id="341"/>
    </w:p>
    <w:p w14:paraId="3E11E2CE">
      <w:pPr>
        <w:spacing w:before="120" w:beforeLines="50" w:after="120" w:afterLines="50" w:line="360" w:lineRule="auto"/>
        <w:outlineLvl w:val="2"/>
        <w:rPr>
          <w:rFonts w:ascii="黑体" w:hAnsi="黑体" w:eastAsia="黑体"/>
          <w:b w:val="0"/>
          <w:sz w:val="30"/>
          <w:szCs w:val="30"/>
        </w:rPr>
      </w:pPr>
      <w:bookmarkStart w:id="342" w:name="_Toc181194080"/>
      <w:bookmarkStart w:id="343" w:name="_Toc173077673"/>
      <w:bookmarkStart w:id="344" w:name="_Toc335902409"/>
      <w:bookmarkStart w:id="345" w:name="_Toc148037002"/>
      <w:bookmarkStart w:id="346" w:name="_Toc60129114"/>
      <w:bookmarkStart w:id="347" w:name="_Toc271898768"/>
      <w:bookmarkStart w:id="348" w:name="_Toc58946831"/>
      <w:bookmarkStart w:id="349" w:name="_Toc294247823"/>
      <w:bookmarkStart w:id="350" w:name="_Toc294247654"/>
      <w:bookmarkStart w:id="351" w:name="_Toc213127083"/>
      <w:bookmarkStart w:id="352" w:name="_Toc145275207"/>
      <w:bookmarkStart w:id="353" w:name="_Toc58861999"/>
      <w:r>
        <w:rPr>
          <w:rFonts w:ascii="黑体" w:hAnsi="黑体" w:eastAsia="黑体"/>
          <w:b w:val="0"/>
          <w:sz w:val="30"/>
          <w:szCs w:val="30"/>
        </w:rPr>
        <w:t>3.8</w:t>
      </w:r>
      <w:r>
        <w:rPr>
          <w:rFonts w:hint="eastAsia" w:ascii="黑体" w:hAnsi="黑体" w:eastAsia="黑体"/>
          <w:b w:val="0"/>
          <w:sz w:val="30"/>
          <w:szCs w:val="30"/>
        </w:rPr>
        <w:t>.1储存过程危险有害因素分析</w:t>
      </w:r>
      <w:bookmarkEnd w:id="342"/>
      <w:bookmarkEnd w:id="343"/>
      <w:bookmarkEnd w:id="344"/>
      <w:bookmarkEnd w:id="345"/>
      <w:bookmarkEnd w:id="346"/>
      <w:bookmarkEnd w:id="347"/>
      <w:bookmarkEnd w:id="348"/>
      <w:bookmarkEnd w:id="349"/>
      <w:bookmarkEnd w:id="350"/>
      <w:bookmarkEnd w:id="351"/>
      <w:bookmarkEnd w:id="352"/>
      <w:bookmarkEnd w:id="353"/>
    </w:p>
    <w:p w14:paraId="4F36DD9D">
      <w:pPr>
        <w:spacing w:line="360" w:lineRule="auto"/>
        <w:ind w:firstLine="560" w:firstLineChars="200"/>
        <w:rPr>
          <w:rFonts w:ascii="宋体" w:hAnsi="宋体" w:cs="宋体"/>
          <w:b w:val="0"/>
          <w:sz w:val="28"/>
        </w:rPr>
      </w:pPr>
      <w:r>
        <w:rPr>
          <w:rFonts w:hint="eastAsia" w:ascii="宋体" w:hAnsi="宋体" w:cs="宋体"/>
          <w:b w:val="0"/>
          <w:kern w:val="0"/>
          <w:sz w:val="28"/>
          <w:szCs w:val="28"/>
        </w:rPr>
        <w:t>湖南金帝烟花爆竹制造有限公司黑火药生产系统危险品储存仓库包括硝酸钾库、硫磺库、木炭库等化工原材料库，黑火药库、半成品（造粒、制片等）中转等仓储场所</w:t>
      </w:r>
      <w:r>
        <w:rPr>
          <w:rFonts w:hint="eastAsia" w:ascii="宋体" w:hAnsi="宋体" w:cs="宋体"/>
          <w:b w:val="0"/>
          <w:sz w:val="28"/>
        </w:rPr>
        <w:t>。</w:t>
      </w:r>
    </w:p>
    <w:p w14:paraId="06E0B5A4">
      <w:pPr>
        <w:spacing w:line="360" w:lineRule="auto"/>
        <w:ind w:firstLine="560" w:firstLineChars="200"/>
        <w:rPr>
          <w:rFonts w:ascii="宋体" w:hAnsi="宋体"/>
          <w:b w:val="0"/>
          <w:sz w:val="28"/>
        </w:rPr>
      </w:pPr>
      <w:bookmarkStart w:id="354" w:name="_Hlk203845222"/>
      <w:r>
        <w:rPr>
          <w:rFonts w:hint="eastAsia" w:ascii="宋体" w:hAnsi="宋体" w:cs="宋体"/>
          <w:b w:val="0"/>
          <w:kern w:val="0"/>
          <w:sz w:val="28"/>
          <w:szCs w:val="28"/>
        </w:rPr>
        <w:t>化工原材料库、原材料中转储存的物品大部分属于危险化学品，由于储存的不当可以引起氧化剂与还原剂之间的化学反应，从而造成火灾爆炸，必须氧化剂与还原剂分类分间存放。黑火药库、半成品（造粒、制片）中转库存药量较大，危险性大，储存的物品都是已含有由氧化剂、可燃物质等组成的黑火药，对机械能、热能及其它能量引燃引爆要求降低，遇火源、高温、摩擦、撞击、电火花或受潮等，均会发生燃烧甚至爆炸。</w:t>
      </w:r>
    </w:p>
    <w:bookmarkEnd w:id="354"/>
    <w:p w14:paraId="75A513BD">
      <w:pPr>
        <w:spacing w:line="360" w:lineRule="auto"/>
        <w:ind w:firstLine="560" w:firstLineChars="200"/>
        <w:jc w:val="left"/>
        <w:rPr>
          <w:rFonts w:ascii="宋体" w:hAnsi="宋体"/>
          <w:b w:val="0"/>
          <w:snapToGrid w:val="0"/>
          <w:sz w:val="28"/>
          <w:szCs w:val="28"/>
        </w:rPr>
      </w:pPr>
      <w:r>
        <w:rPr>
          <w:rFonts w:hint="eastAsia" w:ascii="宋体" w:hAnsi="宋体"/>
          <w:b w:val="0"/>
          <w:sz w:val="28"/>
        </w:rPr>
        <w:t>危险品储存过程危险有害因素分析如下</w:t>
      </w:r>
      <w:r>
        <w:rPr>
          <w:rFonts w:hint="eastAsia" w:ascii="宋体" w:hAnsi="宋体"/>
          <w:b w:val="0"/>
          <w:snapToGrid w:val="0"/>
          <w:sz w:val="28"/>
          <w:szCs w:val="28"/>
        </w:rPr>
        <w:t>：</w:t>
      </w:r>
    </w:p>
    <w:p w14:paraId="58F33E95">
      <w:pPr>
        <w:spacing w:line="360" w:lineRule="auto"/>
        <w:ind w:firstLine="560" w:firstLineChars="200"/>
        <w:jc w:val="left"/>
        <w:rPr>
          <w:rFonts w:ascii="宋体" w:hAnsi="宋体"/>
          <w:b w:val="0"/>
          <w:sz w:val="28"/>
        </w:rPr>
      </w:pPr>
      <w:r>
        <w:rPr>
          <w:rFonts w:hint="eastAsia" w:ascii="宋体" w:hAnsi="宋体"/>
          <w:b w:val="0"/>
          <w:sz w:val="28"/>
        </w:rPr>
        <w:t>（</w:t>
      </w:r>
      <w:r>
        <w:rPr>
          <w:rFonts w:ascii="宋体" w:hAnsi="宋体"/>
          <w:b w:val="0"/>
          <w:sz w:val="28"/>
        </w:rPr>
        <w:t>1</w:t>
      </w:r>
      <w:r>
        <w:rPr>
          <w:rFonts w:hint="eastAsia" w:ascii="宋体" w:hAnsi="宋体"/>
          <w:b w:val="0"/>
          <w:sz w:val="28"/>
        </w:rPr>
        <w:t>）若超过最大允许储存量储存危险品，可能会因过高堆垛倒塌、库房通风散热不良等导致原材料、黑火药燃烧、爆炸，同时还可能危及相邻建筑物的安全，使事故扩大。</w:t>
      </w:r>
      <w:r>
        <w:rPr>
          <w:rFonts w:ascii="宋体" w:hAnsi="宋体"/>
          <w:b w:val="0"/>
          <w:sz w:val="28"/>
        </w:rPr>
        <w:t xml:space="preserve"> </w:t>
      </w:r>
    </w:p>
    <w:p w14:paraId="06B4BCF7">
      <w:pPr>
        <w:spacing w:line="360" w:lineRule="auto"/>
        <w:ind w:firstLine="560" w:firstLineChars="200"/>
        <w:jc w:val="left"/>
        <w:rPr>
          <w:rFonts w:ascii="宋体" w:hAnsi="宋体"/>
          <w:b w:val="0"/>
          <w:sz w:val="28"/>
        </w:rPr>
      </w:pPr>
      <w:r>
        <w:rPr>
          <w:rFonts w:hint="eastAsia" w:ascii="宋体" w:hAnsi="宋体"/>
          <w:b w:val="0"/>
          <w:sz w:val="28"/>
        </w:rPr>
        <w:t>（2）若库房未采取防潮、隔热、通风、防小动物等措施，可能会因药剂受潮发生分解反应、积热导致高温、动物啃咬等原因引起黑火药发生燃烧、爆炸。</w:t>
      </w:r>
    </w:p>
    <w:p w14:paraId="5EC1F33F">
      <w:pPr>
        <w:spacing w:line="360" w:lineRule="auto"/>
        <w:ind w:firstLine="560" w:firstLineChars="200"/>
        <w:jc w:val="left"/>
        <w:rPr>
          <w:rFonts w:ascii="宋体" w:hAnsi="宋体"/>
          <w:b w:val="0"/>
          <w:sz w:val="28"/>
        </w:rPr>
      </w:pPr>
      <w:r>
        <w:rPr>
          <w:rFonts w:hint="eastAsia" w:ascii="宋体" w:hAnsi="宋体"/>
          <w:b w:val="0"/>
          <w:sz w:val="28"/>
        </w:rPr>
        <w:t>（3）堆垛之间距离不符合要求会影响库房通风，堆垛高度过高可能发生倒塌，运输通道宽度不符合要求可能发生碰撞和人员跌倒，这些因素都有可能引起火灾、爆炸事故。</w:t>
      </w:r>
    </w:p>
    <w:p w14:paraId="519D9579">
      <w:pPr>
        <w:spacing w:line="360" w:lineRule="auto"/>
        <w:ind w:firstLine="560" w:firstLineChars="200"/>
        <w:rPr>
          <w:rFonts w:ascii="宋体" w:hAnsi="宋体"/>
          <w:b w:val="0"/>
          <w:snapToGrid w:val="0"/>
          <w:sz w:val="28"/>
          <w:szCs w:val="28"/>
        </w:rPr>
      </w:pPr>
      <w:r>
        <w:rPr>
          <w:rFonts w:hint="eastAsia" w:ascii="宋体" w:hAnsi="宋体"/>
          <w:b w:val="0"/>
          <w:sz w:val="28"/>
        </w:rPr>
        <w:t>（</w:t>
      </w:r>
      <w:r>
        <w:rPr>
          <w:rFonts w:ascii="宋体" w:hAnsi="宋体"/>
          <w:b w:val="0"/>
          <w:sz w:val="28"/>
        </w:rPr>
        <w:t>5</w:t>
      </w:r>
      <w:r>
        <w:rPr>
          <w:rFonts w:hint="eastAsia" w:ascii="宋体" w:hAnsi="宋体"/>
          <w:b w:val="0"/>
          <w:sz w:val="28"/>
        </w:rPr>
        <w:t>）若垛架上铁钉钉头未做处理、搬运过程碰撞、拖拉、摩擦、翻滚和剧烈振动、用铁铲等铁质工具，都可能引起燃烧、爆炸</w:t>
      </w:r>
      <w:r>
        <w:rPr>
          <w:rFonts w:hint="eastAsia" w:ascii="宋体" w:hAnsi="宋体"/>
          <w:b w:val="0"/>
          <w:snapToGrid w:val="0"/>
          <w:sz w:val="28"/>
          <w:szCs w:val="28"/>
        </w:rPr>
        <w:t>。</w:t>
      </w:r>
    </w:p>
    <w:p w14:paraId="257C17C7">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仓储场所爆炸的因果分析图如下图3.</w:t>
      </w:r>
      <w:r>
        <w:rPr>
          <w:rFonts w:ascii="宋体" w:hAnsi="宋体"/>
          <w:b w:val="0"/>
          <w:snapToGrid w:val="0"/>
          <w:sz w:val="28"/>
          <w:szCs w:val="28"/>
        </w:rPr>
        <w:t>8</w:t>
      </w:r>
      <w:r>
        <w:rPr>
          <w:rFonts w:hint="eastAsia" w:ascii="宋体" w:hAnsi="宋体"/>
          <w:b w:val="0"/>
          <w:snapToGrid w:val="0"/>
          <w:sz w:val="28"/>
          <w:szCs w:val="28"/>
        </w:rPr>
        <w:t>-1。</w:t>
      </w:r>
    </w:p>
    <w:p w14:paraId="24A8F873">
      <w:pPr>
        <w:spacing w:line="360" w:lineRule="auto"/>
        <w:rPr>
          <w:rFonts w:ascii="宋体" w:hAnsi="宋体"/>
          <w:b w:val="0"/>
          <w:sz w:val="28"/>
        </w:rPr>
      </w:pPr>
      <w:bookmarkStart w:id="355" w:name="_Toc213127084"/>
      <w:bookmarkStart w:id="356" w:name="_Toc294247824"/>
      <w:bookmarkStart w:id="357" w:name="_Toc271898769"/>
      <w:bookmarkStart w:id="358" w:name="_Toc294247655"/>
      <w:r>
        <w:rPr>
          <w:rFonts w:ascii="宋体" w:hAnsi="宋体"/>
          <w:b w:val="0"/>
          <w:sz w:val="28"/>
        </w:rPr>
        <mc:AlternateContent>
          <mc:Choice Requires="wpc">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5833110" cy="2854960"/>
                <wp:effectExtent l="0" t="0" r="34290" b="0"/>
                <wp:wrapNone/>
                <wp:docPr id="748" name="画布 7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55" name="组合 1800"/>
                        <wpg:cNvGrpSpPr/>
                        <wpg:grpSpPr>
                          <a:xfrm>
                            <a:off x="0" y="51118"/>
                            <a:ext cx="5833110" cy="2803079"/>
                            <a:chOff x="1946" y="9392"/>
                            <a:chExt cx="7643" cy="3674"/>
                          </a:xfrm>
                        </wpg:grpSpPr>
                        <wps:wsp>
                          <wps:cNvPr id="556" name="直线 1801"/>
                          <wps:cNvCnPr/>
                          <wps:spPr bwMode="auto">
                            <a:xfrm rot="7176324" flipV="1">
                              <a:off x="2445" y="9489"/>
                              <a:ext cx="987" cy="1468"/>
                            </a:xfrm>
                            <a:prstGeom prst="line">
                              <a:avLst/>
                            </a:prstGeom>
                            <a:noFill/>
                            <a:ln w="19050">
                              <a:solidFill>
                                <a:srgbClr val="000000"/>
                              </a:solidFill>
                              <a:round/>
                              <a:tailEnd type="arrow" w="med" len="med"/>
                            </a:ln>
                          </wps:spPr>
                          <wps:bodyPr/>
                        </wps:wsp>
                        <wps:wsp>
                          <wps:cNvPr id="557" name="直线 1802"/>
                          <wps:cNvCnPr/>
                          <wps:spPr bwMode="auto">
                            <a:xfrm rot="7176324" flipV="1">
                              <a:off x="4006" y="9476"/>
                              <a:ext cx="988" cy="1468"/>
                            </a:xfrm>
                            <a:prstGeom prst="line">
                              <a:avLst/>
                            </a:prstGeom>
                            <a:noFill/>
                            <a:ln w="19050">
                              <a:solidFill>
                                <a:srgbClr val="000000"/>
                              </a:solidFill>
                              <a:round/>
                              <a:tailEnd type="arrow" w="med" len="med"/>
                            </a:ln>
                          </wps:spPr>
                          <wps:bodyPr/>
                        </wps:wsp>
                        <wps:wsp>
                          <wps:cNvPr id="558" name="直线 1803"/>
                          <wps:cNvCnPr/>
                          <wps:spPr bwMode="auto">
                            <a:xfrm rot="7176324" flipV="1">
                              <a:off x="5513" y="9484"/>
                              <a:ext cx="986" cy="1468"/>
                            </a:xfrm>
                            <a:prstGeom prst="line">
                              <a:avLst/>
                            </a:prstGeom>
                            <a:noFill/>
                            <a:ln w="19050">
                              <a:solidFill>
                                <a:srgbClr val="000000"/>
                              </a:solidFill>
                              <a:round/>
                              <a:tailEnd type="arrow" w="med" len="med"/>
                            </a:ln>
                          </wps:spPr>
                          <wps:bodyPr/>
                        </wps:wsp>
                        <wps:wsp>
                          <wps:cNvPr id="559" name="直线 1804"/>
                          <wps:cNvCnPr/>
                          <wps:spPr bwMode="auto">
                            <a:xfrm rot="21168184" flipV="1">
                              <a:off x="3334" y="11135"/>
                              <a:ext cx="1143" cy="1667"/>
                            </a:xfrm>
                            <a:prstGeom prst="line">
                              <a:avLst/>
                            </a:prstGeom>
                            <a:noFill/>
                            <a:ln w="19050">
                              <a:solidFill>
                                <a:srgbClr val="000000"/>
                              </a:solidFill>
                              <a:round/>
                              <a:tailEnd type="arrow" w="med" len="med"/>
                            </a:ln>
                          </wps:spPr>
                          <wps:bodyPr/>
                        </wps:wsp>
                        <wps:wsp>
                          <wps:cNvPr id="560" name="矩形 1805"/>
                          <wps:cNvSpPr>
                            <a:spLocks noChangeArrowheads="1"/>
                          </wps:cNvSpPr>
                          <wps:spPr bwMode="auto">
                            <a:xfrm>
                              <a:off x="5801" y="9392"/>
                              <a:ext cx="735" cy="350"/>
                            </a:xfrm>
                            <a:prstGeom prst="rect">
                              <a:avLst/>
                            </a:prstGeom>
                            <a:solidFill>
                              <a:srgbClr val="FFFFFF">
                                <a:alpha val="0"/>
                              </a:srgbClr>
                            </a:solidFill>
                            <a:ln>
                              <a:noFill/>
                            </a:ln>
                          </wps:spPr>
                          <wps:txbx>
                            <w:txbxContent>
                              <w:p w14:paraId="065C6FFD">
                                <w:pPr>
                                  <w:jc w:val="center"/>
                                  <w:rPr>
                                    <w:rFonts w:ascii="宋体" w:hAnsi="宋体"/>
                                    <w:b w:val="0"/>
                                    <w:sz w:val="20"/>
                                    <w:szCs w:val="20"/>
                                  </w:rPr>
                                </w:pPr>
                                <w:r>
                                  <w:rPr>
                                    <w:rFonts w:hint="eastAsia" w:ascii="宋体" w:hAnsi="宋体"/>
                                    <w:b w:val="0"/>
                                    <w:sz w:val="20"/>
                                    <w:szCs w:val="20"/>
                                  </w:rPr>
                                  <w:t>热积聚</w:t>
                                </w:r>
                              </w:p>
                            </w:txbxContent>
                          </wps:txbx>
                          <wps:bodyPr rot="0" vert="horz" wrap="square" lIns="85954" tIns="42977" rIns="85954" bIns="42977" anchor="t" anchorCtr="0" upright="1">
                            <a:noAutofit/>
                          </wps:bodyPr>
                        </wps:wsp>
                        <wps:wsp>
                          <wps:cNvPr id="561" name="直线 1806"/>
                          <wps:cNvCnPr/>
                          <wps:spPr bwMode="auto">
                            <a:xfrm rot="14149631" flipV="1">
                              <a:off x="3819" y="12352"/>
                              <a:ext cx="568" cy="859"/>
                            </a:xfrm>
                            <a:prstGeom prst="line">
                              <a:avLst/>
                            </a:prstGeom>
                            <a:noFill/>
                            <a:ln w="19050">
                              <a:solidFill>
                                <a:srgbClr val="000000"/>
                              </a:solidFill>
                              <a:round/>
                              <a:tailEnd type="arrow" w="med" len="med"/>
                            </a:ln>
                          </wps:spPr>
                          <wps:bodyPr/>
                        </wps:wsp>
                        <wpg:grpSp>
                          <wpg:cNvPr id="562" name="组合 1807"/>
                          <wpg:cNvGrpSpPr/>
                          <wpg:grpSpPr>
                            <a:xfrm>
                              <a:off x="1946" y="9585"/>
                              <a:ext cx="7643" cy="3481"/>
                              <a:chOff x="1946" y="9585"/>
                              <a:chExt cx="7643" cy="3481"/>
                            </a:xfrm>
                          </wpg:grpSpPr>
                          <wps:wsp>
                            <wps:cNvPr id="563" name="直线 1808"/>
                            <wps:cNvCnPr/>
                            <wps:spPr bwMode="auto">
                              <a:xfrm rot="21168184" flipV="1">
                                <a:off x="4428" y="11188"/>
                                <a:ext cx="1130" cy="1658"/>
                              </a:xfrm>
                              <a:prstGeom prst="line">
                                <a:avLst/>
                              </a:prstGeom>
                              <a:noFill/>
                              <a:ln w="19050">
                                <a:solidFill>
                                  <a:srgbClr val="000000"/>
                                </a:solidFill>
                                <a:round/>
                                <a:tailEnd type="arrow" w="med" len="med"/>
                              </a:ln>
                            </wps:spPr>
                            <wps:bodyPr/>
                          </wps:wsp>
                          <wpg:grpSp>
                            <wpg:cNvPr id="564" name="组合 1809"/>
                            <wpg:cNvGrpSpPr/>
                            <wpg:grpSpPr>
                              <a:xfrm>
                                <a:off x="2551" y="9585"/>
                                <a:ext cx="7038" cy="3481"/>
                                <a:chOff x="2522" y="9551"/>
                                <a:chExt cx="7039" cy="3481"/>
                              </a:xfrm>
                            </wpg:grpSpPr>
                            <wps:wsp>
                              <wps:cNvPr id="565" name="自选图形 1810"/>
                              <wps:cNvSpPr>
                                <a:spLocks noChangeArrowheads="1"/>
                              </wps:cNvSpPr>
                              <wps:spPr bwMode="auto">
                                <a:xfrm>
                                  <a:off x="8150" y="10127"/>
                                  <a:ext cx="1411" cy="1535"/>
                                </a:xfrm>
                                <a:prstGeom prst="irregularSeal2">
                                  <a:avLst/>
                                </a:prstGeom>
                                <a:noFill/>
                                <a:ln w="9525">
                                  <a:solidFill>
                                    <a:srgbClr val="000000"/>
                                  </a:solidFill>
                                  <a:miter lim="800000"/>
                                </a:ln>
                              </wps:spPr>
                              <wps:txbx>
                                <w:txbxContent>
                                  <w:p w14:paraId="0F190335">
                                    <w:pPr>
                                      <w:spacing w:before="120" w:beforeLines="50"/>
                                      <w:rPr>
                                        <w:rFonts w:ascii="宋体" w:hAnsi="宋体"/>
                                        <w:b w:val="0"/>
                                        <w:sz w:val="20"/>
                                        <w:szCs w:val="20"/>
                                      </w:rPr>
                                    </w:pPr>
                                    <w:r>
                                      <w:rPr>
                                        <w:rFonts w:hint="eastAsia" w:ascii="宋体" w:hAnsi="宋体"/>
                                        <w:b w:val="0"/>
                                        <w:sz w:val="20"/>
                                        <w:szCs w:val="20"/>
                                      </w:rPr>
                                      <w:t>爆</w:t>
                                    </w:r>
                                    <w:r>
                                      <w:rPr>
                                        <w:rFonts w:ascii="宋体" w:hAnsi="宋体"/>
                                        <w:b w:val="0"/>
                                        <w:sz w:val="20"/>
                                        <w:szCs w:val="20"/>
                                      </w:rPr>
                                      <w:t xml:space="preserve">  </w:t>
                                    </w:r>
                                    <w:r>
                                      <w:rPr>
                                        <w:rFonts w:hint="eastAsia" w:ascii="宋体" w:hAnsi="宋体"/>
                                        <w:b w:val="0"/>
                                        <w:sz w:val="20"/>
                                        <w:szCs w:val="20"/>
                                      </w:rPr>
                                      <w:t>炸</w:t>
                                    </w:r>
                                  </w:p>
                                </w:txbxContent>
                              </wps:txbx>
                              <wps:bodyPr rot="0" vert="horz" wrap="square" lIns="85954" tIns="42977" rIns="85954" bIns="42977" anchor="t" anchorCtr="0" upright="1">
                                <a:noAutofit/>
                              </wps:bodyPr>
                            </wps:wsp>
                            <wps:wsp>
                              <wps:cNvPr id="597" name="直线 1811"/>
                              <wps:cNvCnPr/>
                              <wps:spPr bwMode="auto">
                                <a:xfrm flipV="1">
                                  <a:off x="2882" y="11008"/>
                                  <a:ext cx="5469" cy="16"/>
                                </a:xfrm>
                                <a:prstGeom prst="line">
                                  <a:avLst/>
                                </a:prstGeom>
                                <a:noFill/>
                                <a:ln w="19050">
                                  <a:solidFill>
                                    <a:srgbClr val="000000"/>
                                  </a:solidFill>
                                  <a:round/>
                                  <a:tailEnd type="triangle" w="med" len="med"/>
                                </a:ln>
                              </wps:spPr>
                              <wps:bodyPr/>
                            </wps:wsp>
                            <wps:wsp>
                              <wps:cNvPr id="600" name="自选图形 1812"/>
                              <wps:cNvSpPr>
                                <a:spLocks noChangeArrowheads="1"/>
                              </wps:cNvSpPr>
                              <wps:spPr bwMode="auto">
                                <a:xfrm>
                                  <a:off x="6789" y="10099"/>
                                  <a:ext cx="987" cy="826"/>
                                </a:xfrm>
                                <a:prstGeom prst="cloudCallout">
                                  <a:avLst>
                                    <a:gd name="adj1" fmla="val -43731"/>
                                    <a:gd name="adj2" fmla="val 69977"/>
                                  </a:avLst>
                                </a:prstGeom>
                                <a:noFill/>
                                <a:ln w="9525">
                                  <a:solidFill>
                                    <a:srgbClr val="000000"/>
                                  </a:solidFill>
                                  <a:round/>
                                </a:ln>
                              </wps:spPr>
                              <wps:txbx>
                                <w:txbxContent>
                                  <w:p w14:paraId="10F1C593">
                                    <w:pPr>
                                      <w:jc w:val="right"/>
                                      <w:rPr>
                                        <w:rFonts w:ascii="宋体" w:hAnsi="宋体"/>
                                        <w:b w:val="0"/>
                                        <w:sz w:val="20"/>
                                        <w:szCs w:val="20"/>
                                      </w:rPr>
                                    </w:pPr>
                                    <w:r>
                                      <w:rPr>
                                        <w:rFonts w:hint="eastAsia" w:ascii="宋体" w:hAnsi="宋体"/>
                                        <w:b w:val="0"/>
                                        <w:sz w:val="20"/>
                                        <w:szCs w:val="20"/>
                                      </w:rPr>
                                      <w:t>着</w:t>
                                    </w:r>
                                    <w:r>
                                      <w:rPr>
                                        <w:rFonts w:ascii="宋体" w:hAnsi="宋体"/>
                                        <w:b w:val="0"/>
                                        <w:color w:val="FF0000"/>
                                        <w:sz w:val="20"/>
                                        <w:szCs w:val="20"/>
                                      </w:rPr>
                                      <w:t xml:space="preserve"> </w:t>
                                    </w:r>
                                    <w:r>
                                      <w:rPr>
                                        <w:rFonts w:hint="eastAsia" w:ascii="宋体" w:hAnsi="宋体"/>
                                        <w:b w:val="0"/>
                                        <w:sz w:val="20"/>
                                        <w:szCs w:val="20"/>
                                      </w:rPr>
                                      <w:t>火</w:t>
                                    </w:r>
                                  </w:p>
                                </w:txbxContent>
                              </wps:txbx>
                              <wps:bodyPr rot="0" vert="horz" wrap="square" lIns="85954" tIns="42977" rIns="85954" bIns="42977" anchor="t" anchorCtr="0" upright="1">
                                <a:noAutofit/>
                              </wps:bodyPr>
                            </wps:wsp>
                            <wps:wsp>
                              <wps:cNvPr id="601" name="直线 1813"/>
                              <wps:cNvCnPr/>
                              <wps:spPr bwMode="auto">
                                <a:xfrm rot="3359447" flipV="1">
                                  <a:off x="3699" y="9632"/>
                                  <a:ext cx="505" cy="757"/>
                                </a:xfrm>
                                <a:prstGeom prst="line">
                                  <a:avLst/>
                                </a:prstGeom>
                                <a:noFill/>
                                <a:ln w="19050">
                                  <a:solidFill>
                                    <a:srgbClr val="000000"/>
                                  </a:solidFill>
                                  <a:round/>
                                  <a:tailEnd type="arrow" w="med" len="med"/>
                                </a:ln>
                              </wps:spPr>
                              <wps:bodyPr/>
                            </wps:wsp>
                            <wps:wsp>
                              <wps:cNvPr id="623" name="直线 1814"/>
                              <wps:cNvCnPr/>
                              <wps:spPr bwMode="auto">
                                <a:xfrm rot="3359447" flipV="1">
                                  <a:off x="5169" y="9615"/>
                                  <a:ext cx="506" cy="757"/>
                                </a:xfrm>
                                <a:prstGeom prst="line">
                                  <a:avLst/>
                                </a:prstGeom>
                                <a:noFill/>
                                <a:ln w="19050">
                                  <a:solidFill>
                                    <a:srgbClr val="000000"/>
                                  </a:solidFill>
                                  <a:round/>
                                  <a:tailEnd type="arrow" w="med" len="med"/>
                                </a:ln>
                              </wps:spPr>
                              <wps:bodyPr/>
                            </wps:wsp>
                            <wps:wsp>
                              <wps:cNvPr id="165" name="直线 1815"/>
                              <wps:cNvCnPr/>
                              <wps:spPr bwMode="auto">
                                <a:xfrm rot="21168184" flipV="1">
                                  <a:off x="5648" y="11091"/>
                                  <a:ext cx="1092" cy="1638"/>
                                </a:xfrm>
                                <a:prstGeom prst="line">
                                  <a:avLst/>
                                </a:prstGeom>
                                <a:noFill/>
                                <a:ln w="19050">
                                  <a:solidFill>
                                    <a:srgbClr val="000000"/>
                                  </a:solidFill>
                                  <a:round/>
                                  <a:tailEnd type="arrow" w="med" len="med"/>
                                </a:ln>
                              </wps:spPr>
                              <wps:bodyPr/>
                            </wps:wsp>
                            <wps:wsp>
                              <wps:cNvPr id="166" name="直线 1816"/>
                              <wps:cNvCnPr/>
                              <wps:spPr bwMode="auto">
                                <a:xfrm rot="14149631" flipV="1">
                                  <a:off x="6330" y="11797"/>
                                  <a:ext cx="650" cy="974"/>
                                </a:xfrm>
                                <a:prstGeom prst="line">
                                  <a:avLst/>
                                </a:prstGeom>
                                <a:noFill/>
                                <a:ln w="19050">
                                  <a:solidFill>
                                    <a:srgbClr val="000000"/>
                                  </a:solidFill>
                                  <a:round/>
                                  <a:tailEnd type="arrow" w="med" len="med"/>
                                </a:ln>
                              </wps:spPr>
                              <wps:bodyPr/>
                            </wps:wsp>
                            <wps:wsp>
                              <wps:cNvPr id="167" name="直线 1817"/>
                              <wps:cNvCnPr/>
                              <wps:spPr bwMode="auto">
                                <a:xfrm rot="3359447" flipV="1">
                                  <a:off x="3973" y="11913"/>
                                  <a:ext cx="546" cy="843"/>
                                </a:xfrm>
                                <a:prstGeom prst="line">
                                  <a:avLst/>
                                </a:prstGeom>
                                <a:noFill/>
                                <a:ln w="19050">
                                  <a:solidFill>
                                    <a:srgbClr val="000000"/>
                                  </a:solidFill>
                                  <a:round/>
                                  <a:tailEnd type="arrow" w="med" len="med"/>
                                </a:ln>
                              </wps:spPr>
                              <wps:bodyPr/>
                            </wps:wsp>
                            <wps:wsp>
                              <wps:cNvPr id="168" name="直线 1818"/>
                              <wps:cNvCnPr/>
                              <wps:spPr bwMode="auto">
                                <a:xfrm rot="3359447" flipV="1">
                                  <a:off x="2823" y="12213"/>
                                  <a:ext cx="507" cy="758"/>
                                </a:xfrm>
                                <a:prstGeom prst="line">
                                  <a:avLst/>
                                </a:prstGeom>
                                <a:noFill/>
                                <a:ln w="19050">
                                  <a:solidFill>
                                    <a:srgbClr val="000000"/>
                                  </a:solidFill>
                                  <a:round/>
                                  <a:tailEnd type="arrow" w="med" len="med"/>
                                </a:ln>
                              </wps:spPr>
                              <wps:bodyPr/>
                            </wps:wsp>
                            <wps:wsp>
                              <wps:cNvPr id="169" name="直线 1819"/>
                              <wps:cNvCnPr/>
                              <wps:spPr bwMode="auto">
                                <a:xfrm rot="3359447" flipV="1">
                                  <a:off x="5047" y="12031"/>
                                  <a:ext cx="566" cy="830"/>
                                </a:xfrm>
                                <a:prstGeom prst="line">
                                  <a:avLst/>
                                </a:prstGeom>
                                <a:noFill/>
                                <a:ln w="19050">
                                  <a:solidFill>
                                    <a:srgbClr val="000000"/>
                                  </a:solidFill>
                                  <a:round/>
                                  <a:tailEnd type="arrow" w="med" len="med"/>
                                </a:ln>
                              </wps:spPr>
                              <wps:bodyPr/>
                            </wps:wsp>
                            <wps:wsp>
                              <wps:cNvPr id="170" name="直线 1820"/>
                              <wps:cNvCnPr/>
                              <wps:spPr bwMode="auto">
                                <a:xfrm rot="14149631" flipV="1">
                                  <a:off x="6114" y="12170"/>
                                  <a:ext cx="694" cy="1029"/>
                                </a:xfrm>
                                <a:prstGeom prst="line">
                                  <a:avLst/>
                                </a:prstGeom>
                                <a:noFill/>
                                <a:ln w="19050">
                                  <a:solidFill>
                                    <a:srgbClr val="000000"/>
                                  </a:solidFill>
                                  <a:round/>
                                  <a:tailEnd type="arrow" w="med" len="med"/>
                                </a:ln>
                              </wps:spPr>
                              <wps:bodyPr/>
                            </wps:wsp>
                            <wps:wsp>
                              <wps:cNvPr id="171" name="矩形 1821"/>
                              <wps:cNvSpPr>
                                <a:spLocks noChangeArrowheads="1"/>
                              </wps:cNvSpPr>
                              <wps:spPr bwMode="auto">
                                <a:xfrm>
                                  <a:off x="6168" y="12299"/>
                                  <a:ext cx="1012" cy="367"/>
                                </a:xfrm>
                                <a:prstGeom prst="rect">
                                  <a:avLst/>
                                </a:prstGeom>
                                <a:solidFill>
                                  <a:srgbClr val="FFFFFF">
                                    <a:alpha val="0"/>
                                  </a:srgbClr>
                                </a:solidFill>
                                <a:ln>
                                  <a:noFill/>
                                </a:ln>
                              </wps:spPr>
                              <wps:txbx>
                                <w:txbxContent>
                                  <w:p w14:paraId="666A7FDF">
                                    <w:pPr>
                                      <w:jc w:val="center"/>
                                      <w:rPr>
                                        <w:rFonts w:ascii="宋体" w:hAnsi="宋体"/>
                                        <w:b w:val="0"/>
                                        <w:sz w:val="20"/>
                                        <w:szCs w:val="20"/>
                                      </w:rPr>
                                    </w:pPr>
                                    <w:r>
                                      <w:rPr>
                                        <w:rFonts w:hint="eastAsia" w:ascii="宋体" w:hAnsi="宋体"/>
                                        <w:b w:val="0"/>
                                        <w:sz w:val="20"/>
                                        <w:szCs w:val="20"/>
                                      </w:rPr>
                                      <w:t>吸湿受潮</w:t>
                                    </w:r>
                                  </w:p>
                                </w:txbxContent>
                              </wps:txbx>
                              <wps:bodyPr rot="0" vert="horz" wrap="square" lIns="85954" tIns="42977" rIns="85954" bIns="42977" anchor="t" anchorCtr="0" upright="1">
                                <a:noAutofit/>
                              </wps:bodyPr>
                            </wps:wsp>
                            <wps:wsp>
                              <wps:cNvPr id="172" name="直线 1822"/>
                              <wps:cNvCnPr/>
                              <wps:spPr bwMode="auto">
                                <a:xfrm rot="3359447" flipV="1">
                                  <a:off x="3091" y="11706"/>
                                  <a:ext cx="506" cy="757"/>
                                </a:xfrm>
                                <a:prstGeom prst="line">
                                  <a:avLst/>
                                </a:prstGeom>
                                <a:noFill/>
                                <a:ln w="19050">
                                  <a:solidFill>
                                    <a:srgbClr val="000000"/>
                                  </a:solidFill>
                                  <a:round/>
                                  <a:tailEnd type="arrow" w="med" len="med"/>
                                </a:ln>
                              </wps:spPr>
                              <wps:bodyPr/>
                            </wps:wsp>
                            <wps:wsp>
                              <wps:cNvPr id="173" name="矩形 1823"/>
                              <wps:cNvSpPr>
                                <a:spLocks noChangeArrowheads="1"/>
                              </wps:cNvSpPr>
                              <wps:spPr bwMode="auto">
                                <a:xfrm>
                                  <a:off x="5801" y="10337"/>
                                  <a:ext cx="624" cy="367"/>
                                </a:xfrm>
                                <a:prstGeom prst="rect">
                                  <a:avLst/>
                                </a:prstGeom>
                                <a:solidFill>
                                  <a:srgbClr val="FFFFFF">
                                    <a:alpha val="0"/>
                                  </a:srgbClr>
                                </a:solidFill>
                                <a:ln>
                                  <a:noFill/>
                                </a:ln>
                              </wps:spPr>
                              <wps:txbx>
                                <w:txbxContent>
                                  <w:p w14:paraId="289F2C61">
                                    <w:pPr>
                                      <w:jc w:val="center"/>
                                      <w:rPr>
                                        <w:rFonts w:ascii="宋体" w:hAnsi="宋体"/>
                                        <w:b w:val="0"/>
                                        <w:sz w:val="20"/>
                                        <w:szCs w:val="20"/>
                                      </w:rPr>
                                    </w:pPr>
                                    <w:r>
                                      <w:rPr>
                                        <w:rFonts w:hint="eastAsia" w:ascii="宋体" w:hAnsi="宋体"/>
                                        <w:b w:val="0"/>
                                        <w:sz w:val="20"/>
                                        <w:szCs w:val="20"/>
                                      </w:rPr>
                                      <w:t>自燃</w:t>
                                    </w:r>
                                  </w:p>
                                </w:txbxContent>
                              </wps:txbx>
                              <wps:bodyPr rot="0" vert="horz" wrap="square" lIns="85954" tIns="42977" rIns="85954" bIns="42977" anchor="t" anchorCtr="0" upright="1">
                                <a:noAutofit/>
                              </wps:bodyPr>
                            </wps:wsp>
                            <wps:wsp>
                              <wps:cNvPr id="174" name="矩形 1824"/>
                              <wps:cNvSpPr>
                                <a:spLocks noChangeArrowheads="1"/>
                              </wps:cNvSpPr>
                              <wps:spPr bwMode="auto">
                                <a:xfrm>
                                  <a:off x="4915" y="9551"/>
                                  <a:ext cx="733" cy="367"/>
                                </a:xfrm>
                                <a:prstGeom prst="rect">
                                  <a:avLst/>
                                </a:prstGeom>
                                <a:solidFill>
                                  <a:srgbClr val="FFFFFF">
                                    <a:alpha val="0"/>
                                  </a:srgbClr>
                                </a:solidFill>
                                <a:ln>
                                  <a:noFill/>
                                </a:ln>
                              </wps:spPr>
                              <wps:txbx>
                                <w:txbxContent>
                                  <w:p w14:paraId="3EB7B022">
                                    <w:pPr>
                                      <w:jc w:val="center"/>
                                      <w:rPr>
                                        <w:rFonts w:ascii="宋体" w:hAnsi="宋体"/>
                                        <w:b w:val="0"/>
                                        <w:sz w:val="20"/>
                                        <w:szCs w:val="20"/>
                                      </w:rPr>
                                    </w:pPr>
                                    <w:r>
                                      <w:rPr>
                                        <w:rFonts w:hint="eastAsia" w:ascii="宋体" w:hAnsi="宋体"/>
                                        <w:b w:val="0"/>
                                        <w:sz w:val="20"/>
                                        <w:szCs w:val="20"/>
                                      </w:rPr>
                                      <w:t>热分解</w:t>
                                    </w:r>
                                  </w:p>
                                </w:txbxContent>
                              </wps:txbx>
                              <wps:bodyPr rot="0" vert="horz" wrap="square" lIns="85954" tIns="42977" rIns="85954" bIns="42977" anchor="t" anchorCtr="0" upright="1">
                                <a:noAutofit/>
                              </wps:bodyPr>
                            </wps:wsp>
                            <wps:wsp>
                              <wps:cNvPr id="175" name="矩形 1825"/>
                              <wps:cNvSpPr>
                                <a:spLocks noChangeArrowheads="1"/>
                              </wps:cNvSpPr>
                              <wps:spPr bwMode="auto">
                                <a:xfrm>
                                  <a:off x="4114" y="10264"/>
                                  <a:ext cx="930" cy="367"/>
                                </a:xfrm>
                                <a:prstGeom prst="rect">
                                  <a:avLst/>
                                </a:prstGeom>
                                <a:solidFill>
                                  <a:srgbClr val="FFFFFF">
                                    <a:alpha val="0"/>
                                  </a:srgbClr>
                                </a:solidFill>
                                <a:ln>
                                  <a:noFill/>
                                </a:ln>
                              </wps:spPr>
                              <wps:txbx>
                                <w:txbxContent>
                                  <w:p w14:paraId="42446ACA">
                                    <w:pPr>
                                      <w:jc w:val="center"/>
                                      <w:rPr>
                                        <w:rFonts w:ascii="宋体" w:hAnsi="宋体"/>
                                        <w:b w:val="0"/>
                                        <w:sz w:val="20"/>
                                        <w:szCs w:val="20"/>
                                      </w:rPr>
                                    </w:pPr>
                                    <w:r>
                                      <w:rPr>
                                        <w:rFonts w:hint="eastAsia" w:ascii="宋体" w:hAnsi="宋体"/>
                                        <w:b w:val="0"/>
                                        <w:sz w:val="20"/>
                                        <w:szCs w:val="20"/>
                                      </w:rPr>
                                      <w:t>摩擦撞击</w:t>
                                    </w:r>
                                  </w:p>
                                </w:txbxContent>
                              </wps:txbx>
                              <wps:bodyPr rot="0" vert="horz" wrap="square" lIns="85954" tIns="42977" rIns="85954" bIns="42977" anchor="t" anchorCtr="0" upright="1">
                                <a:noAutofit/>
                              </wps:bodyPr>
                            </wps:wsp>
                            <wps:wsp>
                              <wps:cNvPr id="189" name="矩形 1826"/>
                              <wps:cNvSpPr>
                                <a:spLocks noChangeArrowheads="1"/>
                              </wps:cNvSpPr>
                              <wps:spPr bwMode="auto">
                                <a:xfrm>
                                  <a:off x="4781" y="11421"/>
                                  <a:ext cx="777" cy="367"/>
                                </a:xfrm>
                                <a:prstGeom prst="rect">
                                  <a:avLst/>
                                </a:prstGeom>
                                <a:solidFill>
                                  <a:srgbClr val="FFFFFF">
                                    <a:alpha val="0"/>
                                  </a:srgbClr>
                                </a:solidFill>
                                <a:ln>
                                  <a:noFill/>
                                </a:ln>
                              </wps:spPr>
                              <wps:txbx>
                                <w:txbxContent>
                                  <w:p w14:paraId="7E47B0EA">
                                    <w:pPr>
                                      <w:jc w:val="center"/>
                                      <w:rPr>
                                        <w:rFonts w:ascii="宋体" w:hAnsi="宋体"/>
                                        <w:b w:val="0"/>
                                        <w:sz w:val="20"/>
                                        <w:szCs w:val="20"/>
                                      </w:rPr>
                                    </w:pPr>
                                    <w:r>
                                      <w:rPr>
                                        <w:rFonts w:hint="eastAsia" w:ascii="宋体" w:hAnsi="宋体"/>
                                        <w:b w:val="0"/>
                                        <w:sz w:val="20"/>
                                        <w:szCs w:val="20"/>
                                      </w:rPr>
                                      <w:t>雷击</w:t>
                                    </w:r>
                                  </w:p>
                                </w:txbxContent>
                              </wps:txbx>
                              <wps:bodyPr rot="0" vert="horz" wrap="square" lIns="85954" tIns="42977" rIns="85954" bIns="42977" anchor="t" anchorCtr="0" upright="1">
                                <a:noAutofit/>
                              </wps:bodyPr>
                            </wps:wsp>
                            <wps:wsp>
                              <wps:cNvPr id="190" name="矩形 1827"/>
                              <wps:cNvSpPr>
                                <a:spLocks noChangeArrowheads="1"/>
                              </wps:cNvSpPr>
                              <wps:spPr bwMode="auto">
                                <a:xfrm>
                                  <a:off x="5801" y="11421"/>
                                  <a:ext cx="988" cy="367"/>
                                </a:xfrm>
                                <a:prstGeom prst="rect">
                                  <a:avLst/>
                                </a:prstGeom>
                                <a:solidFill>
                                  <a:srgbClr val="FFFFFF">
                                    <a:alpha val="0"/>
                                  </a:srgbClr>
                                </a:solidFill>
                                <a:ln>
                                  <a:noFill/>
                                </a:ln>
                              </wps:spPr>
                              <wps:txbx>
                                <w:txbxContent>
                                  <w:p w14:paraId="7EA3E4E2">
                                    <w:pPr>
                                      <w:jc w:val="center"/>
                                      <w:rPr>
                                        <w:rFonts w:ascii="宋体" w:hAnsi="宋体"/>
                                        <w:b w:val="0"/>
                                        <w:sz w:val="20"/>
                                        <w:szCs w:val="20"/>
                                      </w:rPr>
                                    </w:pPr>
                                    <w:r>
                                      <w:rPr>
                                        <w:rFonts w:hint="eastAsia" w:ascii="宋体" w:hAnsi="宋体"/>
                                        <w:b w:val="0"/>
                                        <w:sz w:val="20"/>
                                        <w:szCs w:val="20"/>
                                      </w:rPr>
                                      <w:t>化学反应</w:t>
                                    </w:r>
                                  </w:p>
                                </w:txbxContent>
                              </wps:txbx>
                              <wps:bodyPr rot="0" vert="horz" wrap="square" lIns="85954" tIns="42977" rIns="85954" bIns="42977" anchor="t" anchorCtr="0" upright="1">
                                <a:noAutofit/>
                              </wps:bodyPr>
                            </wps:wsp>
                            <wps:wsp>
                              <wps:cNvPr id="191" name="矩形 1828"/>
                              <wps:cNvSpPr>
                                <a:spLocks noChangeArrowheads="1"/>
                              </wps:cNvSpPr>
                              <wps:spPr bwMode="auto">
                                <a:xfrm>
                                  <a:off x="3674" y="11421"/>
                                  <a:ext cx="700" cy="367"/>
                                </a:xfrm>
                                <a:prstGeom prst="rect">
                                  <a:avLst/>
                                </a:prstGeom>
                                <a:solidFill>
                                  <a:srgbClr val="FFFFFF">
                                    <a:alpha val="0"/>
                                  </a:srgbClr>
                                </a:solidFill>
                                <a:ln>
                                  <a:noFill/>
                                </a:ln>
                              </wps:spPr>
                              <wps:txbx>
                                <w:txbxContent>
                                  <w:p w14:paraId="7754EBD7">
                                    <w:pPr>
                                      <w:jc w:val="center"/>
                                      <w:rPr>
                                        <w:rFonts w:ascii="宋体" w:hAnsi="宋体"/>
                                        <w:b w:val="0"/>
                                        <w:sz w:val="20"/>
                                        <w:szCs w:val="20"/>
                                      </w:rPr>
                                    </w:pPr>
                                    <w:r>
                                      <w:rPr>
                                        <w:rFonts w:hint="eastAsia" w:ascii="宋体" w:hAnsi="宋体"/>
                                        <w:b w:val="0"/>
                                        <w:sz w:val="20"/>
                                        <w:szCs w:val="20"/>
                                      </w:rPr>
                                      <w:t>明火</w:t>
                                    </w:r>
                                  </w:p>
                                </w:txbxContent>
                              </wps:txbx>
                              <wps:bodyPr rot="0" vert="horz" wrap="square" lIns="85954" tIns="42977" rIns="85954" bIns="42977" anchor="t" anchorCtr="0" upright="1">
                                <a:noAutofit/>
                              </wps:bodyPr>
                            </wps:wsp>
                            <wps:wsp>
                              <wps:cNvPr id="736" name="矩形 1829"/>
                              <wps:cNvSpPr>
                                <a:spLocks noChangeArrowheads="1"/>
                              </wps:cNvSpPr>
                              <wps:spPr bwMode="auto">
                                <a:xfrm>
                                  <a:off x="2522" y="11421"/>
                                  <a:ext cx="935" cy="367"/>
                                </a:xfrm>
                                <a:prstGeom prst="rect">
                                  <a:avLst/>
                                </a:prstGeom>
                                <a:solidFill>
                                  <a:srgbClr val="FFFFFF">
                                    <a:alpha val="0"/>
                                  </a:srgbClr>
                                </a:solidFill>
                                <a:ln>
                                  <a:noFill/>
                                </a:ln>
                              </wps:spPr>
                              <wps:txbx>
                                <w:txbxContent>
                                  <w:p w14:paraId="671E992C">
                                    <w:pPr>
                                      <w:jc w:val="center"/>
                                      <w:rPr>
                                        <w:rFonts w:ascii="宋体" w:hAnsi="宋体"/>
                                        <w:b w:val="0"/>
                                        <w:sz w:val="20"/>
                                        <w:szCs w:val="20"/>
                                      </w:rPr>
                                    </w:pPr>
                                    <w:r>
                                      <w:rPr>
                                        <w:rFonts w:hint="eastAsia" w:ascii="宋体" w:hAnsi="宋体"/>
                                        <w:b w:val="0"/>
                                        <w:sz w:val="20"/>
                                        <w:szCs w:val="20"/>
                                      </w:rPr>
                                      <w:t>静电火花</w:t>
                                    </w:r>
                                  </w:p>
                                </w:txbxContent>
                              </wps:txbx>
                              <wps:bodyPr rot="0" vert="horz" wrap="square" lIns="85954" tIns="42977" rIns="85954" bIns="42977" anchor="t" anchorCtr="0" upright="1">
                                <a:noAutofit/>
                              </wps:bodyPr>
                            </wps:wsp>
                            <wps:wsp>
                              <wps:cNvPr id="737" name="矩形 1830"/>
                              <wps:cNvSpPr>
                                <a:spLocks noChangeArrowheads="1"/>
                              </wps:cNvSpPr>
                              <wps:spPr bwMode="auto">
                                <a:xfrm>
                                  <a:off x="2699" y="10264"/>
                                  <a:ext cx="635" cy="367"/>
                                </a:xfrm>
                                <a:prstGeom prst="rect">
                                  <a:avLst/>
                                </a:prstGeom>
                                <a:solidFill>
                                  <a:srgbClr val="FFFFFF">
                                    <a:alpha val="0"/>
                                  </a:srgbClr>
                                </a:solidFill>
                                <a:ln>
                                  <a:noFill/>
                                </a:ln>
                              </wps:spPr>
                              <wps:txbx>
                                <w:txbxContent>
                                  <w:p w14:paraId="0A3CAFF9">
                                    <w:pPr>
                                      <w:jc w:val="center"/>
                                      <w:rPr>
                                        <w:rFonts w:ascii="宋体" w:hAnsi="宋体"/>
                                        <w:b w:val="0"/>
                                        <w:sz w:val="20"/>
                                        <w:szCs w:val="20"/>
                                      </w:rPr>
                                    </w:pPr>
                                    <w:r>
                                      <w:rPr>
                                        <w:rFonts w:hint="eastAsia" w:ascii="宋体" w:hAnsi="宋体"/>
                                        <w:b w:val="0"/>
                                        <w:sz w:val="20"/>
                                        <w:szCs w:val="20"/>
                                      </w:rPr>
                                      <w:t>高温</w:t>
                                    </w:r>
                                  </w:p>
                                </w:txbxContent>
                              </wps:txbx>
                              <wps:bodyPr rot="0" vert="horz" wrap="square" lIns="85954" tIns="42977" rIns="85954" bIns="42977" anchor="t" anchorCtr="0" upright="1">
                                <a:noAutofit/>
                              </wps:bodyPr>
                            </wps:wsp>
                            <wps:wsp>
                              <wps:cNvPr id="738" name="矩形 1831"/>
                              <wps:cNvSpPr>
                                <a:spLocks noChangeArrowheads="1"/>
                              </wps:cNvSpPr>
                              <wps:spPr bwMode="auto">
                                <a:xfrm>
                                  <a:off x="6276" y="11849"/>
                                  <a:ext cx="1036" cy="367"/>
                                </a:xfrm>
                                <a:prstGeom prst="rect">
                                  <a:avLst/>
                                </a:prstGeom>
                                <a:solidFill>
                                  <a:srgbClr val="FFFFFF">
                                    <a:alpha val="0"/>
                                  </a:srgbClr>
                                </a:solidFill>
                                <a:ln>
                                  <a:noFill/>
                                </a:ln>
                              </wps:spPr>
                              <wps:txbx>
                                <w:txbxContent>
                                  <w:p w14:paraId="5104FC3A">
                                    <w:pPr>
                                      <w:jc w:val="center"/>
                                      <w:rPr>
                                        <w:rFonts w:ascii="宋体" w:hAnsi="宋体"/>
                                        <w:b w:val="0"/>
                                        <w:sz w:val="20"/>
                                        <w:szCs w:val="20"/>
                                      </w:rPr>
                                    </w:pPr>
                                    <w:r>
                                      <w:rPr>
                                        <w:rFonts w:hint="eastAsia" w:ascii="宋体" w:hAnsi="宋体"/>
                                        <w:b w:val="0"/>
                                        <w:sz w:val="20"/>
                                        <w:szCs w:val="20"/>
                                      </w:rPr>
                                      <w:t>接触反应</w:t>
                                    </w:r>
                                  </w:p>
                                </w:txbxContent>
                              </wps:txbx>
                              <wps:bodyPr rot="0" vert="horz" wrap="square" lIns="85954" tIns="42977" rIns="85954" bIns="42977" anchor="t" anchorCtr="0" upright="1">
                                <a:noAutofit/>
                              </wps:bodyPr>
                            </wps:wsp>
                            <wps:wsp>
                              <wps:cNvPr id="739" name="矩形 1832"/>
                              <wps:cNvSpPr>
                                <a:spLocks noChangeArrowheads="1"/>
                              </wps:cNvSpPr>
                              <wps:spPr bwMode="auto">
                                <a:xfrm>
                                  <a:off x="2699" y="12164"/>
                                  <a:ext cx="593" cy="335"/>
                                </a:xfrm>
                                <a:prstGeom prst="rect">
                                  <a:avLst/>
                                </a:prstGeom>
                                <a:solidFill>
                                  <a:srgbClr val="FFFFFF">
                                    <a:alpha val="0"/>
                                  </a:srgbClr>
                                </a:solidFill>
                                <a:ln>
                                  <a:noFill/>
                                </a:ln>
                              </wps:spPr>
                              <wps:txbx>
                                <w:txbxContent>
                                  <w:p w14:paraId="76013CF5">
                                    <w:pPr>
                                      <w:jc w:val="center"/>
                                      <w:rPr>
                                        <w:rFonts w:ascii="宋体" w:hAnsi="宋体"/>
                                        <w:b w:val="0"/>
                                        <w:sz w:val="20"/>
                                        <w:szCs w:val="20"/>
                                      </w:rPr>
                                    </w:pPr>
                                    <w:r>
                                      <w:rPr>
                                        <w:rFonts w:hint="eastAsia" w:ascii="宋体" w:hAnsi="宋体"/>
                                        <w:b w:val="0"/>
                                        <w:sz w:val="20"/>
                                        <w:szCs w:val="20"/>
                                      </w:rPr>
                                      <w:t>吸烟</w:t>
                                    </w:r>
                                  </w:p>
                                </w:txbxContent>
                              </wps:txbx>
                              <wps:bodyPr rot="0" vert="horz" wrap="square" lIns="85954" tIns="42977" rIns="85954" bIns="42977" anchor="t" anchorCtr="0" upright="1">
                                <a:noAutofit/>
                              </wps:bodyPr>
                            </wps:wsp>
                            <wps:wsp>
                              <wps:cNvPr id="740" name="矩形 1833"/>
                              <wps:cNvSpPr>
                                <a:spLocks noChangeArrowheads="1"/>
                              </wps:cNvSpPr>
                              <wps:spPr bwMode="auto">
                                <a:xfrm>
                                  <a:off x="2966" y="11719"/>
                                  <a:ext cx="777" cy="315"/>
                                </a:xfrm>
                                <a:prstGeom prst="rect">
                                  <a:avLst/>
                                </a:prstGeom>
                                <a:solidFill>
                                  <a:srgbClr val="FFFFFF">
                                    <a:alpha val="0"/>
                                  </a:srgbClr>
                                </a:solidFill>
                                <a:ln>
                                  <a:noFill/>
                                </a:ln>
                              </wps:spPr>
                              <wps:txbx>
                                <w:txbxContent>
                                  <w:p w14:paraId="2F4AD42E">
                                    <w:pPr>
                                      <w:jc w:val="center"/>
                                      <w:rPr>
                                        <w:rFonts w:ascii="宋体" w:hAnsi="宋体"/>
                                        <w:b w:val="0"/>
                                        <w:sz w:val="20"/>
                                        <w:szCs w:val="20"/>
                                      </w:rPr>
                                    </w:pPr>
                                    <w:r>
                                      <w:rPr>
                                        <w:rFonts w:hint="eastAsia" w:ascii="宋体" w:hAnsi="宋体"/>
                                        <w:b w:val="0"/>
                                        <w:sz w:val="20"/>
                                        <w:szCs w:val="20"/>
                                      </w:rPr>
                                      <w:t>电火花</w:t>
                                    </w:r>
                                  </w:p>
                                </w:txbxContent>
                              </wps:txbx>
                              <wps:bodyPr rot="0" vert="horz" wrap="square" lIns="85954" tIns="42977" rIns="85954" bIns="42977" anchor="t" anchorCtr="0" upright="1">
                                <a:noAutofit/>
                              </wps:bodyPr>
                            </wps:wsp>
                            <wps:wsp>
                              <wps:cNvPr id="741" name="矩形 1834"/>
                              <wps:cNvSpPr>
                                <a:spLocks noChangeArrowheads="1"/>
                              </wps:cNvSpPr>
                              <wps:spPr bwMode="auto">
                                <a:xfrm>
                                  <a:off x="3916" y="11959"/>
                                  <a:ext cx="933" cy="315"/>
                                </a:xfrm>
                                <a:prstGeom prst="rect">
                                  <a:avLst/>
                                </a:prstGeom>
                                <a:solidFill>
                                  <a:srgbClr val="FFFFFF">
                                    <a:alpha val="0"/>
                                  </a:srgbClr>
                                </a:solidFill>
                                <a:ln>
                                  <a:noFill/>
                                </a:ln>
                              </wps:spPr>
                              <wps:txbx>
                                <w:txbxContent>
                                  <w:p w14:paraId="6A989A79">
                                    <w:pPr>
                                      <w:jc w:val="center"/>
                                      <w:rPr>
                                        <w:rFonts w:ascii="宋体" w:hAnsi="宋体"/>
                                        <w:b w:val="0"/>
                                        <w:sz w:val="20"/>
                                        <w:szCs w:val="20"/>
                                      </w:rPr>
                                    </w:pPr>
                                    <w:r>
                                      <w:rPr>
                                        <w:rFonts w:hint="eastAsia" w:ascii="宋体" w:hAnsi="宋体"/>
                                        <w:b w:val="0"/>
                                        <w:sz w:val="20"/>
                                        <w:szCs w:val="20"/>
                                      </w:rPr>
                                      <w:t>环境因素</w:t>
                                    </w:r>
                                  </w:p>
                                </w:txbxContent>
                              </wps:txbx>
                              <wps:bodyPr rot="0" vert="horz" wrap="square" lIns="85954" tIns="42977" rIns="85954" bIns="42977" anchor="t" anchorCtr="0" upright="1">
                                <a:noAutofit/>
                              </wps:bodyPr>
                            </wps:wsp>
                            <wps:wsp>
                              <wps:cNvPr id="742" name="矩形 1835"/>
                              <wps:cNvSpPr>
                                <a:spLocks noChangeArrowheads="1"/>
                              </wps:cNvSpPr>
                              <wps:spPr bwMode="auto">
                                <a:xfrm>
                                  <a:off x="3674" y="12372"/>
                                  <a:ext cx="906" cy="357"/>
                                </a:xfrm>
                                <a:prstGeom prst="rect">
                                  <a:avLst/>
                                </a:prstGeom>
                                <a:solidFill>
                                  <a:srgbClr val="FFFFFF">
                                    <a:alpha val="0"/>
                                  </a:srgbClr>
                                </a:solidFill>
                                <a:ln>
                                  <a:noFill/>
                                </a:ln>
                              </wps:spPr>
                              <wps:txbx>
                                <w:txbxContent>
                                  <w:p w14:paraId="51BB4B10">
                                    <w:pPr>
                                      <w:jc w:val="center"/>
                                      <w:rPr>
                                        <w:rFonts w:ascii="宋体" w:hAnsi="宋体"/>
                                        <w:b w:val="0"/>
                                        <w:sz w:val="20"/>
                                        <w:szCs w:val="20"/>
                                      </w:rPr>
                                    </w:pPr>
                                    <w:r>
                                      <w:rPr>
                                        <w:rFonts w:hint="eastAsia" w:ascii="宋体" w:hAnsi="宋体"/>
                                        <w:b w:val="0"/>
                                        <w:sz w:val="20"/>
                                        <w:szCs w:val="20"/>
                                      </w:rPr>
                                      <w:t>其它火源</w:t>
                                    </w:r>
                                  </w:p>
                                </w:txbxContent>
                              </wps:txbx>
                              <wps:bodyPr rot="0" vert="horz" wrap="square" lIns="85954" tIns="42977" rIns="85954" bIns="42977" anchor="t" anchorCtr="0" upright="1">
                                <a:noAutofit/>
                              </wps:bodyPr>
                            </wps:wsp>
                            <wps:wsp>
                              <wps:cNvPr id="743" name="矩形 1836"/>
                              <wps:cNvSpPr>
                                <a:spLocks noChangeArrowheads="1"/>
                              </wps:cNvSpPr>
                              <wps:spPr bwMode="auto">
                                <a:xfrm>
                                  <a:off x="5044" y="12034"/>
                                  <a:ext cx="903" cy="338"/>
                                </a:xfrm>
                                <a:prstGeom prst="rect">
                                  <a:avLst/>
                                </a:prstGeom>
                                <a:solidFill>
                                  <a:srgbClr val="FFFFFF">
                                    <a:alpha val="0"/>
                                  </a:srgbClr>
                                </a:solidFill>
                                <a:ln>
                                  <a:noFill/>
                                </a:ln>
                              </wps:spPr>
                              <wps:txbx>
                                <w:txbxContent>
                                  <w:p w14:paraId="1C090C3D">
                                    <w:pPr>
                                      <w:jc w:val="center"/>
                                      <w:rPr>
                                        <w:rFonts w:ascii="宋体" w:hAnsi="宋体"/>
                                        <w:b w:val="0"/>
                                        <w:sz w:val="20"/>
                                        <w:szCs w:val="20"/>
                                      </w:rPr>
                                    </w:pPr>
                                    <w:r>
                                      <w:rPr>
                                        <w:rFonts w:hint="eastAsia" w:ascii="宋体" w:hAnsi="宋体"/>
                                        <w:b w:val="0"/>
                                        <w:sz w:val="20"/>
                                        <w:szCs w:val="20"/>
                                      </w:rPr>
                                      <w:t>混存混放</w:t>
                                    </w:r>
                                  </w:p>
                                </w:txbxContent>
                              </wps:txbx>
                              <wps:bodyPr rot="0" vert="horz" wrap="square" lIns="85954" tIns="42977" rIns="85954" bIns="42977" anchor="t" anchorCtr="0" upright="1">
                                <a:noAutofit/>
                              </wps:bodyPr>
                            </wps:wsp>
                            <wps:wsp>
                              <wps:cNvPr id="744" name="矩形 1837"/>
                              <wps:cNvSpPr>
                                <a:spLocks noChangeArrowheads="1"/>
                              </wps:cNvSpPr>
                              <wps:spPr bwMode="auto">
                                <a:xfrm>
                                  <a:off x="3186" y="9619"/>
                                  <a:ext cx="928" cy="367"/>
                                </a:xfrm>
                                <a:prstGeom prst="rect">
                                  <a:avLst/>
                                </a:prstGeom>
                                <a:solidFill>
                                  <a:srgbClr val="FFFFFF">
                                    <a:alpha val="0"/>
                                  </a:srgbClr>
                                </a:solidFill>
                                <a:ln>
                                  <a:noFill/>
                                </a:ln>
                              </wps:spPr>
                              <wps:txbx>
                                <w:txbxContent>
                                  <w:p w14:paraId="54AA0940">
                                    <w:pPr>
                                      <w:jc w:val="center"/>
                                      <w:rPr>
                                        <w:rFonts w:ascii="宋体" w:hAnsi="宋体"/>
                                        <w:b w:val="0"/>
                                        <w:sz w:val="20"/>
                                        <w:szCs w:val="20"/>
                                      </w:rPr>
                                    </w:pPr>
                                    <w:r>
                                      <w:rPr>
                                        <w:rFonts w:hint="eastAsia" w:ascii="宋体" w:hAnsi="宋体"/>
                                        <w:b w:val="0"/>
                                        <w:sz w:val="20"/>
                                        <w:szCs w:val="20"/>
                                      </w:rPr>
                                      <w:t>硬质工具</w:t>
                                    </w:r>
                                  </w:p>
                                </w:txbxContent>
                              </wps:txbx>
                              <wps:bodyPr rot="0" vert="horz" wrap="square" lIns="85954" tIns="42977" rIns="85954" bIns="42977" anchor="t" anchorCtr="0" upright="1">
                                <a:noAutofit/>
                              </wps:bodyPr>
                            </wps:wsp>
                          </wpg:grpSp>
                          <wpg:grpSp>
                            <wpg:cNvPr id="745" name="组合 1838"/>
                            <wpg:cNvGrpSpPr/>
                            <wpg:grpSpPr>
                              <a:xfrm>
                                <a:off x="1946" y="10717"/>
                                <a:ext cx="1392" cy="2080"/>
                                <a:chOff x="1946" y="10717"/>
                                <a:chExt cx="1392" cy="2080"/>
                              </a:xfrm>
                            </wpg:grpSpPr>
                            <wps:wsp>
                              <wps:cNvPr id="746" name="直线 1839"/>
                              <wps:cNvCnPr/>
                              <wps:spPr bwMode="auto">
                                <a:xfrm rot="21168184" flipV="1">
                                  <a:off x="2234" y="11161"/>
                                  <a:ext cx="1104" cy="1636"/>
                                </a:xfrm>
                                <a:prstGeom prst="line">
                                  <a:avLst/>
                                </a:prstGeom>
                                <a:noFill/>
                                <a:ln w="19050">
                                  <a:solidFill>
                                    <a:srgbClr val="000000"/>
                                  </a:solidFill>
                                  <a:round/>
                                  <a:tailEnd type="arrow" w="med" len="med"/>
                                </a:ln>
                              </wps:spPr>
                              <wps:bodyPr/>
                            </wps:wsp>
                            <wps:wsp>
                              <wps:cNvPr id="747" name="矩形 1840"/>
                              <wps:cNvSpPr>
                                <a:spLocks noChangeArrowheads="1"/>
                              </wps:cNvSpPr>
                              <wps:spPr bwMode="auto">
                                <a:xfrm>
                                  <a:off x="1946" y="10717"/>
                                  <a:ext cx="1168" cy="595"/>
                                </a:xfrm>
                                <a:prstGeom prst="rect">
                                  <a:avLst/>
                                </a:prstGeom>
                                <a:solidFill>
                                  <a:srgbClr val="FFFFFF">
                                    <a:alpha val="0"/>
                                  </a:srgbClr>
                                </a:solidFill>
                                <a:ln>
                                  <a:noFill/>
                                </a:ln>
                              </wps:spPr>
                              <wps:txbx>
                                <w:txbxContent>
                                  <w:p w14:paraId="7EE17082">
                                    <w:pPr>
                                      <w:jc w:val="center"/>
                                      <w:rPr>
                                        <w:rFonts w:ascii="宋体" w:hAnsi="宋体"/>
                                        <w:b w:val="0"/>
                                        <w:sz w:val="20"/>
                                        <w:szCs w:val="20"/>
                                      </w:rPr>
                                    </w:pPr>
                                    <w:r>
                                      <w:rPr>
                                        <w:rFonts w:hint="eastAsia" w:ascii="宋体" w:hAnsi="宋体"/>
                                        <w:b w:val="0"/>
                                        <w:sz w:val="20"/>
                                        <w:szCs w:val="20"/>
                                      </w:rPr>
                                      <w:t>成品、半成品（含烟火药）</w:t>
                                    </w:r>
                                  </w:p>
                                </w:txbxContent>
                              </wps:txbx>
                              <wps:bodyPr rot="0" vert="horz" wrap="square" lIns="91440" tIns="45720" rIns="91440" bIns="45720" anchor="t" anchorCtr="0" upright="1">
                                <a:noAutofit/>
                              </wps:bodyPr>
                            </wps:wsp>
                          </wpg:grpSp>
                        </wpg:grpSp>
                      </wpg:wgp>
                    </wpc:wpc>
                  </a:graphicData>
                </a:graphic>
              </wp:anchor>
            </w:drawing>
          </mc:Choice>
          <mc:Fallback>
            <w:pict>
              <v:group id="_x0000_s1026" o:spid="_x0000_s1026" o:spt="203" style="position:absolute;left:0pt;margin-left:0pt;margin-top:0pt;height:224.8pt;width:459.3pt;mso-position-horizontal-relative:char;mso-position-vertical-relative:line;z-index:251659264;mso-width-relative:page;mso-height-relative:page;" coordsize="5833110,2854960" editas="canvas" o:gfxdata="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">
                <o:lock v:ext="edit" aspectratio="f"/>
                <v:shape id="_x0000_s1026" o:spid="_x0000_s1026" style="position:absolute;left:0;top:0;height:2854960;width:5833110;" filled="f" stroked="f" coordsize="21600,21600" o:gfxdata="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">
                  <v:fill on="f" focussize="0,0"/>
                  <v:stroke on="f"/>
                  <v:imagedata o:title=""/>
                  <o:lock v:ext="edit" aspectratio="t"/>
                </v:shape>
                <v:group id="组合 1800" o:spid="_x0000_s1026" o:spt="203" style="position:absolute;left:0;top:51118;height:2803079;width:5833110;" coordorigin="1946,9392" coordsize="7643,3674" o:gfxdata="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">
                  <o:lock v:ext="edit" aspectratio="f"/>
                  <v:line id="直线 1801" o:spid="_x0000_s1026" o:spt="20" style="position:absolute;left:2445;top:9489;flip:y;height:1468;width:987;rotation:-7838459f;" filled="f" stroked="t" coordsize="21600,21600" o:gfxdata="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gmJPb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line id="直线 1802" o:spid="_x0000_s1026" o:spt="20" style="position:absolute;left:4006;top:9476;flip:y;height:1468;width:988;rotation:-7838459f;" filled="f" stroked="t" coordsize="21600,21600" o:gfxdata="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Sym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直线 1803" o:spid="_x0000_s1026" o:spt="20" style="position:absolute;left:5513;top:9484;flip:y;height:1468;width:986;rotation:-7838459f;" filled="f" stroked="t" coordsize="21600,21600" o:gfxdata="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Nq41LgAAADcAAAA&#10;DwAAAAAAAAABACAAAAAiAAAAZHJzL2Rvd25yZXYueG1sUEsBAhQAFAAAAAgAh07iQDMvBZ47AAAA&#10;OQAAABAAAAAAAAAAAQAgAAAABwEAAGRycy9zaGFwZXhtbC54bWxQSwUGAAAAAAYABgBbAQAAsQMA&#10;AAAA&#10;">
                    <v:fill on="f" focussize="0,0"/>
                    <v:stroke weight="1.5pt" color="#000000" joinstyle="round" endarrow="open"/>
                    <v:imagedata o:title=""/>
                    <o:lock v:ext="edit" aspectratio="f"/>
                  </v:line>
                  <v:line id="直线 1804" o:spid="_x0000_s1026" o:spt="20" style="position:absolute;left:3334;top:11135;flip:y;height:1667;width:1143;rotation:471658f;" filled="f" stroked="t" coordsize="21600,21600" o:gfxdata="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V3Kb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rect id="矩形 1805" o:spid="_x0000_s1026" o:spt="1" style="position:absolute;left:5801;top:9392;height:350;width:735;" fillcolor="#FFFFFF" filled="t" stroked="f" coordsize="21600,21600" o:gfxdata="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9/RLrsAAADc&#10;AAAADwAAAAAAAAABACAAAAAiAAAAZHJzL2Rvd25yZXYueG1sUEsBAhQAFAAAAAgAh07iQDMvBZ47&#10;AAAAOQAAABAAAAAAAAAAAQAgAAAACgEAAGRycy9zaGFwZXhtbC54bWxQSwUGAAAAAAYABgBbAQAA&#10;tAMAAAAA&#10;">
                    <v:fill on="t" opacity="0f" focussize="0,0"/>
                    <v:stroke on="f"/>
                    <v:imagedata o:title=""/>
                    <o:lock v:ext="edit" aspectratio="f"/>
                    <v:textbox inset="6.76803149606299pt,3.3840157480315pt,6.76803149606299pt,3.3840157480315pt">
                      <w:txbxContent>
                        <w:p w14:paraId="065C6FFD">
                          <w:pPr>
                            <w:jc w:val="center"/>
                            <w:rPr>
                              <w:rFonts w:ascii="宋体" w:hAnsi="宋体"/>
                              <w:b w:val="0"/>
                              <w:sz w:val="20"/>
                              <w:szCs w:val="20"/>
                            </w:rPr>
                          </w:pPr>
                          <w:r>
                            <w:rPr>
                              <w:rFonts w:hint="eastAsia" w:ascii="宋体" w:hAnsi="宋体"/>
                              <w:b w:val="0"/>
                              <w:sz w:val="20"/>
                              <w:szCs w:val="20"/>
                            </w:rPr>
                            <w:t>热积聚</w:t>
                          </w:r>
                        </w:p>
                      </w:txbxContent>
                    </v:textbox>
                  </v:rect>
                  <v:line id="直线 1806" o:spid="_x0000_s1026" o:spt="20" style="position:absolute;left:3819;top:12352;flip:y;height:859;width:568;rotation:8137790f;" filled="f" stroked="t" coordsize="21600,21600" o:gfxdata="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BrYL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group id="组合 1807" o:spid="_x0000_s1026" o:spt="203" style="position:absolute;left:1946;top:9585;height:3481;width:7643;" coordorigin="1946,9585" coordsize="7643,3481" o:gfxdata="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UVO+EvwAAANwAAAAPAAAAAAAAAAEAIAAAACIAAABkcnMvZG93bnJldi54&#10;bWxQSwECFAAUAAAACACHTuJAMy8FnjsAAAA5AAAAFQAAAAAAAAABACAAAAAOAQAAZHJzL2dyb3Vw&#10;c2hhcGV4bWwueG1sUEsFBgAAAAAGAAYAYAEAAMsDAAAAAA==&#10;">
                    <o:lock v:ext="edit" aspectratio="f"/>
                    <v:line id="直线 1808" o:spid="_x0000_s1026" o:spt="20" style="position:absolute;left:4428;top:11188;flip:y;height:1658;width:1130;rotation:471658f;" filled="f" stroked="t" coordsize="21600,21600" o:gfxdata="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hin68AAAA&#10;3AAAAA8AAAAAAAAAAQAgAAAAIgAAAGRycy9kb3ducmV2LnhtbFBLAQIUABQAAAAIAIdO4kAzLwWe&#10;OwAAADkAAAAQAAAAAAAAAAEAIAAAAAsBAABkcnMvc2hhcGV4bWwueG1sUEsFBgAAAAAGAAYAWwEA&#10;ALUDAAAAAA==&#10;">
                      <v:fill on="f" focussize="0,0"/>
                      <v:stroke weight="1.5pt" color="#000000" joinstyle="round" endarrow="open"/>
                      <v:imagedata o:title=""/>
                      <o:lock v:ext="edit" aspectratio="f"/>
                    </v:line>
                    <v:group id="组合 1809" o:spid="_x0000_s1026" o:spt="203" style="position:absolute;left:2551;top:9585;height:3481;width:7038;" coordorigin="2522,9551" coordsize="7039,3481" o:gfxdata="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Tx0mu+AAAA3AAAAA8AAAAAAAAAAQAgAAAAIgAAAGRycy9kb3ducmV2Lnht&#10;bFBLAQIUABQAAAAIAIdO4kAzLwWeOwAAADkAAAAVAAAAAAAAAAEAIAAAAA0BAABkcnMvZ3JvdXBz&#10;aGFwZXhtbC54bWxQSwUGAAAAAAYABgBgAQAAygMAAAAA&#10;">
                      <o:lock v:ext="edit" aspectratio="f"/>
                      <v:shape id="自选图形 1810" o:spid="_x0000_s1026" o:spt="72" type="#_x0000_t72" style="position:absolute;left:8150;top:10127;height:1535;width:1411;" filled="f" stroked="t" coordsize="21600,21600" o:gfxdata="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cvtC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inset="6.76803149606299pt,3.3840157480315pt,6.76803149606299pt,3.3840157480315pt">
                          <w:txbxContent>
                            <w:p w14:paraId="0F190335">
                              <w:pPr>
                                <w:spacing w:before="120" w:beforeLines="50"/>
                                <w:rPr>
                                  <w:rFonts w:ascii="宋体" w:hAnsi="宋体"/>
                                  <w:b w:val="0"/>
                                  <w:sz w:val="20"/>
                                  <w:szCs w:val="20"/>
                                </w:rPr>
                              </w:pPr>
                              <w:r>
                                <w:rPr>
                                  <w:rFonts w:hint="eastAsia" w:ascii="宋体" w:hAnsi="宋体"/>
                                  <w:b w:val="0"/>
                                  <w:sz w:val="20"/>
                                  <w:szCs w:val="20"/>
                                </w:rPr>
                                <w:t>爆</w:t>
                              </w:r>
                              <w:r>
                                <w:rPr>
                                  <w:rFonts w:ascii="宋体" w:hAnsi="宋体"/>
                                  <w:b w:val="0"/>
                                  <w:sz w:val="20"/>
                                  <w:szCs w:val="20"/>
                                </w:rPr>
                                <w:t xml:space="preserve">  </w:t>
                              </w:r>
                              <w:r>
                                <w:rPr>
                                  <w:rFonts w:hint="eastAsia" w:ascii="宋体" w:hAnsi="宋体"/>
                                  <w:b w:val="0"/>
                                  <w:sz w:val="20"/>
                                  <w:szCs w:val="20"/>
                                </w:rPr>
                                <w:t>炸</w:t>
                              </w:r>
                            </w:p>
                          </w:txbxContent>
                        </v:textbox>
                      </v:shape>
                      <v:line id="直线 1811" o:spid="_x0000_s1026" o:spt="20" style="position:absolute;left:2882;top:11008;flip:y;height:16;width:5469;" filled="f" stroked="t" coordsize="21600,21600" o:gfxdata="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re2qvQAA&#10;ANw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shape id="自选图形 1812" o:spid="_x0000_s1026" o:spt="106" type="#_x0000_t106" style="position:absolute;left:6789;top:10099;height:826;width:987;" filled="f" stroked="t" coordsize="21600,21600" o:gfxdata="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FhHLsAAADc&#10;AAAADwAAAAAAAAABACAAAAAiAAAAZHJzL2Rvd25yZXYueG1sUEsBAhQAFAAAAAgAh07iQDMvBZ47&#10;AAAAOQAAABAAAAAAAAAAAQAgAAAACgEAAGRycy9zaGFwZXhtbC54bWxQSwUGAAAAAAYABgBbAQAA&#10;tAMAAAAA&#10;" adj="1354,25915">
                        <v:fill on="f" focussize="0,0"/>
                        <v:stroke color="#000000" joinstyle="round"/>
                        <v:imagedata o:title=""/>
                        <o:lock v:ext="edit" aspectratio="f"/>
                        <v:textbox inset="6.76803149606299pt,3.3840157480315pt,6.76803149606299pt,3.3840157480315pt">
                          <w:txbxContent>
                            <w:p w14:paraId="10F1C593">
                              <w:pPr>
                                <w:jc w:val="right"/>
                                <w:rPr>
                                  <w:rFonts w:ascii="宋体" w:hAnsi="宋体"/>
                                  <w:b w:val="0"/>
                                  <w:sz w:val="20"/>
                                  <w:szCs w:val="20"/>
                                </w:rPr>
                              </w:pPr>
                              <w:r>
                                <w:rPr>
                                  <w:rFonts w:hint="eastAsia" w:ascii="宋体" w:hAnsi="宋体"/>
                                  <w:b w:val="0"/>
                                  <w:sz w:val="20"/>
                                  <w:szCs w:val="20"/>
                                </w:rPr>
                                <w:t>着</w:t>
                              </w:r>
                              <w:r>
                                <w:rPr>
                                  <w:rFonts w:ascii="宋体" w:hAnsi="宋体"/>
                                  <w:b w:val="0"/>
                                  <w:color w:val="FF0000"/>
                                  <w:sz w:val="20"/>
                                  <w:szCs w:val="20"/>
                                </w:rPr>
                                <w:t xml:space="preserve"> </w:t>
                              </w:r>
                              <w:r>
                                <w:rPr>
                                  <w:rFonts w:hint="eastAsia" w:ascii="宋体" w:hAnsi="宋体"/>
                                  <w:b w:val="0"/>
                                  <w:sz w:val="20"/>
                                  <w:szCs w:val="20"/>
                                </w:rPr>
                                <w:t>火</w:t>
                              </w:r>
                            </w:p>
                          </w:txbxContent>
                        </v:textbox>
                      </v:shape>
                      <v:line id="直线 1813" o:spid="_x0000_s1026" o:spt="20" style="position:absolute;left:3699;top:9632;flip:y;height:757;width:505;rotation:-3669412f;" filled="f" stroked="t" coordsize="21600,21600" o:gfxdata="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9bp28AAAA&#10;3AAAAA8AAAAAAAAAAQAgAAAAIgAAAGRycy9kb3ducmV2LnhtbFBLAQIUABQAAAAIAIdO4kAzLwWe&#10;OwAAADkAAAAQAAAAAAAAAAEAIAAAAAsBAABkcnMvc2hhcGV4bWwueG1sUEsFBgAAAAAGAAYAWwEA&#10;ALUDAAAAAA==&#10;">
                        <v:fill on="f" focussize="0,0"/>
                        <v:stroke weight="1.5pt" color="#000000" joinstyle="round" endarrow="open"/>
                        <v:imagedata o:title=""/>
                        <o:lock v:ext="edit" aspectratio="f"/>
                      </v:line>
                      <v:line id="直线 1814" o:spid="_x0000_s1026" o:spt="20" style="position:absolute;left:5169;top:9615;flip:y;height:757;width:506;rotation:-3669412f;" filled="f" stroked="t" coordsize="21600,21600" o:gfxdata="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RYJEb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line id="直线 1815" o:spid="_x0000_s1026" o:spt="20" style="position:absolute;left:5648;top:11091;flip:y;height:1638;width:1092;rotation:471658f;" filled="f" stroked="t" coordsize="21600,21600" o:gfxdata="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qLG4i5AAAA3AAA&#10;AA8AAAAAAAAAAQAgAAAAIgAAAGRycy9kb3ducmV2LnhtbFBLAQIUABQAAAAIAIdO4kAzLwWeOwAA&#10;ADkAAAAQAAAAAAAAAAEAIAAAAAgBAABkcnMvc2hhcGV4bWwueG1sUEsFBgAAAAAGAAYAWwEAALID&#10;AAAAAA==&#10;">
                        <v:fill on="f" focussize="0,0"/>
                        <v:stroke weight="1.5pt" color="#000000" joinstyle="round" endarrow="open"/>
                        <v:imagedata o:title=""/>
                        <o:lock v:ext="edit" aspectratio="f"/>
                      </v:line>
                      <v:line id="直线 1816" o:spid="_x0000_s1026" o:spt="20" style="position:absolute;left:6330;top:11797;flip:y;height:974;width:650;rotation:8137790f;" filled="f" stroked="t" coordsize="21600,21600" o:gfxdata="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5l8N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直线 1817" o:spid="_x0000_s1026" o:spt="20" style="position:absolute;left:3973;top:11913;flip:y;height:843;width:546;rotation:-3669412f;" filled="f" stroked="t" coordsize="21600,21600" o:gfxdata="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7Xu3ugAAANwA&#10;AAAPAAAAAAAAAAEAIAAAACIAAABkcnMvZG93bnJldi54bWxQSwECFAAUAAAACACHTuJAMy8FnjsA&#10;AAA5AAAAEAAAAAAAAAABACAAAAAJAQAAZHJzL3NoYXBleG1sLnhtbFBLBQYAAAAABgAGAFsBAACz&#10;AwAAAAA=&#10;">
                        <v:fill on="f" focussize="0,0"/>
                        <v:stroke weight="1.5pt" color="#000000" joinstyle="round" endarrow="open"/>
                        <v:imagedata o:title=""/>
                        <o:lock v:ext="edit" aspectratio="f"/>
                      </v:line>
                      <v:line id="直线 1818" o:spid="_x0000_s1026" o:spt="20" style="position:absolute;left:2823;top:12213;flip:y;height:758;width:507;rotation:-3669412f;" filled="f" stroked="t" coordsize="21600,21600" o:gfxdata="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cu/F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直线 1819" o:spid="_x0000_s1026" o:spt="20" style="position:absolute;left:5047;top:12031;flip:y;height:830;width:566;rotation:-3669412f;" filled="f" stroked="t" coordsize="21600,21600" o:gfxdata="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5KXr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line id="直线 1820" o:spid="_x0000_s1026" o:spt="20" style="position:absolute;left:6114;top:12170;flip:y;height:1029;width:694;rotation:8137790f;" filled="f" stroked="t" coordsize="21600,21600" o:gfxdata="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mvQ/&#10;wAAAANwAAAAPAAAAAAAAAAEAIAAAACIAAABkcnMvZG93bnJldi54bWxQSwECFAAUAAAACACHTuJA&#10;My8FnjsAAAA5AAAAEAAAAAAAAAABACAAAAAPAQAAZHJzL3NoYXBleG1sLnhtbFBLBQYAAAAABgAG&#10;AFsBAAC5AwAAAAA=&#10;">
                        <v:fill on="f" focussize="0,0"/>
                        <v:stroke weight="1.5pt" color="#000000" joinstyle="round" endarrow="open"/>
                        <v:imagedata o:title=""/>
                        <o:lock v:ext="edit" aspectratio="f"/>
                      </v:line>
                      <v:rect id="矩形 1821" o:spid="_x0000_s1026" o:spt="1" style="position:absolute;left:6168;top:12299;height:367;width:1012;" fillcolor="#FFFFFF" filled="t" stroked="f" coordsize="21600,21600" o:gfxdata="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FTnG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6.76803149606299pt,3.3840157480315pt,6.76803149606299pt,3.3840157480315pt">
                          <w:txbxContent>
                            <w:p w14:paraId="666A7FDF">
                              <w:pPr>
                                <w:jc w:val="center"/>
                                <w:rPr>
                                  <w:rFonts w:ascii="宋体" w:hAnsi="宋体"/>
                                  <w:b w:val="0"/>
                                  <w:sz w:val="20"/>
                                  <w:szCs w:val="20"/>
                                </w:rPr>
                              </w:pPr>
                              <w:r>
                                <w:rPr>
                                  <w:rFonts w:hint="eastAsia" w:ascii="宋体" w:hAnsi="宋体"/>
                                  <w:b w:val="0"/>
                                  <w:sz w:val="20"/>
                                  <w:szCs w:val="20"/>
                                </w:rPr>
                                <w:t>吸湿受潮</w:t>
                              </w:r>
                            </w:p>
                          </w:txbxContent>
                        </v:textbox>
                      </v:rect>
                      <v:line id="直线 1822" o:spid="_x0000_s1026" o:spt="20" style="position:absolute;left:3091;top:11706;flip:y;height:757;width:506;rotation:-3669412f;" filled="f" stroked="t" coordsize="21600,21600" o:gfxdata="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Q07yugAAANwA&#10;AAAPAAAAAAAAAAEAIAAAACIAAABkcnMvZG93bnJldi54bWxQSwECFAAUAAAACACHTuJAMy8FnjsA&#10;AAA5AAAAEAAAAAAAAAABACAAAAAJAQAAZHJzL3NoYXBleG1sLnhtbFBLBQYAAAAABgAGAFsBAACz&#10;AwAAAAA=&#10;">
                        <v:fill on="f" focussize="0,0"/>
                        <v:stroke weight="1.5pt" color="#000000" joinstyle="round" endarrow="open"/>
                        <v:imagedata o:title=""/>
                        <o:lock v:ext="edit" aspectratio="f"/>
                      </v:line>
                      <v:rect id="矩形 1823" o:spid="_x0000_s1026" o:spt="1" style="position:absolute;left:5801;top:10337;height:367;width:624;" fillcolor="#FFFFFF" filled="t" stroked="f" coordsize="21600,21600" o:gfxdata="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t1nbsAAADc&#10;AAAADwAAAAAAAAABACAAAAAiAAAAZHJzL2Rvd25yZXYueG1sUEsBAhQAFAAAAAgAh07iQDMvBZ47&#10;AAAAOQAAABAAAAAAAAAAAQAgAAAACgEAAGRycy9zaGFwZXhtbC54bWxQSwUGAAAAAAYABgBbAQAA&#10;tAMAAAAA&#10;">
                        <v:fill on="t" opacity="0f" focussize="0,0"/>
                        <v:stroke on="f"/>
                        <v:imagedata o:title=""/>
                        <o:lock v:ext="edit" aspectratio="f"/>
                        <v:textbox inset="6.76803149606299pt,3.3840157480315pt,6.76803149606299pt,3.3840157480315pt">
                          <w:txbxContent>
                            <w:p w14:paraId="289F2C61">
                              <w:pPr>
                                <w:jc w:val="center"/>
                                <w:rPr>
                                  <w:rFonts w:ascii="宋体" w:hAnsi="宋体"/>
                                  <w:b w:val="0"/>
                                  <w:sz w:val="20"/>
                                  <w:szCs w:val="20"/>
                                </w:rPr>
                              </w:pPr>
                              <w:r>
                                <w:rPr>
                                  <w:rFonts w:hint="eastAsia" w:ascii="宋体" w:hAnsi="宋体"/>
                                  <w:b w:val="0"/>
                                  <w:sz w:val="20"/>
                                  <w:szCs w:val="20"/>
                                </w:rPr>
                                <w:t>自燃</w:t>
                              </w:r>
                            </w:p>
                          </w:txbxContent>
                        </v:textbox>
                      </v:rect>
                      <v:rect id="矩形 1824" o:spid="_x0000_s1026" o:spt="1" style="position:absolute;left:4915;top:9551;height:367;width:733;" fillcolor="#FFFFFF" filled="t" stroked="f" coordsize="21600,21600" o:gfxdata="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y7em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6.76803149606299pt,3.3840157480315pt,6.76803149606299pt,3.3840157480315pt">
                          <w:txbxContent>
                            <w:p w14:paraId="3EB7B022">
                              <w:pPr>
                                <w:jc w:val="center"/>
                                <w:rPr>
                                  <w:rFonts w:ascii="宋体" w:hAnsi="宋体"/>
                                  <w:b w:val="0"/>
                                  <w:sz w:val="20"/>
                                  <w:szCs w:val="20"/>
                                </w:rPr>
                              </w:pPr>
                              <w:r>
                                <w:rPr>
                                  <w:rFonts w:hint="eastAsia" w:ascii="宋体" w:hAnsi="宋体"/>
                                  <w:b w:val="0"/>
                                  <w:sz w:val="20"/>
                                  <w:szCs w:val="20"/>
                                </w:rPr>
                                <w:t>热分解</w:t>
                              </w:r>
                            </w:p>
                          </w:txbxContent>
                        </v:textbox>
                      </v:rect>
                      <v:rect id="矩形 1825" o:spid="_x0000_s1026" o:spt="1" style="position:absolute;left:4114;top:10264;height:367;width:930;" fillcolor="#FFFFFF" filled="t" stroked="f" coordsize="21600,21600" o:gfxdata="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SHK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6.76803149606299pt,3.3840157480315pt,6.76803149606299pt,3.3840157480315pt">
                          <w:txbxContent>
                            <w:p w14:paraId="42446ACA">
                              <w:pPr>
                                <w:jc w:val="center"/>
                                <w:rPr>
                                  <w:rFonts w:ascii="宋体" w:hAnsi="宋体"/>
                                  <w:b w:val="0"/>
                                  <w:sz w:val="20"/>
                                  <w:szCs w:val="20"/>
                                </w:rPr>
                              </w:pPr>
                              <w:r>
                                <w:rPr>
                                  <w:rFonts w:hint="eastAsia" w:ascii="宋体" w:hAnsi="宋体"/>
                                  <w:b w:val="0"/>
                                  <w:sz w:val="20"/>
                                  <w:szCs w:val="20"/>
                                </w:rPr>
                                <w:t>摩擦撞击</w:t>
                              </w:r>
                            </w:p>
                          </w:txbxContent>
                        </v:textbox>
                      </v:rect>
                      <v:rect id="矩形 1826" o:spid="_x0000_s1026" o:spt="1" style="position:absolute;left:4781;top:11421;height:367;width:777;" fillcolor="#FFFFFF" filled="t" stroked="f" coordsize="21600,21600" o:gfxdata="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WYyULsAAADc&#10;AAAADwAAAAAAAAABACAAAAAiAAAAZHJzL2Rvd25yZXYueG1sUEsBAhQAFAAAAAgAh07iQDMvBZ47&#10;AAAAOQAAABAAAAAAAAAAAQAgAAAACgEAAGRycy9zaGFwZXhtbC54bWxQSwUGAAAAAAYABgBbAQAA&#10;tAMAAAAA&#10;">
                        <v:fill on="t" opacity="0f" focussize="0,0"/>
                        <v:stroke on="f"/>
                        <v:imagedata o:title=""/>
                        <o:lock v:ext="edit" aspectratio="f"/>
                        <v:textbox inset="6.76803149606299pt,3.3840157480315pt,6.76803149606299pt,3.3840157480315pt">
                          <w:txbxContent>
                            <w:p w14:paraId="7E47B0EA">
                              <w:pPr>
                                <w:jc w:val="center"/>
                                <w:rPr>
                                  <w:rFonts w:ascii="宋体" w:hAnsi="宋体"/>
                                  <w:b w:val="0"/>
                                  <w:sz w:val="20"/>
                                  <w:szCs w:val="20"/>
                                </w:rPr>
                              </w:pPr>
                              <w:r>
                                <w:rPr>
                                  <w:rFonts w:hint="eastAsia" w:ascii="宋体" w:hAnsi="宋体"/>
                                  <w:b w:val="0"/>
                                  <w:sz w:val="20"/>
                                  <w:szCs w:val="20"/>
                                </w:rPr>
                                <w:t>雷击</w:t>
                              </w:r>
                            </w:p>
                          </w:txbxContent>
                        </v:textbox>
                      </v:rect>
                      <v:rect id="矩形 1827" o:spid="_x0000_s1026" o:spt="1" style="position:absolute;left:5801;top:11421;height:367;width:988;" fillcolor="#FFFFFF" filled="t" stroked="f" coordsize="21600,21600" o:gfxdata="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FDRC/&#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76803149606299pt,3.3840157480315pt,6.76803149606299pt,3.3840157480315pt">
                          <w:txbxContent>
                            <w:p w14:paraId="7EA3E4E2">
                              <w:pPr>
                                <w:jc w:val="center"/>
                                <w:rPr>
                                  <w:rFonts w:ascii="宋体" w:hAnsi="宋体"/>
                                  <w:b w:val="0"/>
                                  <w:sz w:val="20"/>
                                  <w:szCs w:val="20"/>
                                </w:rPr>
                              </w:pPr>
                              <w:r>
                                <w:rPr>
                                  <w:rFonts w:hint="eastAsia" w:ascii="宋体" w:hAnsi="宋体"/>
                                  <w:b w:val="0"/>
                                  <w:sz w:val="20"/>
                                  <w:szCs w:val="20"/>
                                </w:rPr>
                                <w:t>化学反应</w:t>
                              </w:r>
                            </w:p>
                          </w:txbxContent>
                        </v:textbox>
                      </v:rect>
                      <v:rect id="矩形 1828" o:spid="_x0000_s1026" o:spt="1" style="position:absolute;left:3674;top:11421;height:367;width:700;" fillcolor="#FFFFFF" filled="t" stroked="f" coordsize="21600,21600" o:gfxdata="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JqIu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6.76803149606299pt,3.3840157480315pt,6.76803149606299pt,3.3840157480315pt">
                          <w:txbxContent>
                            <w:p w14:paraId="7754EBD7">
                              <w:pPr>
                                <w:jc w:val="center"/>
                                <w:rPr>
                                  <w:rFonts w:ascii="宋体" w:hAnsi="宋体"/>
                                  <w:b w:val="0"/>
                                  <w:sz w:val="20"/>
                                  <w:szCs w:val="20"/>
                                </w:rPr>
                              </w:pPr>
                              <w:r>
                                <w:rPr>
                                  <w:rFonts w:hint="eastAsia" w:ascii="宋体" w:hAnsi="宋体"/>
                                  <w:b w:val="0"/>
                                  <w:sz w:val="20"/>
                                  <w:szCs w:val="20"/>
                                </w:rPr>
                                <w:t>明火</w:t>
                              </w:r>
                            </w:p>
                          </w:txbxContent>
                        </v:textbox>
                      </v:rect>
                      <v:rect id="矩形 1829" o:spid="_x0000_s1026" o:spt="1" style="position:absolute;left:2522;top:11421;height:367;width:935;" fillcolor="#FFFFFF" filled="t" stroked="f" coordsize="21600,21600" o:gfxdata="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NrT2/&#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76803149606299pt,3.3840157480315pt,6.76803149606299pt,3.3840157480315pt">
                          <w:txbxContent>
                            <w:p w14:paraId="671E992C">
                              <w:pPr>
                                <w:jc w:val="center"/>
                                <w:rPr>
                                  <w:rFonts w:ascii="宋体" w:hAnsi="宋体"/>
                                  <w:b w:val="0"/>
                                  <w:sz w:val="20"/>
                                  <w:szCs w:val="20"/>
                                </w:rPr>
                              </w:pPr>
                              <w:r>
                                <w:rPr>
                                  <w:rFonts w:hint="eastAsia" w:ascii="宋体" w:hAnsi="宋体"/>
                                  <w:b w:val="0"/>
                                  <w:sz w:val="20"/>
                                  <w:szCs w:val="20"/>
                                </w:rPr>
                                <w:t>静电火花</w:t>
                              </w:r>
                            </w:p>
                          </w:txbxContent>
                        </v:textbox>
                      </v:rect>
                      <v:rect id="矩形 1830" o:spid="_x0000_s1026" o:spt="1" style="position:absolute;left:2699;top:10264;height:367;width:635;" fillcolor="#FFFFFF" filled="t" stroked="f" coordsize="21600,21600" o:gfxdata="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BCKa/&#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76803149606299pt,3.3840157480315pt,6.76803149606299pt,3.3840157480315pt">
                          <w:txbxContent>
                            <w:p w14:paraId="0A3CAFF9">
                              <w:pPr>
                                <w:jc w:val="center"/>
                                <w:rPr>
                                  <w:rFonts w:ascii="宋体" w:hAnsi="宋体"/>
                                  <w:b w:val="0"/>
                                  <w:sz w:val="20"/>
                                  <w:szCs w:val="20"/>
                                </w:rPr>
                              </w:pPr>
                              <w:r>
                                <w:rPr>
                                  <w:rFonts w:hint="eastAsia" w:ascii="宋体" w:hAnsi="宋体"/>
                                  <w:b w:val="0"/>
                                  <w:sz w:val="20"/>
                                  <w:szCs w:val="20"/>
                                </w:rPr>
                                <w:t>高温</w:t>
                              </w:r>
                            </w:p>
                          </w:txbxContent>
                        </v:textbox>
                      </v:rect>
                      <v:rect id="矩形 1831" o:spid="_x0000_s1026" o:spt="1" style="position:absolute;left:6276;top:11849;height:367;width:1036;" fillcolor="#FFFFFF" filled="t" stroked="f" coordsize="21600,21600" o:gfxdata="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3pzU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6.76803149606299pt,3.3840157480315pt,6.76803149606299pt,3.3840157480315pt">
                          <w:txbxContent>
                            <w:p w14:paraId="5104FC3A">
                              <w:pPr>
                                <w:jc w:val="center"/>
                                <w:rPr>
                                  <w:rFonts w:ascii="宋体" w:hAnsi="宋体"/>
                                  <w:b w:val="0"/>
                                  <w:sz w:val="20"/>
                                  <w:szCs w:val="20"/>
                                </w:rPr>
                              </w:pPr>
                              <w:r>
                                <w:rPr>
                                  <w:rFonts w:hint="eastAsia" w:ascii="宋体" w:hAnsi="宋体"/>
                                  <w:b w:val="0"/>
                                  <w:sz w:val="20"/>
                                  <w:szCs w:val="20"/>
                                </w:rPr>
                                <w:t>接触反应</w:t>
                              </w:r>
                            </w:p>
                          </w:txbxContent>
                        </v:textbox>
                      </v:rect>
                      <v:rect id="矩形 1832" o:spid="_x0000_s1026" o:spt="1" style="position:absolute;left:2699;top:12164;height:335;width:593;" fillcolor="#FFFFFF" filled="t" stroked="f" coordsize="21600,21600" o:gfxdata="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I5T7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76803149606299pt,3.3840157480315pt,6.76803149606299pt,3.3840157480315pt">
                          <w:txbxContent>
                            <w:p w14:paraId="76013CF5">
                              <w:pPr>
                                <w:jc w:val="center"/>
                                <w:rPr>
                                  <w:rFonts w:ascii="宋体" w:hAnsi="宋体"/>
                                  <w:b w:val="0"/>
                                  <w:sz w:val="20"/>
                                  <w:szCs w:val="20"/>
                                </w:rPr>
                              </w:pPr>
                              <w:r>
                                <w:rPr>
                                  <w:rFonts w:hint="eastAsia" w:ascii="宋体" w:hAnsi="宋体"/>
                                  <w:b w:val="0"/>
                                  <w:sz w:val="20"/>
                                  <w:szCs w:val="20"/>
                                </w:rPr>
                                <w:t>吸烟</w:t>
                              </w:r>
                            </w:p>
                          </w:txbxContent>
                        </v:textbox>
                      </v:rect>
                      <v:rect id="矩形 1833" o:spid="_x0000_s1026" o:spt="1" style="position:absolute;left:2966;top:11719;height:315;width:777;" fillcolor="#FFFFFF" filled="t" stroked="f" coordsize="21600,21600" o:gfxdata="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2u46+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6.76803149606299pt,3.3840157480315pt,6.76803149606299pt,3.3840157480315pt">
                          <w:txbxContent>
                            <w:p w14:paraId="2F4AD42E">
                              <w:pPr>
                                <w:jc w:val="center"/>
                                <w:rPr>
                                  <w:rFonts w:ascii="宋体" w:hAnsi="宋体"/>
                                  <w:b w:val="0"/>
                                  <w:sz w:val="20"/>
                                  <w:szCs w:val="20"/>
                                </w:rPr>
                              </w:pPr>
                              <w:r>
                                <w:rPr>
                                  <w:rFonts w:hint="eastAsia" w:ascii="宋体" w:hAnsi="宋体"/>
                                  <w:b w:val="0"/>
                                  <w:sz w:val="20"/>
                                  <w:szCs w:val="20"/>
                                </w:rPr>
                                <w:t>电火花</w:t>
                              </w:r>
                            </w:p>
                          </w:txbxContent>
                        </v:textbox>
                      </v:rect>
                      <v:rect id="矩形 1834" o:spid="_x0000_s1026" o:spt="1" style="position:absolute;left:3916;top:11959;height:315;width:933;" fillcolor="#FFFFFF" filled="t" stroked="f" coordsize="21600,21600" o:gfxdata="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iRjS/&#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76803149606299pt,3.3840157480315pt,6.76803149606299pt,3.3840157480315pt">
                          <w:txbxContent>
                            <w:p w14:paraId="6A989A79">
                              <w:pPr>
                                <w:jc w:val="center"/>
                                <w:rPr>
                                  <w:rFonts w:ascii="宋体" w:hAnsi="宋体"/>
                                  <w:b w:val="0"/>
                                  <w:sz w:val="20"/>
                                  <w:szCs w:val="20"/>
                                </w:rPr>
                              </w:pPr>
                              <w:r>
                                <w:rPr>
                                  <w:rFonts w:hint="eastAsia" w:ascii="宋体" w:hAnsi="宋体"/>
                                  <w:b w:val="0"/>
                                  <w:sz w:val="20"/>
                                  <w:szCs w:val="20"/>
                                </w:rPr>
                                <w:t>环境因素</w:t>
                              </w:r>
                            </w:p>
                          </w:txbxContent>
                        </v:textbox>
                      </v:rect>
                      <v:rect id="矩形 1835" o:spid="_x0000_s1026" o:spt="1" style="position:absolute;left:3674;top:12372;height:357;width:906;" fillcolor="#FFFFFF" filled="t" stroked="f" coordsize="21600,21600" o:gfxdata="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Iw2EO/&#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76803149606299pt,3.3840157480315pt,6.76803149606299pt,3.3840157480315pt">
                          <w:txbxContent>
                            <w:p w14:paraId="51BB4B10">
                              <w:pPr>
                                <w:jc w:val="center"/>
                                <w:rPr>
                                  <w:rFonts w:ascii="宋体" w:hAnsi="宋体"/>
                                  <w:b w:val="0"/>
                                  <w:sz w:val="20"/>
                                  <w:szCs w:val="20"/>
                                </w:rPr>
                              </w:pPr>
                              <w:r>
                                <w:rPr>
                                  <w:rFonts w:hint="eastAsia" w:ascii="宋体" w:hAnsi="宋体"/>
                                  <w:b w:val="0"/>
                                  <w:sz w:val="20"/>
                                  <w:szCs w:val="20"/>
                                </w:rPr>
                                <w:t>其它火源</w:t>
                              </w:r>
                            </w:p>
                          </w:txbxContent>
                        </v:textbox>
                      </v:rect>
                      <v:rect id="矩形 1836" o:spid="_x0000_s1026" o:spt="1" style="position:absolute;left:5044;top:12034;height:338;width:903;" fillcolor="#FFFFFF" filled="t" stroked="f" coordsize="21600,21600" o:gfxdata="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x92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76803149606299pt,3.3840157480315pt,6.76803149606299pt,3.3840157480315pt">
                          <w:txbxContent>
                            <w:p w14:paraId="1C090C3D">
                              <w:pPr>
                                <w:jc w:val="center"/>
                                <w:rPr>
                                  <w:rFonts w:ascii="宋体" w:hAnsi="宋体"/>
                                  <w:b w:val="0"/>
                                  <w:sz w:val="20"/>
                                  <w:szCs w:val="20"/>
                                </w:rPr>
                              </w:pPr>
                              <w:r>
                                <w:rPr>
                                  <w:rFonts w:hint="eastAsia" w:ascii="宋体" w:hAnsi="宋体"/>
                                  <w:b w:val="0"/>
                                  <w:sz w:val="20"/>
                                  <w:szCs w:val="20"/>
                                </w:rPr>
                                <w:t>混存混放</w:t>
                              </w:r>
                            </w:p>
                          </w:txbxContent>
                        </v:textbox>
                      </v:rect>
                      <v:rect id="矩形 1837" o:spid="_x0000_s1026" o:spt="1" style="position:absolute;left:3186;top:9619;height:367;width:928;" fillcolor="#FFFFFF" filled="t" stroked="f" coordsize="21600,21600" o:gfxdata="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pXlr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76803149606299pt,3.3840157480315pt,6.76803149606299pt,3.3840157480315pt">
                          <w:txbxContent>
                            <w:p w14:paraId="54AA0940">
                              <w:pPr>
                                <w:jc w:val="center"/>
                                <w:rPr>
                                  <w:rFonts w:ascii="宋体" w:hAnsi="宋体"/>
                                  <w:b w:val="0"/>
                                  <w:sz w:val="20"/>
                                  <w:szCs w:val="20"/>
                                </w:rPr>
                              </w:pPr>
                              <w:r>
                                <w:rPr>
                                  <w:rFonts w:hint="eastAsia" w:ascii="宋体" w:hAnsi="宋体"/>
                                  <w:b w:val="0"/>
                                  <w:sz w:val="20"/>
                                  <w:szCs w:val="20"/>
                                </w:rPr>
                                <w:t>硬质工具</w:t>
                              </w:r>
                            </w:p>
                          </w:txbxContent>
                        </v:textbox>
                      </v:rect>
                    </v:group>
                    <v:group id="组合 1838" o:spid="_x0000_s1026" o:spt="203" style="position:absolute;left:1946;top:10717;height:2080;width:1392;" coordorigin="1946,10717" coordsize="1392,2080" o:gfxdata="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cxFccAAAADcAAAADwAAAAAAAAABACAAAAAiAAAAZHJzL2Rvd25yZXYu&#10;eG1sUEsBAhQAFAAAAAgAh07iQDMvBZ47AAAAOQAAABUAAAAAAAAAAQAgAAAADwEAAGRycy9ncm91&#10;cHNoYXBleG1sLnhtbFBLBQYAAAAABgAGAGABAADMAwAAAAA=&#10;">
                      <o:lock v:ext="edit" aspectratio="f"/>
                      <v:line id="直线 1839" o:spid="_x0000_s1026" o:spt="20" style="position:absolute;left:2234;top:11161;flip:y;height:1636;width:1104;rotation:471658f;" filled="f" stroked="t" coordsize="21600,21600" o:gfxdata="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nG2e8AAAA&#10;3AAAAA8AAAAAAAAAAQAgAAAAIgAAAGRycy9kb3ducmV2LnhtbFBLAQIUABQAAAAIAIdO4kAzLwWe&#10;OwAAADkAAAAQAAAAAAAAAAEAIAAAAAsBAABkcnMvc2hhcGV4bWwueG1sUEsFBgAAAAAGAAYAWwEA&#10;ALUDAAAAAA==&#10;">
                        <v:fill on="f" focussize="0,0"/>
                        <v:stroke weight="1.5pt" color="#000000" joinstyle="round" endarrow="open"/>
                        <v:imagedata o:title=""/>
                        <o:lock v:ext="edit" aspectratio="f"/>
                      </v:line>
                      <v:rect id="矩形 1840" o:spid="_x0000_s1026" o:spt="1" style="position:absolute;left:1946;top:10717;height:595;width:1168;" fillcolor="#FFFFFF" filled="t" stroked="f" coordsize="21600,21600" o:gfxdata="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nsty/&#10;AAAA3AAAAA8AAAAAAAAAAQAgAAAAIgAAAGRycy9kb3ducmV2LnhtbFBLAQIUABQAAAAIAIdO4kAz&#10;LwWeOwAAADkAAAAQAAAAAAAAAAEAIAAAAA4BAABkcnMvc2hhcGV4bWwueG1sUEsFBgAAAAAGAAYA&#10;WwEAALgDAAAAAA==&#10;">
                        <v:fill on="t" opacity="0f" focussize="0,0"/>
                        <v:stroke on="f"/>
                        <v:imagedata o:title=""/>
                        <o:lock v:ext="edit" aspectratio="f"/>
                        <v:textbox>
                          <w:txbxContent>
                            <w:p w14:paraId="7EE17082">
                              <w:pPr>
                                <w:jc w:val="center"/>
                                <w:rPr>
                                  <w:rFonts w:ascii="宋体" w:hAnsi="宋体"/>
                                  <w:b w:val="0"/>
                                  <w:sz w:val="20"/>
                                  <w:szCs w:val="20"/>
                                </w:rPr>
                              </w:pPr>
                              <w:r>
                                <w:rPr>
                                  <w:rFonts w:hint="eastAsia" w:ascii="宋体" w:hAnsi="宋体"/>
                                  <w:b w:val="0"/>
                                  <w:sz w:val="20"/>
                                  <w:szCs w:val="20"/>
                                </w:rPr>
                                <w:t>成品、半成品（含烟火药）</w:t>
                              </w:r>
                            </w:p>
                          </w:txbxContent>
                        </v:textbox>
                      </v:rect>
                    </v:group>
                  </v:group>
                </v:group>
              </v:group>
            </w:pict>
          </mc:Fallback>
        </mc:AlternateContent>
      </w:r>
      <w:r>
        <w:rPr>
          <w:rFonts w:ascii="宋体" w:hAnsi="宋体"/>
          <w:b w:val="0"/>
          <w:sz w:val="28"/>
        </w:rPr>
        <mc:AlternateContent>
          <mc:Choice Requires="wps">
            <w:drawing>
              <wp:inline distT="0" distB="0" distL="0" distR="0">
                <wp:extent cx="5833110" cy="2803525"/>
                <wp:effectExtent l="0" t="0" r="635" b="0"/>
                <wp:docPr id="554" name="矩形 5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3110" cy="280352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style="height:220.75pt;width:459.3pt;" filled="f" stroked="f" coordsize="21600,21600" o:gfxdata="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d9vuLXAAAABQEAAA8AAAAAAAAA&#10;AQAgAAAAIgAAAGRycy9kb3ducmV2LnhtbFBLAQIUABQAAAAIAIdO4kAM5XOVEgIAABUEAAAOAAAA&#10;AAAAAAEAIAAAACYBAABkcnMvZTJvRG9jLnhtbFBLBQYAAAAABgAGAFkBAACqBQAAAAA=&#10;">
                <v:fill on="f" focussize="0,0"/>
                <v:stroke on="f"/>
                <v:imagedata o:title=""/>
                <o:lock v:ext="edit" aspectratio="t"/>
                <w10:wrap type="none"/>
                <w10:anchorlock/>
              </v:rect>
            </w:pict>
          </mc:Fallback>
        </mc:AlternateContent>
      </w:r>
    </w:p>
    <w:p w14:paraId="01500E60">
      <w:pPr>
        <w:spacing w:line="360" w:lineRule="auto"/>
        <w:jc w:val="center"/>
        <w:rPr>
          <w:rFonts w:ascii="黑体" w:hAnsi="宋体" w:eastAsia="黑体"/>
          <w:b w:val="0"/>
          <w:sz w:val="24"/>
        </w:rPr>
      </w:pPr>
      <w:r>
        <w:rPr>
          <w:rFonts w:hint="eastAsia" w:ascii="黑体" w:hAnsi="宋体" w:eastAsia="黑体"/>
          <w:b w:val="0"/>
          <w:sz w:val="24"/>
        </w:rPr>
        <w:t>图3.</w:t>
      </w:r>
      <w:r>
        <w:rPr>
          <w:rFonts w:ascii="黑体" w:hAnsi="宋体" w:eastAsia="黑体"/>
          <w:b w:val="0"/>
          <w:sz w:val="24"/>
        </w:rPr>
        <w:t>8</w:t>
      </w:r>
      <w:r>
        <w:rPr>
          <w:rFonts w:hint="eastAsia" w:ascii="黑体" w:hAnsi="宋体" w:eastAsia="黑体"/>
          <w:b w:val="0"/>
          <w:sz w:val="24"/>
        </w:rPr>
        <w:t>-1  仓储场所爆炸的因果分析图</w:t>
      </w:r>
    </w:p>
    <w:p w14:paraId="77442DFF">
      <w:pPr>
        <w:spacing w:before="120" w:beforeLines="50" w:after="120" w:afterLines="50" w:line="360" w:lineRule="auto"/>
        <w:outlineLvl w:val="2"/>
        <w:rPr>
          <w:rFonts w:ascii="黑体" w:hAnsi="黑体" w:eastAsia="黑体"/>
          <w:b w:val="0"/>
          <w:sz w:val="30"/>
          <w:szCs w:val="30"/>
        </w:rPr>
      </w:pPr>
      <w:bookmarkStart w:id="359" w:name="_Toc173077674"/>
      <w:bookmarkStart w:id="360" w:name="_Toc335902410"/>
      <w:bookmarkStart w:id="361" w:name="_Toc58946832"/>
      <w:bookmarkStart w:id="362" w:name="_Toc181194081"/>
      <w:bookmarkStart w:id="363" w:name="_Toc148037003"/>
      <w:bookmarkStart w:id="364" w:name="_Toc58862000"/>
      <w:bookmarkStart w:id="365" w:name="_Toc145275208"/>
      <w:bookmarkStart w:id="366" w:name="_Toc60129115"/>
      <w:r>
        <w:rPr>
          <w:rFonts w:ascii="黑体" w:hAnsi="黑体" w:eastAsia="黑体"/>
          <w:b w:val="0"/>
          <w:sz w:val="30"/>
          <w:szCs w:val="30"/>
        </w:rPr>
        <w:t>3.8</w:t>
      </w:r>
      <w:r>
        <w:rPr>
          <w:rFonts w:hint="eastAsia" w:ascii="黑体" w:hAnsi="黑体" w:eastAsia="黑体"/>
          <w:b w:val="0"/>
          <w:sz w:val="30"/>
          <w:szCs w:val="30"/>
        </w:rPr>
        <w:t>.2厂内运输过程危险有害因素分析</w:t>
      </w:r>
      <w:bookmarkEnd w:id="355"/>
      <w:bookmarkEnd w:id="356"/>
      <w:bookmarkEnd w:id="357"/>
      <w:bookmarkEnd w:id="358"/>
      <w:bookmarkEnd w:id="359"/>
      <w:bookmarkEnd w:id="360"/>
      <w:bookmarkEnd w:id="361"/>
      <w:bookmarkEnd w:id="362"/>
      <w:bookmarkEnd w:id="363"/>
      <w:bookmarkEnd w:id="364"/>
      <w:bookmarkEnd w:id="365"/>
      <w:bookmarkEnd w:id="366"/>
    </w:p>
    <w:p w14:paraId="0DA58787">
      <w:pPr>
        <w:spacing w:line="360" w:lineRule="auto"/>
        <w:ind w:firstLine="560" w:firstLineChars="200"/>
        <w:rPr>
          <w:rFonts w:ascii="宋体" w:hAnsi="宋体"/>
          <w:b w:val="0"/>
          <w:sz w:val="28"/>
        </w:rPr>
      </w:pPr>
      <w:bookmarkStart w:id="367" w:name="_Toc294247825"/>
      <w:bookmarkStart w:id="368" w:name="_Toc173077675"/>
      <w:bookmarkStart w:id="369" w:name="_Toc335902411"/>
      <w:bookmarkStart w:id="370" w:name="_Toc271898770"/>
      <w:r>
        <w:rPr>
          <w:rFonts w:hint="eastAsia" w:ascii="宋体" w:hAnsi="宋体"/>
          <w:b w:val="0"/>
          <w:sz w:val="28"/>
        </w:rPr>
        <w:t>该企业原材料运入及成品运出需由具有危险货物运输资质的运输企业承担，厂内黑火药及半成品运输为以防爆电瓶车为主。电瓶车运输过程危险有害因素：超速、装载超量，易使车辆倾翻，造成事故；装卸、搬运时碰撞、拖拉、摩擦、翻滚和剧烈振动，或使用铁质工具，产生火花，有引起药物爆炸的危险；运输过程中因车距不够，装卸过程中因离危险建筑物距离不够（标准为</w:t>
      </w:r>
      <w:r>
        <w:rPr>
          <w:rFonts w:ascii="宋体" w:hAnsi="宋体"/>
          <w:b w:val="0"/>
          <w:sz w:val="28"/>
        </w:rPr>
        <w:t>2.5m</w:t>
      </w:r>
      <w:r>
        <w:rPr>
          <w:rFonts w:hint="eastAsia" w:ascii="宋体" w:hAnsi="宋体"/>
          <w:b w:val="0"/>
          <w:sz w:val="28"/>
        </w:rPr>
        <w:t>），有增大事故的危险；道路不平整，坡度大，转弯半径小等，均可引起事故。</w:t>
      </w:r>
    </w:p>
    <w:p w14:paraId="224CF6AC">
      <w:pPr>
        <w:spacing w:line="360" w:lineRule="auto"/>
        <w:ind w:firstLine="560" w:firstLineChars="200"/>
        <w:rPr>
          <w:rFonts w:ascii="宋体" w:hAnsi="宋体"/>
          <w:b w:val="0"/>
          <w:sz w:val="28"/>
        </w:rPr>
      </w:pPr>
      <w:r>
        <w:rPr>
          <w:rFonts w:hint="eastAsia" w:ascii="宋体" w:hAnsi="宋体"/>
          <w:b w:val="0"/>
          <w:sz w:val="28"/>
        </w:rPr>
        <w:t>防范措施：</w:t>
      </w:r>
    </w:p>
    <w:p w14:paraId="7D9FF9E6">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1</w:t>
      </w:r>
      <w:r>
        <w:rPr>
          <w:rFonts w:hint="eastAsia" w:ascii="宋体" w:hAnsi="宋体"/>
          <w:b w:val="0"/>
          <w:sz w:val="28"/>
        </w:rPr>
        <w:t>）严格控制药物一次运送的数量，按规定数量运输；防止药物的雨淋、曝晒；</w:t>
      </w:r>
    </w:p>
    <w:p w14:paraId="7D42EF73">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2</w:t>
      </w:r>
      <w:r>
        <w:rPr>
          <w:rFonts w:hint="eastAsia" w:ascii="宋体" w:hAnsi="宋体"/>
          <w:b w:val="0"/>
          <w:sz w:val="28"/>
        </w:rPr>
        <w:t>）禁用铁质器具装运药物；送药工人应轻搬、轻放药物，严禁拖、拉、擦、碰；</w:t>
      </w:r>
      <w:r>
        <w:rPr>
          <w:rFonts w:ascii="宋体" w:hAnsi="宋体"/>
          <w:b w:val="0"/>
          <w:sz w:val="28"/>
        </w:rPr>
        <w:t xml:space="preserve"> </w:t>
      </w:r>
    </w:p>
    <w:p w14:paraId="0BE91B92">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3</w:t>
      </w:r>
      <w:r>
        <w:rPr>
          <w:rFonts w:hint="eastAsia" w:ascii="宋体" w:hAnsi="宋体"/>
          <w:b w:val="0"/>
          <w:sz w:val="28"/>
        </w:rPr>
        <w:t>）危险品生产区运输危险品的主干道中心线，与各类危险性建（构）筑物的距离应符合下列规定；</w:t>
      </w:r>
    </w:p>
    <w:p w14:paraId="08D36F35">
      <w:pPr>
        <w:spacing w:line="360" w:lineRule="auto"/>
        <w:ind w:firstLine="560" w:firstLineChars="200"/>
        <w:rPr>
          <w:rFonts w:ascii="宋体" w:hAnsi="宋体"/>
          <w:b w:val="0"/>
          <w:sz w:val="28"/>
        </w:rPr>
      </w:pPr>
      <w:r>
        <w:rPr>
          <w:rFonts w:ascii="宋体" w:hAnsi="宋体"/>
          <w:b w:val="0"/>
          <w:sz w:val="28"/>
        </w:rPr>
        <w:t xml:space="preserve"> </w:t>
      </w:r>
      <w:r>
        <w:rPr>
          <w:rFonts w:hint="eastAsia" w:ascii="宋体" w:hAnsi="宋体"/>
          <w:b w:val="0"/>
          <w:sz w:val="28"/>
        </w:rPr>
        <w:t>①距离</w:t>
      </w:r>
      <w:r>
        <w:rPr>
          <w:rFonts w:ascii="宋体" w:hAnsi="宋体"/>
          <w:b w:val="0"/>
          <w:sz w:val="28"/>
        </w:rPr>
        <w:t>1.1</w:t>
      </w:r>
      <w:r>
        <w:rPr>
          <w:rFonts w:hint="eastAsia" w:ascii="宋体" w:hAnsi="宋体"/>
          <w:b w:val="0"/>
          <w:sz w:val="28"/>
        </w:rPr>
        <w:t>级建（构）筑物不宜小于</w:t>
      </w:r>
      <w:r>
        <w:rPr>
          <w:rFonts w:ascii="宋体" w:hAnsi="宋体"/>
          <w:b w:val="0"/>
          <w:sz w:val="28"/>
        </w:rPr>
        <w:t>15m</w:t>
      </w:r>
      <w:r>
        <w:rPr>
          <w:rFonts w:hint="eastAsia" w:ascii="宋体" w:hAnsi="宋体"/>
          <w:b w:val="0"/>
          <w:sz w:val="28"/>
        </w:rPr>
        <w:t>；有防护屏障时，可不小于1</w:t>
      </w:r>
      <w:r>
        <w:rPr>
          <w:rFonts w:ascii="宋体" w:hAnsi="宋体"/>
          <w:b w:val="0"/>
          <w:sz w:val="28"/>
        </w:rPr>
        <w:t>0m</w:t>
      </w:r>
      <w:r>
        <w:rPr>
          <w:rFonts w:hint="eastAsia" w:ascii="宋体" w:hAnsi="宋体"/>
          <w:b w:val="0"/>
          <w:sz w:val="28"/>
        </w:rPr>
        <w:t>；</w:t>
      </w:r>
    </w:p>
    <w:p w14:paraId="325DFC74">
      <w:pPr>
        <w:spacing w:line="360" w:lineRule="auto"/>
        <w:ind w:firstLine="560" w:firstLineChars="200"/>
        <w:rPr>
          <w:rFonts w:ascii="宋体" w:hAnsi="宋体"/>
          <w:b w:val="0"/>
          <w:sz w:val="28"/>
        </w:rPr>
      </w:pPr>
      <w:r>
        <w:rPr>
          <w:rFonts w:ascii="宋体" w:hAnsi="宋体"/>
          <w:b w:val="0"/>
          <w:sz w:val="28"/>
        </w:rPr>
        <w:t xml:space="preserve"> </w:t>
      </w:r>
      <w:r>
        <w:rPr>
          <w:rFonts w:hint="eastAsia" w:ascii="宋体" w:hAnsi="宋体"/>
          <w:b w:val="0"/>
          <w:sz w:val="28"/>
        </w:rPr>
        <w:t>②距离</w:t>
      </w:r>
      <w:r>
        <w:rPr>
          <w:rFonts w:ascii="宋体" w:hAnsi="宋体"/>
          <w:b w:val="0"/>
          <w:sz w:val="28"/>
        </w:rPr>
        <w:t>1.3</w:t>
      </w:r>
      <w:r>
        <w:rPr>
          <w:rFonts w:hint="eastAsia" w:ascii="宋体" w:hAnsi="宋体"/>
          <w:b w:val="0"/>
          <w:sz w:val="28"/>
        </w:rPr>
        <w:t>级建（构）筑物不宜小于</w:t>
      </w:r>
      <w:r>
        <w:rPr>
          <w:rFonts w:ascii="宋体" w:hAnsi="宋体"/>
          <w:b w:val="0"/>
          <w:sz w:val="28"/>
        </w:rPr>
        <w:t>10m</w:t>
      </w:r>
      <w:r>
        <w:rPr>
          <w:rFonts w:hint="eastAsia" w:ascii="宋体" w:hAnsi="宋体"/>
          <w:b w:val="0"/>
          <w:sz w:val="28"/>
        </w:rPr>
        <w:t>；与道路相对的墙面为密实墙体时，可不小于6</w:t>
      </w:r>
      <w:r>
        <w:rPr>
          <w:rFonts w:ascii="宋体" w:hAnsi="宋体"/>
          <w:b w:val="0"/>
          <w:sz w:val="28"/>
        </w:rPr>
        <w:t>m</w:t>
      </w:r>
      <w:r>
        <w:rPr>
          <w:rFonts w:hint="eastAsia" w:ascii="宋体" w:hAnsi="宋体"/>
          <w:b w:val="0"/>
          <w:sz w:val="28"/>
        </w:rPr>
        <w:t>；</w:t>
      </w:r>
    </w:p>
    <w:p w14:paraId="5AAAAA75">
      <w:pPr>
        <w:spacing w:line="360" w:lineRule="auto"/>
        <w:ind w:firstLine="560" w:firstLineChars="200"/>
      </w:pPr>
      <w:r>
        <w:rPr>
          <w:rFonts w:hint="eastAsia" w:ascii="宋体" w:hAnsi="宋体"/>
          <w:b w:val="0"/>
          <w:sz w:val="28"/>
        </w:rPr>
        <w:t>③运输裸露危险品的道路中心线距离有明火或散发火花的建筑物不应小于3</w:t>
      </w:r>
      <w:r>
        <w:rPr>
          <w:rFonts w:ascii="宋体" w:hAnsi="宋体"/>
          <w:b w:val="0"/>
          <w:sz w:val="28"/>
        </w:rPr>
        <w:t>0m</w:t>
      </w:r>
      <w:r>
        <w:rPr>
          <w:rFonts w:hint="eastAsia" w:ascii="宋体" w:hAnsi="宋体"/>
          <w:b w:val="0"/>
          <w:sz w:val="28"/>
        </w:rPr>
        <w:t>；</w:t>
      </w:r>
    </w:p>
    <w:p w14:paraId="605A2CCF">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4</w:t>
      </w:r>
      <w:r>
        <w:rPr>
          <w:rFonts w:hint="eastAsia" w:ascii="宋体" w:hAnsi="宋体"/>
          <w:b w:val="0"/>
          <w:sz w:val="28"/>
        </w:rPr>
        <w:t>）危险品总仓库区运输危险品的主干道中心线与各级危险品仓库的距离不应小于1</w:t>
      </w:r>
      <w:r>
        <w:rPr>
          <w:rFonts w:ascii="宋体" w:hAnsi="宋体"/>
          <w:b w:val="0"/>
          <w:sz w:val="28"/>
        </w:rPr>
        <w:t>0m</w:t>
      </w:r>
      <w:r>
        <w:rPr>
          <w:rFonts w:hint="eastAsia" w:ascii="宋体" w:hAnsi="宋体"/>
          <w:b w:val="0"/>
          <w:sz w:val="28"/>
        </w:rPr>
        <w:t>；</w:t>
      </w:r>
    </w:p>
    <w:p w14:paraId="7E75E706">
      <w:pPr>
        <w:spacing w:line="360" w:lineRule="auto"/>
        <w:ind w:firstLine="560" w:firstLineChars="200"/>
        <w:rPr>
          <w:rFonts w:ascii="宋体" w:hAnsi="宋体"/>
          <w:b w:val="0"/>
          <w:sz w:val="28"/>
        </w:rPr>
      </w:pPr>
      <w:r>
        <w:rPr>
          <w:rFonts w:hint="eastAsia" w:ascii="宋体" w:hAnsi="宋体"/>
          <w:b w:val="0"/>
          <w:sz w:val="28"/>
        </w:rPr>
        <w:t>（5）机动车在</w:t>
      </w:r>
      <w:r>
        <w:rPr>
          <w:rFonts w:ascii="宋体" w:hAnsi="宋体"/>
          <w:b w:val="0"/>
          <w:sz w:val="28"/>
        </w:rPr>
        <w:t>1.1</w:t>
      </w:r>
      <w:r>
        <w:rPr>
          <w:rFonts w:hint="eastAsia" w:ascii="宋体" w:hAnsi="宋体"/>
          <w:b w:val="0"/>
          <w:sz w:val="28"/>
        </w:rPr>
        <w:t>级、</w:t>
      </w:r>
      <w:r>
        <w:rPr>
          <w:rFonts w:ascii="宋体" w:hAnsi="宋体"/>
          <w:b w:val="0"/>
          <w:sz w:val="28"/>
        </w:rPr>
        <w:t>1.3</w:t>
      </w:r>
      <w:r>
        <w:rPr>
          <w:rFonts w:hint="eastAsia" w:ascii="宋体" w:hAnsi="宋体"/>
          <w:b w:val="0"/>
          <w:sz w:val="28"/>
        </w:rPr>
        <w:t>级建筑物门前装卸作业时，宜在</w:t>
      </w:r>
      <w:r>
        <w:rPr>
          <w:rFonts w:ascii="宋体" w:hAnsi="宋体"/>
          <w:b w:val="0"/>
          <w:sz w:val="28"/>
        </w:rPr>
        <w:t>2.5m</w:t>
      </w:r>
      <w:r>
        <w:rPr>
          <w:rFonts w:hint="eastAsia" w:ascii="宋体" w:hAnsi="宋体"/>
          <w:b w:val="0"/>
          <w:sz w:val="28"/>
        </w:rPr>
        <w:t>以外进行；</w:t>
      </w:r>
    </w:p>
    <w:p w14:paraId="0C2CCB9E">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6</w:t>
      </w:r>
      <w:r>
        <w:rPr>
          <w:rFonts w:hint="eastAsia" w:ascii="宋体" w:hAnsi="宋体"/>
          <w:b w:val="0"/>
          <w:sz w:val="28"/>
        </w:rPr>
        <w:t>）电瓶车应安装档板，轮盘必须是橡胶制品，车箱应铺设橡胶垫；应以低速行驶，机动车的速度不得超过</w:t>
      </w:r>
      <w:r>
        <w:rPr>
          <w:rFonts w:ascii="宋体" w:hAnsi="宋体"/>
          <w:b w:val="0"/>
          <w:sz w:val="28"/>
        </w:rPr>
        <w:t>10km/h</w:t>
      </w:r>
      <w:r>
        <w:rPr>
          <w:rFonts w:hint="eastAsia" w:ascii="宋体" w:hAnsi="宋体"/>
          <w:b w:val="0"/>
          <w:sz w:val="28"/>
        </w:rPr>
        <w:t>；</w:t>
      </w:r>
    </w:p>
    <w:p w14:paraId="2D8C1862">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7</w:t>
      </w:r>
      <w:r>
        <w:rPr>
          <w:rFonts w:hint="eastAsia" w:ascii="宋体" w:hAnsi="宋体"/>
          <w:b w:val="0"/>
          <w:sz w:val="28"/>
        </w:rPr>
        <w:t>）装卸作业中只许单件搬运，不得碰撞、拖拉、摩擦、翻滚和剧烈振动，不许使用铁撬等铁质工具；</w:t>
      </w:r>
    </w:p>
    <w:p w14:paraId="729032FA">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8</w:t>
      </w:r>
      <w:r>
        <w:rPr>
          <w:rFonts w:hint="eastAsia" w:ascii="宋体" w:hAnsi="宋体"/>
          <w:b w:val="0"/>
          <w:sz w:val="28"/>
        </w:rPr>
        <w:t>）运输中不得强行抢道，车距不应小于</w:t>
      </w:r>
      <w:r>
        <w:rPr>
          <w:rFonts w:ascii="宋体" w:hAnsi="宋体"/>
          <w:b w:val="0"/>
          <w:sz w:val="28"/>
        </w:rPr>
        <w:t>20m</w:t>
      </w:r>
      <w:r>
        <w:rPr>
          <w:rFonts w:hint="eastAsia" w:ascii="宋体" w:hAnsi="宋体"/>
          <w:b w:val="0"/>
          <w:sz w:val="28"/>
        </w:rPr>
        <w:t>，黑火药堆码应不超过车厢高度；</w:t>
      </w:r>
    </w:p>
    <w:p w14:paraId="210096AF">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9</w:t>
      </w:r>
      <w:r>
        <w:rPr>
          <w:rFonts w:hint="eastAsia" w:ascii="宋体" w:hAnsi="宋体"/>
          <w:b w:val="0"/>
          <w:sz w:val="28"/>
        </w:rPr>
        <w:t>）进入仓库区的机动车辆，必须有防火装置；</w:t>
      </w:r>
    </w:p>
    <w:p w14:paraId="2EA186C6">
      <w:pPr>
        <w:pStyle w:val="30"/>
        <w:spacing w:line="360" w:lineRule="auto"/>
        <w:ind w:firstLine="560" w:firstLineChars="200"/>
        <w:jc w:val="both"/>
        <w:rPr>
          <w:rFonts w:ascii="宋体" w:hAnsi="宋体" w:eastAsia="宋体"/>
          <w:b w:val="0"/>
          <w:sz w:val="28"/>
        </w:rPr>
      </w:pPr>
      <w:r>
        <w:rPr>
          <w:rFonts w:hint="eastAsia" w:ascii="宋体" w:hAnsi="宋体" w:eastAsia="宋体"/>
          <w:b w:val="0"/>
          <w:sz w:val="28"/>
        </w:rPr>
        <w:t>（</w:t>
      </w:r>
      <w:r>
        <w:rPr>
          <w:rFonts w:ascii="宋体" w:hAnsi="宋体" w:eastAsia="宋体"/>
          <w:b w:val="0"/>
          <w:sz w:val="28"/>
        </w:rPr>
        <w:t>10</w:t>
      </w:r>
      <w:r>
        <w:rPr>
          <w:rFonts w:hint="eastAsia" w:ascii="宋体" w:hAnsi="宋体" w:eastAsia="宋体"/>
          <w:b w:val="0"/>
          <w:sz w:val="28"/>
        </w:rPr>
        <w:t>）在厂区坡度较大的坡道两侧设置挡土墙或加固护坡，防止土体滑坡和物料滚落；</w:t>
      </w:r>
    </w:p>
    <w:p w14:paraId="05BC338C">
      <w:pPr>
        <w:spacing w:line="360" w:lineRule="auto"/>
        <w:ind w:firstLine="560" w:firstLineChars="200"/>
        <w:rPr>
          <w:rFonts w:ascii="宋体" w:hAnsi="宋体"/>
          <w:b w:val="0"/>
          <w:sz w:val="28"/>
        </w:rPr>
      </w:pPr>
      <w:r>
        <w:rPr>
          <w:rFonts w:hint="eastAsia" w:ascii="宋体" w:hAnsi="宋体"/>
          <w:b w:val="0"/>
          <w:sz w:val="28"/>
        </w:rPr>
        <w:t>（1</w:t>
      </w:r>
      <w:r>
        <w:rPr>
          <w:rFonts w:ascii="宋体" w:hAnsi="宋体"/>
          <w:b w:val="0"/>
          <w:sz w:val="28"/>
        </w:rPr>
        <w:t>1</w:t>
      </w:r>
      <w:r>
        <w:rPr>
          <w:rFonts w:hint="eastAsia" w:ascii="宋体" w:hAnsi="宋体"/>
          <w:b w:val="0"/>
          <w:sz w:val="28"/>
        </w:rPr>
        <w:t>）在坡道处设置限速标志、反光镜及护栏，严格控制车辆速度。</w:t>
      </w:r>
    </w:p>
    <w:p w14:paraId="20123EA1">
      <w:pPr>
        <w:keepNext/>
        <w:keepLines/>
        <w:spacing w:before="120" w:beforeLines="50" w:line="360" w:lineRule="auto"/>
        <w:outlineLvl w:val="1"/>
        <w:rPr>
          <w:rFonts w:ascii="黑体" w:hAnsi="黑体" w:eastAsia="黑体"/>
          <w:b w:val="0"/>
          <w:bCs/>
          <w:snapToGrid w:val="0"/>
          <w:sz w:val="32"/>
          <w:szCs w:val="32"/>
        </w:rPr>
      </w:pPr>
      <w:bookmarkStart w:id="371" w:name="_Toc227869288"/>
      <w:bookmarkStart w:id="372" w:name="_Toc239191508"/>
      <w:r>
        <w:rPr>
          <w:rFonts w:hint="eastAsia" w:ascii="黑体" w:hAnsi="黑体" w:eastAsia="黑体"/>
          <w:b w:val="0"/>
          <w:bCs/>
          <w:snapToGrid w:val="0"/>
          <w:sz w:val="32"/>
          <w:szCs w:val="32"/>
        </w:rPr>
        <w:t>3.</w:t>
      </w:r>
      <w:r>
        <w:rPr>
          <w:rFonts w:ascii="黑体" w:hAnsi="黑体" w:eastAsia="黑体"/>
          <w:b w:val="0"/>
          <w:bCs/>
          <w:snapToGrid w:val="0"/>
          <w:sz w:val="32"/>
          <w:szCs w:val="32"/>
        </w:rPr>
        <w:t>9</w:t>
      </w:r>
      <w:r>
        <w:rPr>
          <w:rFonts w:hint="eastAsia" w:ascii="黑体" w:hAnsi="黑体" w:eastAsia="黑体"/>
          <w:b w:val="0"/>
          <w:bCs/>
          <w:snapToGrid w:val="0"/>
          <w:sz w:val="32"/>
          <w:szCs w:val="32"/>
        </w:rPr>
        <w:t>环境危险有害因素分析</w:t>
      </w:r>
      <w:bookmarkEnd w:id="367"/>
      <w:bookmarkEnd w:id="368"/>
      <w:bookmarkEnd w:id="369"/>
      <w:bookmarkEnd w:id="370"/>
      <w:bookmarkEnd w:id="371"/>
      <w:bookmarkEnd w:id="372"/>
    </w:p>
    <w:p w14:paraId="76F965E0">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环境包括自然环境、周边环境和作业环境，其危险有害因素分述如下：</w:t>
      </w:r>
    </w:p>
    <w:p w14:paraId="58C635D7">
      <w:pPr>
        <w:spacing w:before="120" w:after="120" w:line="360" w:lineRule="auto"/>
        <w:outlineLvl w:val="2"/>
        <w:rPr>
          <w:rFonts w:ascii="黑体" w:hAnsi="黑体" w:eastAsia="黑体"/>
          <w:b w:val="0"/>
          <w:sz w:val="30"/>
          <w:szCs w:val="30"/>
        </w:rPr>
      </w:pPr>
      <w:bookmarkStart w:id="373" w:name="_Toc145275210"/>
      <w:bookmarkStart w:id="374" w:name="_Toc173077676"/>
      <w:bookmarkStart w:id="375" w:name="_Toc294247656"/>
      <w:bookmarkStart w:id="376" w:name="_Toc271898771"/>
      <w:bookmarkStart w:id="377" w:name="_Toc213469603"/>
      <w:bookmarkStart w:id="378" w:name="_Toc213127086"/>
      <w:bookmarkStart w:id="379" w:name="_Toc60129117"/>
      <w:bookmarkStart w:id="380" w:name="_Toc294247826"/>
      <w:bookmarkStart w:id="381" w:name="_Toc148037005"/>
      <w:bookmarkStart w:id="382" w:name="_Toc181194083"/>
      <w:bookmarkStart w:id="383" w:name="_Toc335902412"/>
      <w:bookmarkStart w:id="384" w:name="_Toc58946834"/>
      <w:bookmarkStart w:id="385" w:name="_Toc58862002"/>
      <w:r>
        <w:rPr>
          <w:rFonts w:hint="eastAsia" w:ascii="黑体" w:hAnsi="黑体" w:eastAsia="黑体"/>
          <w:b w:val="0"/>
          <w:sz w:val="30"/>
          <w:szCs w:val="30"/>
        </w:rPr>
        <w:t>3.</w:t>
      </w:r>
      <w:r>
        <w:rPr>
          <w:rFonts w:ascii="黑体" w:hAnsi="黑体" w:eastAsia="黑体"/>
          <w:b w:val="0"/>
          <w:sz w:val="30"/>
          <w:szCs w:val="30"/>
        </w:rPr>
        <w:t>9</w:t>
      </w:r>
      <w:r>
        <w:rPr>
          <w:rFonts w:hint="eastAsia" w:ascii="黑体" w:hAnsi="黑体" w:eastAsia="黑体"/>
          <w:b w:val="0"/>
          <w:sz w:val="30"/>
          <w:szCs w:val="30"/>
        </w:rPr>
        <w:t>.1</w:t>
      </w:r>
      <w:r>
        <w:rPr>
          <w:rFonts w:ascii="黑体" w:hAnsi="黑体" w:eastAsia="黑体"/>
          <w:b w:val="0"/>
          <w:sz w:val="30"/>
          <w:szCs w:val="30"/>
        </w:rPr>
        <w:t>自然环境危险有害因素</w:t>
      </w:r>
      <w:bookmarkEnd w:id="373"/>
      <w:bookmarkEnd w:id="374"/>
      <w:bookmarkEnd w:id="375"/>
      <w:bookmarkEnd w:id="376"/>
      <w:bookmarkEnd w:id="377"/>
      <w:bookmarkEnd w:id="378"/>
      <w:bookmarkEnd w:id="379"/>
      <w:bookmarkEnd w:id="380"/>
      <w:bookmarkEnd w:id="381"/>
      <w:bookmarkEnd w:id="382"/>
      <w:bookmarkEnd w:id="383"/>
      <w:bookmarkEnd w:id="384"/>
      <w:bookmarkEnd w:id="385"/>
    </w:p>
    <w:p w14:paraId="470C4F7F">
      <w:pPr>
        <w:spacing w:line="360" w:lineRule="auto"/>
        <w:ind w:firstLine="560" w:firstLineChars="200"/>
        <w:rPr>
          <w:rFonts w:ascii="宋体" w:hAnsi="宋体"/>
          <w:b w:val="0"/>
          <w:sz w:val="28"/>
        </w:rPr>
      </w:pPr>
      <w:r>
        <w:rPr>
          <w:rFonts w:hint="eastAsia" w:ascii="宋体" w:hAnsi="宋体"/>
          <w:b w:val="0"/>
          <w:sz w:val="28"/>
        </w:rPr>
        <w:t>自然环境因素的影响主要指地理、气候等方面的影响。现着重分析高温、潮湿、雨水、山体滑坡和地基土沉降或不均匀沉降、山火、雷击伤害对本项目的影响。</w:t>
      </w:r>
    </w:p>
    <w:p w14:paraId="3E52A589">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1</w:t>
      </w:r>
      <w:r>
        <w:rPr>
          <w:rFonts w:hint="eastAsia" w:ascii="宋体" w:hAnsi="宋体"/>
          <w:b w:val="0"/>
          <w:sz w:val="28"/>
        </w:rPr>
        <w:t>）高温、潮湿</w:t>
      </w:r>
    </w:p>
    <w:p w14:paraId="03A54FEA">
      <w:pPr>
        <w:spacing w:line="360" w:lineRule="auto"/>
        <w:ind w:firstLine="560" w:firstLineChars="200"/>
        <w:rPr>
          <w:rFonts w:ascii="宋体" w:hAnsi="宋体"/>
          <w:b w:val="0"/>
          <w:sz w:val="28"/>
        </w:rPr>
      </w:pPr>
      <w:r>
        <w:rPr>
          <w:rFonts w:hint="eastAsia" w:ascii="宋体" w:hAnsi="宋体"/>
          <w:b w:val="0"/>
          <w:sz w:val="28"/>
        </w:rPr>
        <w:t>醴陵市地处中亚热带季风湿润气候，大陆性气候较强，四季分明，热量充足，雨水充沛，空气中湿度较大，夏季</w:t>
      </w:r>
      <w:r>
        <w:rPr>
          <w:rFonts w:ascii="宋体" w:hAnsi="宋体"/>
          <w:b w:val="0"/>
          <w:sz w:val="28"/>
        </w:rPr>
        <w:t>30</w:t>
      </w:r>
      <w:r>
        <w:rPr>
          <w:rFonts w:hint="eastAsia" w:ascii="宋体" w:hAnsi="宋体"/>
          <w:b w:val="0"/>
          <w:sz w:val="28"/>
        </w:rPr>
        <w:t>℃以上气温天气持续时间长，最高气温可达</w:t>
      </w:r>
      <w:r>
        <w:rPr>
          <w:rFonts w:ascii="宋体" w:hAnsi="宋体"/>
          <w:b w:val="0"/>
          <w:sz w:val="28"/>
        </w:rPr>
        <w:t>40.7</w:t>
      </w:r>
      <w:r>
        <w:rPr>
          <w:rFonts w:hint="eastAsia" w:ascii="宋体" w:hAnsi="宋体"/>
          <w:b w:val="0"/>
          <w:sz w:val="28"/>
        </w:rPr>
        <w:t>℃，黑火药生产使用的原材料和黑火药在高温作用下均容易发生燃烧、爆炸，在潮湿环境中长期存放会发生发热、分解导致燃烧爆炸。高温、高湿天气时黑火药生产工库房若通风散热不良或无空气调节装置，容易发生燃烧、爆炸事故。高温、高湿环境同时影响劳动者的体温调节、水盐代谢等，轻者影响劳动能力，重者可引起中暑。高温还可以抑制中枢神经系统，使工人在操作过程中注意力分散，有发生误操作导致事故的危险。</w:t>
      </w:r>
    </w:p>
    <w:p w14:paraId="77F780FF">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（2）</w:t>
      </w:r>
      <w:r>
        <w:rPr>
          <w:rFonts w:ascii="宋体" w:hAnsi="宋体"/>
          <w:b w:val="0"/>
          <w:snapToGrid w:val="0"/>
          <w:sz w:val="28"/>
          <w:szCs w:val="28"/>
        </w:rPr>
        <w:t>雨水</w:t>
      </w:r>
    </w:p>
    <w:p w14:paraId="6D1CB14B">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该企业工房、</w:t>
      </w:r>
      <w:r>
        <w:rPr>
          <w:rFonts w:ascii="宋体" w:hAnsi="宋体"/>
          <w:b w:val="0"/>
          <w:snapToGrid w:val="0"/>
          <w:sz w:val="28"/>
          <w:szCs w:val="28"/>
        </w:rPr>
        <w:t>仓储</w:t>
      </w:r>
      <w:r>
        <w:rPr>
          <w:rFonts w:hint="eastAsia" w:ascii="宋体" w:hAnsi="宋体"/>
          <w:b w:val="0"/>
          <w:snapToGrid w:val="0"/>
          <w:sz w:val="28"/>
          <w:szCs w:val="28"/>
        </w:rPr>
        <w:t>场所</w:t>
      </w:r>
      <w:r>
        <w:rPr>
          <w:rFonts w:ascii="宋体" w:hAnsi="宋体"/>
          <w:b w:val="0"/>
          <w:snapToGrid w:val="0"/>
          <w:sz w:val="28"/>
          <w:szCs w:val="28"/>
        </w:rPr>
        <w:t>所在地属</w:t>
      </w:r>
      <w:r>
        <w:rPr>
          <w:rFonts w:hint="eastAsia" w:ascii="宋体" w:hAnsi="宋体"/>
          <w:b w:val="0"/>
          <w:snapToGrid w:val="0"/>
          <w:sz w:val="28"/>
          <w:szCs w:val="28"/>
        </w:rPr>
        <w:t>亚热带季风湿润气候</w:t>
      </w:r>
      <w:r>
        <w:rPr>
          <w:rFonts w:ascii="宋体" w:hAnsi="宋体"/>
          <w:b w:val="0"/>
          <w:snapToGrid w:val="0"/>
          <w:sz w:val="28"/>
          <w:szCs w:val="28"/>
        </w:rPr>
        <w:t>，受季风影响，湿度大，雨水充沛，空气中湿度较大。</w:t>
      </w:r>
      <w:r>
        <w:rPr>
          <w:rFonts w:hint="eastAsia" w:ascii="宋体" w:hAnsi="宋体"/>
          <w:b w:val="0"/>
          <w:snapToGrid w:val="0"/>
          <w:sz w:val="28"/>
          <w:szCs w:val="28"/>
        </w:rPr>
        <w:t>黑火药</w:t>
      </w:r>
      <w:r>
        <w:rPr>
          <w:rFonts w:ascii="宋体" w:hAnsi="宋体"/>
          <w:b w:val="0"/>
          <w:snapToGrid w:val="0"/>
          <w:sz w:val="28"/>
          <w:szCs w:val="28"/>
        </w:rPr>
        <w:t>含水量都有一定的要求。所以</w:t>
      </w:r>
      <w:r>
        <w:rPr>
          <w:rFonts w:hint="eastAsia" w:ascii="宋体" w:hAnsi="宋体"/>
          <w:b w:val="0"/>
          <w:snapToGrid w:val="0"/>
          <w:sz w:val="28"/>
          <w:szCs w:val="28"/>
        </w:rPr>
        <w:t>工房、</w:t>
      </w:r>
      <w:r>
        <w:rPr>
          <w:rFonts w:ascii="宋体" w:hAnsi="宋体"/>
          <w:b w:val="0"/>
          <w:snapToGrid w:val="0"/>
          <w:sz w:val="28"/>
          <w:szCs w:val="28"/>
        </w:rPr>
        <w:t>成品库及运输车辆一定要做好防雨、防潮、防漏措施。</w:t>
      </w:r>
    </w:p>
    <w:p w14:paraId="00CA716D">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3</w:t>
      </w:r>
      <w:r>
        <w:rPr>
          <w:rFonts w:hint="eastAsia" w:ascii="宋体" w:hAnsi="宋体"/>
          <w:b w:val="0"/>
          <w:sz w:val="28"/>
        </w:rPr>
        <w:t>）</w:t>
      </w:r>
      <w:bookmarkStart w:id="386" w:name="_Hlk203845316"/>
      <w:r>
        <w:rPr>
          <w:rFonts w:hint="eastAsia" w:ascii="宋体" w:hAnsi="宋体"/>
          <w:b w:val="0"/>
          <w:sz w:val="28"/>
        </w:rPr>
        <w:t>山体滑坡和地基土沉降或不均匀沉降</w:t>
      </w:r>
    </w:p>
    <w:p w14:paraId="716E1AB7">
      <w:pPr>
        <w:spacing w:line="360" w:lineRule="auto"/>
        <w:ind w:firstLine="560" w:firstLineChars="200"/>
        <w:rPr>
          <w:rFonts w:ascii="宋体" w:hAnsi="宋体"/>
          <w:b w:val="0"/>
          <w:sz w:val="28"/>
        </w:rPr>
      </w:pPr>
      <w:r>
        <w:rPr>
          <w:rFonts w:hint="eastAsia" w:ascii="宋体" w:hAnsi="宋体"/>
          <w:b w:val="0"/>
          <w:sz w:val="28"/>
        </w:rPr>
        <w:t>该企业工房、</w:t>
      </w:r>
      <w:r>
        <w:rPr>
          <w:rFonts w:ascii="宋体" w:hAnsi="宋体"/>
          <w:b w:val="0"/>
          <w:sz w:val="28"/>
        </w:rPr>
        <w:t>仓储场所地处</w:t>
      </w:r>
      <w:r>
        <w:rPr>
          <w:rFonts w:hint="eastAsia" w:ascii="宋体" w:hAnsi="宋体"/>
          <w:b w:val="0"/>
          <w:sz w:val="28"/>
        </w:rPr>
        <w:t>小</w:t>
      </w:r>
      <w:r>
        <w:rPr>
          <w:rFonts w:ascii="宋体" w:hAnsi="宋体"/>
          <w:b w:val="0"/>
          <w:sz w:val="28"/>
        </w:rPr>
        <w:t>丘陵地带，虽然可借助山体作为防护屏障，但在土质较松散、边坡不稳或遇有连续大</w:t>
      </w:r>
      <w:r>
        <w:rPr>
          <w:rFonts w:hint="eastAsia" w:ascii="宋体" w:hAnsi="宋体"/>
          <w:b w:val="0"/>
          <w:sz w:val="28"/>
        </w:rPr>
        <w:t>暴</w:t>
      </w:r>
      <w:r>
        <w:rPr>
          <w:rFonts w:ascii="宋体" w:hAnsi="宋体"/>
          <w:b w:val="0"/>
          <w:sz w:val="28"/>
        </w:rPr>
        <w:t>雨、冰冻的情况下，有</w:t>
      </w:r>
      <w:r>
        <w:rPr>
          <w:rFonts w:hint="eastAsia" w:ascii="宋体" w:hAnsi="宋体"/>
          <w:b w:val="0"/>
          <w:sz w:val="28"/>
        </w:rPr>
        <w:t>可能发生山体滑坡冲毁工库房，进而可能导致黑火药爆炸事故；</w:t>
      </w:r>
      <w:r>
        <w:rPr>
          <w:rFonts w:ascii="宋体" w:hAnsi="宋体"/>
          <w:b w:val="0"/>
          <w:sz w:val="28"/>
        </w:rPr>
        <w:t>所以应做好对边坡监控、加固等防范措施。</w:t>
      </w:r>
      <w:r>
        <w:rPr>
          <w:rFonts w:hint="eastAsia" w:ascii="宋体" w:hAnsi="宋体"/>
          <w:b w:val="0"/>
          <w:sz w:val="28"/>
        </w:rPr>
        <w:t>因地基土沉降或不均匀沉降可能会对建筑物结构造成影响甚至会对建筑结构造成破坏；所以企业</w:t>
      </w:r>
      <w:r>
        <w:rPr>
          <w:rFonts w:ascii="宋体" w:hAnsi="宋体"/>
          <w:b w:val="0"/>
          <w:sz w:val="28"/>
        </w:rPr>
        <w:t>应</w:t>
      </w:r>
      <w:r>
        <w:rPr>
          <w:rFonts w:hint="eastAsia" w:ascii="宋体" w:hAnsi="宋体"/>
          <w:b w:val="0"/>
          <w:sz w:val="28"/>
        </w:rPr>
        <w:t>委托专业的检测机构检测，并在检测的基础上针对地基、基础结构和上部以正结构等采取相应的地基加固、基础结构加固等措施。</w:t>
      </w:r>
    </w:p>
    <w:bookmarkEnd w:id="386"/>
    <w:p w14:paraId="2803E08F">
      <w:pPr>
        <w:spacing w:line="360" w:lineRule="auto"/>
        <w:ind w:firstLine="560" w:firstLineChars="200"/>
        <w:rPr>
          <w:rFonts w:ascii="宋体" w:hAnsi="宋体"/>
          <w:b w:val="0"/>
          <w:sz w:val="28"/>
        </w:rPr>
      </w:pPr>
      <w:bookmarkStart w:id="387" w:name="_Toc202015923"/>
      <w:bookmarkStart w:id="388" w:name="_Toc83159010"/>
      <w:bookmarkStart w:id="389" w:name="_Toc188265321"/>
      <w:r>
        <w:rPr>
          <w:rFonts w:hint="eastAsia" w:ascii="宋体" w:hAnsi="宋体"/>
          <w:b w:val="0"/>
          <w:sz w:val="28"/>
        </w:rPr>
        <w:t>（</w:t>
      </w:r>
      <w:r>
        <w:rPr>
          <w:rFonts w:ascii="宋体" w:hAnsi="宋体"/>
          <w:b w:val="0"/>
          <w:sz w:val="28"/>
        </w:rPr>
        <w:t>4</w:t>
      </w:r>
      <w:r>
        <w:rPr>
          <w:rFonts w:hint="eastAsia" w:ascii="宋体" w:hAnsi="宋体"/>
          <w:b w:val="0"/>
          <w:sz w:val="28"/>
        </w:rPr>
        <w:t>）山火危害</w:t>
      </w:r>
    </w:p>
    <w:p w14:paraId="37CA998D">
      <w:pPr>
        <w:spacing w:line="360" w:lineRule="auto"/>
        <w:ind w:firstLine="560" w:firstLineChars="200"/>
        <w:rPr>
          <w:rFonts w:ascii="宋体" w:hAnsi="宋体"/>
          <w:b w:val="0"/>
          <w:sz w:val="28"/>
        </w:rPr>
      </w:pPr>
      <w:r>
        <w:rPr>
          <w:rFonts w:hint="eastAsia" w:ascii="宋体" w:hAnsi="宋体"/>
          <w:b w:val="0"/>
          <w:sz w:val="28"/>
        </w:rPr>
        <w:t>醴陵市四季分明，夏季炎热多雨、冬季寒冷干燥，加上工房、仓库与山丘上的树木杂草相距较近，如果防范措施不当，一旦发生山火就有可能烧毁工房、仓库和引发爆炸事故，给企业带来损失、给职工造成伤害，因此，企业除按规定搞好安全防火隔离带以外，还应制定应急预案，并告知从业人员和相关人员在紧急情况下应当采取的措施。</w:t>
      </w:r>
    </w:p>
    <w:bookmarkEnd w:id="387"/>
    <w:bookmarkEnd w:id="388"/>
    <w:bookmarkEnd w:id="389"/>
    <w:p w14:paraId="72719AA0">
      <w:pPr>
        <w:spacing w:line="360" w:lineRule="auto"/>
        <w:ind w:firstLine="560" w:firstLineChars="200"/>
        <w:rPr>
          <w:rFonts w:ascii="宋体" w:hAnsi="宋体"/>
          <w:b w:val="0"/>
          <w:sz w:val="28"/>
        </w:rPr>
      </w:pPr>
      <w:r>
        <w:rPr>
          <w:rFonts w:hint="eastAsia" w:ascii="宋体" w:hAnsi="宋体"/>
          <w:b w:val="0"/>
          <w:sz w:val="28"/>
        </w:rPr>
        <w:t>（</w:t>
      </w:r>
      <w:r>
        <w:rPr>
          <w:rFonts w:ascii="宋体" w:hAnsi="宋体"/>
          <w:b w:val="0"/>
          <w:sz w:val="28"/>
        </w:rPr>
        <w:t>5</w:t>
      </w:r>
      <w:r>
        <w:rPr>
          <w:rFonts w:hint="eastAsia" w:ascii="宋体" w:hAnsi="宋体"/>
          <w:b w:val="0"/>
          <w:sz w:val="28"/>
        </w:rPr>
        <w:t>）雷击灾害</w:t>
      </w:r>
    </w:p>
    <w:p w14:paraId="0B45D541">
      <w:pPr>
        <w:spacing w:line="360" w:lineRule="auto"/>
        <w:ind w:firstLine="560" w:firstLineChars="200"/>
        <w:rPr>
          <w:rFonts w:ascii="宋体" w:hAnsi="宋体"/>
          <w:b w:val="0"/>
          <w:sz w:val="28"/>
        </w:rPr>
      </w:pPr>
      <w:r>
        <w:rPr>
          <w:rFonts w:hint="eastAsia" w:ascii="宋体" w:hAnsi="宋体"/>
          <w:b w:val="0"/>
          <w:sz w:val="28"/>
        </w:rPr>
        <w:t>该企业所处醴陵地区属多雷雨地区，春、夏两季雷电较多，黑火药生产受雷电伤害的可能性较大。危险品工库房多属一类防雷电场所，防雷电伤害尤为重要。</w:t>
      </w:r>
    </w:p>
    <w:p w14:paraId="1112CC19">
      <w:pPr>
        <w:spacing w:line="360" w:lineRule="auto"/>
        <w:ind w:left="36" w:leftChars="17" w:firstLine="560" w:firstLineChars="200"/>
        <w:rPr>
          <w:rFonts w:ascii="宋体" w:hAnsi="宋体"/>
          <w:b w:val="0"/>
          <w:snapToGrid w:val="0"/>
          <w:sz w:val="28"/>
          <w:szCs w:val="28"/>
        </w:rPr>
      </w:pPr>
      <w:r>
        <w:rPr>
          <w:rFonts w:hint="eastAsia" w:ascii="宋体" w:hAnsi="宋体"/>
          <w:b w:val="0"/>
          <w:sz w:val="28"/>
        </w:rPr>
        <w:t>雷电的危害主要有直接雷击、感应雷击和雷电波入侵三种，这三种作用都会对黑火药生产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r>
        <w:rPr>
          <w:rFonts w:hint="eastAsia" w:ascii="宋体" w:hAnsi="宋体"/>
          <w:b w:val="0"/>
          <w:snapToGrid w:val="0"/>
          <w:sz w:val="28"/>
          <w:szCs w:val="28"/>
        </w:rPr>
        <w:t>。</w:t>
      </w:r>
    </w:p>
    <w:p w14:paraId="192C9860">
      <w:pPr>
        <w:pStyle w:val="2"/>
        <w:ind w:firstLine="560"/>
      </w:pPr>
      <w:r>
        <w:rPr>
          <w:rFonts w:hint="eastAsia" w:ascii="宋体" w:hAnsi="宋体" w:eastAsia="宋体"/>
          <w:b w:val="0"/>
        </w:rPr>
        <w:t>直接雷击是雷云与地面建筑物之间的直接放电。如果危险品工库房无避雷针、或避雷针高度及覆盖面积不够、引下线选型不当、引下线截面积不足或接地不符合规范要求（电阻大于</w:t>
      </w:r>
      <w:r>
        <w:rPr>
          <w:rFonts w:ascii="宋体" w:hAnsi="宋体" w:eastAsia="宋体"/>
          <w:b w:val="0"/>
        </w:rPr>
        <w:t>10</w:t>
      </w:r>
      <w:r>
        <w:rPr>
          <w:rFonts w:hint="eastAsia" w:ascii="宋体" w:hAnsi="宋体" w:eastAsia="宋体"/>
          <w:b w:val="0"/>
        </w:rPr>
        <w:t>Ω，接地方式不正确），会使建筑物遭受雷击而倒塌，引起工库房内的危险物品燃烧、爆炸。</w:t>
      </w:r>
    </w:p>
    <w:p w14:paraId="5EDE64AE">
      <w:pPr>
        <w:spacing w:line="360" w:lineRule="auto"/>
        <w:ind w:left="36" w:leftChars="17" w:firstLine="560" w:firstLineChars="200"/>
        <w:rPr>
          <w:rFonts w:ascii="宋体" w:hAnsi="宋体"/>
          <w:b w:val="0"/>
          <w:snapToGrid w:val="0"/>
          <w:sz w:val="28"/>
          <w:szCs w:val="28"/>
        </w:rPr>
      </w:pPr>
      <w:r>
        <w:rPr>
          <w:rFonts w:hint="eastAsia" w:ascii="宋体" w:hAnsi="宋体"/>
          <w:b w:val="0"/>
          <w:snapToGrid w:val="0"/>
          <w:sz w:val="28"/>
          <w:szCs w:val="28"/>
        </w:rPr>
        <w:t>感应雷是雷电在导体上产生的雷电感应。这种感应能在室内外导体上产生大量静电积累和感应电动势，极易产生电火花、局部过热等现象，若烟花生产危险品工库房内金属物体没有接地或接地方式不对，极可能发生燃烧爆炸事故。</w:t>
      </w:r>
    </w:p>
    <w:p w14:paraId="14C93DD5">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雷电波侵入是雷击发生时，在输电线路、供水供汽管路上产生冲击电压，并沿着管路传播。若侵入生产工库房内，可能造成危险品燃烧、爆炸。该企业烟花生产工库房未涉及供汽管路，多数工库房无输电线路，雷电波侵入的危险性较小。</w:t>
      </w:r>
    </w:p>
    <w:p w14:paraId="0755C6F6">
      <w:pPr>
        <w:spacing w:before="120" w:after="120" w:line="360" w:lineRule="auto"/>
        <w:outlineLvl w:val="2"/>
        <w:rPr>
          <w:rFonts w:ascii="黑体" w:hAnsi="黑体" w:eastAsia="黑体"/>
          <w:b w:val="0"/>
          <w:sz w:val="30"/>
          <w:szCs w:val="30"/>
        </w:rPr>
      </w:pPr>
      <w:bookmarkStart w:id="390" w:name="_Toc58946835"/>
      <w:bookmarkStart w:id="391" w:name="_Toc181194084"/>
      <w:bookmarkStart w:id="392" w:name="_Toc148037006"/>
      <w:bookmarkStart w:id="393" w:name="_Toc271898772"/>
      <w:bookmarkStart w:id="394" w:name="_Toc58862003"/>
      <w:bookmarkStart w:id="395" w:name="_Toc335902413"/>
      <w:bookmarkStart w:id="396" w:name="_Toc145275211"/>
      <w:bookmarkStart w:id="397" w:name="_Toc294247657"/>
      <w:bookmarkStart w:id="398" w:name="_Toc213469604"/>
      <w:bookmarkStart w:id="399" w:name="_Toc60129118"/>
      <w:bookmarkStart w:id="400" w:name="_Toc173077677"/>
      <w:bookmarkStart w:id="401" w:name="_Toc213127087"/>
      <w:bookmarkStart w:id="402" w:name="_Toc294247827"/>
      <w:r>
        <w:rPr>
          <w:rFonts w:ascii="黑体" w:hAnsi="黑体" w:eastAsia="黑体"/>
          <w:b w:val="0"/>
          <w:sz w:val="30"/>
          <w:szCs w:val="30"/>
        </w:rPr>
        <w:t>3.9.</w:t>
      </w:r>
      <w:r>
        <w:rPr>
          <w:rFonts w:hint="eastAsia" w:ascii="黑体" w:hAnsi="黑体" w:eastAsia="黑体"/>
          <w:b w:val="0"/>
          <w:sz w:val="30"/>
          <w:szCs w:val="30"/>
        </w:rPr>
        <w:t>2作业环境危险有害因素分析</w:t>
      </w:r>
      <w:bookmarkEnd w:id="390"/>
      <w:bookmarkEnd w:id="391"/>
      <w:bookmarkEnd w:id="392"/>
      <w:bookmarkEnd w:id="393"/>
      <w:bookmarkEnd w:id="394"/>
      <w:bookmarkEnd w:id="395"/>
      <w:bookmarkEnd w:id="396"/>
      <w:bookmarkEnd w:id="397"/>
      <w:bookmarkEnd w:id="398"/>
      <w:bookmarkEnd w:id="399"/>
      <w:bookmarkEnd w:id="400"/>
      <w:bookmarkEnd w:id="401"/>
      <w:bookmarkEnd w:id="402"/>
    </w:p>
    <w:p w14:paraId="00BE6FC9">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（1）粉尘危害</w:t>
      </w:r>
    </w:p>
    <w:p w14:paraId="24D33023">
      <w:pPr>
        <w:spacing w:line="360" w:lineRule="auto"/>
        <w:ind w:firstLine="560" w:firstLineChars="200"/>
        <w:rPr>
          <w:rFonts w:ascii="宋体" w:hAnsi="宋体"/>
          <w:b w:val="0"/>
          <w:sz w:val="28"/>
        </w:rPr>
      </w:pPr>
      <w:r>
        <w:rPr>
          <w:rFonts w:hint="eastAsia" w:ascii="宋体" w:hAnsi="宋体"/>
          <w:b w:val="0"/>
          <w:sz w:val="28"/>
        </w:rPr>
        <w:t>作业环境中主要危险、有害因素为生产性粉尘危害，主要产生在粉碎、二味球磨、三味球磨/筛选等工序中；其中硫磺还可形成爆炸性粉尘。</w:t>
      </w:r>
    </w:p>
    <w:p w14:paraId="54EA7872">
      <w:pPr>
        <w:spacing w:line="360" w:lineRule="auto"/>
        <w:ind w:firstLine="592" w:firstLineChars="200"/>
        <w:rPr>
          <w:rFonts w:ascii="宋体" w:hAnsi="宋体"/>
          <w:b w:val="0"/>
          <w:sz w:val="28"/>
        </w:rPr>
      </w:pPr>
      <w:r>
        <w:rPr>
          <w:rFonts w:hint="eastAsia" w:ascii="宋体" w:hAnsi="宋体" w:cs="Arial"/>
          <w:b w:val="0"/>
          <w:spacing w:val="8"/>
          <w:sz w:val="28"/>
        </w:rPr>
        <w:t>若工库房通风不好，</w:t>
      </w:r>
      <w:r>
        <w:rPr>
          <w:rFonts w:hint="eastAsia" w:ascii="宋体" w:hAnsi="宋体"/>
          <w:b w:val="0"/>
          <w:sz w:val="28"/>
        </w:rPr>
        <w:t>硫磺可燃性粉尘在空气中达到一定的浓度，遇到火源可发生粉尘爆炸。爆炸时粒子一边燃烧一边飞散，可使可燃物局部炭化，造成人员严重烧伤。最初的局部爆炸发生之后，会扬起周围的粉尘，继而引起二次爆炸、三次爆炸，扩大伤害，同时，粉尘爆炸易造成不完全燃烧，产生有毒气体，危害人体健康。硫磺在空气中的含量达到</w:t>
      </w:r>
      <w:r>
        <w:rPr>
          <w:rFonts w:ascii="宋体" w:hAnsi="宋体"/>
          <w:b w:val="0"/>
          <w:sz w:val="28"/>
        </w:rPr>
        <w:t>35mg/m</w:t>
      </w:r>
      <w:r>
        <w:rPr>
          <w:rFonts w:ascii="宋体" w:hAnsi="宋体"/>
          <w:b w:val="0"/>
          <w:sz w:val="28"/>
          <w:vertAlign w:val="superscript"/>
        </w:rPr>
        <w:t>3</w:t>
      </w:r>
      <w:r>
        <w:rPr>
          <w:rFonts w:hint="eastAsia" w:ascii="宋体" w:hAnsi="宋体"/>
          <w:b w:val="0"/>
          <w:sz w:val="28"/>
        </w:rPr>
        <w:t>以上即具燃爆性。</w:t>
      </w:r>
    </w:p>
    <w:p w14:paraId="421B8891">
      <w:pPr>
        <w:spacing w:line="360" w:lineRule="auto"/>
        <w:ind w:firstLine="560" w:firstLineChars="200"/>
        <w:rPr>
          <w:rFonts w:ascii="宋体" w:hAnsi="宋体"/>
          <w:b w:val="0"/>
          <w:snapToGrid w:val="0"/>
          <w:sz w:val="28"/>
          <w:szCs w:val="28"/>
        </w:rPr>
      </w:pPr>
      <w:r>
        <w:rPr>
          <w:rFonts w:hint="eastAsia" w:ascii="宋体" w:hAnsi="宋体"/>
          <w:b w:val="0"/>
          <w:sz w:val="28"/>
        </w:rPr>
        <w:t>生产过程中，有尘作业工人长期吸入粉尘可引起呼吸道刺激症状和中毒。同时，粉尘污染车间环境，影响设备照明</w:t>
      </w:r>
      <w:r>
        <w:rPr>
          <w:rFonts w:hint="eastAsia" w:ascii="宋体" w:hAnsi="宋体"/>
          <w:b w:val="0"/>
          <w:snapToGrid w:val="0"/>
          <w:sz w:val="28"/>
          <w:szCs w:val="28"/>
        </w:rPr>
        <w:t>。</w:t>
      </w:r>
    </w:p>
    <w:p w14:paraId="3552E80F">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（2）采光照明不良</w:t>
      </w:r>
    </w:p>
    <w:p w14:paraId="489D68EE">
      <w:pPr>
        <w:spacing w:line="360" w:lineRule="auto"/>
        <w:ind w:firstLine="560" w:firstLineChars="200"/>
        <w:rPr>
          <w:rFonts w:ascii="宋体" w:hAnsi="宋体"/>
          <w:b w:val="0"/>
          <w:sz w:val="28"/>
        </w:rPr>
      </w:pPr>
      <w:r>
        <w:rPr>
          <w:rFonts w:hint="eastAsia" w:ascii="宋体" w:hAnsi="宋体"/>
          <w:b w:val="0"/>
          <w:sz w:val="28"/>
        </w:rPr>
        <w:t>根据相关标准规定：室内天然光照度应大于</w:t>
      </w:r>
      <w:r>
        <w:rPr>
          <w:rFonts w:ascii="宋体" w:hAnsi="宋体"/>
          <w:b w:val="0"/>
          <w:sz w:val="28"/>
        </w:rPr>
        <w:t>100</w:t>
      </w:r>
      <w:r>
        <w:rPr>
          <w:rFonts w:hint="eastAsia" w:ascii="宋体" w:hAnsi="宋体"/>
          <w:b w:val="0"/>
          <w:sz w:val="28"/>
        </w:rPr>
        <w:t>勒克斯。采用人工照明措施后，混合照明照度应大于</w:t>
      </w:r>
      <w:r>
        <w:rPr>
          <w:rFonts w:ascii="宋体" w:hAnsi="宋体"/>
          <w:b w:val="0"/>
          <w:sz w:val="28"/>
        </w:rPr>
        <w:t>200</w:t>
      </w:r>
      <w:r>
        <w:rPr>
          <w:rFonts w:hint="eastAsia" w:ascii="宋体" w:hAnsi="宋体"/>
          <w:b w:val="0"/>
          <w:sz w:val="28"/>
        </w:rPr>
        <w:t>勒克斯。</w:t>
      </w:r>
    </w:p>
    <w:p w14:paraId="59CF585D">
      <w:pPr>
        <w:spacing w:line="360" w:lineRule="auto"/>
        <w:ind w:firstLine="560" w:firstLineChars="200"/>
        <w:rPr>
          <w:rFonts w:ascii="宋体" w:hAnsi="宋体"/>
          <w:b w:val="0"/>
          <w:snapToGrid w:val="0"/>
          <w:sz w:val="28"/>
          <w:szCs w:val="28"/>
        </w:rPr>
      </w:pPr>
      <w:r>
        <w:rPr>
          <w:rFonts w:hint="eastAsia" w:ascii="宋体" w:hAnsi="宋体"/>
          <w:b w:val="0"/>
          <w:sz w:val="28"/>
        </w:rPr>
        <w:t>若操作台背光设置导致采光不良，或灯光照明混合照度小于</w:t>
      </w:r>
      <w:r>
        <w:rPr>
          <w:rFonts w:ascii="宋体" w:hAnsi="宋体"/>
          <w:b w:val="0"/>
          <w:sz w:val="28"/>
        </w:rPr>
        <w:t>200</w:t>
      </w:r>
      <w:r>
        <w:rPr>
          <w:rFonts w:hint="eastAsia" w:ascii="宋体" w:hAnsi="宋体"/>
          <w:b w:val="0"/>
          <w:sz w:val="28"/>
        </w:rPr>
        <w:t>勒克斯，工人长期在光照度不足环境中工作，会对视力造成损害，还可能发生意外跌倒受伤，并可能因意外跌倒导致黑火药受到撞击、摩擦发生燃烧、爆炸</w:t>
      </w:r>
      <w:r>
        <w:rPr>
          <w:rFonts w:hint="eastAsia" w:ascii="宋体" w:hAnsi="宋体"/>
          <w:b w:val="0"/>
          <w:snapToGrid w:val="0"/>
          <w:sz w:val="28"/>
          <w:szCs w:val="28"/>
        </w:rPr>
        <w:t>。</w:t>
      </w:r>
    </w:p>
    <w:p w14:paraId="027DC2D4">
      <w:pPr>
        <w:spacing w:before="120" w:after="120" w:line="360" w:lineRule="auto"/>
        <w:outlineLvl w:val="2"/>
        <w:rPr>
          <w:rFonts w:ascii="黑体" w:hAnsi="黑体" w:eastAsia="黑体"/>
          <w:b w:val="0"/>
          <w:sz w:val="30"/>
          <w:szCs w:val="30"/>
        </w:rPr>
      </w:pPr>
      <w:r>
        <w:rPr>
          <w:rFonts w:ascii="黑体" w:hAnsi="黑体" w:eastAsia="黑体"/>
          <w:b w:val="0"/>
          <w:sz w:val="30"/>
          <w:szCs w:val="30"/>
        </w:rPr>
        <w:t>3.9.3</w:t>
      </w:r>
      <w:r>
        <w:rPr>
          <w:rFonts w:hint="eastAsia" w:ascii="黑体" w:hAnsi="黑体" w:eastAsia="黑体"/>
          <w:b w:val="0"/>
          <w:sz w:val="30"/>
          <w:szCs w:val="30"/>
        </w:rPr>
        <w:t>周边环境危险有害因素分析</w:t>
      </w:r>
    </w:p>
    <w:p w14:paraId="2DA7E6BB">
      <w:pPr>
        <w:pStyle w:val="2"/>
        <w:ind w:firstLine="560"/>
        <w:rPr>
          <w:rFonts w:ascii="宋体" w:hAnsi="宋体" w:eastAsia="宋体"/>
          <w:b w:val="0"/>
          <w:bCs/>
        </w:rPr>
      </w:pPr>
      <w:r>
        <w:rPr>
          <w:rFonts w:hint="eastAsia" w:ascii="宋体" w:hAnsi="宋体" w:eastAsia="宋体"/>
          <w:b w:val="0"/>
          <w:bCs/>
        </w:rPr>
        <w:t>该项目位于醴陵市沩山镇泉水村，厂区周边环境存在以下危险有害因素：一是厂区周边山地长有杂草和树林，高温干燥季节易因雷击、人为明火等引发山林火灾，火势及飞火蔓延至厂区可引燃区内黑火药危险物品，导致燃烧爆炸事故；二是厂区周边分布有零散住户，居民生活用火、燃放烟花爆竹等行为产生的明火飞火存在引燃厂区危险品的风险，同时存在无关人员误入危险区域及个别人员蓄意破坏、偷盗药物引发事故的隐患；三是厂区西南面与醴陵市楚丰出口烟花鞭炮制造有限公司相邻，虽两厂间安全距离符合《烟花爆竹工程设计安全标准》（GB 50161</w:t>
      </w:r>
      <w:r>
        <w:rPr>
          <w:rFonts w:ascii="宋体" w:hAnsi="宋体" w:eastAsia="宋体"/>
          <w:b w:val="0"/>
          <w:bCs/>
        </w:rPr>
        <w:t>-2022</w:t>
      </w:r>
      <w:r>
        <w:rPr>
          <w:rFonts w:hint="eastAsia" w:ascii="宋体" w:hAnsi="宋体" w:eastAsia="宋体"/>
          <w:b w:val="0"/>
          <w:bCs/>
        </w:rPr>
        <w:t>）相关规定，但相邻企业一旦发生燃烧爆炸事故，其产生的冲击波、飞散物及热辐射仍可能对本厂区建（构）筑物及储存的危险品造成破坏，诱发连锁燃烧爆炸事故。</w:t>
      </w:r>
    </w:p>
    <w:p w14:paraId="1D4B51C1">
      <w:pPr>
        <w:keepNext/>
        <w:keepLines/>
        <w:spacing w:before="120" w:beforeLines="50" w:line="360" w:lineRule="auto"/>
        <w:outlineLvl w:val="1"/>
        <w:rPr>
          <w:rFonts w:ascii="黑体" w:hAnsi="黑体" w:eastAsia="黑体"/>
          <w:b w:val="0"/>
          <w:bCs/>
          <w:snapToGrid w:val="0"/>
          <w:sz w:val="30"/>
          <w:szCs w:val="30"/>
        </w:rPr>
      </w:pPr>
      <w:bookmarkStart w:id="403" w:name="_Toc239191509"/>
      <w:bookmarkStart w:id="404" w:name="_Toc271898776"/>
      <w:bookmarkStart w:id="405" w:name="_Toc335902417"/>
      <w:bookmarkStart w:id="406" w:name="_Toc173077681"/>
      <w:bookmarkStart w:id="407" w:name="_Toc294247831"/>
      <w:bookmarkStart w:id="408" w:name="_Toc227869290"/>
      <w:r>
        <w:rPr>
          <w:rFonts w:hint="eastAsia" w:ascii="黑体" w:hAnsi="黑体" w:eastAsia="黑体"/>
          <w:b w:val="0"/>
          <w:bCs/>
          <w:snapToGrid w:val="0"/>
          <w:sz w:val="30"/>
          <w:szCs w:val="30"/>
        </w:rPr>
        <w:t>3.1</w:t>
      </w:r>
      <w:r>
        <w:rPr>
          <w:rFonts w:ascii="黑体" w:hAnsi="黑体" w:eastAsia="黑体"/>
          <w:b w:val="0"/>
          <w:bCs/>
          <w:snapToGrid w:val="0"/>
          <w:sz w:val="30"/>
          <w:szCs w:val="30"/>
        </w:rPr>
        <w:t>0</w:t>
      </w:r>
      <w:r>
        <w:rPr>
          <w:rFonts w:hint="eastAsia" w:ascii="黑体" w:hAnsi="黑体" w:eastAsia="黑体"/>
          <w:b w:val="0"/>
          <w:bCs/>
          <w:snapToGrid w:val="0"/>
          <w:sz w:val="30"/>
          <w:szCs w:val="30"/>
        </w:rPr>
        <w:t>建筑施工过程危险因素分析</w:t>
      </w:r>
      <w:bookmarkEnd w:id="403"/>
    </w:p>
    <w:p w14:paraId="6D8C1DF8">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从建筑施工的特点，可以看出建筑施工的不安全因素多存在于高处交叉作业、垂直运输、使用电气工具以及基础工程作业中。伤亡事故主要类别是：高处坠落、坍塌、物体打击、触电、厂（场）内车辆致害、机械致害，这六类伤亡事故死亡人数，每年占因工死亡人数总数的70～80%。</w:t>
      </w:r>
    </w:p>
    <w:p w14:paraId="3366B086">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1.高处坠落</w:t>
      </w:r>
    </w:p>
    <w:p w14:paraId="058EE138">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高处坠落是指人员从坠落高度≧2米的临边、洞口坠落。</w:t>
      </w:r>
    </w:p>
    <w:p w14:paraId="5562E155">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如果在建筑施工中违反安全操作规程、没有使用或正确使用安全“三宝”；如果人缺乏应有的安全常识和安全意识；如果现场安全检查不到位，安全隐患未及时发现和整改，安全防护措施不力。以上均容易造成高处坠落。</w:t>
      </w:r>
    </w:p>
    <w:p w14:paraId="4D6B585D">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2.坍塌</w:t>
      </w:r>
    </w:p>
    <w:p w14:paraId="2A29C380">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坍塌是指建筑物、构筑物、堆置物、土石方、搭设的脚手架体等，底部支撑强度不能抵御上部荷重，失稳垮塌造成的安全事故。</w:t>
      </w:r>
    </w:p>
    <w:p w14:paraId="1F3DC591">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如果在建筑施工中未按施工方案进行施工，未对模板脚手架进行检查验收，安全管理混乱，安全检查不到位，极易造成坍塌现象。</w:t>
      </w:r>
    </w:p>
    <w:p w14:paraId="1FD10AC5">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3.物体打击</w:t>
      </w:r>
    </w:p>
    <w:p w14:paraId="3196D8CC">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物体打击伤害是指失控物体的惯性力造成的人体伤亡事故。</w:t>
      </w:r>
    </w:p>
    <w:p w14:paraId="0307CA8D">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如果在建筑施工中作业人员进入施工场地没有按照要求佩戴安全帽，没有在规定的安全通道内活动，工作过程中工具未放在工具袋中，作业人员从高处抛掷建筑材料、杂物、建筑垃圾，脚手板铺设不规范，物料放在临边或洞口附近，拆除工程未设警示标志，周围未设护栏，起重吊装没专人指挥，未按“十不吊”规定执行，平网、密目网防护不严，不能封住坠落物体；就会造成物体打击伤害的危险。</w:t>
      </w:r>
    </w:p>
    <w:p w14:paraId="5CF23ECA">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4.触电</w:t>
      </w:r>
    </w:p>
    <w:p w14:paraId="545FB4BC">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触电是由于人体直接接触电源（导致电体或漏电体），受到一定量的电流通过人体致使组织损坏和功能障碍致人伤亡的事故。</w:t>
      </w:r>
    </w:p>
    <w:p w14:paraId="76A5699C">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如果在建筑施工中施工现场管理混乱，违章指挥，不具备安全条件下冒险施工就会造成触电伤害事故。</w:t>
      </w:r>
    </w:p>
    <w:p w14:paraId="42D1734B">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5.厂（场）内机动车致害</w:t>
      </w:r>
    </w:p>
    <w:p w14:paraId="7840D431">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在建筑施工过程中，采用电瓶车、机动车、叉车、挖掘机等运输工具作业时，工作场地内的设备移动不均匀的情况下，通常会有大量的交通流量。</w:t>
      </w:r>
    </w:p>
    <w:p w14:paraId="6A1954BC">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如果在施工过程中，施工现场管理混乱，出现交通事故，从而导致人员伤亡事故发生。</w:t>
      </w:r>
    </w:p>
    <w:p w14:paraId="68D490BA">
      <w:pPr>
        <w:spacing w:line="360" w:lineRule="auto"/>
        <w:ind w:firstLine="560" w:firstLineChars="200"/>
        <w:rPr>
          <w:rFonts w:ascii="宋体" w:hAnsi="宋体" w:cs="宋体"/>
          <w:b w:val="0"/>
          <w:bCs/>
          <w:sz w:val="28"/>
          <w:szCs w:val="28"/>
        </w:rPr>
      </w:pPr>
      <w:r>
        <w:rPr>
          <w:rFonts w:ascii="宋体" w:hAnsi="宋体" w:cs="宋体"/>
          <w:b w:val="0"/>
          <w:bCs/>
          <w:sz w:val="28"/>
          <w:szCs w:val="28"/>
        </w:rPr>
        <w:t>6.</w:t>
      </w:r>
      <w:r>
        <w:rPr>
          <w:rFonts w:hint="eastAsia" w:ascii="宋体" w:hAnsi="宋体" w:cs="宋体"/>
          <w:b w:val="0"/>
          <w:bCs/>
          <w:sz w:val="28"/>
          <w:szCs w:val="28"/>
        </w:rPr>
        <w:t>机械致害</w:t>
      </w:r>
    </w:p>
    <w:p w14:paraId="3DC12702">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主要是吊车、卷扬机、平刨机、电锯、电焊机、搅拌机、砂浆拌等在使用过程中，因缺少防护和保险装置对操作者造成的伤害，一旦出现事故，将会造成重大伤亡和财产损失，尤其是塔吊和卷扬机可能</w:t>
      </w:r>
      <w:r>
        <w:rPr>
          <w:rFonts w:hint="eastAsia" w:ascii="宋体" w:hAnsi="宋体"/>
          <w:b w:val="0"/>
          <w:snapToGrid w:val="0"/>
          <w:spacing w:val="-6"/>
          <w:sz w:val="28"/>
          <w:szCs w:val="28"/>
        </w:rPr>
        <w:t>引发群死群伤事故。引发机械致害事故的原因有：大型机械设备基础不坚固引起倾覆，无资质安装、拆除、维保；机械作业人员无证上岗；各种限位保护装置失灵，机械传动部位无防护罩，起重作业信号不当，指挥不到位，钢丝绳未定期检查，作业人员酒后作业及其它违规违章</w:t>
      </w:r>
      <w:r>
        <w:rPr>
          <w:rFonts w:hint="eastAsia" w:ascii="宋体" w:hAnsi="宋体" w:cs="宋体"/>
          <w:b w:val="0"/>
          <w:bCs/>
          <w:sz w:val="28"/>
          <w:szCs w:val="28"/>
        </w:rPr>
        <w:t>等。</w:t>
      </w:r>
    </w:p>
    <w:p w14:paraId="36023FBC">
      <w:pPr>
        <w:keepNext/>
        <w:keepLines/>
        <w:spacing w:before="120" w:beforeLines="50" w:line="360" w:lineRule="auto"/>
        <w:outlineLvl w:val="1"/>
        <w:rPr>
          <w:rFonts w:ascii="黑体" w:hAnsi="黑体" w:eastAsia="黑体"/>
          <w:b w:val="0"/>
          <w:bCs/>
          <w:snapToGrid w:val="0"/>
          <w:sz w:val="30"/>
          <w:szCs w:val="30"/>
        </w:rPr>
      </w:pPr>
      <w:bookmarkStart w:id="409" w:name="_Toc239191510"/>
      <w:r>
        <w:rPr>
          <w:rFonts w:hint="eastAsia" w:ascii="黑体" w:hAnsi="黑体" w:eastAsia="黑体"/>
          <w:b w:val="0"/>
          <w:bCs/>
          <w:snapToGrid w:val="0"/>
          <w:sz w:val="30"/>
          <w:szCs w:val="30"/>
        </w:rPr>
        <w:t>3</w:t>
      </w:r>
      <w:r>
        <w:rPr>
          <w:rFonts w:ascii="黑体" w:hAnsi="黑体" w:eastAsia="黑体"/>
          <w:b w:val="0"/>
          <w:bCs/>
          <w:snapToGrid w:val="0"/>
          <w:sz w:val="30"/>
          <w:szCs w:val="30"/>
        </w:rPr>
        <w:t>.11</w:t>
      </w:r>
      <w:r>
        <w:rPr>
          <w:rFonts w:hint="eastAsia" w:ascii="黑体" w:hAnsi="黑体" w:eastAsia="黑体"/>
          <w:b w:val="0"/>
          <w:bCs/>
          <w:snapToGrid w:val="0"/>
          <w:sz w:val="30"/>
          <w:szCs w:val="30"/>
        </w:rPr>
        <w:t>人员因素危险性分析</w:t>
      </w:r>
      <w:bookmarkEnd w:id="404"/>
      <w:bookmarkEnd w:id="405"/>
      <w:bookmarkEnd w:id="406"/>
      <w:bookmarkEnd w:id="407"/>
      <w:bookmarkEnd w:id="408"/>
      <w:bookmarkEnd w:id="409"/>
    </w:p>
    <w:p w14:paraId="0F53D821">
      <w:pPr>
        <w:spacing w:line="360" w:lineRule="auto"/>
        <w:ind w:firstLine="560" w:firstLineChars="200"/>
        <w:rPr>
          <w:rFonts w:ascii="宋体" w:hAnsi="宋体"/>
          <w:b w:val="0"/>
          <w:snapToGrid w:val="0"/>
          <w:sz w:val="28"/>
          <w:szCs w:val="28"/>
        </w:rPr>
      </w:pPr>
      <w:r>
        <w:rPr>
          <w:rFonts w:hint="eastAsia" w:ascii="宋体" w:hAnsi="宋体"/>
          <w:b w:val="0"/>
          <w:sz w:val="28"/>
        </w:rPr>
        <w:t>从安全的角度来讲，人的因素非常重要。人的劳动是有意识、有目的的活动；人在具体工作时，更受其本身的文化教育、素质、知识、技能、经验、思维方式、情感、性格、年龄、健康状况、工作态度、人际关系等因素的控制和影响。显然，人的因素在上述诸多危险、有害因素中起着决定或支配作用。烟花生产事故中，人员的违章操作、违规指挥、违反纪律是导致事故发生和事故扩大造成伤亡和损失的主要原因</w:t>
      </w:r>
      <w:r>
        <w:rPr>
          <w:rFonts w:hint="eastAsia" w:ascii="宋体" w:hAnsi="宋体"/>
          <w:b w:val="0"/>
          <w:snapToGrid w:val="0"/>
          <w:sz w:val="28"/>
          <w:szCs w:val="28"/>
        </w:rPr>
        <w:t>。</w:t>
      </w:r>
    </w:p>
    <w:p w14:paraId="1E9732BF">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生产过程中人员危害因素分析如下：</w:t>
      </w:r>
    </w:p>
    <w:p w14:paraId="29828B2D">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1</w:t>
      </w:r>
      <w:r>
        <w:rPr>
          <w:rFonts w:hint="eastAsia" w:ascii="宋体" w:hAnsi="宋体"/>
          <w:b w:val="0"/>
          <w:snapToGrid w:val="0"/>
          <w:sz w:val="28"/>
          <w:szCs w:val="28"/>
        </w:rPr>
        <w:t>）管理人员未经安全培训、安全意识不强、违规指挥，可能导致事故。</w:t>
      </w:r>
    </w:p>
    <w:p w14:paraId="10220342">
      <w:pPr>
        <w:spacing w:line="360" w:lineRule="auto"/>
        <w:ind w:firstLine="536" w:firstLineChars="200"/>
        <w:rPr>
          <w:rFonts w:ascii="宋体" w:hAnsi="宋体"/>
          <w:b w:val="0"/>
          <w:snapToGrid w:val="0"/>
          <w:sz w:val="28"/>
          <w:szCs w:val="28"/>
        </w:rPr>
      </w:pPr>
      <w:r>
        <w:rPr>
          <w:rFonts w:hint="eastAsia" w:ascii="宋体" w:hAnsi="宋体"/>
          <w:b w:val="0"/>
          <w:snapToGrid w:val="0"/>
          <w:spacing w:val="-6"/>
          <w:sz w:val="28"/>
          <w:szCs w:val="28"/>
        </w:rPr>
        <w:t>（</w:t>
      </w:r>
      <w:r>
        <w:rPr>
          <w:rFonts w:ascii="宋体" w:hAnsi="宋体"/>
          <w:b w:val="0"/>
          <w:snapToGrid w:val="0"/>
          <w:spacing w:val="-6"/>
          <w:sz w:val="28"/>
          <w:szCs w:val="28"/>
        </w:rPr>
        <w:t>2</w:t>
      </w:r>
      <w:r>
        <w:rPr>
          <w:rFonts w:hint="eastAsia" w:ascii="宋体" w:hAnsi="宋体"/>
          <w:b w:val="0"/>
          <w:snapToGrid w:val="0"/>
          <w:spacing w:val="-6"/>
          <w:sz w:val="28"/>
          <w:szCs w:val="28"/>
        </w:rPr>
        <w:t>）危险品操作人员安全知识欠缺、未取得上岗证书、劳动技能不熟练，可能导致烟火药或其制品处于失控状态引发燃烧、爆炸事故。</w:t>
      </w:r>
    </w:p>
    <w:p w14:paraId="03E3C084">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3</w:t>
      </w:r>
      <w:r>
        <w:rPr>
          <w:rFonts w:hint="eastAsia" w:ascii="宋体" w:hAnsi="宋体"/>
          <w:b w:val="0"/>
          <w:snapToGrid w:val="0"/>
          <w:sz w:val="28"/>
          <w:szCs w:val="28"/>
        </w:rPr>
        <w:t>）危险品操作人员健康状况异常，带病上岗、色盲、听力差、视力差、记忆力差、反应迟钝、动作不协调、睡眠不足等都可能导致烟火药或其制品处于失控状态引发燃烧、爆炸、机械伤害事故。</w:t>
      </w:r>
    </w:p>
    <w:p w14:paraId="535D2AA5">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4</w:t>
      </w:r>
      <w:r>
        <w:rPr>
          <w:rFonts w:hint="eastAsia" w:ascii="宋体" w:hAnsi="宋体"/>
          <w:b w:val="0"/>
          <w:snapToGrid w:val="0"/>
          <w:sz w:val="28"/>
          <w:szCs w:val="28"/>
        </w:rPr>
        <w:t>）危险品操作人员因各种原因超强度、超负荷工作，可能因体力不支导致烟火药或其制品处于失控状态引发燃烧、爆炸事故。</w:t>
      </w:r>
    </w:p>
    <w:p w14:paraId="3839D99A">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5</w:t>
      </w:r>
      <w:r>
        <w:rPr>
          <w:rFonts w:hint="eastAsia" w:ascii="宋体" w:hAnsi="宋体"/>
          <w:b w:val="0"/>
          <w:snapToGrid w:val="0"/>
          <w:sz w:val="28"/>
          <w:szCs w:val="28"/>
        </w:rPr>
        <w:t>）危险品操作人员心理异常，情绪异常、有冒险心理、过度紧张等有可能导致操作失误、违规操作、甚至人为破坏引发事故。</w:t>
      </w:r>
    </w:p>
    <w:p w14:paraId="1E5DC4BC">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另外，要提醒注意的是：1）有色盲的人不适宜从事烟火药工作；2）听力差、视力差的人员更不宜安排在危险工序作业；3）员工睡眠不足或有思想情绪不能上班。</w:t>
      </w:r>
    </w:p>
    <w:p w14:paraId="0E512755">
      <w:pPr>
        <w:keepNext/>
        <w:keepLines/>
        <w:spacing w:line="360" w:lineRule="auto"/>
        <w:outlineLvl w:val="1"/>
        <w:rPr>
          <w:rFonts w:ascii="黑体" w:hAnsi="黑体" w:eastAsia="黑体"/>
          <w:b w:val="0"/>
          <w:bCs/>
          <w:snapToGrid w:val="0"/>
          <w:sz w:val="32"/>
          <w:szCs w:val="32"/>
        </w:rPr>
      </w:pPr>
      <w:bookmarkStart w:id="410" w:name="_Toc326823027"/>
      <w:bookmarkStart w:id="411" w:name="_Toc326007675"/>
      <w:bookmarkStart w:id="412" w:name="_Toc173077682"/>
      <w:bookmarkStart w:id="413" w:name="_Toc227869291"/>
      <w:bookmarkStart w:id="414" w:name="_Toc335902418"/>
      <w:bookmarkStart w:id="415" w:name="_Toc325531551"/>
      <w:bookmarkStart w:id="416" w:name="_Toc239191511"/>
      <w:r>
        <w:rPr>
          <w:rFonts w:ascii="黑体" w:hAnsi="黑体" w:eastAsia="黑体"/>
          <w:b w:val="0"/>
          <w:bCs/>
          <w:snapToGrid w:val="0"/>
          <w:sz w:val="32"/>
          <w:szCs w:val="32"/>
        </w:rPr>
        <w:t>3.</w:t>
      </w:r>
      <w:r>
        <w:rPr>
          <w:rFonts w:hint="eastAsia" w:ascii="黑体" w:hAnsi="黑体" w:eastAsia="黑体"/>
          <w:b w:val="0"/>
          <w:bCs/>
          <w:snapToGrid w:val="0"/>
          <w:sz w:val="32"/>
          <w:szCs w:val="32"/>
        </w:rPr>
        <w:t>1</w:t>
      </w:r>
      <w:r>
        <w:rPr>
          <w:rFonts w:ascii="黑体" w:hAnsi="黑体" w:eastAsia="黑体"/>
          <w:b w:val="0"/>
          <w:bCs/>
          <w:snapToGrid w:val="0"/>
          <w:sz w:val="32"/>
          <w:szCs w:val="32"/>
        </w:rPr>
        <w:t>2</w:t>
      </w:r>
      <w:r>
        <w:rPr>
          <w:rFonts w:hint="eastAsia" w:ascii="黑体" w:hAnsi="黑体" w:eastAsia="黑体"/>
          <w:b w:val="0"/>
          <w:bCs/>
          <w:snapToGrid w:val="0"/>
          <w:sz w:val="32"/>
          <w:szCs w:val="32"/>
        </w:rPr>
        <w:t>主要危险有害因素分析</w:t>
      </w:r>
      <w:bookmarkEnd w:id="410"/>
      <w:bookmarkEnd w:id="411"/>
      <w:bookmarkEnd w:id="412"/>
      <w:bookmarkEnd w:id="413"/>
      <w:bookmarkEnd w:id="414"/>
      <w:bookmarkEnd w:id="415"/>
      <w:bookmarkEnd w:id="416"/>
    </w:p>
    <w:p w14:paraId="5A5EA2D9">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综上所述，通过对湖南金帝烟花爆竹制造有限公司黑火生产现场的勘查与分析，本项目评价组确定 湖南金帝烟花爆竹制造有限公司生产过程的主要危险、有害因素如下表3.1</w:t>
      </w:r>
      <w:r>
        <w:rPr>
          <w:rFonts w:ascii="宋体" w:hAnsi="宋体"/>
          <w:b w:val="0"/>
          <w:snapToGrid w:val="0"/>
          <w:sz w:val="28"/>
          <w:szCs w:val="28"/>
        </w:rPr>
        <w:t>2</w:t>
      </w:r>
      <w:r>
        <w:rPr>
          <w:rFonts w:hint="eastAsia" w:ascii="宋体" w:hAnsi="宋体"/>
          <w:b w:val="0"/>
          <w:snapToGrid w:val="0"/>
          <w:sz w:val="28"/>
          <w:szCs w:val="28"/>
        </w:rPr>
        <w:t>-1所示；其中最主要的危险、有害因素为燃烧、爆炸危险和电伤害（含静电、雷电），分述如下文。</w:t>
      </w:r>
    </w:p>
    <w:p w14:paraId="7B9A36CB">
      <w:pPr>
        <w:jc w:val="center"/>
        <w:rPr>
          <w:rFonts w:ascii="黑体" w:hAnsi="宋体" w:eastAsia="黑体"/>
          <w:b w:val="0"/>
          <w:sz w:val="24"/>
        </w:rPr>
      </w:pPr>
      <w:r>
        <w:rPr>
          <w:rFonts w:hint="eastAsia" w:ascii="黑体" w:hAnsi="宋体" w:eastAsia="黑体"/>
          <w:b w:val="0"/>
          <w:sz w:val="24"/>
        </w:rPr>
        <w:t>表3.1</w:t>
      </w:r>
      <w:r>
        <w:rPr>
          <w:rFonts w:ascii="黑体" w:hAnsi="宋体" w:eastAsia="黑体"/>
          <w:b w:val="0"/>
          <w:sz w:val="24"/>
        </w:rPr>
        <w:t>2</w:t>
      </w:r>
      <w:r>
        <w:rPr>
          <w:rFonts w:hint="eastAsia" w:ascii="黑体" w:hAnsi="宋体" w:eastAsia="黑体"/>
          <w:b w:val="0"/>
          <w:sz w:val="24"/>
        </w:rPr>
        <w:t>-1  企业存在的主要危险、有害因素</w:t>
      </w:r>
    </w:p>
    <w:tbl>
      <w:tblPr>
        <w:tblStyle w:val="88"/>
        <w:tblW w:w="503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429"/>
        <w:gridCol w:w="1181"/>
        <w:gridCol w:w="3117"/>
        <w:gridCol w:w="2732"/>
        <w:gridCol w:w="1900"/>
      </w:tblGrid>
      <w:tr w14:paraId="2EF883C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40" w:hRule="atLeast"/>
          <w:tblHeader/>
          <w:jc w:val="center"/>
        </w:trPr>
        <w:tc>
          <w:tcPr>
            <w:tcW w:w="860" w:type="pct"/>
            <w:gridSpan w:val="2"/>
            <w:vAlign w:val="center"/>
          </w:tcPr>
          <w:p w14:paraId="66351363">
            <w:pPr>
              <w:spacing w:line="240" w:lineRule="exact"/>
              <w:jc w:val="center"/>
              <w:rPr>
                <w:rFonts w:ascii="宋体" w:hAnsi="宋体"/>
                <w:szCs w:val="21"/>
              </w:rPr>
            </w:pPr>
            <w:r>
              <w:rPr>
                <w:rFonts w:hint="eastAsia" w:ascii="宋体" w:hAnsi="宋体"/>
                <w:szCs w:val="21"/>
              </w:rPr>
              <w:t>类别及代码</w:t>
            </w:r>
          </w:p>
        </w:tc>
        <w:tc>
          <w:tcPr>
            <w:tcW w:w="1665" w:type="pct"/>
            <w:vAlign w:val="center"/>
          </w:tcPr>
          <w:p w14:paraId="1D35B0BB">
            <w:pPr>
              <w:spacing w:line="240" w:lineRule="exact"/>
              <w:jc w:val="center"/>
              <w:rPr>
                <w:rFonts w:ascii="宋体" w:hAnsi="宋体"/>
                <w:szCs w:val="21"/>
              </w:rPr>
            </w:pPr>
            <w:r>
              <w:rPr>
                <w:rFonts w:hint="eastAsia" w:ascii="宋体" w:hAnsi="宋体"/>
                <w:szCs w:val="21"/>
              </w:rPr>
              <w:t>危险有害因素</w:t>
            </w:r>
          </w:p>
        </w:tc>
        <w:tc>
          <w:tcPr>
            <w:tcW w:w="1459" w:type="pct"/>
            <w:vAlign w:val="center"/>
          </w:tcPr>
          <w:p w14:paraId="2FC9C1C3">
            <w:pPr>
              <w:spacing w:line="240" w:lineRule="exact"/>
              <w:jc w:val="center"/>
              <w:rPr>
                <w:rFonts w:ascii="宋体" w:hAnsi="宋体"/>
                <w:szCs w:val="21"/>
              </w:rPr>
            </w:pPr>
            <w:r>
              <w:rPr>
                <w:rFonts w:hint="eastAsia" w:ascii="宋体" w:hAnsi="宋体"/>
                <w:szCs w:val="21"/>
              </w:rPr>
              <w:t>存在场所</w:t>
            </w:r>
          </w:p>
        </w:tc>
        <w:tc>
          <w:tcPr>
            <w:tcW w:w="1015" w:type="pct"/>
            <w:vAlign w:val="center"/>
          </w:tcPr>
          <w:p w14:paraId="6A1B28C9">
            <w:pPr>
              <w:spacing w:line="240" w:lineRule="exact"/>
              <w:jc w:val="center"/>
              <w:rPr>
                <w:rFonts w:ascii="宋体" w:hAnsi="宋体"/>
                <w:szCs w:val="21"/>
              </w:rPr>
            </w:pPr>
            <w:r>
              <w:rPr>
                <w:rFonts w:hint="eastAsia" w:ascii="宋体" w:hAnsi="宋体"/>
                <w:szCs w:val="21"/>
              </w:rPr>
              <w:t>可能导致的事故</w:t>
            </w:r>
          </w:p>
        </w:tc>
      </w:tr>
      <w:tr w14:paraId="1B88ED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9" w:type="pct"/>
            <w:vMerge w:val="restart"/>
            <w:vAlign w:val="center"/>
          </w:tcPr>
          <w:p w14:paraId="0EE4648E">
            <w:pPr>
              <w:spacing w:line="240" w:lineRule="exact"/>
              <w:jc w:val="center"/>
              <w:rPr>
                <w:rFonts w:ascii="宋体" w:hAnsi="宋体"/>
                <w:b w:val="0"/>
                <w:bCs/>
                <w:szCs w:val="21"/>
              </w:rPr>
            </w:pPr>
            <w:r>
              <w:rPr>
                <w:rFonts w:hint="eastAsia" w:ascii="宋体" w:hAnsi="宋体"/>
                <w:b w:val="0"/>
                <w:bCs/>
                <w:szCs w:val="21"/>
              </w:rPr>
              <w:t>人的因素1</w:t>
            </w:r>
          </w:p>
        </w:tc>
        <w:tc>
          <w:tcPr>
            <w:tcW w:w="630" w:type="pct"/>
            <w:vMerge w:val="restart"/>
            <w:vAlign w:val="center"/>
          </w:tcPr>
          <w:p w14:paraId="6AF24757">
            <w:pPr>
              <w:spacing w:line="240" w:lineRule="exact"/>
              <w:jc w:val="left"/>
              <w:rPr>
                <w:rFonts w:ascii="宋体" w:hAnsi="宋体"/>
                <w:b w:val="0"/>
                <w:bCs/>
                <w:szCs w:val="21"/>
              </w:rPr>
            </w:pPr>
            <w:r>
              <w:rPr>
                <w:rFonts w:hint="eastAsia" w:ascii="宋体" w:hAnsi="宋体"/>
                <w:b w:val="0"/>
                <w:bCs/>
                <w:szCs w:val="21"/>
              </w:rPr>
              <w:t>心理、生理性危险有害因素11</w:t>
            </w:r>
          </w:p>
        </w:tc>
        <w:tc>
          <w:tcPr>
            <w:tcW w:w="1665" w:type="pct"/>
            <w:vAlign w:val="center"/>
          </w:tcPr>
          <w:p w14:paraId="6BA7D7CD">
            <w:pPr>
              <w:spacing w:line="240" w:lineRule="exact"/>
              <w:jc w:val="left"/>
              <w:rPr>
                <w:rFonts w:ascii="宋体" w:hAnsi="宋体"/>
                <w:b w:val="0"/>
                <w:bCs/>
                <w:szCs w:val="21"/>
              </w:rPr>
            </w:pPr>
            <w:r>
              <w:rPr>
                <w:rFonts w:hint="eastAsia" w:ascii="宋体" w:hAnsi="宋体"/>
                <w:b w:val="0"/>
                <w:bCs/>
                <w:szCs w:val="21"/>
              </w:rPr>
              <w:t>负荷超限</w:t>
            </w:r>
          </w:p>
        </w:tc>
        <w:tc>
          <w:tcPr>
            <w:tcW w:w="1459" w:type="pct"/>
            <w:vAlign w:val="center"/>
          </w:tcPr>
          <w:p w14:paraId="210ED5C6">
            <w:pPr>
              <w:spacing w:line="240" w:lineRule="exact"/>
              <w:jc w:val="left"/>
              <w:rPr>
                <w:rFonts w:ascii="宋体" w:hAnsi="宋体"/>
                <w:b w:val="0"/>
                <w:bCs/>
                <w:szCs w:val="21"/>
              </w:rPr>
            </w:pPr>
            <w:r>
              <w:rPr>
                <w:rFonts w:hint="eastAsia" w:ascii="宋体" w:hAnsi="宋体"/>
                <w:b w:val="0"/>
                <w:bCs/>
                <w:szCs w:val="21"/>
              </w:rPr>
              <w:t>厂内运输</w:t>
            </w:r>
          </w:p>
        </w:tc>
        <w:tc>
          <w:tcPr>
            <w:tcW w:w="1015" w:type="pct"/>
            <w:vAlign w:val="center"/>
          </w:tcPr>
          <w:p w14:paraId="512BE1F9">
            <w:pPr>
              <w:spacing w:line="240" w:lineRule="exact"/>
              <w:jc w:val="left"/>
              <w:rPr>
                <w:rFonts w:ascii="宋体" w:hAnsi="宋体"/>
                <w:b w:val="0"/>
                <w:bCs/>
                <w:szCs w:val="21"/>
              </w:rPr>
            </w:pPr>
            <w:r>
              <w:rPr>
                <w:rFonts w:hint="eastAsia" w:ascii="宋体" w:hAnsi="宋体"/>
                <w:b w:val="0"/>
                <w:bCs/>
                <w:szCs w:val="21"/>
              </w:rPr>
              <w:t>人体伤害或其它安全事故</w:t>
            </w:r>
          </w:p>
        </w:tc>
      </w:tr>
      <w:tr w14:paraId="3A55AB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6F0CB58B">
            <w:pPr>
              <w:widowControl/>
              <w:spacing w:line="240" w:lineRule="exact"/>
              <w:jc w:val="left"/>
              <w:rPr>
                <w:rFonts w:ascii="宋体" w:hAnsi="宋体"/>
                <w:b w:val="0"/>
                <w:bCs/>
                <w:szCs w:val="21"/>
              </w:rPr>
            </w:pPr>
          </w:p>
        </w:tc>
        <w:tc>
          <w:tcPr>
            <w:tcW w:w="0" w:type="auto"/>
            <w:vMerge w:val="continue"/>
            <w:vAlign w:val="center"/>
          </w:tcPr>
          <w:p w14:paraId="559D9878">
            <w:pPr>
              <w:widowControl/>
              <w:spacing w:line="240" w:lineRule="exact"/>
              <w:jc w:val="left"/>
              <w:rPr>
                <w:rFonts w:ascii="宋体" w:hAnsi="宋体"/>
                <w:b w:val="0"/>
                <w:bCs/>
                <w:szCs w:val="21"/>
              </w:rPr>
            </w:pPr>
          </w:p>
        </w:tc>
        <w:tc>
          <w:tcPr>
            <w:tcW w:w="1665" w:type="pct"/>
            <w:vAlign w:val="center"/>
          </w:tcPr>
          <w:p w14:paraId="19EF20EB">
            <w:pPr>
              <w:spacing w:line="240" w:lineRule="exact"/>
              <w:jc w:val="left"/>
              <w:rPr>
                <w:rFonts w:ascii="宋体" w:hAnsi="宋体"/>
                <w:b w:val="0"/>
                <w:bCs/>
                <w:szCs w:val="21"/>
              </w:rPr>
            </w:pPr>
            <w:r>
              <w:rPr>
                <w:rFonts w:hint="eastAsia" w:ascii="宋体" w:hAnsi="宋体"/>
                <w:b w:val="0"/>
                <w:bCs/>
                <w:szCs w:val="21"/>
              </w:rPr>
              <w:t>健康状况异常、辨识功能缺陷</w:t>
            </w:r>
          </w:p>
        </w:tc>
        <w:tc>
          <w:tcPr>
            <w:tcW w:w="1459" w:type="pct"/>
            <w:vAlign w:val="center"/>
          </w:tcPr>
          <w:p w14:paraId="05CE8B60">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5FC59799">
            <w:pPr>
              <w:spacing w:line="240" w:lineRule="exact"/>
              <w:jc w:val="left"/>
              <w:rPr>
                <w:rFonts w:ascii="宋体" w:hAnsi="宋体"/>
                <w:b w:val="0"/>
                <w:bCs/>
                <w:szCs w:val="21"/>
              </w:rPr>
            </w:pPr>
            <w:r>
              <w:rPr>
                <w:rFonts w:hint="eastAsia" w:ascii="宋体" w:hAnsi="宋体"/>
                <w:b w:val="0"/>
                <w:bCs/>
                <w:szCs w:val="21"/>
              </w:rPr>
              <w:t>健康危害或其它安全事故</w:t>
            </w:r>
          </w:p>
        </w:tc>
      </w:tr>
      <w:tr w14:paraId="111277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03A0AB43">
            <w:pPr>
              <w:widowControl/>
              <w:spacing w:line="240" w:lineRule="exact"/>
              <w:jc w:val="left"/>
              <w:rPr>
                <w:rFonts w:ascii="宋体" w:hAnsi="宋体"/>
                <w:b w:val="0"/>
                <w:bCs/>
                <w:szCs w:val="21"/>
              </w:rPr>
            </w:pPr>
          </w:p>
        </w:tc>
        <w:tc>
          <w:tcPr>
            <w:tcW w:w="0" w:type="auto"/>
            <w:vMerge w:val="continue"/>
            <w:vAlign w:val="center"/>
          </w:tcPr>
          <w:p w14:paraId="45D6DC71">
            <w:pPr>
              <w:widowControl/>
              <w:spacing w:line="240" w:lineRule="exact"/>
              <w:jc w:val="left"/>
              <w:rPr>
                <w:rFonts w:ascii="宋体" w:hAnsi="宋体"/>
                <w:b w:val="0"/>
                <w:bCs/>
                <w:szCs w:val="21"/>
              </w:rPr>
            </w:pPr>
          </w:p>
        </w:tc>
        <w:tc>
          <w:tcPr>
            <w:tcW w:w="1665" w:type="pct"/>
            <w:vAlign w:val="center"/>
          </w:tcPr>
          <w:p w14:paraId="5ED3B03E">
            <w:pPr>
              <w:spacing w:line="240" w:lineRule="exact"/>
              <w:jc w:val="left"/>
              <w:rPr>
                <w:rFonts w:ascii="宋体" w:hAnsi="宋体"/>
                <w:b w:val="0"/>
                <w:bCs/>
                <w:szCs w:val="21"/>
              </w:rPr>
            </w:pPr>
            <w:r>
              <w:rPr>
                <w:rFonts w:hint="eastAsia" w:ascii="宋体" w:hAnsi="宋体"/>
                <w:b w:val="0"/>
                <w:bCs/>
                <w:szCs w:val="21"/>
              </w:rPr>
              <w:t>心理异常</w:t>
            </w:r>
          </w:p>
        </w:tc>
        <w:tc>
          <w:tcPr>
            <w:tcW w:w="1459" w:type="pct"/>
            <w:vAlign w:val="center"/>
          </w:tcPr>
          <w:p w14:paraId="7A1D2884">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4BA842AB">
            <w:pPr>
              <w:spacing w:line="240" w:lineRule="exact"/>
              <w:jc w:val="left"/>
              <w:rPr>
                <w:rFonts w:ascii="宋体" w:hAnsi="宋体"/>
                <w:b w:val="0"/>
                <w:bCs/>
                <w:szCs w:val="21"/>
              </w:rPr>
            </w:pPr>
            <w:r>
              <w:rPr>
                <w:rFonts w:hint="eastAsia" w:ascii="宋体" w:hAnsi="宋体"/>
                <w:b w:val="0"/>
                <w:bCs/>
                <w:szCs w:val="21"/>
              </w:rPr>
              <w:t>各类安全事故</w:t>
            </w:r>
          </w:p>
        </w:tc>
      </w:tr>
      <w:tr w14:paraId="2F8A42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0C816FD6">
            <w:pPr>
              <w:widowControl/>
              <w:spacing w:line="240" w:lineRule="exact"/>
              <w:jc w:val="left"/>
              <w:rPr>
                <w:rFonts w:ascii="宋体" w:hAnsi="宋体"/>
                <w:b w:val="0"/>
                <w:bCs/>
                <w:szCs w:val="21"/>
              </w:rPr>
            </w:pPr>
          </w:p>
        </w:tc>
        <w:tc>
          <w:tcPr>
            <w:tcW w:w="630" w:type="pct"/>
            <w:vMerge w:val="restart"/>
            <w:vAlign w:val="center"/>
          </w:tcPr>
          <w:p w14:paraId="5CAC11C6">
            <w:pPr>
              <w:spacing w:line="240" w:lineRule="exact"/>
              <w:jc w:val="left"/>
              <w:rPr>
                <w:rFonts w:ascii="宋体" w:hAnsi="宋体"/>
                <w:b w:val="0"/>
                <w:bCs/>
                <w:szCs w:val="21"/>
              </w:rPr>
            </w:pPr>
            <w:r>
              <w:rPr>
                <w:rFonts w:hint="eastAsia" w:ascii="宋体" w:hAnsi="宋体"/>
                <w:b w:val="0"/>
                <w:bCs/>
                <w:szCs w:val="21"/>
              </w:rPr>
              <w:t>行为性危险、有害因素12</w:t>
            </w:r>
          </w:p>
        </w:tc>
        <w:tc>
          <w:tcPr>
            <w:tcW w:w="1665" w:type="pct"/>
            <w:vAlign w:val="center"/>
          </w:tcPr>
          <w:p w14:paraId="5032B923">
            <w:pPr>
              <w:spacing w:line="240" w:lineRule="exact"/>
              <w:jc w:val="left"/>
              <w:rPr>
                <w:rFonts w:ascii="宋体" w:hAnsi="宋体"/>
                <w:b w:val="0"/>
                <w:bCs/>
                <w:szCs w:val="21"/>
              </w:rPr>
            </w:pPr>
            <w:r>
              <w:rPr>
                <w:rFonts w:hint="eastAsia" w:ascii="宋体" w:hAnsi="宋体"/>
                <w:b w:val="0"/>
                <w:bCs/>
                <w:szCs w:val="21"/>
              </w:rPr>
              <w:t>指挥错误</w:t>
            </w:r>
          </w:p>
        </w:tc>
        <w:tc>
          <w:tcPr>
            <w:tcW w:w="1459" w:type="pct"/>
            <w:vAlign w:val="center"/>
          </w:tcPr>
          <w:p w14:paraId="44F5563F">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12FA8342">
            <w:pPr>
              <w:spacing w:line="240" w:lineRule="exact"/>
              <w:jc w:val="left"/>
              <w:rPr>
                <w:rFonts w:ascii="宋体" w:hAnsi="宋体"/>
                <w:b w:val="0"/>
                <w:bCs/>
                <w:szCs w:val="21"/>
              </w:rPr>
            </w:pPr>
            <w:r>
              <w:rPr>
                <w:rFonts w:hint="eastAsia" w:ascii="宋体" w:hAnsi="宋体"/>
                <w:b w:val="0"/>
                <w:bCs/>
                <w:szCs w:val="21"/>
              </w:rPr>
              <w:t>各类安全事故</w:t>
            </w:r>
          </w:p>
        </w:tc>
      </w:tr>
      <w:tr w14:paraId="78395B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662D06E4">
            <w:pPr>
              <w:widowControl/>
              <w:spacing w:line="240" w:lineRule="exact"/>
              <w:jc w:val="left"/>
              <w:rPr>
                <w:rFonts w:ascii="宋体" w:hAnsi="宋体"/>
                <w:b w:val="0"/>
                <w:bCs/>
                <w:szCs w:val="21"/>
              </w:rPr>
            </w:pPr>
          </w:p>
        </w:tc>
        <w:tc>
          <w:tcPr>
            <w:tcW w:w="0" w:type="auto"/>
            <w:vMerge w:val="continue"/>
            <w:vAlign w:val="center"/>
          </w:tcPr>
          <w:p w14:paraId="686E586E">
            <w:pPr>
              <w:widowControl/>
              <w:spacing w:line="240" w:lineRule="exact"/>
              <w:jc w:val="left"/>
              <w:rPr>
                <w:rFonts w:ascii="宋体" w:hAnsi="宋体"/>
                <w:b w:val="0"/>
                <w:bCs/>
                <w:szCs w:val="21"/>
              </w:rPr>
            </w:pPr>
          </w:p>
        </w:tc>
        <w:tc>
          <w:tcPr>
            <w:tcW w:w="1665" w:type="pct"/>
            <w:vAlign w:val="center"/>
          </w:tcPr>
          <w:p w14:paraId="6C435A9C">
            <w:pPr>
              <w:spacing w:line="240" w:lineRule="exact"/>
              <w:jc w:val="left"/>
              <w:rPr>
                <w:rFonts w:ascii="宋体" w:hAnsi="宋体"/>
                <w:b w:val="0"/>
                <w:bCs/>
                <w:szCs w:val="21"/>
              </w:rPr>
            </w:pPr>
            <w:r>
              <w:rPr>
                <w:rFonts w:hint="eastAsia" w:ascii="宋体" w:hAnsi="宋体"/>
                <w:b w:val="0"/>
                <w:bCs/>
                <w:szCs w:val="21"/>
              </w:rPr>
              <w:t>操作错误</w:t>
            </w:r>
          </w:p>
        </w:tc>
        <w:tc>
          <w:tcPr>
            <w:tcW w:w="1459" w:type="pct"/>
            <w:vAlign w:val="center"/>
          </w:tcPr>
          <w:p w14:paraId="6EF80D07">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3D18B736">
            <w:pPr>
              <w:spacing w:line="240" w:lineRule="exact"/>
              <w:jc w:val="left"/>
              <w:rPr>
                <w:rFonts w:ascii="宋体" w:hAnsi="宋体"/>
                <w:b w:val="0"/>
                <w:bCs/>
                <w:szCs w:val="21"/>
              </w:rPr>
            </w:pPr>
            <w:r>
              <w:rPr>
                <w:rFonts w:hint="eastAsia" w:ascii="宋体" w:hAnsi="宋体"/>
                <w:b w:val="0"/>
                <w:bCs/>
                <w:szCs w:val="21"/>
              </w:rPr>
              <w:t>各类安全事故</w:t>
            </w:r>
          </w:p>
        </w:tc>
      </w:tr>
      <w:tr w14:paraId="64CF3B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9" w:type="pct"/>
            <w:vMerge w:val="restart"/>
            <w:vAlign w:val="center"/>
          </w:tcPr>
          <w:p w14:paraId="4B6D73EC">
            <w:pPr>
              <w:spacing w:line="240" w:lineRule="exact"/>
              <w:jc w:val="left"/>
              <w:rPr>
                <w:rFonts w:ascii="宋体" w:hAnsi="宋体"/>
                <w:b w:val="0"/>
                <w:bCs/>
                <w:szCs w:val="21"/>
              </w:rPr>
            </w:pPr>
            <w:r>
              <w:rPr>
                <w:rFonts w:hint="eastAsia" w:ascii="宋体" w:hAnsi="宋体"/>
                <w:b w:val="0"/>
                <w:bCs/>
                <w:szCs w:val="21"/>
              </w:rPr>
              <w:t>物的因素</w:t>
            </w:r>
          </w:p>
          <w:p w14:paraId="4104F2E3">
            <w:pPr>
              <w:spacing w:line="240" w:lineRule="exact"/>
              <w:jc w:val="center"/>
              <w:rPr>
                <w:rFonts w:ascii="宋体" w:hAnsi="宋体"/>
                <w:b w:val="0"/>
                <w:bCs/>
                <w:szCs w:val="21"/>
              </w:rPr>
            </w:pPr>
            <w:r>
              <w:rPr>
                <w:rFonts w:hint="eastAsia" w:ascii="宋体" w:hAnsi="宋体"/>
                <w:b w:val="0"/>
                <w:bCs/>
                <w:szCs w:val="21"/>
              </w:rPr>
              <w:t>2</w:t>
            </w:r>
          </w:p>
        </w:tc>
        <w:tc>
          <w:tcPr>
            <w:tcW w:w="630" w:type="pct"/>
            <w:vMerge w:val="restart"/>
            <w:vAlign w:val="center"/>
          </w:tcPr>
          <w:p w14:paraId="75E6B33F">
            <w:pPr>
              <w:spacing w:line="240" w:lineRule="exact"/>
              <w:jc w:val="left"/>
              <w:rPr>
                <w:rFonts w:ascii="宋体" w:hAnsi="宋体"/>
                <w:b w:val="0"/>
                <w:bCs/>
                <w:szCs w:val="21"/>
              </w:rPr>
            </w:pPr>
            <w:r>
              <w:rPr>
                <w:rFonts w:hint="eastAsia" w:ascii="宋体" w:hAnsi="宋体"/>
                <w:b w:val="0"/>
                <w:bCs/>
                <w:szCs w:val="21"/>
              </w:rPr>
              <w:t>物理性危险有害因素21</w:t>
            </w:r>
          </w:p>
        </w:tc>
        <w:tc>
          <w:tcPr>
            <w:tcW w:w="1665" w:type="pct"/>
            <w:vAlign w:val="center"/>
          </w:tcPr>
          <w:p w14:paraId="2E776E5A">
            <w:pPr>
              <w:spacing w:line="240" w:lineRule="exact"/>
              <w:jc w:val="left"/>
              <w:rPr>
                <w:rFonts w:ascii="宋体" w:hAnsi="宋体"/>
                <w:b w:val="0"/>
                <w:bCs/>
                <w:szCs w:val="21"/>
              </w:rPr>
            </w:pPr>
            <w:r>
              <w:rPr>
                <w:rFonts w:hint="eastAsia" w:ascii="宋体" w:hAnsi="宋体"/>
                <w:b w:val="0"/>
                <w:bCs/>
                <w:szCs w:val="21"/>
              </w:rPr>
              <w:t>设备、设施、工具、附件缺陷</w:t>
            </w:r>
          </w:p>
        </w:tc>
        <w:tc>
          <w:tcPr>
            <w:tcW w:w="1459" w:type="pct"/>
            <w:vAlign w:val="center"/>
          </w:tcPr>
          <w:p w14:paraId="36D12CEA">
            <w:pPr>
              <w:spacing w:line="240" w:lineRule="exact"/>
              <w:rPr>
                <w:rFonts w:ascii="宋体" w:hAnsi="宋体"/>
                <w:b w:val="0"/>
                <w:bCs/>
                <w:szCs w:val="21"/>
              </w:rPr>
            </w:pPr>
            <w:r>
              <w:rPr>
                <w:rFonts w:hint="eastAsia" w:ascii="宋体" w:hAnsi="宋体"/>
                <w:b w:val="0"/>
                <w:bCs/>
                <w:szCs w:val="21"/>
              </w:rPr>
              <w:t>各危险性作业场所</w:t>
            </w:r>
          </w:p>
        </w:tc>
        <w:tc>
          <w:tcPr>
            <w:tcW w:w="1015" w:type="pct"/>
            <w:vAlign w:val="center"/>
          </w:tcPr>
          <w:p w14:paraId="11B4EC05">
            <w:pPr>
              <w:spacing w:line="240" w:lineRule="exact"/>
              <w:rPr>
                <w:rFonts w:ascii="宋体" w:hAnsi="宋体"/>
                <w:b w:val="0"/>
                <w:bCs/>
                <w:szCs w:val="21"/>
              </w:rPr>
            </w:pPr>
            <w:r>
              <w:rPr>
                <w:rFonts w:hint="eastAsia" w:ascii="宋体" w:hAnsi="宋体"/>
                <w:b w:val="0"/>
                <w:bCs/>
                <w:szCs w:val="21"/>
              </w:rPr>
              <w:t>机械致害、物体打击或引发火灾、爆炸</w:t>
            </w:r>
          </w:p>
        </w:tc>
      </w:tr>
      <w:tr w14:paraId="0D0A001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D2D8CB5">
            <w:pPr>
              <w:widowControl/>
              <w:spacing w:line="240" w:lineRule="exact"/>
              <w:jc w:val="left"/>
              <w:rPr>
                <w:rFonts w:ascii="宋体" w:hAnsi="宋体"/>
                <w:b w:val="0"/>
                <w:bCs/>
                <w:szCs w:val="21"/>
              </w:rPr>
            </w:pPr>
          </w:p>
        </w:tc>
        <w:tc>
          <w:tcPr>
            <w:tcW w:w="0" w:type="auto"/>
            <w:vMerge w:val="continue"/>
            <w:vAlign w:val="center"/>
          </w:tcPr>
          <w:p w14:paraId="577BE3D4">
            <w:pPr>
              <w:widowControl/>
              <w:spacing w:line="240" w:lineRule="exact"/>
              <w:jc w:val="left"/>
              <w:rPr>
                <w:rFonts w:ascii="宋体" w:hAnsi="宋体"/>
                <w:b w:val="0"/>
                <w:bCs/>
                <w:szCs w:val="21"/>
              </w:rPr>
            </w:pPr>
          </w:p>
        </w:tc>
        <w:tc>
          <w:tcPr>
            <w:tcW w:w="1665" w:type="pct"/>
            <w:vAlign w:val="center"/>
          </w:tcPr>
          <w:p w14:paraId="46E02165">
            <w:pPr>
              <w:spacing w:line="240" w:lineRule="exact"/>
              <w:jc w:val="left"/>
              <w:rPr>
                <w:rFonts w:ascii="宋体" w:hAnsi="宋体"/>
                <w:b w:val="0"/>
                <w:bCs/>
                <w:szCs w:val="21"/>
              </w:rPr>
            </w:pPr>
            <w:r>
              <w:rPr>
                <w:rFonts w:hint="eastAsia" w:ascii="宋体" w:hAnsi="宋体"/>
                <w:b w:val="0"/>
                <w:bCs/>
                <w:szCs w:val="21"/>
              </w:rPr>
              <w:t>防护缺陷</w:t>
            </w:r>
          </w:p>
        </w:tc>
        <w:tc>
          <w:tcPr>
            <w:tcW w:w="1459" w:type="pct"/>
            <w:vAlign w:val="center"/>
          </w:tcPr>
          <w:p w14:paraId="1F6DF051">
            <w:pPr>
              <w:spacing w:line="240" w:lineRule="exact"/>
              <w:rPr>
                <w:rFonts w:ascii="宋体" w:hAnsi="宋体"/>
                <w:b w:val="0"/>
                <w:bCs/>
                <w:szCs w:val="21"/>
              </w:rPr>
            </w:pPr>
            <w:r>
              <w:rPr>
                <w:rFonts w:hint="eastAsia" w:ascii="宋体" w:hAnsi="宋体"/>
                <w:b w:val="0"/>
                <w:bCs/>
                <w:szCs w:val="21"/>
              </w:rPr>
              <w:t>需要设置防护屏障的危险性工、库房</w:t>
            </w:r>
          </w:p>
        </w:tc>
        <w:tc>
          <w:tcPr>
            <w:tcW w:w="1015" w:type="pct"/>
            <w:vAlign w:val="center"/>
          </w:tcPr>
          <w:p w14:paraId="57A917FC">
            <w:pPr>
              <w:spacing w:line="240" w:lineRule="exact"/>
              <w:rPr>
                <w:rFonts w:ascii="宋体" w:hAnsi="宋体"/>
                <w:b w:val="0"/>
                <w:bCs/>
                <w:szCs w:val="21"/>
              </w:rPr>
            </w:pPr>
            <w:r>
              <w:rPr>
                <w:rFonts w:hint="eastAsia" w:ascii="宋体" w:hAnsi="宋体"/>
                <w:b w:val="0"/>
                <w:bCs/>
                <w:szCs w:val="21"/>
              </w:rPr>
              <w:t>机械致害、冲击波及其带来的碎片伤害</w:t>
            </w:r>
          </w:p>
        </w:tc>
      </w:tr>
      <w:tr w14:paraId="006509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53B2D251">
            <w:pPr>
              <w:widowControl/>
              <w:spacing w:line="240" w:lineRule="exact"/>
              <w:jc w:val="left"/>
              <w:rPr>
                <w:rFonts w:ascii="宋体" w:hAnsi="宋体"/>
                <w:b w:val="0"/>
                <w:bCs/>
                <w:szCs w:val="21"/>
              </w:rPr>
            </w:pPr>
          </w:p>
        </w:tc>
        <w:tc>
          <w:tcPr>
            <w:tcW w:w="0" w:type="auto"/>
            <w:vMerge w:val="continue"/>
            <w:vAlign w:val="center"/>
          </w:tcPr>
          <w:p w14:paraId="0E3B4459">
            <w:pPr>
              <w:widowControl/>
              <w:spacing w:line="240" w:lineRule="exact"/>
              <w:jc w:val="left"/>
              <w:rPr>
                <w:rFonts w:ascii="宋体" w:hAnsi="宋体"/>
                <w:b w:val="0"/>
                <w:bCs/>
                <w:szCs w:val="21"/>
              </w:rPr>
            </w:pPr>
          </w:p>
        </w:tc>
        <w:tc>
          <w:tcPr>
            <w:tcW w:w="1665" w:type="pct"/>
            <w:vAlign w:val="center"/>
          </w:tcPr>
          <w:p w14:paraId="12B9B26C">
            <w:pPr>
              <w:spacing w:line="240" w:lineRule="exact"/>
              <w:jc w:val="left"/>
              <w:rPr>
                <w:rFonts w:ascii="宋体" w:hAnsi="宋体"/>
                <w:b w:val="0"/>
                <w:bCs/>
                <w:szCs w:val="21"/>
              </w:rPr>
            </w:pPr>
            <w:r>
              <w:rPr>
                <w:rFonts w:hint="eastAsia" w:ascii="宋体" w:hAnsi="宋体"/>
                <w:b w:val="0"/>
                <w:bCs/>
                <w:szCs w:val="21"/>
              </w:rPr>
              <w:t>电伤害</w:t>
            </w:r>
          </w:p>
        </w:tc>
        <w:tc>
          <w:tcPr>
            <w:tcW w:w="1459" w:type="pct"/>
            <w:vAlign w:val="center"/>
          </w:tcPr>
          <w:p w14:paraId="78FE9387">
            <w:pPr>
              <w:spacing w:line="240" w:lineRule="exact"/>
              <w:rPr>
                <w:rFonts w:ascii="宋体" w:hAnsi="宋体"/>
                <w:b w:val="0"/>
                <w:bCs/>
                <w:szCs w:val="21"/>
              </w:rPr>
            </w:pPr>
            <w:r>
              <w:rPr>
                <w:rFonts w:hint="eastAsia" w:ascii="宋体" w:hAnsi="宋体"/>
                <w:b w:val="0"/>
                <w:bCs/>
                <w:szCs w:val="21"/>
              </w:rPr>
              <w:t>涉电工房和场所以及地处厂区高处的易受雷击的危险性工、库房</w:t>
            </w:r>
          </w:p>
        </w:tc>
        <w:tc>
          <w:tcPr>
            <w:tcW w:w="1015" w:type="pct"/>
            <w:vAlign w:val="center"/>
          </w:tcPr>
          <w:p w14:paraId="596E8805">
            <w:pPr>
              <w:spacing w:line="240" w:lineRule="exact"/>
              <w:rPr>
                <w:rFonts w:ascii="宋体" w:hAnsi="宋体"/>
                <w:b w:val="0"/>
                <w:bCs/>
                <w:szCs w:val="21"/>
              </w:rPr>
            </w:pPr>
            <w:r>
              <w:rPr>
                <w:rFonts w:hint="eastAsia" w:ascii="宋体" w:hAnsi="宋体"/>
                <w:b w:val="0"/>
                <w:bCs/>
                <w:szCs w:val="21"/>
              </w:rPr>
              <w:t>触电或引发火灾、爆炸</w:t>
            </w:r>
          </w:p>
        </w:tc>
      </w:tr>
      <w:tr w14:paraId="5F77699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3F398D7A">
            <w:pPr>
              <w:widowControl/>
              <w:spacing w:line="240" w:lineRule="exact"/>
              <w:jc w:val="left"/>
              <w:rPr>
                <w:rFonts w:ascii="宋体" w:hAnsi="宋体"/>
                <w:b w:val="0"/>
                <w:bCs/>
                <w:szCs w:val="21"/>
              </w:rPr>
            </w:pPr>
          </w:p>
        </w:tc>
        <w:tc>
          <w:tcPr>
            <w:tcW w:w="0" w:type="auto"/>
            <w:vMerge w:val="continue"/>
            <w:vAlign w:val="center"/>
          </w:tcPr>
          <w:p w14:paraId="1DF561C2">
            <w:pPr>
              <w:widowControl/>
              <w:spacing w:line="240" w:lineRule="exact"/>
              <w:jc w:val="left"/>
              <w:rPr>
                <w:rFonts w:ascii="宋体" w:hAnsi="宋体"/>
                <w:b w:val="0"/>
                <w:bCs/>
                <w:szCs w:val="21"/>
              </w:rPr>
            </w:pPr>
          </w:p>
        </w:tc>
        <w:tc>
          <w:tcPr>
            <w:tcW w:w="1665" w:type="pct"/>
            <w:vAlign w:val="center"/>
          </w:tcPr>
          <w:p w14:paraId="69B40892">
            <w:pPr>
              <w:spacing w:line="240" w:lineRule="exact"/>
              <w:jc w:val="left"/>
              <w:rPr>
                <w:rFonts w:ascii="宋体" w:hAnsi="宋体"/>
                <w:b w:val="0"/>
                <w:bCs/>
                <w:szCs w:val="21"/>
              </w:rPr>
            </w:pPr>
            <w:r>
              <w:rPr>
                <w:rFonts w:hint="eastAsia" w:ascii="宋体" w:hAnsi="宋体"/>
                <w:b w:val="0"/>
                <w:bCs/>
                <w:szCs w:val="21"/>
              </w:rPr>
              <w:t>振动、撞击、摩擦</w:t>
            </w:r>
          </w:p>
        </w:tc>
        <w:tc>
          <w:tcPr>
            <w:tcW w:w="1459" w:type="pct"/>
            <w:vAlign w:val="center"/>
          </w:tcPr>
          <w:p w14:paraId="3AB9B29D">
            <w:pPr>
              <w:spacing w:line="240" w:lineRule="exact"/>
              <w:jc w:val="left"/>
              <w:rPr>
                <w:rFonts w:ascii="宋体" w:hAnsi="宋体"/>
                <w:b w:val="0"/>
                <w:szCs w:val="21"/>
              </w:rPr>
            </w:pPr>
            <w:r>
              <w:rPr>
                <w:rFonts w:hint="eastAsia" w:ascii="宋体" w:hAnsi="宋体"/>
                <w:b w:val="0"/>
                <w:bCs/>
                <w:szCs w:val="21"/>
              </w:rPr>
              <w:t>各危险性作业场所</w:t>
            </w:r>
          </w:p>
        </w:tc>
        <w:tc>
          <w:tcPr>
            <w:tcW w:w="1015" w:type="pct"/>
            <w:vAlign w:val="center"/>
          </w:tcPr>
          <w:p w14:paraId="01060841">
            <w:pPr>
              <w:spacing w:line="240" w:lineRule="exact"/>
              <w:jc w:val="left"/>
              <w:rPr>
                <w:rFonts w:ascii="宋体" w:hAnsi="宋体"/>
                <w:b w:val="0"/>
                <w:bCs/>
                <w:szCs w:val="21"/>
              </w:rPr>
            </w:pPr>
            <w:r>
              <w:rPr>
                <w:rFonts w:hint="eastAsia" w:ascii="宋体" w:hAnsi="宋体"/>
                <w:b w:val="0"/>
                <w:bCs/>
                <w:szCs w:val="21"/>
              </w:rPr>
              <w:t>火灾、爆炸</w:t>
            </w:r>
          </w:p>
        </w:tc>
      </w:tr>
      <w:tr w14:paraId="0E3741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0319FC95">
            <w:pPr>
              <w:widowControl/>
              <w:spacing w:line="240" w:lineRule="exact"/>
              <w:jc w:val="left"/>
              <w:rPr>
                <w:rFonts w:ascii="宋体" w:hAnsi="宋体"/>
                <w:b w:val="0"/>
                <w:bCs/>
                <w:szCs w:val="21"/>
              </w:rPr>
            </w:pPr>
          </w:p>
        </w:tc>
        <w:tc>
          <w:tcPr>
            <w:tcW w:w="0" w:type="auto"/>
            <w:vMerge w:val="continue"/>
            <w:vAlign w:val="center"/>
          </w:tcPr>
          <w:p w14:paraId="16FB8658">
            <w:pPr>
              <w:widowControl/>
              <w:spacing w:line="240" w:lineRule="exact"/>
              <w:jc w:val="left"/>
              <w:rPr>
                <w:rFonts w:ascii="宋体" w:hAnsi="宋体"/>
                <w:b w:val="0"/>
                <w:bCs/>
                <w:szCs w:val="21"/>
              </w:rPr>
            </w:pPr>
          </w:p>
        </w:tc>
        <w:tc>
          <w:tcPr>
            <w:tcW w:w="1665" w:type="pct"/>
            <w:vAlign w:val="center"/>
          </w:tcPr>
          <w:p w14:paraId="4A5DA9E0">
            <w:pPr>
              <w:spacing w:line="240" w:lineRule="exact"/>
              <w:jc w:val="left"/>
              <w:rPr>
                <w:rFonts w:ascii="宋体" w:hAnsi="宋体"/>
                <w:b w:val="0"/>
                <w:bCs/>
                <w:szCs w:val="21"/>
              </w:rPr>
            </w:pPr>
            <w:r>
              <w:rPr>
                <w:rFonts w:hint="eastAsia" w:ascii="宋体" w:hAnsi="宋体"/>
                <w:b w:val="0"/>
                <w:bCs/>
                <w:szCs w:val="21"/>
              </w:rPr>
              <w:t>明火</w:t>
            </w:r>
          </w:p>
        </w:tc>
        <w:tc>
          <w:tcPr>
            <w:tcW w:w="1459" w:type="pct"/>
            <w:vAlign w:val="center"/>
          </w:tcPr>
          <w:p w14:paraId="064AC0EF">
            <w:pPr>
              <w:spacing w:line="240" w:lineRule="exact"/>
              <w:jc w:val="left"/>
              <w:rPr>
                <w:rFonts w:ascii="宋体" w:hAnsi="宋体"/>
                <w:b w:val="0"/>
                <w:bCs/>
                <w:szCs w:val="21"/>
              </w:rPr>
            </w:pPr>
            <w:r>
              <w:rPr>
                <w:rFonts w:hint="eastAsia" w:ascii="宋体" w:hAnsi="宋体"/>
                <w:b w:val="0"/>
                <w:bCs/>
                <w:szCs w:val="21"/>
              </w:rPr>
              <w:t>厂区及其周边山林地</w:t>
            </w:r>
          </w:p>
        </w:tc>
        <w:tc>
          <w:tcPr>
            <w:tcW w:w="1015" w:type="pct"/>
            <w:vAlign w:val="center"/>
          </w:tcPr>
          <w:p w14:paraId="7CD83A08">
            <w:pPr>
              <w:spacing w:line="240" w:lineRule="exact"/>
              <w:jc w:val="left"/>
              <w:rPr>
                <w:rFonts w:ascii="宋体" w:hAnsi="宋体"/>
                <w:b w:val="0"/>
                <w:bCs/>
                <w:szCs w:val="21"/>
              </w:rPr>
            </w:pPr>
            <w:r>
              <w:rPr>
                <w:rFonts w:hint="eastAsia" w:ascii="宋体" w:hAnsi="宋体"/>
                <w:b w:val="0"/>
                <w:bCs/>
                <w:szCs w:val="21"/>
              </w:rPr>
              <w:t>火灾、爆炸</w:t>
            </w:r>
          </w:p>
        </w:tc>
      </w:tr>
      <w:tr w14:paraId="6D44432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8D35B62">
            <w:pPr>
              <w:widowControl/>
              <w:spacing w:line="240" w:lineRule="exact"/>
              <w:jc w:val="left"/>
              <w:rPr>
                <w:rFonts w:ascii="宋体" w:hAnsi="宋体"/>
                <w:b w:val="0"/>
                <w:bCs/>
                <w:szCs w:val="21"/>
              </w:rPr>
            </w:pPr>
          </w:p>
        </w:tc>
        <w:tc>
          <w:tcPr>
            <w:tcW w:w="0" w:type="auto"/>
            <w:vMerge w:val="continue"/>
            <w:vAlign w:val="center"/>
          </w:tcPr>
          <w:p w14:paraId="5F65AD32">
            <w:pPr>
              <w:widowControl/>
              <w:spacing w:line="240" w:lineRule="exact"/>
              <w:jc w:val="left"/>
              <w:rPr>
                <w:rFonts w:ascii="宋体" w:hAnsi="宋体"/>
                <w:b w:val="0"/>
                <w:bCs/>
                <w:szCs w:val="21"/>
              </w:rPr>
            </w:pPr>
          </w:p>
        </w:tc>
        <w:tc>
          <w:tcPr>
            <w:tcW w:w="1665" w:type="pct"/>
            <w:vAlign w:val="center"/>
          </w:tcPr>
          <w:p w14:paraId="5AB234E6">
            <w:pPr>
              <w:spacing w:line="240" w:lineRule="exact"/>
              <w:jc w:val="left"/>
              <w:rPr>
                <w:rFonts w:ascii="宋体" w:hAnsi="宋体"/>
                <w:b w:val="0"/>
                <w:bCs/>
                <w:szCs w:val="21"/>
              </w:rPr>
            </w:pPr>
            <w:r>
              <w:rPr>
                <w:rFonts w:hint="eastAsia" w:ascii="宋体" w:hAnsi="宋体"/>
                <w:b w:val="0"/>
                <w:bCs/>
                <w:szCs w:val="21"/>
              </w:rPr>
              <w:t>标志缺陷</w:t>
            </w:r>
          </w:p>
        </w:tc>
        <w:tc>
          <w:tcPr>
            <w:tcW w:w="1459" w:type="pct"/>
            <w:vAlign w:val="center"/>
          </w:tcPr>
          <w:p w14:paraId="01A43E50">
            <w:pPr>
              <w:spacing w:line="240" w:lineRule="exact"/>
              <w:jc w:val="left"/>
              <w:rPr>
                <w:rFonts w:ascii="宋体" w:hAnsi="宋体"/>
                <w:b w:val="0"/>
                <w:szCs w:val="21"/>
              </w:rPr>
            </w:pPr>
            <w:r>
              <w:rPr>
                <w:rFonts w:hint="eastAsia" w:ascii="宋体" w:hAnsi="宋体"/>
                <w:b w:val="0"/>
                <w:szCs w:val="21"/>
              </w:rPr>
              <w:t>各</w:t>
            </w:r>
            <w:r>
              <w:rPr>
                <w:rFonts w:hint="eastAsia" w:ascii="宋体" w:hAnsi="宋体"/>
                <w:b w:val="0"/>
                <w:bCs/>
                <w:szCs w:val="21"/>
              </w:rPr>
              <w:t>危险性</w:t>
            </w:r>
            <w:r>
              <w:rPr>
                <w:rFonts w:hint="eastAsia" w:ascii="宋体" w:hAnsi="宋体"/>
                <w:b w:val="0"/>
                <w:szCs w:val="21"/>
              </w:rPr>
              <w:t>工库房、安全通道以及产品内、外包装物</w:t>
            </w:r>
          </w:p>
        </w:tc>
        <w:tc>
          <w:tcPr>
            <w:tcW w:w="1015" w:type="pct"/>
            <w:vAlign w:val="center"/>
          </w:tcPr>
          <w:p w14:paraId="14F745FA">
            <w:pPr>
              <w:spacing w:line="240" w:lineRule="exact"/>
              <w:jc w:val="left"/>
              <w:rPr>
                <w:rFonts w:ascii="宋体" w:hAnsi="宋体"/>
                <w:b w:val="0"/>
                <w:bCs/>
                <w:szCs w:val="21"/>
              </w:rPr>
            </w:pPr>
            <w:r>
              <w:rPr>
                <w:rFonts w:hint="eastAsia" w:ascii="宋体" w:hAnsi="宋体"/>
                <w:b w:val="0"/>
                <w:bCs/>
                <w:szCs w:val="21"/>
              </w:rPr>
              <w:t>人体伤害或引发火灾、爆炸</w:t>
            </w:r>
          </w:p>
        </w:tc>
      </w:tr>
      <w:tr w14:paraId="067E7E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6ED18233">
            <w:pPr>
              <w:widowControl/>
              <w:spacing w:line="240" w:lineRule="exact"/>
              <w:jc w:val="left"/>
              <w:rPr>
                <w:rFonts w:ascii="宋体" w:hAnsi="宋体"/>
                <w:b w:val="0"/>
                <w:bCs/>
                <w:szCs w:val="21"/>
              </w:rPr>
            </w:pPr>
          </w:p>
        </w:tc>
        <w:tc>
          <w:tcPr>
            <w:tcW w:w="630" w:type="pct"/>
            <w:vMerge w:val="restart"/>
            <w:vAlign w:val="center"/>
          </w:tcPr>
          <w:p w14:paraId="767CE253">
            <w:pPr>
              <w:spacing w:line="240" w:lineRule="exact"/>
              <w:jc w:val="left"/>
              <w:rPr>
                <w:rFonts w:ascii="宋体" w:hAnsi="宋体"/>
                <w:b w:val="0"/>
                <w:bCs/>
                <w:szCs w:val="21"/>
              </w:rPr>
            </w:pPr>
            <w:r>
              <w:rPr>
                <w:rFonts w:hint="eastAsia" w:ascii="宋体" w:hAnsi="宋体"/>
                <w:b w:val="0"/>
                <w:bCs/>
                <w:szCs w:val="21"/>
              </w:rPr>
              <w:t>化学性危险有害因素22</w:t>
            </w:r>
          </w:p>
        </w:tc>
        <w:tc>
          <w:tcPr>
            <w:tcW w:w="1665" w:type="pct"/>
            <w:vAlign w:val="center"/>
          </w:tcPr>
          <w:p w14:paraId="30037779">
            <w:pPr>
              <w:spacing w:line="240" w:lineRule="exact"/>
              <w:jc w:val="left"/>
              <w:rPr>
                <w:rFonts w:ascii="宋体" w:hAnsi="宋体"/>
                <w:b w:val="0"/>
                <w:bCs/>
                <w:szCs w:val="21"/>
              </w:rPr>
            </w:pPr>
            <w:r>
              <w:rPr>
                <w:rFonts w:hint="eastAsia" w:ascii="宋体" w:hAnsi="宋体"/>
                <w:b w:val="0"/>
                <w:bCs/>
                <w:szCs w:val="21"/>
              </w:rPr>
              <w:t>爆炸品</w:t>
            </w:r>
          </w:p>
        </w:tc>
        <w:tc>
          <w:tcPr>
            <w:tcW w:w="1459" w:type="pct"/>
            <w:vAlign w:val="center"/>
          </w:tcPr>
          <w:p w14:paraId="100B3766">
            <w:pPr>
              <w:spacing w:line="240" w:lineRule="exact"/>
              <w:jc w:val="left"/>
              <w:rPr>
                <w:rFonts w:ascii="宋体" w:hAnsi="宋体"/>
                <w:b w:val="0"/>
                <w:bCs/>
                <w:szCs w:val="21"/>
              </w:rPr>
            </w:pPr>
            <w:r>
              <w:rPr>
                <w:rFonts w:hint="eastAsia" w:ascii="宋体" w:hAnsi="宋体"/>
                <w:b w:val="0"/>
                <w:bCs/>
                <w:szCs w:val="21"/>
              </w:rPr>
              <w:t>危险性工库房</w:t>
            </w:r>
          </w:p>
        </w:tc>
        <w:tc>
          <w:tcPr>
            <w:tcW w:w="1015" w:type="pct"/>
            <w:vAlign w:val="center"/>
          </w:tcPr>
          <w:p w14:paraId="195900C0">
            <w:pPr>
              <w:spacing w:line="240" w:lineRule="exact"/>
              <w:jc w:val="left"/>
              <w:rPr>
                <w:rFonts w:ascii="宋体" w:hAnsi="宋体"/>
                <w:b w:val="0"/>
                <w:bCs/>
                <w:szCs w:val="21"/>
              </w:rPr>
            </w:pPr>
            <w:r>
              <w:rPr>
                <w:rFonts w:hint="eastAsia" w:ascii="宋体" w:hAnsi="宋体"/>
                <w:b w:val="0"/>
                <w:bCs/>
                <w:szCs w:val="21"/>
              </w:rPr>
              <w:t>火灾、爆炸</w:t>
            </w:r>
          </w:p>
        </w:tc>
      </w:tr>
      <w:tr w14:paraId="7F27891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3DBB2F35">
            <w:pPr>
              <w:widowControl/>
              <w:spacing w:line="240" w:lineRule="exact"/>
              <w:jc w:val="left"/>
              <w:rPr>
                <w:rFonts w:ascii="宋体" w:hAnsi="宋体"/>
                <w:b w:val="0"/>
                <w:bCs/>
                <w:szCs w:val="21"/>
              </w:rPr>
            </w:pPr>
          </w:p>
        </w:tc>
        <w:tc>
          <w:tcPr>
            <w:tcW w:w="0" w:type="auto"/>
            <w:vMerge w:val="continue"/>
            <w:vAlign w:val="center"/>
          </w:tcPr>
          <w:p w14:paraId="510EDA32">
            <w:pPr>
              <w:widowControl/>
              <w:spacing w:line="240" w:lineRule="exact"/>
              <w:jc w:val="left"/>
              <w:rPr>
                <w:rFonts w:ascii="宋体" w:hAnsi="宋体"/>
                <w:b w:val="0"/>
                <w:bCs/>
                <w:szCs w:val="21"/>
              </w:rPr>
            </w:pPr>
          </w:p>
        </w:tc>
        <w:tc>
          <w:tcPr>
            <w:tcW w:w="1665" w:type="pct"/>
            <w:vAlign w:val="center"/>
          </w:tcPr>
          <w:p w14:paraId="41D5971E">
            <w:pPr>
              <w:spacing w:line="240" w:lineRule="exact"/>
              <w:jc w:val="left"/>
              <w:rPr>
                <w:rFonts w:ascii="宋体" w:hAnsi="宋体"/>
                <w:b w:val="0"/>
                <w:bCs/>
                <w:szCs w:val="21"/>
              </w:rPr>
            </w:pPr>
            <w:r>
              <w:rPr>
                <w:rFonts w:hint="eastAsia" w:ascii="宋体" w:hAnsi="宋体"/>
                <w:b w:val="0"/>
                <w:bCs/>
                <w:szCs w:val="21"/>
              </w:rPr>
              <w:t>易燃固体、自燃物和遇湿易燃物品</w:t>
            </w:r>
          </w:p>
        </w:tc>
        <w:tc>
          <w:tcPr>
            <w:tcW w:w="1459" w:type="pct"/>
            <w:vAlign w:val="center"/>
          </w:tcPr>
          <w:p w14:paraId="3A132367">
            <w:pPr>
              <w:spacing w:line="240" w:lineRule="exact"/>
              <w:jc w:val="left"/>
              <w:rPr>
                <w:rFonts w:ascii="宋体" w:hAnsi="宋体"/>
                <w:b w:val="0"/>
                <w:bCs/>
                <w:szCs w:val="21"/>
              </w:rPr>
            </w:pPr>
            <w:r>
              <w:rPr>
                <w:rFonts w:hint="eastAsia" w:ascii="宋体" w:hAnsi="宋体"/>
                <w:b w:val="0"/>
                <w:bCs/>
                <w:szCs w:val="21"/>
              </w:rPr>
              <w:t>危险性工库房</w:t>
            </w:r>
          </w:p>
        </w:tc>
        <w:tc>
          <w:tcPr>
            <w:tcW w:w="1015" w:type="pct"/>
            <w:vAlign w:val="center"/>
          </w:tcPr>
          <w:p w14:paraId="0B420787">
            <w:pPr>
              <w:spacing w:line="240" w:lineRule="exact"/>
              <w:jc w:val="left"/>
              <w:rPr>
                <w:rFonts w:ascii="宋体" w:hAnsi="宋体"/>
                <w:b w:val="0"/>
                <w:bCs/>
                <w:szCs w:val="21"/>
              </w:rPr>
            </w:pPr>
            <w:r>
              <w:rPr>
                <w:rFonts w:hint="eastAsia" w:ascii="宋体" w:hAnsi="宋体"/>
                <w:b w:val="0"/>
                <w:bCs/>
                <w:szCs w:val="21"/>
              </w:rPr>
              <w:t>火灾、爆炸</w:t>
            </w:r>
          </w:p>
        </w:tc>
      </w:tr>
      <w:tr w14:paraId="55A0C51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2AC39A17">
            <w:pPr>
              <w:widowControl/>
              <w:spacing w:line="240" w:lineRule="exact"/>
              <w:jc w:val="left"/>
              <w:rPr>
                <w:rFonts w:ascii="宋体" w:hAnsi="宋体"/>
                <w:b w:val="0"/>
                <w:bCs/>
                <w:szCs w:val="21"/>
              </w:rPr>
            </w:pPr>
          </w:p>
        </w:tc>
        <w:tc>
          <w:tcPr>
            <w:tcW w:w="0" w:type="auto"/>
            <w:vMerge w:val="continue"/>
            <w:vAlign w:val="center"/>
          </w:tcPr>
          <w:p w14:paraId="2CFB30B5">
            <w:pPr>
              <w:widowControl/>
              <w:spacing w:line="240" w:lineRule="exact"/>
              <w:jc w:val="left"/>
              <w:rPr>
                <w:rFonts w:ascii="宋体" w:hAnsi="宋体"/>
                <w:b w:val="0"/>
                <w:bCs/>
                <w:szCs w:val="21"/>
              </w:rPr>
            </w:pPr>
          </w:p>
        </w:tc>
        <w:tc>
          <w:tcPr>
            <w:tcW w:w="1665" w:type="pct"/>
            <w:vAlign w:val="center"/>
          </w:tcPr>
          <w:p w14:paraId="3B886D1D">
            <w:pPr>
              <w:spacing w:line="240" w:lineRule="exact"/>
              <w:jc w:val="left"/>
              <w:rPr>
                <w:rFonts w:ascii="宋体" w:hAnsi="宋体"/>
                <w:b w:val="0"/>
                <w:bCs/>
                <w:szCs w:val="21"/>
              </w:rPr>
            </w:pPr>
            <w:r>
              <w:rPr>
                <w:rFonts w:hint="eastAsia" w:ascii="宋体" w:hAnsi="宋体"/>
                <w:b w:val="0"/>
                <w:bCs/>
                <w:szCs w:val="21"/>
              </w:rPr>
              <w:t>氧化剂</w:t>
            </w:r>
          </w:p>
        </w:tc>
        <w:tc>
          <w:tcPr>
            <w:tcW w:w="1459" w:type="pct"/>
            <w:vAlign w:val="center"/>
          </w:tcPr>
          <w:p w14:paraId="7BCED7CF">
            <w:pPr>
              <w:spacing w:line="240" w:lineRule="exact"/>
              <w:jc w:val="left"/>
              <w:rPr>
                <w:rFonts w:ascii="宋体" w:hAnsi="宋体"/>
                <w:b w:val="0"/>
                <w:bCs/>
                <w:szCs w:val="21"/>
              </w:rPr>
            </w:pPr>
            <w:r>
              <w:rPr>
                <w:rFonts w:hint="eastAsia" w:ascii="宋体" w:hAnsi="宋体"/>
                <w:b w:val="0"/>
                <w:bCs/>
                <w:szCs w:val="21"/>
              </w:rPr>
              <w:t>粉碎工房、化工原料库及其中转库</w:t>
            </w:r>
          </w:p>
        </w:tc>
        <w:tc>
          <w:tcPr>
            <w:tcW w:w="1015" w:type="pct"/>
            <w:vAlign w:val="center"/>
          </w:tcPr>
          <w:p w14:paraId="493A1E14">
            <w:pPr>
              <w:spacing w:line="240" w:lineRule="exact"/>
              <w:jc w:val="left"/>
              <w:rPr>
                <w:rFonts w:ascii="宋体" w:hAnsi="宋体"/>
                <w:b w:val="0"/>
                <w:bCs/>
                <w:szCs w:val="21"/>
              </w:rPr>
            </w:pPr>
            <w:r>
              <w:rPr>
                <w:rFonts w:hint="eastAsia" w:ascii="宋体" w:hAnsi="宋体"/>
                <w:b w:val="0"/>
                <w:bCs/>
                <w:szCs w:val="21"/>
              </w:rPr>
              <w:t>中毒或火灾、爆炸</w:t>
            </w:r>
          </w:p>
        </w:tc>
      </w:tr>
      <w:tr w14:paraId="674EAE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13B63623">
            <w:pPr>
              <w:widowControl/>
              <w:spacing w:line="240" w:lineRule="exact"/>
              <w:jc w:val="left"/>
              <w:rPr>
                <w:rFonts w:ascii="宋体" w:hAnsi="宋体"/>
                <w:b w:val="0"/>
                <w:bCs/>
                <w:szCs w:val="21"/>
              </w:rPr>
            </w:pPr>
          </w:p>
        </w:tc>
        <w:tc>
          <w:tcPr>
            <w:tcW w:w="0" w:type="auto"/>
            <w:vMerge w:val="continue"/>
            <w:vAlign w:val="center"/>
          </w:tcPr>
          <w:p w14:paraId="50479F53">
            <w:pPr>
              <w:widowControl/>
              <w:spacing w:line="240" w:lineRule="exact"/>
              <w:jc w:val="left"/>
              <w:rPr>
                <w:rFonts w:ascii="宋体" w:hAnsi="宋体"/>
                <w:b w:val="0"/>
                <w:bCs/>
                <w:szCs w:val="21"/>
              </w:rPr>
            </w:pPr>
          </w:p>
        </w:tc>
        <w:tc>
          <w:tcPr>
            <w:tcW w:w="1665" w:type="pct"/>
            <w:vAlign w:val="center"/>
          </w:tcPr>
          <w:p w14:paraId="66B81F59">
            <w:pPr>
              <w:spacing w:line="240" w:lineRule="exact"/>
              <w:jc w:val="left"/>
              <w:rPr>
                <w:rFonts w:ascii="宋体" w:hAnsi="宋体"/>
                <w:b w:val="0"/>
                <w:bCs/>
                <w:szCs w:val="21"/>
              </w:rPr>
            </w:pPr>
            <w:r>
              <w:rPr>
                <w:rFonts w:hint="eastAsia" w:ascii="宋体" w:hAnsi="宋体"/>
                <w:b w:val="0"/>
                <w:bCs/>
                <w:szCs w:val="21"/>
              </w:rPr>
              <w:t>粉尘</w:t>
            </w:r>
          </w:p>
        </w:tc>
        <w:tc>
          <w:tcPr>
            <w:tcW w:w="1459" w:type="pct"/>
            <w:vAlign w:val="center"/>
          </w:tcPr>
          <w:p w14:paraId="40977E43">
            <w:pPr>
              <w:spacing w:line="240" w:lineRule="exact"/>
              <w:jc w:val="left"/>
              <w:rPr>
                <w:rFonts w:ascii="宋体" w:hAnsi="宋体"/>
                <w:b w:val="0"/>
                <w:bCs/>
                <w:szCs w:val="21"/>
              </w:rPr>
            </w:pPr>
            <w:r>
              <w:rPr>
                <w:rFonts w:hint="eastAsia" w:ascii="宋体" w:hAnsi="宋体"/>
                <w:b w:val="0"/>
                <w:bCs/>
                <w:szCs w:val="21"/>
              </w:rPr>
              <w:t>粉碎、二味球磨、三味球磨/筛选、自动混合/上潮/装模制片等</w:t>
            </w:r>
          </w:p>
        </w:tc>
        <w:tc>
          <w:tcPr>
            <w:tcW w:w="1015" w:type="pct"/>
            <w:vAlign w:val="center"/>
          </w:tcPr>
          <w:p w14:paraId="0ED39D85">
            <w:pPr>
              <w:spacing w:line="240" w:lineRule="exact"/>
              <w:jc w:val="left"/>
              <w:rPr>
                <w:rFonts w:ascii="宋体" w:hAnsi="宋体"/>
                <w:b w:val="0"/>
                <w:bCs/>
                <w:szCs w:val="21"/>
              </w:rPr>
            </w:pPr>
            <w:r>
              <w:rPr>
                <w:rFonts w:hint="eastAsia" w:ascii="宋体" w:hAnsi="宋体"/>
                <w:b w:val="0"/>
                <w:bCs/>
                <w:szCs w:val="21"/>
              </w:rPr>
              <w:t>中毒或火灾、爆炸</w:t>
            </w:r>
          </w:p>
        </w:tc>
      </w:tr>
      <w:tr w14:paraId="7F69E78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9" w:type="pct"/>
            <w:vMerge w:val="restart"/>
            <w:vAlign w:val="center"/>
          </w:tcPr>
          <w:p w14:paraId="507F3978">
            <w:pPr>
              <w:spacing w:line="240" w:lineRule="exact"/>
              <w:jc w:val="left"/>
              <w:rPr>
                <w:rFonts w:ascii="宋体" w:hAnsi="宋体"/>
                <w:b w:val="0"/>
                <w:bCs/>
                <w:szCs w:val="21"/>
              </w:rPr>
            </w:pPr>
            <w:r>
              <w:rPr>
                <w:rFonts w:hint="eastAsia" w:ascii="宋体" w:hAnsi="宋体"/>
                <w:b w:val="0"/>
                <w:bCs/>
                <w:szCs w:val="21"/>
              </w:rPr>
              <w:t>环境因素</w:t>
            </w:r>
          </w:p>
          <w:p w14:paraId="3BCC8C3B">
            <w:pPr>
              <w:spacing w:line="240" w:lineRule="exact"/>
              <w:jc w:val="center"/>
              <w:rPr>
                <w:rFonts w:ascii="宋体" w:hAnsi="宋体"/>
                <w:b w:val="0"/>
                <w:bCs/>
                <w:szCs w:val="21"/>
              </w:rPr>
            </w:pPr>
            <w:r>
              <w:rPr>
                <w:rFonts w:hint="eastAsia" w:ascii="宋体" w:hAnsi="宋体"/>
                <w:b w:val="0"/>
                <w:bCs/>
                <w:szCs w:val="21"/>
              </w:rPr>
              <w:t>3</w:t>
            </w:r>
          </w:p>
        </w:tc>
        <w:tc>
          <w:tcPr>
            <w:tcW w:w="630" w:type="pct"/>
            <w:vMerge w:val="restart"/>
            <w:vAlign w:val="center"/>
          </w:tcPr>
          <w:p w14:paraId="312C92E5">
            <w:pPr>
              <w:spacing w:line="240" w:lineRule="exact"/>
              <w:jc w:val="left"/>
              <w:rPr>
                <w:rFonts w:ascii="宋体" w:hAnsi="宋体"/>
                <w:b w:val="0"/>
                <w:bCs/>
                <w:szCs w:val="21"/>
              </w:rPr>
            </w:pPr>
            <w:r>
              <w:rPr>
                <w:rFonts w:hint="eastAsia" w:ascii="宋体" w:hAnsi="宋体"/>
                <w:b w:val="0"/>
                <w:bCs/>
                <w:szCs w:val="21"/>
              </w:rPr>
              <w:t>室内作业环境不良31</w:t>
            </w:r>
          </w:p>
        </w:tc>
        <w:tc>
          <w:tcPr>
            <w:tcW w:w="1665" w:type="pct"/>
            <w:vAlign w:val="center"/>
          </w:tcPr>
          <w:p w14:paraId="160C1E68">
            <w:pPr>
              <w:spacing w:line="240" w:lineRule="exact"/>
              <w:jc w:val="left"/>
              <w:rPr>
                <w:rFonts w:ascii="宋体" w:hAnsi="宋体"/>
                <w:b w:val="0"/>
                <w:bCs/>
                <w:szCs w:val="21"/>
              </w:rPr>
            </w:pPr>
            <w:r>
              <w:rPr>
                <w:rFonts w:hint="eastAsia" w:ascii="宋体" w:hAnsi="宋体"/>
                <w:b w:val="0"/>
                <w:bCs/>
                <w:szCs w:val="21"/>
              </w:rPr>
              <w:t>室内作业环境狭窄</w:t>
            </w:r>
          </w:p>
        </w:tc>
        <w:tc>
          <w:tcPr>
            <w:tcW w:w="1459" w:type="pct"/>
            <w:vAlign w:val="center"/>
          </w:tcPr>
          <w:p w14:paraId="69F72CA2">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4A782D2D">
            <w:pPr>
              <w:spacing w:line="240" w:lineRule="exact"/>
              <w:jc w:val="left"/>
              <w:rPr>
                <w:rFonts w:ascii="宋体" w:hAnsi="宋体"/>
                <w:b w:val="0"/>
                <w:bCs/>
                <w:szCs w:val="21"/>
              </w:rPr>
            </w:pPr>
            <w:r>
              <w:rPr>
                <w:rFonts w:hint="eastAsia" w:ascii="宋体" w:hAnsi="宋体"/>
                <w:b w:val="0"/>
                <w:bCs/>
                <w:szCs w:val="21"/>
              </w:rPr>
              <w:t>人体伤害或引发火灾、爆炸</w:t>
            </w:r>
          </w:p>
        </w:tc>
      </w:tr>
      <w:tr w14:paraId="404179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1CE3C0CB">
            <w:pPr>
              <w:widowControl/>
              <w:spacing w:line="240" w:lineRule="exact"/>
              <w:jc w:val="left"/>
              <w:rPr>
                <w:rFonts w:ascii="宋体" w:hAnsi="宋体"/>
                <w:b w:val="0"/>
                <w:bCs/>
                <w:szCs w:val="21"/>
              </w:rPr>
            </w:pPr>
          </w:p>
        </w:tc>
        <w:tc>
          <w:tcPr>
            <w:tcW w:w="0" w:type="auto"/>
            <w:vMerge w:val="continue"/>
            <w:vAlign w:val="center"/>
          </w:tcPr>
          <w:p w14:paraId="6867FFBD">
            <w:pPr>
              <w:widowControl/>
              <w:spacing w:line="240" w:lineRule="exact"/>
              <w:jc w:val="left"/>
              <w:rPr>
                <w:rFonts w:ascii="宋体" w:hAnsi="宋体"/>
                <w:b w:val="0"/>
                <w:bCs/>
                <w:szCs w:val="21"/>
              </w:rPr>
            </w:pPr>
          </w:p>
        </w:tc>
        <w:tc>
          <w:tcPr>
            <w:tcW w:w="1665" w:type="pct"/>
            <w:vAlign w:val="center"/>
          </w:tcPr>
          <w:p w14:paraId="78CAE740">
            <w:pPr>
              <w:spacing w:line="240" w:lineRule="exact"/>
              <w:jc w:val="left"/>
              <w:rPr>
                <w:rFonts w:ascii="宋体" w:hAnsi="宋体"/>
                <w:b w:val="0"/>
                <w:bCs/>
                <w:szCs w:val="21"/>
              </w:rPr>
            </w:pPr>
            <w:r>
              <w:rPr>
                <w:rFonts w:hint="eastAsia" w:ascii="宋体" w:hAnsi="宋体"/>
                <w:b w:val="0"/>
                <w:bCs/>
                <w:szCs w:val="21"/>
              </w:rPr>
              <w:t>室内安全通道、出口缺陷</w:t>
            </w:r>
          </w:p>
        </w:tc>
        <w:tc>
          <w:tcPr>
            <w:tcW w:w="1459" w:type="pct"/>
            <w:vAlign w:val="center"/>
          </w:tcPr>
          <w:p w14:paraId="1B166A2E">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45F417CA">
            <w:pPr>
              <w:spacing w:line="240" w:lineRule="exact"/>
              <w:jc w:val="left"/>
              <w:rPr>
                <w:rFonts w:ascii="宋体" w:hAnsi="宋体"/>
                <w:b w:val="0"/>
                <w:bCs/>
                <w:szCs w:val="21"/>
              </w:rPr>
            </w:pPr>
            <w:r>
              <w:rPr>
                <w:rFonts w:hint="eastAsia" w:ascii="宋体" w:hAnsi="宋体"/>
                <w:b w:val="0"/>
                <w:bCs/>
                <w:szCs w:val="21"/>
              </w:rPr>
              <w:t>火灾、爆炸时人员无法安全撤离</w:t>
            </w:r>
          </w:p>
        </w:tc>
      </w:tr>
      <w:tr w14:paraId="511B45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2AD55010">
            <w:pPr>
              <w:widowControl/>
              <w:spacing w:line="240" w:lineRule="exact"/>
              <w:jc w:val="left"/>
              <w:rPr>
                <w:rFonts w:ascii="宋体" w:hAnsi="宋体"/>
                <w:b w:val="0"/>
                <w:bCs/>
                <w:szCs w:val="21"/>
              </w:rPr>
            </w:pPr>
          </w:p>
        </w:tc>
        <w:tc>
          <w:tcPr>
            <w:tcW w:w="0" w:type="auto"/>
            <w:vMerge w:val="continue"/>
            <w:vAlign w:val="center"/>
          </w:tcPr>
          <w:p w14:paraId="546D380C">
            <w:pPr>
              <w:widowControl/>
              <w:spacing w:line="240" w:lineRule="exact"/>
              <w:jc w:val="left"/>
              <w:rPr>
                <w:rFonts w:ascii="宋体" w:hAnsi="宋体"/>
                <w:b w:val="0"/>
                <w:bCs/>
                <w:szCs w:val="21"/>
              </w:rPr>
            </w:pPr>
          </w:p>
        </w:tc>
        <w:tc>
          <w:tcPr>
            <w:tcW w:w="1665" w:type="pct"/>
            <w:vAlign w:val="center"/>
          </w:tcPr>
          <w:p w14:paraId="7D0C1413">
            <w:pPr>
              <w:spacing w:line="240" w:lineRule="exact"/>
              <w:jc w:val="left"/>
              <w:rPr>
                <w:rFonts w:ascii="宋体" w:hAnsi="宋体"/>
                <w:b w:val="0"/>
                <w:bCs/>
                <w:szCs w:val="21"/>
              </w:rPr>
            </w:pPr>
            <w:r>
              <w:rPr>
                <w:rFonts w:hint="eastAsia" w:ascii="宋体" w:hAnsi="宋体"/>
                <w:b w:val="0"/>
                <w:bCs/>
                <w:szCs w:val="21"/>
              </w:rPr>
              <w:t>采光、照明不良</w:t>
            </w:r>
          </w:p>
        </w:tc>
        <w:tc>
          <w:tcPr>
            <w:tcW w:w="1459" w:type="pct"/>
            <w:vAlign w:val="center"/>
          </w:tcPr>
          <w:p w14:paraId="536B166F">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4E489224">
            <w:pPr>
              <w:spacing w:line="240" w:lineRule="exact"/>
              <w:jc w:val="left"/>
              <w:rPr>
                <w:rFonts w:ascii="宋体" w:hAnsi="宋体"/>
                <w:b w:val="0"/>
                <w:bCs/>
                <w:szCs w:val="21"/>
              </w:rPr>
            </w:pPr>
            <w:r>
              <w:rPr>
                <w:rFonts w:hint="eastAsia" w:ascii="宋体" w:hAnsi="宋体"/>
                <w:b w:val="0"/>
                <w:bCs/>
                <w:szCs w:val="21"/>
              </w:rPr>
              <w:t>健康危害</w:t>
            </w:r>
          </w:p>
        </w:tc>
      </w:tr>
      <w:tr w14:paraId="462D503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1E47D6DD">
            <w:pPr>
              <w:widowControl/>
              <w:spacing w:line="240" w:lineRule="exact"/>
              <w:jc w:val="left"/>
              <w:rPr>
                <w:rFonts w:ascii="宋体" w:hAnsi="宋体"/>
                <w:b w:val="0"/>
                <w:bCs/>
                <w:szCs w:val="21"/>
              </w:rPr>
            </w:pPr>
          </w:p>
        </w:tc>
        <w:tc>
          <w:tcPr>
            <w:tcW w:w="0" w:type="auto"/>
            <w:vMerge w:val="continue"/>
            <w:vAlign w:val="center"/>
          </w:tcPr>
          <w:p w14:paraId="450AAF4E">
            <w:pPr>
              <w:widowControl/>
              <w:spacing w:line="240" w:lineRule="exact"/>
              <w:jc w:val="left"/>
              <w:rPr>
                <w:rFonts w:ascii="宋体" w:hAnsi="宋体"/>
                <w:b w:val="0"/>
                <w:bCs/>
                <w:szCs w:val="21"/>
              </w:rPr>
            </w:pPr>
          </w:p>
        </w:tc>
        <w:tc>
          <w:tcPr>
            <w:tcW w:w="1665" w:type="pct"/>
            <w:vAlign w:val="center"/>
          </w:tcPr>
          <w:p w14:paraId="45F42711">
            <w:pPr>
              <w:spacing w:line="240" w:lineRule="exact"/>
              <w:jc w:val="left"/>
              <w:rPr>
                <w:rFonts w:ascii="宋体" w:hAnsi="宋体"/>
                <w:b w:val="0"/>
                <w:bCs/>
                <w:szCs w:val="21"/>
              </w:rPr>
            </w:pPr>
            <w:r>
              <w:rPr>
                <w:rFonts w:hint="eastAsia" w:ascii="宋体" w:hAnsi="宋体"/>
                <w:b w:val="0"/>
                <w:bCs/>
                <w:szCs w:val="21"/>
              </w:rPr>
              <w:t>室内温度、湿度不适</w:t>
            </w:r>
          </w:p>
        </w:tc>
        <w:tc>
          <w:tcPr>
            <w:tcW w:w="1459" w:type="pct"/>
            <w:vAlign w:val="center"/>
          </w:tcPr>
          <w:p w14:paraId="428B87F3">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7DEB47C5">
            <w:pPr>
              <w:spacing w:line="240" w:lineRule="exact"/>
              <w:jc w:val="left"/>
              <w:rPr>
                <w:rFonts w:ascii="宋体" w:hAnsi="宋体"/>
                <w:b w:val="0"/>
                <w:bCs/>
                <w:szCs w:val="21"/>
              </w:rPr>
            </w:pPr>
            <w:r>
              <w:rPr>
                <w:rFonts w:hint="eastAsia" w:ascii="宋体" w:hAnsi="宋体"/>
                <w:b w:val="0"/>
                <w:bCs/>
                <w:szCs w:val="21"/>
              </w:rPr>
              <w:t>火灾、爆炸</w:t>
            </w:r>
          </w:p>
        </w:tc>
      </w:tr>
      <w:tr w14:paraId="5AEE24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536C4825">
            <w:pPr>
              <w:widowControl/>
              <w:spacing w:line="240" w:lineRule="exact"/>
              <w:jc w:val="left"/>
              <w:rPr>
                <w:rFonts w:ascii="宋体" w:hAnsi="宋体"/>
                <w:b w:val="0"/>
                <w:bCs/>
                <w:szCs w:val="21"/>
              </w:rPr>
            </w:pPr>
          </w:p>
        </w:tc>
        <w:tc>
          <w:tcPr>
            <w:tcW w:w="630" w:type="pct"/>
            <w:vMerge w:val="restart"/>
            <w:vAlign w:val="center"/>
          </w:tcPr>
          <w:p w14:paraId="7C188350">
            <w:pPr>
              <w:spacing w:line="240" w:lineRule="exact"/>
              <w:jc w:val="left"/>
              <w:rPr>
                <w:rFonts w:ascii="宋体" w:hAnsi="宋体"/>
                <w:b w:val="0"/>
                <w:bCs/>
                <w:szCs w:val="21"/>
              </w:rPr>
            </w:pPr>
            <w:r>
              <w:rPr>
                <w:rFonts w:hint="eastAsia" w:ascii="宋体" w:hAnsi="宋体"/>
                <w:b w:val="0"/>
                <w:bCs/>
                <w:szCs w:val="21"/>
              </w:rPr>
              <w:t>室外作业环境不良32</w:t>
            </w:r>
          </w:p>
        </w:tc>
        <w:tc>
          <w:tcPr>
            <w:tcW w:w="1665" w:type="pct"/>
            <w:vAlign w:val="center"/>
          </w:tcPr>
          <w:p w14:paraId="53728607">
            <w:pPr>
              <w:spacing w:line="240" w:lineRule="exact"/>
              <w:jc w:val="left"/>
              <w:rPr>
                <w:rFonts w:ascii="宋体" w:hAnsi="宋体"/>
                <w:b w:val="0"/>
                <w:bCs/>
                <w:szCs w:val="21"/>
              </w:rPr>
            </w:pPr>
            <w:r>
              <w:rPr>
                <w:rFonts w:hint="eastAsia" w:ascii="宋体" w:hAnsi="宋体"/>
                <w:b w:val="0"/>
                <w:bCs/>
                <w:szCs w:val="21"/>
              </w:rPr>
              <w:t>恶劣气候与环境</w:t>
            </w:r>
          </w:p>
        </w:tc>
        <w:tc>
          <w:tcPr>
            <w:tcW w:w="1459" w:type="pct"/>
            <w:vAlign w:val="center"/>
          </w:tcPr>
          <w:p w14:paraId="6B8C9F05">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0CBD72EA">
            <w:pPr>
              <w:spacing w:line="240" w:lineRule="exact"/>
              <w:jc w:val="left"/>
              <w:rPr>
                <w:rFonts w:ascii="宋体" w:hAnsi="宋体"/>
                <w:b w:val="0"/>
                <w:bCs/>
                <w:szCs w:val="21"/>
              </w:rPr>
            </w:pPr>
            <w:r>
              <w:rPr>
                <w:rFonts w:hint="eastAsia" w:ascii="宋体" w:hAnsi="宋体"/>
                <w:b w:val="0"/>
                <w:bCs/>
                <w:szCs w:val="21"/>
              </w:rPr>
              <w:t>火灾、爆炸</w:t>
            </w:r>
          </w:p>
        </w:tc>
      </w:tr>
      <w:tr w14:paraId="298C8D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CF32E4E">
            <w:pPr>
              <w:widowControl/>
              <w:spacing w:line="240" w:lineRule="exact"/>
              <w:jc w:val="left"/>
              <w:rPr>
                <w:rFonts w:ascii="宋体" w:hAnsi="宋体"/>
                <w:b w:val="0"/>
                <w:bCs/>
                <w:szCs w:val="21"/>
              </w:rPr>
            </w:pPr>
          </w:p>
        </w:tc>
        <w:tc>
          <w:tcPr>
            <w:tcW w:w="0" w:type="auto"/>
            <w:vMerge w:val="continue"/>
            <w:vAlign w:val="center"/>
          </w:tcPr>
          <w:p w14:paraId="1844571B">
            <w:pPr>
              <w:widowControl/>
              <w:spacing w:line="240" w:lineRule="exact"/>
              <w:jc w:val="left"/>
              <w:rPr>
                <w:rFonts w:ascii="宋体" w:hAnsi="宋体"/>
                <w:b w:val="0"/>
                <w:bCs/>
                <w:szCs w:val="21"/>
              </w:rPr>
            </w:pPr>
          </w:p>
        </w:tc>
        <w:tc>
          <w:tcPr>
            <w:tcW w:w="1665" w:type="pct"/>
            <w:vAlign w:val="center"/>
          </w:tcPr>
          <w:p w14:paraId="10CE6886">
            <w:pPr>
              <w:spacing w:line="240" w:lineRule="exact"/>
              <w:jc w:val="left"/>
              <w:rPr>
                <w:rFonts w:ascii="宋体" w:hAnsi="宋体"/>
                <w:b w:val="0"/>
                <w:bCs/>
                <w:szCs w:val="21"/>
              </w:rPr>
            </w:pPr>
            <w:r>
              <w:rPr>
                <w:rFonts w:hint="eastAsia" w:ascii="宋体" w:hAnsi="宋体"/>
                <w:b w:val="0"/>
                <w:bCs/>
                <w:szCs w:val="21"/>
              </w:rPr>
              <w:t>作业场地和交通设施湿滑</w:t>
            </w:r>
          </w:p>
        </w:tc>
        <w:tc>
          <w:tcPr>
            <w:tcW w:w="1459" w:type="pct"/>
            <w:vAlign w:val="center"/>
          </w:tcPr>
          <w:p w14:paraId="598C9B9E">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023AEC6C">
            <w:pPr>
              <w:spacing w:line="240" w:lineRule="exact"/>
              <w:jc w:val="left"/>
              <w:rPr>
                <w:rFonts w:ascii="宋体" w:hAnsi="宋体"/>
                <w:b w:val="0"/>
                <w:bCs/>
                <w:szCs w:val="21"/>
              </w:rPr>
            </w:pPr>
            <w:r>
              <w:rPr>
                <w:rFonts w:hint="eastAsia" w:ascii="宋体" w:hAnsi="宋体"/>
                <w:b w:val="0"/>
                <w:bCs/>
                <w:szCs w:val="21"/>
              </w:rPr>
              <w:t>人体伤害或引发火灾、爆炸</w:t>
            </w:r>
          </w:p>
        </w:tc>
      </w:tr>
      <w:tr w14:paraId="5162CAE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101F3B69">
            <w:pPr>
              <w:widowControl/>
              <w:spacing w:line="240" w:lineRule="exact"/>
              <w:jc w:val="left"/>
              <w:rPr>
                <w:rFonts w:ascii="宋体" w:hAnsi="宋体"/>
                <w:b w:val="0"/>
                <w:bCs/>
                <w:szCs w:val="21"/>
              </w:rPr>
            </w:pPr>
          </w:p>
        </w:tc>
        <w:tc>
          <w:tcPr>
            <w:tcW w:w="0" w:type="auto"/>
            <w:vMerge w:val="continue"/>
            <w:vAlign w:val="center"/>
          </w:tcPr>
          <w:p w14:paraId="1936E5D1">
            <w:pPr>
              <w:widowControl/>
              <w:spacing w:line="240" w:lineRule="exact"/>
              <w:jc w:val="left"/>
              <w:rPr>
                <w:rFonts w:ascii="宋体" w:hAnsi="宋体"/>
                <w:b w:val="0"/>
                <w:bCs/>
                <w:szCs w:val="21"/>
              </w:rPr>
            </w:pPr>
          </w:p>
        </w:tc>
        <w:tc>
          <w:tcPr>
            <w:tcW w:w="1665" w:type="pct"/>
            <w:vAlign w:val="center"/>
          </w:tcPr>
          <w:p w14:paraId="6A1B3F04">
            <w:pPr>
              <w:spacing w:line="240" w:lineRule="exact"/>
              <w:jc w:val="left"/>
              <w:rPr>
                <w:rFonts w:ascii="宋体" w:hAnsi="宋体"/>
                <w:b w:val="0"/>
                <w:bCs/>
                <w:szCs w:val="21"/>
              </w:rPr>
            </w:pPr>
            <w:r>
              <w:rPr>
                <w:rFonts w:hint="eastAsia" w:ascii="宋体" w:hAnsi="宋体"/>
                <w:b w:val="0"/>
                <w:bCs/>
                <w:szCs w:val="21"/>
              </w:rPr>
              <w:t>作业场地狭窄、杂乱、不平</w:t>
            </w:r>
          </w:p>
        </w:tc>
        <w:tc>
          <w:tcPr>
            <w:tcW w:w="1459" w:type="pct"/>
            <w:vAlign w:val="center"/>
          </w:tcPr>
          <w:p w14:paraId="324D7038">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5FD6E02B">
            <w:pPr>
              <w:spacing w:line="240" w:lineRule="exact"/>
              <w:jc w:val="left"/>
              <w:rPr>
                <w:rFonts w:ascii="宋体" w:hAnsi="宋体"/>
                <w:b w:val="0"/>
                <w:bCs/>
                <w:szCs w:val="21"/>
              </w:rPr>
            </w:pPr>
            <w:r>
              <w:rPr>
                <w:rFonts w:hint="eastAsia" w:ascii="宋体" w:hAnsi="宋体"/>
                <w:b w:val="0"/>
                <w:bCs/>
                <w:szCs w:val="21"/>
              </w:rPr>
              <w:t>人体伤害或引发火灾、爆炸</w:t>
            </w:r>
          </w:p>
        </w:tc>
      </w:tr>
      <w:tr w14:paraId="541EE7A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560FE939">
            <w:pPr>
              <w:widowControl/>
              <w:spacing w:line="240" w:lineRule="exact"/>
              <w:jc w:val="left"/>
              <w:rPr>
                <w:rFonts w:ascii="宋体" w:hAnsi="宋体"/>
                <w:b w:val="0"/>
                <w:bCs/>
                <w:szCs w:val="21"/>
              </w:rPr>
            </w:pPr>
          </w:p>
        </w:tc>
        <w:tc>
          <w:tcPr>
            <w:tcW w:w="0" w:type="auto"/>
            <w:vMerge w:val="continue"/>
            <w:vAlign w:val="center"/>
          </w:tcPr>
          <w:p w14:paraId="3B73049A">
            <w:pPr>
              <w:widowControl/>
              <w:spacing w:line="240" w:lineRule="exact"/>
              <w:jc w:val="left"/>
              <w:rPr>
                <w:rFonts w:ascii="宋体" w:hAnsi="宋体"/>
                <w:b w:val="0"/>
                <w:bCs/>
                <w:szCs w:val="21"/>
              </w:rPr>
            </w:pPr>
          </w:p>
        </w:tc>
        <w:tc>
          <w:tcPr>
            <w:tcW w:w="1665" w:type="pct"/>
            <w:vAlign w:val="center"/>
          </w:tcPr>
          <w:p w14:paraId="46845A11">
            <w:pPr>
              <w:spacing w:line="240" w:lineRule="exact"/>
              <w:jc w:val="left"/>
              <w:rPr>
                <w:rFonts w:ascii="宋体" w:hAnsi="宋体"/>
                <w:b w:val="0"/>
                <w:bCs/>
                <w:szCs w:val="21"/>
              </w:rPr>
            </w:pPr>
            <w:r>
              <w:rPr>
                <w:rFonts w:hint="eastAsia" w:ascii="宋体" w:hAnsi="宋体"/>
                <w:b w:val="0"/>
                <w:bCs/>
                <w:szCs w:val="21"/>
              </w:rPr>
              <w:t>室外安全通道、出口缺陷</w:t>
            </w:r>
          </w:p>
        </w:tc>
        <w:tc>
          <w:tcPr>
            <w:tcW w:w="1459" w:type="pct"/>
            <w:vAlign w:val="center"/>
          </w:tcPr>
          <w:p w14:paraId="5E801B03">
            <w:pPr>
              <w:spacing w:line="240" w:lineRule="exact"/>
              <w:jc w:val="left"/>
              <w:rPr>
                <w:rFonts w:ascii="宋体" w:hAnsi="宋体"/>
                <w:b w:val="0"/>
                <w:bCs/>
                <w:szCs w:val="21"/>
              </w:rPr>
            </w:pPr>
            <w:r>
              <w:rPr>
                <w:rFonts w:hint="eastAsia" w:ascii="宋体" w:hAnsi="宋体"/>
                <w:b w:val="0"/>
                <w:bCs/>
                <w:szCs w:val="21"/>
              </w:rPr>
              <w:t>各危险性作业场所</w:t>
            </w:r>
          </w:p>
        </w:tc>
        <w:tc>
          <w:tcPr>
            <w:tcW w:w="1015" w:type="pct"/>
            <w:vAlign w:val="center"/>
          </w:tcPr>
          <w:p w14:paraId="73991DF3">
            <w:pPr>
              <w:spacing w:line="240" w:lineRule="exact"/>
              <w:jc w:val="left"/>
              <w:rPr>
                <w:rFonts w:ascii="宋体" w:hAnsi="宋体"/>
                <w:b w:val="0"/>
                <w:bCs/>
                <w:szCs w:val="21"/>
              </w:rPr>
            </w:pPr>
            <w:r>
              <w:rPr>
                <w:rFonts w:hint="eastAsia" w:ascii="宋体" w:hAnsi="宋体"/>
                <w:b w:val="0"/>
                <w:bCs/>
                <w:szCs w:val="21"/>
              </w:rPr>
              <w:t>火灾、爆炸时人员无法安全撤离</w:t>
            </w:r>
          </w:p>
        </w:tc>
      </w:tr>
      <w:tr w14:paraId="06A5E1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9" w:type="pct"/>
            <w:vMerge w:val="restart"/>
            <w:vAlign w:val="center"/>
          </w:tcPr>
          <w:p w14:paraId="40A95BDD">
            <w:pPr>
              <w:widowControl/>
              <w:spacing w:line="240" w:lineRule="exact"/>
              <w:jc w:val="left"/>
              <w:rPr>
                <w:rFonts w:ascii="宋体" w:hAnsi="宋体"/>
                <w:b w:val="0"/>
                <w:bCs/>
                <w:szCs w:val="21"/>
              </w:rPr>
            </w:pPr>
            <w:r>
              <w:rPr>
                <w:rFonts w:hint="eastAsia" w:ascii="宋体" w:hAnsi="宋体"/>
                <w:b w:val="0"/>
                <w:bCs/>
                <w:szCs w:val="21"/>
              </w:rPr>
              <w:t>管理</w:t>
            </w:r>
          </w:p>
          <w:p w14:paraId="3C360C98">
            <w:pPr>
              <w:widowControl/>
              <w:spacing w:line="240" w:lineRule="exact"/>
              <w:jc w:val="left"/>
              <w:rPr>
                <w:rFonts w:ascii="宋体" w:hAnsi="宋体"/>
                <w:b w:val="0"/>
                <w:bCs/>
                <w:szCs w:val="21"/>
              </w:rPr>
            </w:pPr>
            <w:r>
              <w:rPr>
                <w:rFonts w:hint="eastAsia" w:ascii="宋体" w:hAnsi="宋体"/>
                <w:b w:val="0"/>
                <w:bCs/>
                <w:szCs w:val="21"/>
              </w:rPr>
              <w:t>因</w:t>
            </w:r>
          </w:p>
          <w:p w14:paraId="008DFEDC">
            <w:pPr>
              <w:widowControl/>
              <w:spacing w:line="240" w:lineRule="exact"/>
              <w:jc w:val="left"/>
              <w:rPr>
                <w:rFonts w:ascii="宋体" w:hAnsi="宋体"/>
                <w:b w:val="0"/>
                <w:bCs/>
                <w:szCs w:val="21"/>
              </w:rPr>
            </w:pPr>
            <w:r>
              <w:rPr>
                <w:rFonts w:hint="eastAsia" w:ascii="宋体" w:hAnsi="宋体"/>
                <w:b w:val="0"/>
                <w:bCs/>
                <w:szCs w:val="21"/>
              </w:rPr>
              <w:t>素</w:t>
            </w:r>
          </w:p>
          <w:p w14:paraId="6276F704">
            <w:pPr>
              <w:widowControl/>
              <w:spacing w:line="240" w:lineRule="exact"/>
              <w:jc w:val="center"/>
              <w:rPr>
                <w:rFonts w:ascii="宋体" w:hAnsi="宋体"/>
                <w:b w:val="0"/>
                <w:bCs/>
                <w:szCs w:val="21"/>
              </w:rPr>
            </w:pPr>
            <w:r>
              <w:rPr>
                <w:rFonts w:hint="eastAsia" w:ascii="宋体" w:hAnsi="宋体"/>
                <w:b w:val="0"/>
                <w:bCs/>
                <w:szCs w:val="21"/>
              </w:rPr>
              <w:t>4</w:t>
            </w:r>
          </w:p>
        </w:tc>
        <w:tc>
          <w:tcPr>
            <w:tcW w:w="630" w:type="pct"/>
            <w:vAlign w:val="center"/>
          </w:tcPr>
          <w:p w14:paraId="08EF3E08">
            <w:pPr>
              <w:widowControl/>
              <w:spacing w:line="240" w:lineRule="exact"/>
              <w:jc w:val="left"/>
              <w:rPr>
                <w:rFonts w:ascii="宋体" w:hAnsi="宋体"/>
                <w:b w:val="0"/>
                <w:bCs/>
                <w:szCs w:val="21"/>
              </w:rPr>
            </w:pPr>
            <w:r>
              <w:rPr>
                <w:rFonts w:hint="eastAsia" w:ascii="宋体" w:hAnsi="宋体"/>
                <w:b w:val="0"/>
                <w:bCs/>
                <w:szCs w:val="21"/>
              </w:rPr>
              <w:t>安全管理机构不健全41</w:t>
            </w:r>
          </w:p>
        </w:tc>
        <w:tc>
          <w:tcPr>
            <w:tcW w:w="1665" w:type="pct"/>
            <w:vAlign w:val="center"/>
          </w:tcPr>
          <w:p w14:paraId="5D2B7539">
            <w:pPr>
              <w:widowControl/>
              <w:spacing w:line="240" w:lineRule="exact"/>
              <w:jc w:val="left"/>
              <w:rPr>
                <w:rFonts w:ascii="宋体" w:hAnsi="宋体"/>
                <w:b w:val="0"/>
                <w:bCs/>
                <w:szCs w:val="21"/>
              </w:rPr>
            </w:pPr>
            <w:r>
              <w:rPr>
                <w:rFonts w:hint="eastAsia" w:ascii="宋体" w:hAnsi="宋体"/>
                <w:b w:val="0"/>
                <w:bCs/>
                <w:szCs w:val="21"/>
              </w:rPr>
              <w:t>未按规定设置安全管理机构或未配备专职安全生产管理人员</w:t>
            </w:r>
          </w:p>
        </w:tc>
        <w:tc>
          <w:tcPr>
            <w:tcW w:w="1459" w:type="pct"/>
            <w:vAlign w:val="center"/>
          </w:tcPr>
          <w:p w14:paraId="673CEE03">
            <w:pPr>
              <w:spacing w:line="240" w:lineRule="exact"/>
              <w:jc w:val="left"/>
              <w:rPr>
                <w:rFonts w:ascii="宋体" w:hAnsi="宋体"/>
                <w:b w:val="0"/>
                <w:bCs/>
                <w:szCs w:val="21"/>
              </w:rPr>
            </w:pPr>
            <w:r>
              <w:rPr>
                <w:rFonts w:hint="eastAsia" w:ascii="宋体" w:hAnsi="宋体"/>
                <w:b w:val="0"/>
                <w:bCs/>
                <w:szCs w:val="21"/>
              </w:rPr>
              <w:t>企业管理层</w:t>
            </w:r>
          </w:p>
        </w:tc>
        <w:tc>
          <w:tcPr>
            <w:tcW w:w="1015" w:type="pct"/>
            <w:vAlign w:val="center"/>
          </w:tcPr>
          <w:p w14:paraId="2783CEEB">
            <w:pPr>
              <w:spacing w:line="240" w:lineRule="exact"/>
              <w:jc w:val="left"/>
              <w:rPr>
                <w:rFonts w:ascii="宋体" w:hAnsi="宋体"/>
                <w:b w:val="0"/>
                <w:bCs/>
                <w:szCs w:val="21"/>
              </w:rPr>
            </w:pPr>
            <w:r>
              <w:rPr>
                <w:rFonts w:hint="eastAsia" w:ascii="宋体" w:hAnsi="宋体"/>
                <w:b w:val="0"/>
                <w:bCs/>
                <w:szCs w:val="21"/>
              </w:rPr>
              <w:t>各类安全事故</w:t>
            </w:r>
          </w:p>
        </w:tc>
      </w:tr>
      <w:tr w14:paraId="2DF91A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24C67E40">
            <w:pPr>
              <w:widowControl/>
              <w:spacing w:line="240" w:lineRule="exact"/>
              <w:jc w:val="left"/>
              <w:rPr>
                <w:rFonts w:ascii="宋体" w:hAnsi="宋体"/>
                <w:b w:val="0"/>
                <w:bCs/>
                <w:szCs w:val="21"/>
              </w:rPr>
            </w:pPr>
          </w:p>
        </w:tc>
        <w:tc>
          <w:tcPr>
            <w:tcW w:w="630" w:type="pct"/>
            <w:vAlign w:val="center"/>
          </w:tcPr>
          <w:p w14:paraId="6DE61AB0">
            <w:pPr>
              <w:widowControl/>
              <w:spacing w:line="240" w:lineRule="exact"/>
              <w:jc w:val="left"/>
              <w:rPr>
                <w:rFonts w:ascii="宋体" w:hAnsi="宋体"/>
                <w:b w:val="0"/>
                <w:bCs/>
                <w:szCs w:val="21"/>
              </w:rPr>
            </w:pPr>
            <w:r>
              <w:rPr>
                <w:rFonts w:hint="eastAsia" w:ascii="宋体" w:hAnsi="宋体"/>
                <w:b w:val="0"/>
                <w:szCs w:val="21"/>
              </w:rPr>
              <w:t>安全生产责任制未落实42</w:t>
            </w:r>
          </w:p>
        </w:tc>
        <w:tc>
          <w:tcPr>
            <w:tcW w:w="1665" w:type="pct"/>
            <w:vAlign w:val="center"/>
          </w:tcPr>
          <w:p w14:paraId="2F9AD00B">
            <w:pPr>
              <w:widowControl/>
              <w:spacing w:line="240" w:lineRule="exact"/>
              <w:ind w:firstLine="205" w:firstLineChars="98"/>
              <w:jc w:val="left"/>
              <w:rPr>
                <w:rFonts w:ascii="宋体" w:hAnsi="宋体"/>
                <w:b w:val="0"/>
                <w:szCs w:val="21"/>
              </w:rPr>
            </w:pPr>
            <w:r>
              <w:rPr>
                <w:rFonts w:hint="eastAsia" w:ascii="宋体" w:hAnsi="宋体"/>
                <w:b w:val="0"/>
                <w:szCs w:val="21"/>
              </w:rPr>
              <w:t>安全生产责任制未制定或未落实</w:t>
            </w:r>
          </w:p>
        </w:tc>
        <w:tc>
          <w:tcPr>
            <w:tcW w:w="1459" w:type="pct"/>
            <w:vAlign w:val="center"/>
          </w:tcPr>
          <w:p w14:paraId="612C0472">
            <w:pPr>
              <w:spacing w:line="240" w:lineRule="exact"/>
              <w:jc w:val="left"/>
              <w:rPr>
                <w:rFonts w:ascii="宋体" w:hAnsi="宋体"/>
                <w:b w:val="0"/>
                <w:bCs/>
                <w:szCs w:val="21"/>
              </w:rPr>
            </w:pPr>
            <w:r>
              <w:rPr>
                <w:rFonts w:hint="eastAsia" w:ascii="宋体" w:hAnsi="宋体"/>
                <w:b w:val="0"/>
                <w:bCs/>
                <w:szCs w:val="21"/>
              </w:rPr>
              <w:t>全体员工</w:t>
            </w:r>
          </w:p>
        </w:tc>
        <w:tc>
          <w:tcPr>
            <w:tcW w:w="1015" w:type="pct"/>
            <w:vAlign w:val="center"/>
          </w:tcPr>
          <w:p w14:paraId="70B36A12">
            <w:pPr>
              <w:spacing w:line="240" w:lineRule="exact"/>
              <w:jc w:val="left"/>
              <w:rPr>
                <w:rFonts w:ascii="宋体" w:hAnsi="宋体"/>
                <w:b w:val="0"/>
                <w:bCs/>
                <w:szCs w:val="21"/>
              </w:rPr>
            </w:pPr>
            <w:r>
              <w:rPr>
                <w:rFonts w:hint="eastAsia" w:ascii="宋体" w:hAnsi="宋体"/>
                <w:b w:val="0"/>
                <w:bCs/>
                <w:szCs w:val="21"/>
              </w:rPr>
              <w:t>各类安全事故</w:t>
            </w:r>
          </w:p>
        </w:tc>
      </w:tr>
      <w:tr w14:paraId="74C11B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487B1C09">
            <w:pPr>
              <w:widowControl/>
              <w:spacing w:line="240" w:lineRule="exact"/>
              <w:jc w:val="left"/>
              <w:rPr>
                <w:rFonts w:ascii="宋体" w:hAnsi="宋体"/>
                <w:b w:val="0"/>
                <w:bCs/>
                <w:szCs w:val="21"/>
              </w:rPr>
            </w:pPr>
          </w:p>
        </w:tc>
        <w:tc>
          <w:tcPr>
            <w:tcW w:w="630" w:type="pct"/>
            <w:vAlign w:val="center"/>
          </w:tcPr>
          <w:p w14:paraId="35EF5631">
            <w:pPr>
              <w:widowControl/>
              <w:spacing w:line="240" w:lineRule="exact"/>
              <w:jc w:val="left"/>
              <w:rPr>
                <w:rFonts w:ascii="宋体" w:hAnsi="宋体"/>
                <w:b w:val="0"/>
                <w:bCs/>
                <w:szCs w:val="21"/>
              </w:rPr>
            </w:pPr>
            <w:r>
              <w:rPr>
                <w:rFonts w:hint="eastAsia" w:ascii="宋体" w:hAnsi="宋体"/>
                <w:b w:val="0"/>
                <w:szCs w:val="21"/>
              </w:rPr>
              <w:t>安全管理规章制度不完善43</w:t>
            </w:r>
          </w:p>
        </w:tc>
        <w:tc>
          <w:tcPr>
            <w:tcW w:w="1665" w:type="pct"/>
            <w:vAlign w:val="center"/>
          </w:tcPr>
          <w:p w14:paraId="39CA763C">
            <w:pPr>
              <w:widowControl/>
              <w:spacing w:line="240" w:lineRule="exact"/>
              <w:jc w:val="left"/>
              <w:rPr>
                <w:rFonts w:ascii="宋体" w:hAnsi="宋体"/>
                <w:b w:val="0"/>
                <w:szCs w:val="21"/>
              </w:rPr>
            </w:pPr>
            <w:r>
              <w:rPr>
                <w:rFonts w:hint="eastAsia" w:ascii="宋体" w:hAnsi="宋体"/>
                <w:b w:val="0"/>
                <w:szCs w:val="21"/>
              </w:rPr>
              <w:t>规章制度不健全、操作规程不规范、应急预案存在缺陷、培训制度不完善等</w:t>
            </w:r>
          </w:p>
        </w:tc>
        <w:tc>
          <w:tcPr>
            <w:tcW w:w="1459" w:type="pct"/>
            <w:vAlign w:val="center"/>
          </w:tcPr>
          <w:p w14:paraId="2726ACDF">
            <w:pPr>
              <w:spacing w:line="240" w:lineRule="exact"/>
              <w:jc w:val="left"/>
              <w:rPr>
                <w:rFonts w:ascii="宋体" w:hAnsi="宋体"/>
                <w:b w:val="0"/>
                <w:bCs/>
                <w:szCs w:val="21"/>
              </w:rPr>
            </w:pPr>
            <w:r>
              <w:rPr>
                <w:rFonts w:hint="eastAsia" w:ascii="宋体" w:hAnsi="宋体"/>
                <w:b w:val="0"/>
                <w:bCs/>
                <w:szCs w:val="21"/>
              </w:rPr>
              <w:t>企业管理层</w:t>
            </w:r>
          </w:p>
        </w:tc>
        <w:tc>
          <w:tcPr>
            <w:tcW w:w="1015" w:type="pct"/>
            <w:vAlign w:val="center"/>
          </w:tcPr>
          <w:p w14:paraId="11C2AF05">
            <w:pPr>
              <w:spacing w:line="240" w:lineRule="exact"/>
              <w:jc w:val="left"/>
              <w:rPr>
                <w:rFonts w:ascii="宋体" w:hAnsi="宋体"/>
                <w:b w:val="0"/>
                <w:bCs/>
                <w:szCs w:val="21"/>
              </w:rPr>
            </w:pPr>
            <w:r>
              <w:rPr>
                <w:rFonts w:hint="eastAsia" w:ascii="宋体" w:hAnsi="宋体"/>
                <w:b w:val="0"/>
                <w:bCs/>
                <w:szCs w:val="21"/>
              </w:rPr>
              <w:t>各类安全事故</w:t>
            </w:r>
          </w:p>
        </w:tc>
      </w:tr>
      <w:tr w14:paraId="5A082CB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2F4E7810">
            <w:pPr>
              <w:widowControl/>
              <w:spacing w:line="240" w:lineRule="exact"/>
              <w:jc w:val="left"/>
              <w:rPr>
                <w:rFonts w:ascii="宋体" w:hAnsi="宋体"/>
                <w:b w:val="0"/>
                <w:bCs/>
                <w:szCs w:val="21"/>
              </w:rPr>
            </w:pPr>
          </w:p>
        </w:tc>
        <w:tc>
          <w:tcPr>
            <w:tcW w:w="630" w:type="pct"/>
            <w:vAlign w:val="center"/>
          </w:tcPr>
          <w:p w14:paraId="7060BFAC">
            <w:pPr>
              <w:widowControl/>
              <w:spacing w:line="240" w:lineRule="exact"/>
              <w:jc w:val="left"/>
              <w:rPr>
                <w:rFonts w:ascii="宋体" w:hAnsi="宋体"/>
                <w:b w:val="0"/>
                <w:bCs/>
                <w:szCs w:val="21"/>
              </w:rPr>
            </w:pPr>
            <w:r>
              <w:rPr>
                <w:rFonts w:hint="eastAsia" w:ascii="宋体" w:hAnsi="宋体"/>
                <w:b w:val="0"/>
                <w:szCs w:val="21"/>
              </w:rPr>
              <w:t>安全投入不足44</w:t>
            </w:r>
          </w:p>
        </w:tc>
        <w:tc>
          <w:tcPr>
            <w:tcW w:w="1665" w:type="pct"/>
            <w:vAlign w:val="center"/>
          </w:tcPr>
          <w:p w14:paraId="4AA61CB9">
            <w:pPr>
              <w:widowControl/>
              <w:spacing w:line="240" w:lineRule="exact"/>
              <w:jc w:val="left"/>
              <w:rPr>
                <w:rFonts w:ascii="宋体" w:hAnsi="宋体"/>
                <w:b w:val="0"/>
                <w:szCs w:val="21"/>
              </w:rPr>
            </w:pPr>
            <w:r>
              <w:rPr>
                <w:rFonts w:hint="eastAsia" w:ascii="宋体" w:hAnsi="宋体"/>
                <w:b w:val="0"/>
                <w:szCs w:val="21"/>
              </w:rPr>
              <w:t>安全防护设备、设施无法更新改造，员工安全生产教育和培训以及劳动保护用品和设施无法满足等</w:t>
            </w:r>
          </w:p>
        </w:tc>
        <w:tc>
          <w:tcPr>
            <w:tcW w:w="1459" w:type="pct"/>
            <w:vAlign w:val="center"/>
          </w:tcPr>
          <w:p w14:paraId="61A8CD21">
            <w:pPr>
              <w:spacing w:line="240" w:lineRule="exact"/>
              <w:jc w:val="left"/>
              <w:rPr>
                <w:rFonts w:ascii="宋体" w:hAnsi="宋体"/>
                <w:b w:val="0"/>
                <w:bCs/>
                <w:szCs w:val="21"/>
              </w:rPr>
            </w:pPr>
            <w:r>
              <w:rPr>
                <w:rFonts w:hint="eastAsia" w:ascii="宋体" w:hAnsi="宋体"/>
                <w:b w:val="0"/>
                <w:bCs/>
                <w:szCs w:val="21"/>
              </w:rPr>
              <w:t>企业管理层</w:t>
            </w:r>
          </w:p>
        </w:tc>
        <w:tc>
          <w:tcPr>
            <w:tcW w:w="1015" w:type="pct"/>
            <w:vAlign w:val="center"/>
          </w:tcPr>
          <w:p w14:paraId="23D268B8">
            <w:pPr>
              <w:spacing w:line="240" w:lineRule="exact"/>
              <w:jc w:val="left"/>
              <w:rPr>
                <w:rFonts w:ascii="宋体" w:hAnsi="宋体"/>
                <w:b w:val="0"/>
                <w:bCs/>
                <w:szCs w:val="21"/>
              </w:rPr>
            </w:pPr>
            <w:r>
              <w:rPr>
                <w:rFonts w:hint="eastAsia" w:ascii="宋体" w:hAnsi="宋体"/>
                <w:b w:val="0"/>
                <w:bCs/>
                <w:szCs w:val="21"/>
              </w:rPr>
              <w:t>各类安全事故</w:t>
            </w:r>
          </w:p>
        </w:tc>
      </w:tr>
    </w:tbl>
    <w:p w14:paraId="06A93CF5">
      <w:pPr>
        <w:spacing w:before="120" w:beforeLines="50" w:line="360" w:lineRule="auto"/>
        <w:outlineLvl w:val="2"/>
        <w:rPr>
          <w:rFonts w:ascii="黑体" w:hAnsi="黑体" w:eastAsia="黑体"/>
          <w:b w:val="0"/>
          <w:sz w:val="30"/>
          <w:szCs w:val="30"/>
        </w:rPr>
      </w:pPr>
      <w:bookmarkStart w:id="417" w:name="_Toc325531552"/>
      <w:bookmarkStart w:id="418" w:name="_Toc202015921"/>
      <w:bookmarkStart w:id="419" w:name="_Toc326007676"/>
      <w:bookmarkStart w:id="420" w:name="_Toc326823028"/>
      <w:bookmarkStart w:id="421" w:name="_Toc58946841"/>
      <w:bookmarkStart w:id="422" w:name="_Toc145275217"/>
      <w:bookmarkStart w:id="423" w:name="_Toc271898778"/>
      <w:bookmarkStart w:id="424" w:name="_Toc188265319"/>
      <w:bookmarkStart w:id="425" w:name="_Toc58862009"/>
      <w:bookmarkStart w:id="426" w:name="_Toc148037012"/>
      <w:bookmarkStart w:id="427" w:name="_Toc280010184"/>
      <w:bookmarkStart w:id="428" w:name="_Toc301365471"/>
      <w:bookmarkStart w:id="429" w:name="_Toc181194090"/>
      <w:bookmarkStart w:id="430" w:name="_Toc299549427"/>
      <w:bookmarkStart w:id="431" w:name="_Toc83159008"/>
      <w:bookmarkStart w:id="432" w:name="_Toc173077683"/>
      <w:bookmarkStart w:id="433" w:name="_Toc335902419"/>
      <w:bookmarkStart w:id="434" w:name="_Toc60129124"/>
      <w:r>
        <w:rPr>
          <w:rFonts w:hint="eastAsia" w:ascii="黑体" w:hAnsi="黑体" w:eastAsia="黑体"/>
          <w:b w:val="0"/>
          <w:sz w:val="30"/>
          <w:szCs w:val="30"/>
        </w:rPr>
        <w:t>3.1</w:t>
      </w:r>
      <w:r>
        <w:rPr>
          <w:rFonts w:ascii="黑体" w:hAnsi="黑体" w:eastAsia="黑体"/>
          <w:b w:val="0"/>
          <w:sz w:val="30"/>
          <w:szCs w:val="30"/>
        </w:rPr>
        <w:t>2</w:t>
      </w:r>
      <w:r>
        <w:rPr>
          <w:rFonts w:hint="eastAsia" w:ascii="黑体" w:hAnsi="黑体" w:eastAsia="黑体"/>
          <w:b w:val="0"/>
          <w:sz w:val="30"/>
          <w:szCs w:val="30"/>
        </w:rPr>
        <w:t>.1</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Fonts w:hint="eastAsia" w:ascii="黑体" w:hAnsi="黑体" w:eastAsia="黑体"/>
          <w:b w:val="0"/>
          <w:bCs/>
          <w:sz w:val="30"/>
          <w:szCs w:val="30"/>
        </w:rPr>
        <w:t>火灾、爆炸危害</w:t>
      </w:r>
    </w:p>
    <w:p w14:paraId="259444DE">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1</w:t>
      </w:r>
      <w:r>
        <w:rPr>
          <w:rFonts w:hint="eastAsia" w:ascii="宋体" w:hAnsi="宋体"/>
          <w:b w:val="0"/>
          <w:snapToGrid w:val="0"/>
          <w:sz w:val="28"/>
          <w:szCs w:val="28"/>
        </w:rPr>
        <w:t>）火灾危害</w:t>
      </w:r>
    </w:p>
    <w:p w14:paraId="4422C58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火灾危害的主要作用方式是：①火焰的直接作用；②热对流，即燃烧后产生的热气体同未加热的气体对流，使整个空间温度迅速升高；③热辐射，即被燃烧加热的高温物体以辐射的形式向外发射能量，温度越高，辐射越强；④热传导，即热能由物体温度较高的部分传至较低的部分。本项目燃烧的主要危害方式是火焰的直接作用。火焰除可对人员造成直接伤害外，还可使建筑物的结构强度降低，造成建筑物倒塌、破坏，特别是在一定条件下可能引起更大范围的燃烧和爆炸。另外，在燃烧的发光、发热、生成新物质的过程中，产生的燃烧产物主要为</w:t>
      </w:r>
      <w:r>
        <w:rPr>
          <w:rFonts w:ascii="宋体" w:hAnsi="宋体"/>
          <w:b w:val="0"/>
          <w:snapToGrid w:val="0"/>
          <w:sz w:val="28"/>
          <w:szCs w:val="28"/>
        </w:rPr>
        <w:t>CO</w:t>
      </w:r>
      <w:r>
        <w:rPr>
          <w:rFonts w:hint="eastAsia" w:ascii="宋体" w:hAnsi="宋体"/>
          <w:b w:val="0"/>
          <w:snapToGrid w:val="0"/>
          <w:sz w:val="28"/>
          <w:szCs w:val="28"/>
        </w:rPr>
        <w:t>、</w:t>
      </w:r>
      <w:r>
        <w:rPr>
          <w:rFonts w:ascii="宋体" w:hAnsi="宋体"/>
          <w:b w:val="0"/>
          <w:snapToGrid w:val="0"/>
          <w:sz w:val="28"/>
          <w:szCs w:val="28"/>
        </w:rPr>
        <w:t>CO</w:t>
      </w:r>
      <w:r>
        <w:rPr>
          <w:rFonts w:ascii="宋体" w:hAnsi="宋体"/>
          <w:b w:val="0"/>
          <w:snapToGrid w:val="0"/>
          <w:sz w:val="28"/>
          <w:szCs w:val="28"/>
          <w:vertAlign w:val="subscript"/>
        </w:rPr>
        <w:t>2</w:t>
      </w:r>
      <w:r>
        <w:rPr>
          <w:rFonts w:hint="eastAsia" w:ascii="宋体" w:hAnsi="宋体"/>
          <w:b w:val="0"/>
          <w:snapToGrid w:val="0"/>
          <w:sz w:val="28"/>
          <w:szCs w:val="28"/>
        </w:rPr>
        <w:t>、</w:t>
      </w:r>
      <w:r>
        <w:rPr>
          <w:rFonts w:ascii="宋体" w:hAnsi="宋体"/>
          <w:b w:val="0"/>
          <w:snapToGrid w:val="0"/>
          <w:sz w:val="28"/>
          <w:szCs w:val="28"/>
        </w:rPr>
        <w:t>NO</w:t>
      </w:r>
      <w:r>
        <w:rPr>
          <w:rFonts w:ascii="宋体" w:hAnsi="宋体"/>
          <w:b w:val="0"/>
          <w:snapToGrid w:val="0"/>
          <w:sz w:val="28"/>
          <w:szCs w:val="28"/>
          <w:vertAlign w:val="subscript"/>
        </w:rPr>
        <w:t>2</w:t>
      </w:r>
      <w:r>
        <w:rPr>
          <w:rFonts w:hint="eastAsia" w:ascii="宋体" w:hAnsi="宋体"/>
          <w:b w:val="0"/>
          <w:snapToGrid w:val="0"/>
          <w:sz w:val="28"/>
          <w:szCs w:val="28"/>
        </w:rPr>
        <w:t>、烟雾等，这些有毒有害物质也会对周围人员造成危害，导致窒息、甚至死亡。</w:t>
      </w:r>
    </w:p>
    <w:p w14:paraId="05008D7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w:t>
      </w:r>
      <w:r>
        <w:rPr>
          <w:rFonts w:ascii="宋体" w:hAnsi="宋体"/>
          <w:b w:val="0"/>
          <w:snapToGrid w:val="0"/>
          <w:sz w:val="28"/>
          <w:szCs w:val="28"/>
        </w:rPr>
        <w:t>2</w:t>
      </w:r>
      <w:r>
        <w:rPr>
          <w:rFonts w:hint="eastAsia" w:ascii="宋体" w:hAnsi="宋体"/>
          <w:b w:val="0"/>
          <w:snapToGrid w:val="0"/>
          <w:sz w:val="28"/>
          <w:szCs w:val="28"/>
        </w:rPr>
        <w:t>）爆炸危害</w:t>
      </w:r>
    </w:p>
    <w:p w14:paraId="013F8AF0">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黑火药爆炸会产生爆轰产物、飞散物、地震波、冲击波四种破坏效应。</w:t>
      </w:r>
    </w:p>
    <w:p w14:paraId="7DC1CCF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一旦发生爆炸，高温、高压的爆轰产物立即迅速向四周膨胀，对周围介质产生很大的破坏作用。爆炸掀起的破片、砖石等固体飞散物也会对周围人员建筑等造成破坏，但这种破坏一般是局部的、随机的。</w:t>
      </w:r>
    </w:p>
    <w:p w14:paraId="0EE0E6EB">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地面爆炸还能引起地面的震动，地震波能造成建筑物和相关设备的破坏，如一般建筑可以承受的振动速度为</w:t>
      </w:r>
      <w:r>
        <w:rPr>
          <w:rFonts w:ascii="宋体" w:hAnsi="宋体"/>
          <w:b w:val="0"/>
          <w:snapToGrid w:val="0"/>
          <w:sz w:val="28"/>
          <w:szCs w:val="28"/>
        </w:rPr>
        <w:t>5cm/s</w:t>
      </w:r>
      <w:r>
        <w:rPr>
          <w:rFonts w:hint="eastAsia" w:ascii="宋体" w:hAnsi="宋体"/>
          <w:b w:val="0"/>
          <w:snapToGrid w:val="0"/>
          <w:sz w:val="28"/>
          <w:szCs w:val="28"/>
        </w:rPr>
        <w:t>。但地震波破坏效应一般远小于冲击波的破坏效应，可以忽略不计。</w:t>
      </w:r>
    </w:p>
    <w:p w14:paraId="65077373">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爆炸对周围建筑物和人员等目标的破坏主要是爆炸空气冲击波作用。黑火药在空气中爆炸形成高温、高压气体产物，迅速向外膨胀，使原来静止的空气的压力、温度突然升高，形成爆炸冲击波。爆炸冲击波传播距离大大超出爆炸本身占有的范围，对周围人员和建筑物造成很大破坏和伤害。描述空气冲击波强弱的参数有三个：峰值超压、正压作用时间和冲量。空气冲击波对人员杀伤的主要征象是引起听觉器官的损伤、内脏出血以及死亡。冲击波峰值超压和冲量共同作用可导致建筑物倒塌，如果建筑物内有危险品，还可引发次生灾害。</w:t>
      </w:r>
    </w:p>
    <w:p w14:paraId="69E4F7D0">
      <w:pPr>
        <w:spacing w:line="360" w:lineRule="auto"/>
        <w:ind w:firstLine="420" w:firstLineChars="150"/>
        <w:rPr>
          <w:rFonts w:ascii="宋体" w:hAnsi="宋体"/>
          <w:b w:val="0"/>
          <w:snapToGrid w:val="0"/>
          <w:sz w:val="28"/>
          <w:szCs w:val="28"/>
        </w:rPr>
      </w:pPr>
      <w:r>
        <w:rPr>
          <w:rFonts w:hint="eastAsia" w:ascii="宋体" w:hAnsi="宋体"/>
          <w:b w:val="0"/>
          <w:snapToGrid w:val="0"/>
          <w:sz w:val="28"/>
          <w:szCs w:val="28"/>
        </w:rPr>
        <w:t>（3）危险有害因素导致事故触发条件</w:t>
      </w:r>
    </w:p>
    <w:p w14:paraId="1003DC21">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根据对各种引起烟火药燃烧爆炸的条件分析，烟火药导致火灾爆炸事故的触发条件如下图3.1</w:t>
      </w:r>
      <w:r>
        <w:rPr>
          <w:rFonts w:ascii="宋体" w:hAnsi="宋体"/>
          <w:b w:val="0"/>
          <w:snapToGrid w:val="0"/>
          <w:sz w:val="28"/>
          <w:szCs w:val="28"/>
        </w:rPr>
        <w:t>2</w:t>
      </w:r>
      <w:r>
        <w:rPr>
          <w:rFonts w:hint="eastAsia" w:ascii="宋体" w:hAnsi="宋体"/>
          <w:b w:val="0"/>
          <w:snapToGrid w:val="0"/>
          <w:sz w:val="28"/>
          <w:szCs w:val="28"/>
        </w:rPr>
        <w:t>-1鱼刺图所示。</w:t>
      </w:r>
    </w:p>
    <w:p w14:paraId="7F20913C">
      <w:pPr>
        <w:spacing w:line="360" w:lineRule="auto"/>
        <w:jc w:val="center"/>
        <w:rPr>
          <w:rFonts w:ascii="黑体" w:hAnsi="宋体" w:eastAsia="黑体"/>
          <w:b w:val="0"/>
          <w:sz w:val="24"/>
        </w:rPr>
      </w:pPr>
      <w:r>
        <w:rPr>
          <w:rFonts w:ascii="Times New Roman" w:hAnsi="Times New Roman"/>
        </w:rPr>
        <mc:AlternateContent>
          <mc:Choice Requires="wpc">
            <w:drawing>
              <wp:inline distT="0" distB="0" distL="0" distR="0">
                <wp:extent cx="5922645" cy="2314575"/>
                <wp:effectExtent l="0" t="0" r="40005" b="0"/>
                <wp:docPr id="553" name="画布 553"/>
                <wp:cNvGraphicFramePr/>
                <a:graphic xmlns:a="http://schemas.openxmlformats.org/drawingml/2006/main">
                  <a:graphicData uri="http://schemas.microsoft.com/office/word/2010/wordprocessingCanvas">
                    <wpc:wpc>
                      <wpc:bg>
                        <a:noFill/>
                      </wpc:bg>
                      <wpc:whole>
                        <a:ln>
                          <a:noFill/>
                        </a:ln>
                      </wpc:whole>
                      <wpg:wgp>
                        <wpg:cNvPr id="673" name="Group 8"/>
                        <wpg:cNvGrpSpPr/>
                        <wpg:grpSpPr>
                          <a:xfrm>
                            <a:off x="0" y="96686"/>
                            <a:ext cx="5922645" cy="2081530"/>
                            <a:chOff x="1631" y="9309"/>
                            <a:chExt cx="7634" cy="3535"/>
                          </a:xfrm>
                        </wpg:grpSpPr>
                        <wps:wsp>
                          <wps:cNvPr id="678" name="Line 13"/>
                          <wps:cNvCnPr>
                            <a:cxnSpLocks noChangeShapeType="1"/>
                          </wps:cNvCnPr>
                          <wps:spPr bwMode="auto">
                            <a:xfrm rot="7176324" flipV="1">
                              <a:off x="4006" y="9476"/>
                              <a:ext cx="988" cy="1468"/>
                            </a:xfrm>
                            <a:prstGeom prst="line">
                              <a:avLst/>
                            </a:prstGeom>
                            <a:noFill/>
                            <a:ln w="19050">
                              <a:solidFill>
                                <a:srgbClr val="000000"/>
                              </a:solidFill>
                              <a:round/>
                              <a:tailEnd type="arrow" w="med" len="med"/>
                            </a:ln>
                          </wps:spPr>
                          <wps:bodyPr/>
                        </wps:wsp>
                        <wps:wsp>
                          <wps:cNvPr id="674" name="AutoShape 9"/>
                          <wps:cNvSpPr>
                            <a:spLocks noChangeArrowheads="1"/>
                          </wps:cNvSpPr>
                          <wps:spPr bwMode="auto">
                            <a:xfrm>
                              <a:off x="7854" y="10197"/>
                              <a:ext cx="1411" cy="1837"/>
                            </a:xfrm>
                            <a:prstGeom prst="irregularSeal2">
                              <a:avLst/>
                            </a:prstGeom>
                            <a:noFill/>
                            <a:ln w="9525">
                              <a:solidFill>
                                <a:srgbClr val="000000"/>
                              </a:solidFill>
                              <a:miter lim="800000"/>
                            </a:ln>
                          </wps:spPr>
                          <wps:txbx>
                            <w:txbxContent>
                              <w:p w14:paraId="66F9AB6A">
                                <w:pPr>
                                  <w:spacing w:before="120" w:beforeLines="50"/>
                                  <w:rPr>
                                    <w:rFonts w:ascii="宋体" w:hAnsi="宋体"/>
                                    <w:b w:val="0"/>
                                    <w:sz w:val="20"/>
                                  </w:rPr>
                                </w:pPr>
                                <w:r>
                                  <w:rPr>
                                    <w:rFonts w:hint="eastAsia" w:ascii="宋体" w:hAnsi="宋体"/>
                                    <w:b w:val="0"/>
                                    <w:sz w:val="20"/>
                                  </w:rPr>
                                  <w:t>爆  炸</w:t>
                                </w:r>
                              </w:p>
                            </w:txbxContent>
                          </wps:txbx>
                          <wps:bodyPr rot="0" vert="horz" wrap="square" lIns="87782" tIns="43891" rIns="87782" bIns="43891" anchor="t" anchorCtr="0" upright="1">
                            <a:noAutofit/>
                          </wps:bodyPr>
                        </wps:wsp>
                        <wps:wsp>
                          <wps:cNvPr id="675" name="Line 10"/>
                          <wps:cNvCnPr>
                            <a:cxnSpLocks noChangeShapeType="1"/>
                          </wps:cNvCnPr>
                          <wps:spPr bwMode="auto">
                            <a:xfrm flipV="1">
                              <a:off x="2731" y="11008"/>
                              <a:ext cx="5268" cy="16"/>
                            </a:xfrm>
                            <a:prstGeom prst="line">
                              <a:avLst/>
                            </a:prstGeom>
                            <a:noFill/>
                            <a:ln w="19050">
                              <a:solidFill>
                                <a:srgbClr val="000000"/>
                              </a:solidFill>
                              <a:round/>
                              <a:tailEnd type="triangle" w="med" len="med"/>
                            </a:ln>
                          </wps:spPr>
                          <wps:bodyPr/>
                        </wps:wsp>
                        <wps:wsp>
                          <wps:cNvPr id="676" name="AutoShape 11"/>
                          <wps:cNvSpPr>
                            <a:spLocks noChangeArrowheads="1"/>
                          </wps:cNvSpPr>
                          <wps:spPr bwMode="auto">
                            <a:xfrm>
                              <a:off x="6789" y="9986"/>
                              <a:ext cx="987" cy="1094"/>
                            </a:xfrm>
                            <a:prstGeom prst="cloudCallout">
                              <a:avLst>
                                <a:gd name="adj1" fmla="val -43731"/>
                                <a:gd name="adj2" fmla="val 69977"/>
                              </a:avLst>
                            </a:prstGeom>
                            <a:noFill/>
                            <a:ln w="9525">
                              <a:solidFill>
                                <a:srgbClr val="000000"/>
                              </a:solidFill>
                              <a:round/>
                            </a:ln>
                          </wps:spPr>
                          <wps:txbx>
                            <w:txbxContent>
                              <w:p w14:paraId="7B4590AA">
                                <w:pPr>
                                  <w:jc w:val="center"/>
                                  <w:rPr>
                                    <w:rFonts w:ascii="宋体" w:hAnsi="宋体"/>
                                    <w:b w:val="0"/>
                                    <w:sz w:val="20"/>
                                  </w:rPr>
                                </w:pPr>
                                <w:r>
                                  <w:rPr>
                                    <w:rFonts w:hint="eastAsia" w:ascii="宋体" w:hAnsi="宋体"/>
                                    <w:b w:val="0"/>
                                    <w:sz w:val="20"/>
                                  </w:rPr>
                                  <w:t>着</w:t>
                                </w:r>
                                <w:r>
                                  <w:rPr>
                                    <w:rFonts w:hint="eastAsia" w:ascii="宋体" w:hAnsi="宋体"/>
                                    <w:b w:val="0"/>
                                    <w:color w:val="FF0000"/>
                                    <w:sz w:val="20"/>
                                  </w:rPr>
                                  <w:t xml:space="preserve"> </w:t>
                                </w:r>
                                <w:r>
                                  <w:rPr>
                                    <w:rFonts w:hint="eastAsia" w:ascii="宋体" w:hAnsi="宋体"/>
                                    <w:b w:val="0"/>
                                    <w:sz w:val="20"/>
                                  </w:rPr>
                                  <w:t>火</w:t>
                                </w:r>
                              </w:p>
                            </w:txbxContent>
                          </wps:txbx>
                          <wps:bodyPr rot="0" vert="horz" wrap="square" lIns="87782" tIns="43891" rIns="87782" bIns="43891" anchor="t" anchorCtr="0" upright="1">
                            <a:noAutofit/>
                          </wps:bodyPr>
                        </wps:wsp>
                        <wps:wsp>
                          <wps:cNvPr id="677" name="Line 12"/>
                          <wps:cNvCnPr>
                            <a:cxnSpLocks noChangeShapeType="1"/>
                          </wps:cNvCnPr>
                          <wps:spPr bwMode="auto">
                            <a:xfrm rot="7176324" flipV="1">
                              <a:off x="2446" y="9490"/>
                              <a:ext cx="987" cy="1468"/>
                            </a:xfrm>
                            <a:prstGeom prst="line">
                              <a:avLst/>
                            </a:prstGeom>
                            <a:noFill/>
                            <a:ln w="19050">
                              <a:solidFill>
                                <a:srgbClr val="000000"/>
                              </a:solidFill>
                              <a:round/>
                              <a:tailEnd type="arrow" w="med" len="med"/>
                            </a:ln>
                          </wps:spPr>
                          <wps:bodyPr/>
                        </wps:wsp>
                        <wps:wsp>
                          <wps:cNvPr id="679" name="Line 14"/>
                          <wps:cNvCnPr>
                            <a:cxnSpLocks noChangeShapeType="1"/>
                          </wps:cNvCnPr>
                          <wps:spPr bwMode="auto">
                            <a:xfrm rot="7176324" flipV="1">
                              <a:off x="5513" y="9484"/>
                              <a:ext cx="986" cy="1468"/>
                            </a:xfrm>
                            <a:prstGeom prst="line">
                              <a:avLst/>
                            </a:prstGeom>
                            <a:noFill/>
                            <a:ln w="19050">
                              <a:solidFill>
                                <a:srgbClr val="000000"/>
                              </a:solidFill>
                              <a:round/>
                              <a:tailEnd type="arrow" w="med" len="med"/>
                            </a:ln>
                          </wps:spPr>
                          <wps:bodyPr/>
                        </wps:wsp>
                        <wps:wsp>
                          <wps:cNvPr id="680" name="Line 15"/>
                          <wps:cNvCnPr>
                            <a:cxnSpLocks noChangeShapeType="1"/>
                          </wps:cNvCnPr>
                          <wps:spPr bwMode="auto">
                            <a:xfrm rot="3359447" flipV="1">
                              <a:off x="3700" y="9633"/>
                              <a:ext cx="505" cy="757"/>
                            </a:xfrm>
                            <a:prstGeom prst="line">
                              <a:avLst/>
                            </a:prstGeom>
                            <a:noFill/>
                            <a:ln w="19050">
                              <a:solidFill>
                                <a:srgbClr val="000000"/>
                              </a:solidFill>
                              <a:round/>
                              <a:tailEnd type="arrow" w="med" len="med"/>
                            </a:ln>
                          </wps:spPr>
                          <wps:bodyPr/>
                        </wps:wsp>
                        <wps:wsp>
                          <wps:cNvPr id="681" name="Line 16"/>
                          <wps:cNvCnPr>
                            <a:cxnSpLocks noChangeShapeType="1"/>
                          </wps:cNvCnPr>
                          <wps:spPr bwMode="auto">
                            <a:xfrm rot="3359447" flipV="1">
                              <a:off x="5108" y="9585"/>
                              <a:ext cx="567" cy="790"/>
                            </a:xfrm>
                            <a:prstGeom prst="line">
                              <a:avLst/>
                            </a:prstGeom>
                            <a:noFill/>
                            <a:ln w="19050">
                              <a:solidFill>
                                <a:srgbClr val="000000"/>
                              </a:solidFill>
                              <a:round/>
                              <a:tailEnd type="arrow" w="med" len="med"/>
                            </a:ln>
                          </wps:spPr>
                          <wps:bodyPr/>
                        </wps:wsp>
                        <wps:wsp>
                          <wps:cNvPr id="682" name="Line 17"/>
                          <wps:cNvCnPr>
                            <a:cxnSpLocks noChangeShapeType="1"/>
                          </wps:cNvCnPr>
                          <wps:spPr bwMode="auto">
                            <a:xfrm rot="21168184" flipV="1">
                              <a:off x="2188" y="11166"/>
                              <a:ext cx="1104" cy="1636"/>
                            </a:xfrm>
                            <a:prstGeom prst="line">
                              <a:avLst/>
                            </a:prstGeom>
                            <a:noFill/>
                            <a:ln w="19050">
                              <a:solidFill>
                                <a:srgbClr val="000000"/>
                              </a:solidFill>
                              <a:round/>
                              <a:tailEnd type="arrow" w="med" len="med"/>
                            </a:ln>
                          </wps:spPr>
                          <wps:bodyPr/>
                        </wps:wsp>
                        <wps:wsp>
                          <wps:cNvPr id="683" name="Line 18"/>
                          <wps:cNvCnPr>
                            <a:cxnSpLocks noChangeShapeType="1"/>
                          </wps:cNvCnPr>
                          <wps:spPr bwMode="auto">
                            <a:xfrm rot="21168184" flipV="1">
                              <a:off x="3334" y="11135"/>
                              <a:ext cx="1143" cy="1667"/>
                            </a:xfrm>
                            <a:prstGeom prst="line">
                              <a:avLst/>
                            </a:prstGeom>
                            <a:noFill/>
                            <a:ln w="19050">
                              <a:solidFill>
                                <a:srgbClr val="000000"/>
                              </a:solidFill>
                              <a:round/>
                              <a:tailEnd type="arrow" w="med" len="med"/>
                            </a:ln>
                          </wps:spPr>
                          <wps:bodyPr/>
                        </wps:wsp>
                        <wps:wsp>
                          <wps:cNvPr id="684" name="Line 19"/>
                          <wps:cNvCnPr>
                            <a:cxnSpLocks noChangeShapeType="1"/>
                          </wps:cNvCnPr>
                          <wps:spPr bwMode="auto">
                            <a:xfrm rot="21168184" flipV="1">
                              <a:off x="4477" y="11185"/>
                              <a:ext cx="1080" cy="1658"/>
                            </a:xfrm>
                            <a:prstGeom prst="line">
                              <a:avLst/>
                            </a:prstGeom>
                            <a:noFill/>
                            <a:ln w="19050">
                              <a:solidFill>
                                <a:srgbClr val="000000"/>
                              </a:solidFill>
                              <a:round/>
                              <a:tailEnd type="arrow" w="med" len="med"/>
                            </a:ln>
                          </wps:spPr>
                          <wps:bodyPr/>
                        </wps:wsp>
                        <wps:wsp>
                          <wps:cNvPr id="685" name="Line 20"/>
                          <wps:cNvCnPr>
                            <a:cxnSpLocks noChangeShapeType="1"/>
                          </wps:cNvCnPr>
                          <wps:spPr bwMode="auto">
                            <a:xfrm rot="21168184" flipV="1">
                              <a:off x="5652" y="11090"/>
                              <a:ext cx="1092" cy="1711"/>
                            </a:xfrm>
                            <a:prstGeom prst="line">
                              <a:avLst/>
                            </a:prstGeom>
                            <a:noFill/>
                            <a:ln w="19050">
                              <a:solidFill>
                                <a:srgbClr val="000000"/>
                              </a:solidFill>
                              <a:round/>
                              <a:tailEnd type="arrow" w="med" len="med"/>
                            </a:ln>
                          </wps:spPr>
                          <wps:bodyPr/>
                        </wps:wsp>
                        <wps:wsp>
                          <wps:cNvPr id="686" name="Line 21"/>
                          <wps:cNvCnPr>
                            <a:cxnSpLocks noChangeShapeType="1"/>
                          </wps:cNvCnPr>
                          <wps:spPr bwMode="auto">
                            <a:xfrm rot="14149631" flipV="1">
                              <a:off x="6315" y="11824"/>
                              <a:ext cx="680" cy="956"/>
                            </a:xfrm>
                            <a:prstGeom prst="line">
                              <a:avLst/>
                            </a:prstGeom>
                            <a:noFill/>
                            <a:ln w="19050">
                              <a:solidFill>
                                <a:srgbClr val="000000"/>
                              </a:solidFill>
                              <a:round/>
                              <a:tailEnd type="arrow" w="med" len="med"/>
                            </a:ln>
                          </wps:spPr>
                          <wps:bodyPr/>
                        </wps:wsp>
                        <wps:wsp>
                          <wps:cNvPr id="714" name="Line 22"/>
                          <wps:cNvCnPr>
                            <a:cxnSpLocks noChangeShapeType="1"/>
                          </wps:cNvCnPr>
                          <wps:spPr bwMode="auto">
                            <a:xfrm rot="3359447" flipV="1">
                              <a:off x="3988" y="11920"/>
                              <a:ext cx="566" cy="770"/>
                            </a:xfrm>
                            <a:prstGeom prst="line">
                              <a:avLst/>
                            </a:prstGeom>
                            <a:noFill/>
                            <a:ln w="19050">
                              <a:solidFill>
                                <a:srgbClr val="000000"/>
                              </a:solidFill>
                              <a:round/>
                              <a:tailEnd type="arrow" w="med" len="med"/>
                            </a:ln>
                          </wps:spPr>
                          <wps:bodyPr/>
                        </wps:wsp>
                        <wps:wsp>
                          <wps:cNvPr id="715" name="Line 23"/>
                          <wps:cNvCnPr>
                            <a:cxnSpLocks noChangeShapeType="1"/>
                          </wps:cNvCnPr>
                          <wps:spPr bwMode="auto">
                            <a:xfrm rot="3359447" flipV="1">
                              <a:off x="2813" y="12206"/>
                              <a:ext cx="523" cy="753"/>
                            </a:xfrm>
                            <a:prstGeom prst="line">
                              <a:avLst/>
                            </a:prstGeom>
                            <a:noFill/>
                            <a:ln w="19050">
                              <a:solidFill>
                                <a:srgbClr val="000000"/>
                              </a:solidFill>
                              <a:round/>
                              <a:tailEnd type="arrow" w="med" len="med"/>
                            </a:ln>
                          </wps:spPr>
                          <wps:bodyPr/>
                        </wps:wsp>
                        <wps:wsp>
                          <wps:cNvPr id="716" name="Line 24"/>
                          <wps:cNvCnPr>
                            <a:cxnSpLocks noChangeShapeType="1"/>
                          </wps:cNvCnPr>
                          <wps:spPr bwMode="auto">
                            <a:xfrm rot="3359447" flipV="1">
                              <a:off x="5094" y="12055"/>
                              <a:ext cx="545" cy="751"/>
                            </a:xfrm>
                            <a:prstGeom prst="line">
                              <a:avLst/>
                            </a:prstGeom>
                            <a:noFill/>
                            <a:ln w="19050">
                              <a:solidFill>
                                <a:srgbClr val="000000"/>
                              </a:solidFill>
                              <a:round/>
                              <a:tailEnd type="arrow" w="med" len="med"/>
                            </a:ln>
                          </wps:spPr>
                          <wps:bodyPr/>
                        </wps:wsp>
                        <wps:wsp>
                          <wps:cNvPr id="717" name="Rectangle 25"/>
                          <wps:cNvSpPr>
                            <a:spLocks noChangeArrowheads="1"/>
                          </wps:cNvSpPr>
                          <wps:spPr bwMode="auto">
                            <a:xfrm>
                              <a:off x="5044" y="11971"/>
                              <a:ext cx="903" cy="583"/>
                            </a:xfrm>
                            <a:prstGeom prst="rect">
                              <a:avLst/>
                            </a:prstGeom>
                            <a:solidFill>
                              <a:srgbClr val="FFFFFF">
                                <a:alpha val="0"/>
                              </a:srgbClr>
                            </a:solidFill>
                            <a:ln>
                              <a:noFill/>
                            </a:ln>
                          </wps:spPr>
                          <wps:txbx>
                            <w:txbxContent>
                              <w:p w14:paraId="417A666D">
                                <w:pPr>
                                  <w:jc w:val="center"/>
                                  <w:rPr>
                                    <w:rFonts w:ascii="宋体" w:hAnsi="宋体"/>
                                    <w:b w:val="0"/>
                                    <w:sz w:val="20"/>
                                  </w:rPr>
                                </w:pPr>
                                <w:r>
                                  <w:rPr>
                                    <w:rFonts w:hint="eastAsia" w:ascii="宋体" w:hAnsi="宋体"/>
                                    <w:b w:val="0"/>
                                    <w:sz w:val="20"/>
                                  </w:rPr>
                                  <w:t>吸湿受潮</w:t>
                                </w:r>
                              </w:p>
                            </w:txbxContent>
                          </wps:txbx>
                          <wps:bodyPr rot="0" vert="horz" wrap="square" lIns="87782" tIns="43891" rIns="87782" bIns="43891" anchor="t" anchorCtr="0" upright="1">
                            <a:noAutofit/>
                          </wps:bodyPr>
                        </wps:wsp>
                        <wps:wsp>
                          <wps:cNvPr id="718" name="Line 26"/>
                          <wps:cNvCnPr>
                            <a:cxnSpLocks noChangeShapeType="1"/>
                          </wps:cNvCnPr>
                          <wps:spPr bwMode="auto">
                            <a:xfrm rot="3359447" flipV="1">
                              <a:off x="3095" y="11708"/>
                              <a:ext cx="514" cy="730"/>
                            </a:xfrm>
                            <a:prstGeom prst="line">
                              <a:avLst/>
                            </a:prstGeom>
                            <a:noFill/>
                            <a:ln w="19050">
                              <a:solidFill>
                                <a:srgbClr val="000000"/>
                              </a:solidFill>
                              <a:round/>
                              <a:tailEnd type="arrow" w="med" len="med"/>
                            </a:ln>
                          </wps:spPr>
                          <wps:bodyPr/>
                        </wps:wsp>
                        <wps:wsp>
                          <wps:cNvPr id="719" name="Rectangle 27"/>
                          <wps:cNvSpPr>
                            <a:spLocks noChangeArrowheads="1"/>
                          </wps:cNvSpPr>
                          <wps:spPr bwMode="auto">
                            <a:xfrm>
                              <a:off x="5801" y="9392"/>
                              <a:ext cx="800" cy="526"/>
                            </a:xfrm>
                            <a:prstGeom prst="rect">
                              <a:avLst/>
                            </a:prstGeom>
                            <a:solidFill>
                              <a:srgbClr val="FFFFFF">
                                <a:alpha val="0"/>
                              </a:srgbClr>
                            </a:solidFill>
                            <a:ln>
                              <a:noFill/>
                            </a:ln>
                          </wps:spPr>
                          <wps:txbx>
                            <w:txbxContent>
                              <w:p w14:paraId="27370499">
                                <w:pPr>
                                  <w:jc w:val="center"/>
                                  <w:rPr>
                                    <w:rFonts w:ascii="宋体" w:hAnsi="宋体"/>
                                    <w:b w:val="0"/>
                                    <w:sz w:val="20"/>
                                  </w:rPr>
                                </w:pPr>
                                <w:r>
                                  <w:rPr>
                                    <w:rFonts w:hint="eastAsia" w:ascii="宋体" w:hAnsi="宋体"/>
                                    <w:b w:val="0"/>
                                    <w:sz w:val="20"/>
                                  </w:rPr>
                                  <w:t>热积聚</w:t>
                                </w:r>
                              </w:p>
                            </w:txbxContent>
                          </wps:txbx>
                          <wps:bodyPr rot="0" vert="horz" wrap="square" lIns="87782" tIns="43891" rIns="87782" bIns="43891" anchor="t" anchorCtr="0" upright="1">
                            <a:noAutofit/>
                          </wps:bodyPr>
                        </wps:wsp>
                        <wps:wsp>
                          <wps:cNvPr id="720" name="Rectangle 28"/>
                          <wps:cNvSpPr>
                            <a:spLocks noChangeArrowheads="1"/>
                          </wps:cNvSpPr>
                          <wps:spPr bwMode="auto">
                            <a:xfrm>
                              <a:off x="5801" y="10264"/>
                              <a:ext cx="624" cy="440"/>
                            </a:xfrm>
                            <a:prstGeom prst="rect">
                              <a:avLst/>
                            </a:prstGeom>
                            <a:solidFill>
                              <a:srgbClr val="FFFFFF">
                                <a:alpha val="0"/>
                              </a:srgbClr>
                            </a:solidFill>
                            <a:ln>
                              <a:noFill/>
                            </a:ln>
                          </wps:spPr>
                          <wps:txbx>
                            <w:txbxContent>
                              <w:p w14:paraId="28796AAE">
                                <w:pPr>
                                  <w:jc w:val="center"/>
                                  <w:rPr>
                                    <w:rFonts w:ascii="宋体" w:hAnsi="宋体"/>
                                    <w:b w:val="0"/>
                                    <w:sz w:val="20"/>
                                  </w:rPr>
                                </w:pPr>
                                <w:r>
                                  <w:rPr>
                                    <w:rFonts w:hint="eastAsia" w:ascii="宋体" w:hAnsi="宋体"/>
                                    <w:b w:val="0"/>
                                    <w:sz w:val="20"/>
                                  </w:rPr>
                                  <w:t>自燃</w:t>
                                </w:r>
                              </w:p>
                            </w:txbxContent>
                          </wps:txbx>
                          <wps:bodyPr rot="0" vert="horz" wrap="square" lIns="87782" tIns="43891" rIns="87782" bIns="43891" anchor="t" anchorCtr="0" upright="1">
                            <a:noAutofit/>
                          </wps:bodyPr>
                        </wps:wsp>
                        <wps:wsp>
                          <wps:cNvPr id="721" name="Rectangle 29"/>
                          <wps:cNvSpPr>
                            <a:spLocks noChangeArrowheads="1"/>
                          </wps:cNvSpPr>
                          <wps:spPr bwMode="auto">
                            <a:xfrm>
                              <a:off x="4915" y="9551"/>
                              <a:ext cx="733" cy="367"/>
                            </a:xfrm>
                            <a:prstGeom prst="rect">
                              <a:avLst/>
                            </a:prstGeom>
                            <a:solidFill>
                              <a:srgbClr val="FFFFFF">
                                <a:alpha val="0"/>
                              </a:srgbClr>
                            </a:solidFill>
                            <a:ln>
                              <a:noFill/>
                            </a:ln>
                          </wps:spPr>
                          <wps:txbx>
                            <w:txbxContent>
                              <w:p w14:paraId="3B81EABD">
                                <w:pPr>
                                  <w:jc w:val="center"/>
                                  <w:rPr>
                                    <w:rFonts w:ascii="宋体" w:hAnsi="宋体"/>
                                    <w:b w:val="0"/>
                                    <w:sz w:val="20"/>
                                  </w:rPr>
                                </w:pPr>
                                <w:r>
                                  <w:rPr>
                                    <w:rFonts w:hint="eastAsia" w:ascii="宋体" w:hAnsi="宋体"/>
                                    <w:b w:val="0"/>
                                    <w:sz w:val="20"/>
                                  </w:rPr>
                                  <w:t>热分解</w:t>
                                </w:r>
                              </w:p>
                            </w:txbxContent>
                          </wps:txbx>
                          <wps:bodyPr rot="0" vert="horz" wrap="square" lIns="87782" tIns="43891" rIns="87782" bIns="43891" anchor="t" anchorCtr="0" upright="1">
                            <a:noAutofit/>
                          </wps:bodyPr>
                        </wps:wsp>
                        <wps:wsp>
                          <wps:cNvPr id="722" name="Rectangle 30"/>
                          <wps:cNvSpPr>
                            <a:spLocks noChangeArrowheads="1"/>
                          </wps:cNvSpPr>
                          <wps:spPr bwMode="auto">
                            <a:xfrm>
                              <a:off x="4114" y="10264"/>
                              <a:ext cx="930" cy="367"/>
                            </a:xfrm>
                            <a:prstGeom prst="rect">
                              <a:avLst/>
                            </a:prstGeom>
                            <a:solidFill>
                              <a:srgbClr val="FFFFFF">
                                <a:alpha val="0"/>
                              </a:srgbClr>
                            </a:solidFill>
                            <a:ln>
                              <a:noFill/>
                            </a:ln>
                          </wps:spPr>
                          <wps:txbx>
                            <w:txbxContent>
                              <w:p w14:paraId="4C462E5B">
                                <w:pPr>
                                  <w:jc w:val="center"/>
                                  <w:rPr>
                                    <w:rFonts w:ascii="宋体" w:hAnsi="宋体"/>
                                    <w:b w:val="0"/>
                                    <w:sz w:val="20"/>
                                  </w:rPr>
                                </w:pPr>
                                <w:r>
                                  <w:rPr>
                                    <w:rFonts w:hint="eastAsia" w:ascii="宋体" w:hAnsi="宋体"/>
                                    <w:b w:val="0"/>
                                    <w:sz w:val="20"/>
                                  </w:rPr>
                                  <w:t>摩擦撞击</w:t>
                                </w:r>
                              </w:p>
                            </w:txbxContent>
                          </wps:txbx>
                          <wps:bodyPr rot="0" vert="horz" wrap="square" lIns="87782" tIns="43891" rIns="87782" bIns="43891" anchor="t" anchorCtr="0" upright="1">
                            <a:noAutofit/>
                          </wps:bodyPr>
                        </wps:wsp>
                        <wps:wsp>
                          <wps:cNvPr id="723" name="Rectangle 31"/>
                          <wps:cNvSpPr>
                            <a:spLocks noChangeArrowheads="1"/>
                          </wps:cNvSpPr>
                          <wps:spPr bwMode="auto">
                            <a:xfrm>
                              <a:off x="4781" y="11421"/>
                              <a:ext cx="777" cy="367"/>
                            </a:xfrm>
                            <a:prstGeom prst="rect">
                              <a:avLst/>
                            </a:prstGeom>
                            <a:solidFill>
                              <a:srgbClr val="FFFFFF">
                                <a:alpha val="0"/>
                              </a:srgbClr>
                            </a:solidFill>
                            <a:ln>
                              <a:noFill/>
                            </a:ln>
                          </wps:spPr>
                          <wps:txbx>
                            <w:txbxContent>
                              <w:p w14:paraId="67B6A52F">
                                <w:pPr>
                                  <w:jc w:val="center"/>
                                  <w:rPr>
                                    <w:rFonts w:ascii="宋体" w:hAnsi="宋体"/>
                                    <w:b w:val="0"/>
                                    <w:sz w:val="20"/>
                                  </w:rPr>
                                </w:pPr>
                                <w:r>
                                  <w:rPr>
                                    <w:rFonts w:hint="eastAsia" w:ascii="宋体" w:hAnsi="宋体"/>
                                    <w:b w:val="0"/>
                                    <w:sz w:val="20"/>
                                  </w:rPr>
                                  <w:t>雷击</w:t>
                                </w:r>
                              </w:p>
                            </w:txbxContent>
                          </wps:txbx>
                          <wps:bodyPr rot="0" vert="horz" wrap="square" lIns="87782" tIns="43891" rIns="87782" bIns="43891" anchor="t" anchorCtr="0" upright="1">
                            <a:noAutofit/>
                          </wps:bodyPr>
                        </wps:wsp>
                        <wps:wsp>
                          <wps:cNvPr id="724" name="Rectangle 32"/>
                          <wps:cNvSpPr>
                            <a:spLocks noChangeArrowheads="1"/>
                          </wps:cNvSpPr>
                          <wps:spPr bwMode="auto">
                            <a:xfrm>
                              <a:off x="5801" y="11421"/>
                              <a:ext cx="988" cy="367"/>
                            </a:xfrm>
                            <a:prstGeom prst="rect">
                              <a:avLst/>
                            </a:prstGeom>
                            <a:solidFill>
                              <a:srgbClr val="FFFFFF">
                                <a:alpha val="0"/>
                              </a:srgbClr>
                            </a:solidFill>
                            <a:ln>
                              <a:noFill/>
                            </a:ln>
                          </wps:spPr>
                          <wps:txbx>
                            <w:txbxContent>
                              <w:p w14:paraId="49B61E6F">
                                <w:pPr>
                                  <w:jc w:val="center"/>
                                  <w:rPr>
                                    <w:rFonts w:ascii="宋体" w:hAnsi="宋体"/>
                                    <w:b w:val="0"/>
                                    <w:sz w:val="20"/>
                                  </w:rPr>
                                </w:pPr>
                                <w:r>
                                  <w:rPr>
                                    <w:rFonts w:hint="eastAsia" w:ascii="宋体" w:hAnsi="宋体"/>
                                    <w:b w:val="0"/>
                                    <w:sz w:val="20"/>
                                  </w:rPr>
                                  <w:t>化学反应</w:t>
                                </w:r>
                              </w:p>
                            </w:txbxContent>
                          </wps:txbx>
                          <wps:bodyPr rot="0" vert="horz" wrap="square" lIns="87782" tIns="43891" rIns="87782" bIns="43891" anchor="t" anchorCtr="0" upright="1">
                            <a:noAutofit/>
                          </wps:bodyPr>
                        </wps:wsp>
                        <wps:wsp>
                          <wps:cNvPr id="725" name="Rectangle 33"/>
                          <wps:cNvSpPr>
                            <a:spLocks noChangeArrowheads="1"/>
                          </wps:cNvSpPr>
                          <wps:spPr bwMode="auto">
                            <a:xfrm>
                              <a:off x="3674" y="11421"/>
                              <a:ext cx="700" cy="367"/>
                            </a:xfrm>
                            <a:prstGeom prst="rect">
                              <a:avLst/>
                            </a:prstGeom>
                            <a:solidFill>
                              <a:srgbClr val="FFFFFF">
                                <a:alpha val="0"/>
                              </a:srgbClr>
                            </a:solidFill>
                            <a:ln>
                              <a:noFill/>
                            </a:ln>
                          </wps:spPr>
                          <wps:txbx>
                            <w:txbxContent>
                              <w:p w14:paraId="0B9F7392">
                                <w:pPr>
                                  <w:jc w:val="center"/>
                                  <w:rPr>
                                    <w:rFonts w:ascii="宋体" w:hAnsi="宋体"/>
                                    <w:b w:val="0"/>
                                    <w:sz w:val="20"/>
                                  </w:rPr>
                                </w:pPr>
                                <w:r>
                                  <w:rPr>
                                    <w:rFonts w:hint="eastAsia" w:ascii="宋体" w:hAnsi="宋体"/>
                                    <w:b w:val="0"/>
                                    <w:sz w:val="20"/>
                                  </w:rPr>
                                  <w:t>明火</w:t>
                                </w:r>
                              </w:p>
                            </w:txbxContent>
                          </wps:txbx>
                          <wps:bodyPr rot="0" vert="horz" wrap="square" lIns="87782" tIns="43891" rIns="87782" bIns="43891" anchor="t" anchorCtr="0" upright="1">
                            <a:noAutofit/>
                          </wps:bodyPr>
                        </wps:wsp>
                        <wps:wsp>
                          <wps:cNvPr id="726" name="Rectangle 34"/>
                          <wps:cNvSpPr>
                            <a:spLocks noChangeArrowheads="1"/>
                          </wps:cNvSpPr>
                          <wps:spPr bwMode="auto">
                            <a:xfrm>
                              <a:off x="2522" y="11421"/>
                              <a:ext cx="935" cy="367"/>
                            </a:xfrm>
                            <a:prstGeom prst="rect">
                              <a:avLst/>
                            </a:prstGeom>
                            <a:solidFill>
                              <a:srgbClr val="FFFFFF">
                                <a:alpha val="0"/>
                              </a:srgbClr>
                            </a:solidFill>
                            <a:ln>
                              <a:noFill/>
                            </a:ln>
                          </wps:spPr>
                          <wps:txbx>
                            <w:txbxContent>
                              <w:p w14:paraId="3EE01BB1">
                                <w:pPr>
                                  <w:jc w:val="center"/>
                                  <w:rPr>
                                    <w:rFonts w:ascii="宋体" w:hAnsi="宋体"/>
                                    <w:b w:val="0"/>
                                    <w:sz w:val="20"/>
                                  </w:rPr>
                                </w:pPr>
                                <w:r>
                                  <w:rPr>
                                    <w:rFonts w:hint="eastAsia" w:ascii="宋体" w:hAnsi="宋体"/>
                                    <w:b w:val="0"/>
                                    <w:sz w:val="20"/>
                                  </w:rPr>
                                  <w:t>静电火花</w:t>
                                </w:r>
                              </w:p>
                            </w:txbxContent>
                          </wps:txbx>
                          <wps:bodyPr rot="0" vert="horz" wrap="square" lIns="87782" tIns="43891" rIns="87782" bIns="43891" anchor="t" anchorCtr="0" upright="1">
                            <a:noAutofit/>
                          </wps:bodyPr>
                        </wps:wsp>
                        <wps:wsp>
                          <wps:cNvPr id="727" name="Rectangle 35"/>
                          <wps:cNvSpPr>
                            <a:spLocks noChangeArrowheads="1"/>
                          </wps:cNvSpPr>
                          <wps:spPr bwMode="auto">
                            <a:xfrm>
                              <a:off x="2699" y="10264"/>
                              <a:ext cx="635" cy="367"/>
                            </a:xfrm>
                            <a:prstGeom prst="rect">
                              <a:avLst/>
                            </a:prstGeom>
                            <a:solidFill>
                              <a:srgbClr val="FFFFFF">
                                <a:alpha val="0"/>
                              </a:srgbClr>
                            </a:solidFill>
                            <a:ln>
                              <a:noFill/>
                            </a:ln>
                          </wps:spPr>
                          <wps:txbx>
                            <w:txbxContent>
                              <w:p w14:paraId="48F43932">
                                <w:pPr>
                                  <w:jc w:val="center"/>
                                  <w:rPr>
                                    <w:rFonts w:ascii="宋体" w:hAnsi="宋体"/>
                                    <w:b w:val="0"/>
                                    <w:sz w:val="20"/>
                                  </w:rPr>
                                </w:pPr>
                                <w:r>
                                  <w:rPr>
                                    <w:rFonts w:hint="eastAsia" w:ascii="宋体" w:hAnsi="宋体"/>
                                    <w:b w:val="0"/>
                                    <w:sz w:val="20"/>
                                  </w:rPr>
                                  <w:t>高温</w:t>
                                </w:r>
                              </w:p>
                            </w:txbxContent>
                          </wps:txbx>
                          <wps:bodyPr rot="0" vert="horz" wrap="square" lIns="87782" tIns="43891" rIns="87782" bIns="43891" anchor="t" anchorCtr="0" upright="1">
                            <a:noAutofit/>
                          </wps:bodyPr>
                        </wps:wsp>
                        <wps:wsp>
                          <wps:cNvPr id="728" name="Rectangle 36"/>
                          <wps:cNvSpPr>
                            <a:spLocks noChangeArrowheads="1"/>
                          </wps:cNvSpPr>
                          <wps:spPr bwMode="auto">
                            <a:xfrm>
                              <a:off x="6276" y="11848"/>
                              <a:ext cx="1036" cy="592"/>
                            </a:xfrm>
                            <a:prstGeom prst="rect">
                              <a:avLst/>
                            </a:prstGeom>
                            <a:solidFill>
                              <a:srgbClr val="FFFFFF">
                                <a:alpha val="0"/>
                              </a:srgbClr>
                            </a:solidFill>
                            <a:ln>
                              <a:noFill/>
                            </a:ln>
                          </wps:spPr>
                          <wps:txbx>
                            <w:txbxContent>
                              <w:p w14:paraId="14B56143">
                                <w:pPr>
                                  <w:jc w:val="center"/>
                                  <w:rPr>
                                    <w:rFonts w:ascii="宋体" w:hAnsi="宋体"/>
                                    <w:b w:val="0"/>
                                    <w:sz w:val="20"/>
                                  </w:rPr>
                                </w:pPr>
                                <w:r>
                                  <w:rPr>
                                    <w:rFonts w:hint="eastAsia" w:ascii="宋体" w:hAnsi="宋体"/>
                                    <w:b w:val="0"/>
                                    <w:sz w:val="20"/>
                                  </w:rPr>
                                  <w:t>接触反应</w:t>
                                </w:r>
                              </w:p>
                            </w:txbxContent>
                          </wps:txbx>
                          <wps:bodyPr rot="0" vert="horz" wrap="square" lIns="87782" tIns="43891" rIns="87782" bIns="43891" anchor="t" anchorCtr="0" upright="1">
                            <a:noAutofit/>
                          </wps:bodyPr>
                        </wps:wsp>
                        <wps:wsp>
                          <wps:cNvPr id="729" name="Rectangle 37"/>
                          <wps:cNvSpPr>
                            <a:spLocks noChangeArrowheads="1"/>
                          </wps:cNvSpPr>
                          <wps:spPr bwMode="auto">
                            <a:xfrm>
                              <a:off x="2699" y="12163"/>
                              <a:ext cx="593" cy="483"/>
                            </a:xfrm>
                            <a:prstGeom prst="rect">
                              <a:avLst/>
                            </a:prstGeom>
                            <a:solidFill>
                              <a:srgbClr val="FFFFFF">
                                <a:alpha val="0"/>
                              </a:srgbClr>
                            </a:solidFill>
                            <a:ln>
                              <a:noFill/>
                            </a:ln>
                          </wps:spPr>
                          <wps:txbx>
                            <w:txbxContent>
                              <w:p w14:paraId="5BD67D5B">
                                <w:pPr>
                                  <w:jc w:val="center"/>
                                  <w:rPr>
                                    <w:rFonts w:ascii="宋体" w:hAnsi="宋体"/>
                                    <w:b w:val="0"/>
                                    <w:sz w:val="20"/>
                                  </w:rPr>
                                </w:pPr>
                                <w:r>
                                  <w:rPr>
                                    <w:rFonts w:hint="eastAsia" w:ascii="宋体" w:hAnsi="宋体"/>
                                    <w:b w:val="0"/>
                                    <w:sz w:val="20"/>
                                  </w:rPr>
                                  <w:t>吸烟</w:t>
                                </w:r>
                              </w:p>
                            </w:txbxContent>
                          </wps:txbx>
                          <wps:bodyPr rot="0" vert="horz" wrap="square" lIns="87782" tIns="43891" rIns="87782" bIns="43891" anchor="t" anchorCtr="0" upright="1">
                            <a:noAutofit/>
                          </wps:bodyPr>
                        </wps:wsp>
                        <wps:wsp>
                          <wps:cNvPr id="730" name="Rectangle 38"/>
                          <wps:cNvSpPr>
                            <a:spLocks noChangeArrowheads="1"/>
                          </wps:cNvSpPr>
                          <wps:spPr bwMode="auto">
                            <a:xfrm>
                              <a:off x="2966" y="11717"/>
                              <a:ext cx="777" cy="498"/>
                            </a:xfrm>
                            <a:prstGeom prst="rect">
                              <a:avLst/>
                            </a:prstGeom>
                            <a:solidFill>
                              <a:srgbClr val="FFFFFF">
                                <a:alpha val="0"/>
                              </a:srgbClr>
                            </a:solidFill>
                            <a:ln>
                              <a:noFill/>
                            </a:ln>
                          </wps:spPr>
                          <wps:txbx>
                            <w:txbxContent>
                              <w:p w14:paraId="1D659D85">
                                <w:pPr>
                                  <w:jc w:val="center"/>
                                  <w:rPr>
                                    <w:rFonts w:ascii="宋体" w:hAnsi="宋体"/>
                                    <w:b w:val="0"/>
                                    <w:sz w:val="20"/>
                                  </w:rPr>
                                </w:pPr>
                                <w:r>
                                  <w:rPr>
                                    <w:rFonts w:hint="eastAsia" w:ascii="宋体" w:hAnsi="宋体"/>
                                    <w:b w:val="0"/>
                                    <w:sz w:val="20"/>
                                  </w:rPr>
                                  <w:t>电火花</w:t>
                                </w:r>
                              </w:p>
                            </w:txbxContent>
                          </wps:txbx>
                          <wps:bodyPr rot="0" vert="horz" wrap="square" lIns="87782" tIns="43891" rIns="87782" bIns="43891" anchor="t" anchorCtr="0" upright="1">
                            <a:noAutofit/>
                          </wps:bodyPr>
                        </wps:wsp>
                        <wps:wsp>
                          <wps:cNvPr id="731" name="Rectangle 39"/>
                          <wps:cNvSpPr>
                            <a:spLocks noChangeArrowheads="1"/>
                          </wps:cNvSpPr>
                          <wps:spPr bwMode="auto">
                            <a:xfrm>
                              <a:off x="3916" y="11958"/>
                              <a:ext cx="933" cy="483"/>
                            </a:xfrm>
                            <a:prstGeom prst="rect">
                              <a:avLst/>
                            </a:prstGeom>
                            <a:solidFill>
                              <a:srgbClr val="FFFFFF">
                                <a:alpha val="0"/>
                              </a:srgbClr>
                            </a:solidFill>
                            <a:ln>
                              <a:noFill/>
                            </a:ln>
                          </wps:spPr>
                          <wps:txbx>
                            <w:txbxContent>
                              <w:p w14:paraId="0B6BF61C">
                                <w:pPr>
                                  <w:jc w:val="center"/>
                                  <w:rPr>
                                    <w:rFonts w:ascii="宋体" w:hAnsi="宋体"/>
                                    <w:b w:val="0"/>
                                    <w:sz w:val="20"/>
                                  </w:rPr>
                                </w:pPr>
                                <w:r>
                                  <w:rPr>
                                    <w:rFonts w:hint="eastAsia" w:ascii="宋体" w:hAnsi="宋体"/>
                                    <w:b w:val="0"/>
                                    <w:sz w:val="20"/>
                                  </w:rPr>
                                  <w:t>环境因素</w:t>
                                </w:r>
                              </w:p>
                            </w:txbxContent>
                          </wps:txbx>
                          <wps:bodyPr rot="0" vert="horz" wrap="square" lIns="87782" tIns="43891" rIns="87782" bIns="43891" anchor="t" anchorCtr="0" upright="1">
                            <a:noAutofit/>
                          </wps:bodyPr>
                        </wps:wsp>
                        <wps:wsp>
                          <wps:cNvPr id="732" name="Rectangle 40"/>
                          <wps:cNvSpPr>
                            <a:spLocks noChangeArrowheads="1"/>
                          </wps:cNvSpPr>
                          <wps:spPr bwMode="auto">
                            <a:xfrm>
                              <a:off x="3186" y="9619"/>
                              <a:ext cx="928" cy="367"/>
                            </a:xfrm>
                            <a:prstGeom prst="rect">
                              <a:avLst/>
                            </a:prstGeom>
                            <a:solidFill>
                              <a:srgbClr val="FFFFFF">
                                <a:alpha val="0"/>
                              </a:srgbClr>
                            </a:solidFill>
                            <a:ln>
                              <a:noFill/>
                            </a:ln>
                          </wps:spPr>
                          <wps:txbx>
                            <w:txbxContent>
                              <w:p w14:paraId="2A1EB82A">
                                <w:pPr>
                                  <w:jc w:val="center"/>
                                  <w:rPr>
                                    <w:rFonts w:ascii="宋体" w:hAnsi="宋体"/>
                                    <w:b w:val="0"/>
                                    <w:sz w:val="20"/>
                                  </w:rPr>
                                </w:pPr>
                                <w:r>
                                  <w:rPr>
                                    <w:rFonts w:hint="eastAsia" w:ascii="宋体" w:hAnsi="宋体"/>
                                    <w:b w:val="0"/>
                                    <w:sz w:val="20"/>
                                  </w:rPr>
                                  <w:t>硬质工具</w:t>
                                </w:r>
                              </w:p>
                            </w:txbxContent>
                          </wps:txbx>
                          <wps:bodyPr rot="0" vert="horz" wrap="square" lIns="87782" tIns="43891" rIns="87782" bIns="43891" anchor="t" anchorCtr="0" upright="1">
                            <a:noAutofit/>
                          </wps:bodyPr>
                        </wps:wsp>
                        <wps:wsp>
                          <wps:cNvPr id="733" name="Line 41"/>
                          <wps:cNvCnPr>
                            <a:cxnSpLocks noChangeShapeType="1"/>
                          </wps:cNvCnPr>
                          <wps:spPr bwMode="auto">
                            <a:xfrm rot="14149631" flipV="1">
                              <a:off x="2811" y="9471"/>
                              <a:ext cx="315" cy="476"/>
                            </a:xfrm>
                            <a:prstGeom prst="line">
                              <a:avLst/>
                            </a:prstGeom>
                            <a:noFill/>
                            <a:ln w="19050">
                              <a:solidFill>
                                <a:srgbClr val="000000"/>
                              </a:solidFill>
                              <a:round/>
                              <a:tailEnd type="arrow" w="med" len="med"/>
                            </a:ln>
                          </wps:spPr>
                          <wps:bodyPr/>
                        </wps:wsp>
                        <wps:wsp>
                          <wps:cNvPr id="734" name="Rectangle 42"/>
                          <wps:cNvSpPr>
                            <a:spLocks noChangeArrowheads="1"/>
                          </wps:cNvSpPr>
                          <wps:spPr bwMode="auto">
                            <a:xfrm>
                              <a:off x="2731" y="9309"/>
                              <a:ext cx="562" cy="480"/>
                            </a:xfrm>
                            <a:prstGeom prst="rect">
                              <a:avLst/>
                            </a:prstGeom>
                            <a:solidFill>
                              <a:srgbClr val="FFFFFF">
                                <a:alpha val="0"/>
                              </a:srgbClr>
                            </a:solidFill>
                            <a:ln>
                              <a:noFill/>
                            </a:ln>
                          </wps:spPr>
                          <wps:txbx>
                            <w:txbxContent>
                              <w:p w14:paraId="509BF834">
                                <w:pPr>
                                  <w:rPr>
                                    <w:rFonts w:ascii="宋体" w:hAnsi="宋体"/>
                                    <w:b w:val="0"/>
                                    <w:sz w:val="20"/>
                                  </w:rPr>
                                </w:pPr>
                                <w:r>
                                  <w:rPr>
                                    <w:rFonts w:hint="eastAsia" w:ascii="宋体" w:hAnsi="宋体"/>
                                    <w:b w:val="0"/>
                                    <w:sz w:val="20"/>
                                  </w:rPr>
                                  <w:t>曝晒</w:t>
                                </w:r>
                              </w:p>
                            </w:txbxContent>
                          </wps:txbx>
                          <wps:bodyPr rot="0" vert="horz" wrap="square" lIns="87782" tIns="43891" rIns="87782" bIns="43891" anchor="t" anchorCtr="0" upright="1">
                            <a:noAutofit/>
                          </wps:bodyPr>
                        </wps:wsp>
                        <wps:wsp>
                          <wps:cNvPr id="735" name="Line 43"/>
                          <wps:cNvCnPr>
                            <a:cxnSpLocks noChangeShapeType="1"/>
                          </wps:cNvCnPr>
                          <wps:spPr bwMode="auto">
                            <a:xfrm rot="3359447" flipV="1">
                              <a:off x="1881" y="9625"/>
                              <a:ext cx="674" cy="975"/>
                            </a:xfrm>
                            <a:prstGeom prst="line">
                              <a:avLst/>
                            </a:prstGeom>
                            <a:noFill/>
                            <a:ln w="19050">
                              <a:solidFill>
                                <a:srgbClr val="000000"/>
                              </a:solidFill>
                              <a:round/>
                              <a:tailEnd type="arrow" w="med" len="med"/>
                            </a:ln>
                          </wps:spPr>
                          <wps:bodyPr/>
                        </wps:wsp>
                        <wps:wsp>
                          <wps:cNvPr id="549" name="Rectangle 44"/>
                          <wps:cNvSpPr>
                            <a:spLocks noChangeArrowheads="1"/>
                          </wps:cNvSpPr>
                          <wps:spPr bwMode="auto">
                            <a:xfrm>
                              <a:off x="1631" y="9716"/>
                              <a:ext cx="943" cy="367"/>
                            </a:xfrm>
                            <a:prstGeom prst="rect">
                              <a:avLst/>
                            </a:prstGeom>
                            <a:solidFill>
                              <a:srgbClr val="FFFFFF">
                                <a:alpha val="0"/>
                              </a:srgbClr>
                            </a:solidFill>
                            <a:ln>
                              <a:noFill/>
                            </a:ln>
                          </wps:spPr>
                          <wps:txbx>
                            <w:txbxContent>
                              <w:p w14:paraId="78D93743">
                                <w:pPr>
                                  <w:rPr>
                                    <w:rFonts w:ascii="宋体" w:hAnsi="宋体"/>
                                    <w:b w:val="0"/>
                                    <w:sz w:val="20"/>
                                  </w:rPr>
                                </w:pPr>
                                <w:r>
                                  <w:rPr>
                                    <w:rFonts w:hint="eastAsia" w:ascii="宋体" w:hAnsi="宋体"/>
                                    <w:b w:val="0"/>
                                    <w:sz w:val="20"/>
                                  </w:rPr>
                                  <w:t>玻璃聚焦</w:t>
                                </w:r>
                              </w:p>
                            </w:txbxContent>
                          </wps:txbx>
                          <wps:bodyPr rot="0" vert="horz" wrap="square" lIns="87782" tIns="43891" rIns="87782" bIns="43891" anchor="t" anchorCtr="0" upright="1">
                            <a:noAutofit/>
                          </wps:bodyPr>
                        </wps:wsp>
                        <wps:wsp>
                          <wps:cNvPr id="550" name="Rectangle 45"/>
                          <wps:cNvSpPr>
                            <a:spLocks noChangeArrowheads="1"/>
                          </wps:cNvSpPr>
                          <wps:spPr bwMode="auto">
                            <a:xfrm>
                              <a:off x="1977" y="10821"/>
                              <a:ext cx="754" cy="367"/>
                            </a:xfrm>
                            <a:prstGeom prst="rect">
                              <a:avLst/>
                            </a:prstGeom>
                            <a:solidFill>
                              <a:srgbClr val="FFFFFF">
                                <a:alpha val="0"/>
                              </a:srgbClr>
                            </a:solidFill>
                            <a:ln>
                              <a:noFill/>
                            </a:ln>
                          </wps:spPr>
                          <wps:txbx>
                            <w:txbxContent>
                              <w:p w14:paraId="23356482">
                                <w:pPr>
                                  <w:rPr>
                                    <w:rFonts w:ascii="宋体" w:hAnsi="宋体"/>
                                    <w:b w:val="0"/>
                                    <w:sz w:val="20"/>
                                  </w:rPr>
                                </w:pPr>
                                <w:r>
                                  <w:rPr>
                                    <w:rFonts w:hint="eastAsia" w:ascii="宋体" w:hAnsi="宋体"/>
                                    <w:b w:val="0"/>
                                    <w:sz w:val="20"/>
                                  </w:rPr>
                                  <w:t>黑火药</w:t>
                                </w:r>
                              </w:p>
                            </w:txbxContent>
                          </wps:txbx>
                          <wps:bodyPr rot="0" vert="horz" wrap="square" lIns="87782" tIns="43891" rIns="87782" bIns="43891" anchor="t" anchorCtr="0" upright="1">
                            <a:noAutofit/>
                          </wps:bodyPr>
                        </wps:wsp>
                        <wps:wsp>
                          <wps:cNvPr id="551" name="Line 46"/>
                          <wps:cNvCnPr>
                            <a:cxnSpLocks noChangeShapeType="1"/>
                          </wps:cNvCnPr>
                          <wps:spPr bwMode="auto">
                            <a:xfrm rot="14149631" flipV="1">
                              <a:off x="4323" y="9473"/>
                              <a:ext cx="348" cy="482"/>
                            </a:xfrm>
                            <a:prstGeom prst="line">
                              <a:avLst/>
                            </a:prstGeom>
                            <a:noFill/>
                            <a:ln w="19050">
                              <a:solidFill>
                                <a:srgbClr val="000000"/>
                              </a:solidFill>
                              <a:round/>
                              <a:tailEnd type="arrow" w="med" len="med"/>
                            </a:ln>
                          </wps:spPr>
                          <wps:bodyPr/>
                        </wps:wsp>
                        <wps:wsp>
                          <wps:cNvPr id="552" name="Rectangle 47"/>
                          <wps:cNvSpPr>
                            <a:spLocks noChangeArrowheads="1"/>
                          </wps:cNvSpPr>
                          <wps:spPr bwMode="auto">
                            <a:xfrm>
                              <a:off x="4302" y="9309"/>
                              <a:ext cx="613" cy="480"/>
                            </a:xfrm>
                            <a:prstGeom prst="rect">
                              <a:avLst/>
                            </a:prstGeom>
                            <a:solidFill>
                              <a:srgbClr val="FFFFFF">
                                <a:alpha val="0"/>
                              </a:srgbClr>
                            </a:solidFill>
                            <a:ln>
                              <a:noFill/>
                            </a:ln>
                          </wps:spPr>
                          <wps:txbx>
                            <w:txbxContent>
                              <w:p w14:paraId="6CD5B23C">
                                <w:pPr>
                                  <w:rPr>
                                    <w:rFonts w:ascii="宋体" w:hAnsi="宋体"/>
                                    <w:b w:val="0"/>
                                    <w:sz w:val="20"/>
                                  </w:rPr>
                                </w:pPr>
                                <w:r>
                                  <w:rPr>
                                    <w:rFonts w:hint="eastAsia" w:ascii="宋体" w:hAnsi="宋体"/>
                                    <w:b w:val="0"/>
                                    <w:sz w:val="20"/>
                                  </w:rPr>
                                  <w:t>坠落</w:t>
                                </w:r>
                              </w:p>
                            </w:txbxContent>
                          </wps:txbx>
                          <wps:bodyPr rot="0" vert="horz" wrap="square" lIns="87782" tIns="43891" rIns="87782" bIns="43891" anchor="t" anchorCtr="0" upright="1">
                            <a:noAutofit/>
                          </wps:bodyPr>
                        </wps:wsp>
                      </wpg:wgp>
                    </wpc:wpc>
                  </a:graphicData>
                </a:graphic>
              </wp:inline>
            </w:drawing>
          </mc:Choice>
          <mc:Fallback>
            <w:pict>
              <v:group id="_x0000_s1026" o:spid="_x0000_s1026" o:spt="203" style="height:182.25pt;width:466.35pt;" coordsize="5922645,2315125" editas="canvas" o:gfxdata="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">
                <o:lock v:ext="edit" aspectratio="f"/>
                <v:shape id="_x0000_s1026" o:spid="_x0000_s1026" style="position:absolute;left:0;top:0;height:2315125;width:5922645;" filled="f" stroked="f" coordsize="21600,21600" o:gfxdata="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">
                  <v:fill on="f" focussize="0,0"/>
                  <v:stroke on="f"/>
                  <v:imagedata o:title=""/>
                  <o:lock v:ext="edit" aspectratio="f"/>
                </v:shape>
                <v:group id="Group 8" o:spid="_x0000_s1026" o:spt="203" style="position:absolute;left:0;top:96686;height:2081530;width:5922645;" coordorigin="1631,9309" coordsize="7634,3535" o:gfxdata="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">
                  <o:lock v:ext="edit" aspectratio="f"/>
                  <v:line id="Line 13" o:spid="_x0000_s1026" o:spt="20" style="position:absolute;left:4006;top:9476;flip:y;height:1468;width:988;rotation:-7838459f;" filled="f" stroked="t" coordsize="21600,21600" o:gfxdata="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EqFyLgAAADcAAAA&#10;DwAAAAAAAAABACAAAAAiAAAAZHJzL2Rvd25yZXYueG1sUEsBAhQAFAAAAAgAh07iQDMvBZ47AAAA&#10;OQAAABAAAAAAAAAAAQAgAAAABwEAAGRycy9zaGFwZXhtbC54bWxQSwUGAAAAAAYABgBbAQAAsQMA&#10;AAAA&#10;">
                    <v:fill on="f" focussize="0,0"/>
                    <v:stroke weight="1.5pt" color="#000000" joinstyle="round" endarrow="open"/>
                    <v:imagedata o:title=""/>
                    <o:lock v:ext="edit" aspectratio="f"/>
                  </v:line>
                  <v:shape id="AutoShape 9" o:spid="_x0000_s1026" o:spt="72" type="#_x0000_t72" style="position:absolute;left:7854;top:10197;height:1837;width:1411;" filled="f" stroked="t" coordsize="21600,21600" o:gfxdata="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BEi/&#10;AAAA3A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textbox inset="6.91196850393701pt,3.4559842519685pt,6.91196850393701pt,3.4559842519685pt">
                      <w:txbxContent>
                        <w:p w14:paraId="66F9AB6A">
                          <w:pPr>
                            <w:spacing w:before="120" w:beforeLines="50"/>
                            <w:rPr>
                              <w:rFonts w:ascii="宋体" w:hAnsi="宋体"/>
                              <w:b w:val="0"/>
                              <w:sz w:val="20"/>
                            </w:rPr>
                          </w:pPr>
                          <w:r>
                            <w:rPr>
                              <w:rFonts w:hint="eastAsia" w:ascii="宋体" w:hAnsi="宋体"/>
                              <w:b w:val="0"/>
                              <w:sz w:val="20"/>
                            </w:rPr>
                            <w:t>爆  炸</w:t>
                          </w:r>
                        </w:p>
                      </w:txbxContent>
                    </v:textbox>
                  </v:shape>
                  <v:line id="Line 10" o:spid="_x0000_s1026" o:spt="20" style="position:absolute;left:2731;top:11008;flip:y;height:16;width:5268;" filled="f" stroked="t" coordsize="21600,21600" o:gfxdata="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pRwL4A&#10;AADcAAAADwAAAAAAAAABACAAAAAiAAAAZHJzL2Rvd25yZXYueG1sUEsBAhQAFAAAAAgAh07iQDMv&#10;BZ47AAAAOQAAABAAAAAAAAAAAQAgAAAADQEAAGRycy9zaGFwZXhtbC54bWxQSwUGAAAAAAYABgBb&#10;AQAAtwMAAAAA&#10;">
                    <v:fill on="f" focussize="0,0"/>
                    <v:stroke weight="1.5pt" color="#000000" joinstyle="round" endarrow="block"/>
                    <v:imagedata o:title=""/>
                    <o:lock v:ext="edit" aspectratio="f"/>
                  </v:line>
                  <v:shape id="AutoShape 11" o:spid="_x0000_s1026" o:spt="106" type="#_x0000_t106" style="position:absolute;left:6789;top:9986;height:1094;width:987;" filled="f" stroked="t" coordsize="21600,21600" o:gfxdata="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OsvQAA&#10;ANwAAAAPAAAAAAAAAAEAIAAAACIAAABkcnMvZG93bnJldi54bWxQSwECFAAUAAAACACHTuJAMy8F&#10;njsAAAA5AAAAEAAAAAAAAAABACAAAAAMAQAAZHJzL3NoYXBleG1sLnhtbFBLBQYAAAAABgAGAFsB&#10;AAC2AwAAAAA=&#10;" adj="1354,25915">
                    <v:fill on="f" focussize="0,0"/>
                    <v:stroke color="#000000" joinstyle="round"/>
                    <v:imagedata o:title=""/>
                    <o:lock v:ext="edit" aspectratio="f"/>
                    <v:textbox inset="6.91196850393701pt,3.4559842519685pt,6.91196850393701pt,3.4559842519685pt">
                      <w:txbxContent>
                        <w:p w14:paraId="7B4590AA">
                          <w:pPr>
                            <w:jc w:val="center"/>
                            <w:rPr>
                              <w:rFonts w:ascii="宋体" w:hAnsi="宋体"/>
                              <w:b w:val="0"/>
                              <w:sz w:val="20"/>
                            </w:rPr>
                          </w:pPr>
                          <w:r>
                            <w:rPr>
                              <w:rFonts w:hint="eastAsia" w:ascii="宋体" w:hAnsi="宋体"/>
                              <w:b w:val="0"/>
                              <w:sz w:val="20"/>
                            </w:rPr>
                            <w:t>着</w:t>
                          </w:r>
                          <w:r>
                            <w:rPr>
                              <w:rFonts w:hint="eastAsia" w:ascii="宋体" w:hAnsi="宋体"/>
                              <w:b w:val="0"/>
                              <w:color w:val="FF0000"/>
                              <w:sz w:val="20"/>
                            </w:rPr>
                            <w:t xml:space="preserve"> </w:t>
                          </w:r>
                          <w:r>
                            <w:rPr>
                              <w:rFonts w:hint="eastAsia" w:ascii="宋体" w:hAnsi="宋体"/>
                              <w:b w:val="0"/>
                              <w:sz w:val="20"/>
                            </w:rPr>
                            <w:t>火</w:t>
                          </w:r>
                        </w:p>
                      </w:txbxContent>
                    </v:textbox>
                  </v:shape>
                  <v:line id="Line 12" o:spid="_x0000_s1026" o:spt="20" style="position:absolute;left:2446;top:9490;flip:y;height:1468;width:987;rotation:-7838459f;" filled="f" stroked="t" coordsize="21600,21600" o:gfxdata="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URur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line id="Line 14" o:spid="_x0000_s1026" o:spt="20" style="position:absolute;left:5513;top:9484;flip:y;height:1468;width:986;rotation:-7838459f;" filled="f" stroked="t" coordsize="21600,21600" o:gfxdata="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BiBT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Line 15" o:spid="_x0000_s1026" o:spt="20" style="position:absolute;left:3700;top:9633;flip:y;height:757;width:505;rotation:-3669412f;" filled="f" stroked="t" coordsize="21600,21600" o:gfxdata="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eiyFy5AAAA3AAA&#10;AA8AAAAAAAAAAQAgAAAAIgAAAGRycy9kb3ducmV2LnhtbFBLAQIUABQAAAAIAIdO4kAzLwWeOwAA&#10;ADkAAAAQAAAAAAAAAAEAIAAAAAgBAABkcnMvc2hhcGV4bWwueG1sUEsFBgAAAAAGAAYAWwEAALID&#10;AAAAAA==&#10;">
                    <v:fill on="f" focussize="0,0"/>
                    <v:stroke weight="1.5pt" color="#000000" joinstyle="round" endarrow="open"/>
                    <v:imagedata o:title=""/>
                    <o:lock v:ext="edit" aspectratio="f"/>
                  </v:line>
                  <v:line id="Line 16" o:spid="_x0000_s1026" o:spt="20" style="position:absolute;left:5108;top:9585;flip:y;height:790;width:567;rotation:-3669412f;" filled="f" stroked="t" coordsize="21600,21600" o:gfxdata="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7m3H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Line 17" o:spid="_x0000_s1026" o:spt="20" style="position:absolute;left:2188;top:11166;flip:y;height:1636;width:1104;rotation:471658f;" filled="f" stroked="t" coordsize="21600,21600" o:gfxdata="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SoY7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line id="Line 18" o:spid="_x0000_s1026" o:spt="20" style="position:absolute;left:3334;top:11135;flip:y;height:1667;width:1143;rotation:471658f;" filled="f" stroked="t" coordsize="21600,21600" o:gfxdata="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ogN+L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line id="Line 19" o:spid="_x0000_s1026" o:spt="20" style="position:absolute;left:4477;top:11185;flip:y;height:1658;width:1080;rotation:471658f;" filled="f" stroked="t" coordsize="21600,21600" o:gfxdata="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GVjL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line id="Line 20" o:spid="_x0000_s1026" o:spt="20" style="position:absolute;left:5652;top:11090;flip:y;height:1711;width:1092;rotation:471658f;" filled="f" stroked="t" coordsize="21600,21600" o:gfxdata="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0wF7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line id="Line 21" o:spid="_x0000_s1026" o:spt="20" style="position:absolute;left:6315;top:11824;flip:y;height:956;width:680;rotation:8137790f;" filled="f" stroked="t" coordsize="21600,21600" o:gfxdata="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AdJK/&#10;AAAA3AAAAA8AAAAAAAAAAQAgAAAAIgAAAGRycy9kb3ducmV2LnhtbFBLAQIUABQAAAAIAIdO4kAz&#10;LwWeOwAAADkAAAAQAAAAAAAAAAEAIAAAAA4BAABkcnMvc2hhcGV4bWwueG1sUEsFBgAAAAAGAAYA&#10;WwEAALgDAAAAAA==&#10;">
                    <v:fill on="f" focussize="0,0"/>
                    <v:stroke weight="1.5pt" color="#000000" joinstyle="round" endarrow="open"/>
                    <v:imagedata o:title=""/>
                    <o:lock v:ext="edit" aspectratio="f"/>
                  </v:line>
                  <v:line id="Line 22" o:spid="_x0000_s1026" o:spt="20" style="position:absolute;left:3988;top:11920;flip:y;height:770;width:566;rotation:-3669412f;" filled="f" stroked="t" coordsize="21600,21600" o:gfxdata="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clRFvQAA&#10;ANwAAAAPAAAAAAAAAAEAIAAAACIAAABkcnMvZG93bnJldi54bWxQSwECFAAUAAAACACHTuJAMy8F&#10;njsAAAA5AAAAEAAAAAAAAAABACAAAAAMAQAAZHJzL3NoYXBleG1sLnhtbFBLBQYAAAAABgAGAFsB&#10;AAC2AwAAAAA=&#10;">
                    <v:fill on="f" focussize="0,0"/>
                    <v:stroke weight="1.5pt" color="#000000" joinstyle="round" endarrow="open"/>
                    <v:imagedata o:title=""/>
                    <o:lock v:ext="edit" aspectratio="f"/>
                  </v:line>
                  <v:line id="Line 23" o:spid="_x0000_s1026" o:spt="20" style="position:absolute;left:2813;top:12206;flip:y;height:753;width:523;rotation:-3669412f;" filled="f" stroked="t" coordsize="21600,21600" o:gfxdata="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7x3r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line id="Line 24" o:spid="_x0000_s1026" o:spt="20" style="position:absolute;left:5094;top:12055;flip:y;height:751;width:545;rotation:-3669412f;" filled="f" stroked="t" coordsize="21600,21600" o:gfxdata="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exvqb4A&#10;AADcAAAADwAAAAAAAAABACAAAAAiAAAAZHJzL2Rvd25yZXYueG1sUEsBAhQAFAAAAAgAh07iQDMv&#10;BZ47AAAAOQAAABAAAAAAAAAAAQAgAAAADQEAAGRycy9zaGFwZXhtbC54bWxQSwUGAAAAAAYABgBb&#10;AQAAtwMAAAAA&#10;">
                    <v:fill on="f" focussize="0,0"/>
                    <v:stroke weight="1.5pt" color="#000000" joinstyle="round" endarrow="open"/>
                    <v:imagedata o:title=""/>
                    <o:lock v:ext="edit" aspectratio="f"/>
                  </v:line>
                  <v:rect id="Rectangle 25" o:spid="_x0000_s1026" o:spt="1" style="position:absolute;left:5044;top:11971;height:583;width:903;" fillcolor="#FFFFFF" filled="t" stroked="f" coordsize="21600,21600" o:gfxdata="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Ho8F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6.91196850393701pt,3.4559842519685pt,6.91196850393701pt,3.4559842519685pt">
                      <w:txbxContent>
                        <w:p w14:paraId="417A666D">
                          <w:pPr>
                            <w:jc w:val="center"/>
                            <w:rPr>
                              <w:rFonts w:ascii="宋体" w:hAnsi="宋体"/>
                              <w:b w:val="0"/>
                              <w:sz w:val="20"/>
                            </w:rPr>
                          </w:pPr>
                          <w:r>
                            <w:rPr>
                              <w:rFonts w:hint="eastAsia" w:ascii="宋体" w:hAnsi="宋体"/>
                              <w:b w:val="0"/>
                              <w:sz w:val="20"/>
                            </w:rPr>
                            <w:t>吸湿受潮</w:t>
                          </w:r>
                        </w:p>
                      </w:txbxContent>
                    </v:textbox>
                  </v:rect>
                  <v:line id="Line 26" o:spid="_x0000_s1026" o:spt="20" style="position:absolute;left:3095;top:11708;flip:y;height:730;width:514;rotation:-3669412f;" filled="f" stroked="t" coordsize="21600,21600" o:gfxdata="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z9eQLsAAADc&#10;AAAADwAAAAAAAAABACAAAAAiAAAAZHJzL2Rvd25yZXYueG1sUEsBAhQAFAAAAAgAh07iQDMvBZ47&#10;AAAAOQAAABAAAAAAAAAAAQAgAAAACgEAAGRycy9zaGFwZXhtbC54bWxQSwUGAAAAAAYABgBbAQAA&#10;tAMAAAAA&#10;">
                    <v:fill on="f" focussize="0,0"/>
                    <v:stroke weight="1.5pt" color="#000000" joinstyle="round" endarrow="open"/>
                    <v:imagedata o:title=""/>
                    <o:lock v:ext="edit" aspectratio="f"/>
                  </v:line>
                  <v:rect id="Rectangle 27" o:spid="_x0000_s1026" o:spt="1" style="position:absolute;left:5801;top:9392;height:526;width:800;" fillcolor="#FFFFFF" filled="t" stroked="f" coordsize="21600,21600" o:gfxdata="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vuy/&#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91196850393701pt,3.4559842519685pt,6.91196850393701pt,3.4559842519685pt">
                      <w:txbxContent>
                        <w:p w14:paraId="27370499">
                          <w:pPr>
                            <w:jc w:val="center"/>
                            <w:rPr>
                              <w:rFonts w:ascii="宋体" w:hAnsi="宋体"/>
                              <w:b w:val="0"/>
                              <w:sz w:val="20"/>
                            </w:rPr>
                          </w:pPr>
                          <w:r>
                            <w:rPr>
                              <w:rFonts w:hint="eastAsia" w:ascii="宋体" w:hAnsi="宋体"/>
                              <w:b w:val="0"/>
                              <w:sz w:val="20"/>
                            </w:rPr>
                            <w:t>热积聚</w:t>
                          </w:r>
                        </w:p>
                      </w:txbxContent>
                    </v:textbox>
                  </v:rect>
                  <v:rect id="Rectangle 28" o:spid="_x0000_s1026" o:spt="1" style="position:absolute;left:5801;top:10264;height:440;width:624;" fillcolor="#FFFFFF" filled="t" stroked="f" coordsize="21600,21600" o:gfxdata="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JvdzLsAAADc&#10;AAAADwAAAAAAAAABACAAAAAiAAAAZHJzL2Rvd25yZXYueG1sUEsBAhQAFAAAAAgAh07iQDMvBZ47&#10;AAAAOQAAABAAAAAAAAAAAQAgAAAACgEAAGRycy9zaGFwZXhtbC54bWxQSwUGAAAAAAYABgBbAQAA&#10;tAMAAAAA&#10;">
                    <v:fill on="t" opacity="0f" focussize="0,0"/>
                    <v:stroke on="f"/>
                    <v:imagedata o:title=""/>
                    <o:lock v:ext="edit" aspectratio="f"/>
                    <v:textbox inset="6.91196850393701pt,3.4559842519685pt,6.91196850393701pt,3.4559842519685pt">
                      <w:txbxContent>
                        <w:p w14:paraId="28796AAE">
                          <w:pPr>
                            <w:jc w:val="center"/>
                            <w:rPr>
                              <w:rFonts w:ascii="宋体" w:hAnsi="宋体"/>
                              <w:b w:val="0"/>
                              <w:sz w:val="20"/>
                            </w:rPr>
                          </w:pPr>
                          <w:r>
                            <w:rPr>
                              <w:rFonts w:hint="eastAsia" w:ascii="宋体" w:hAnsi="宋体"/>
                              <w:b w:val="0"/>
                              <w:sz w:val="20"/>
                            </w:rPr>
                            <w:t>自燃</w:t>
                          </w:r>
                        </w:p>
                      </w:txbxContent>
                    </v:textbox>
                  </v:rect>
                  <v:rect id="Rectangle 29" o:spid="_x0000_s1026" o:spt="1" style="position:absolute;left:4915;top:9551;height:367;width:733;" fillcolor="#FFFFFF" filled="t" stroked="f" coordsize="21600,21600" o:gfxdata="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13hX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6.91196850393701pt,3.4559842519685pt,6.91196850393701pt,3.4559842519685pt">
                      <w:txbxContent>
                        <w:p w14:paraId="3B81EABD">
                          <w:pPr>
                            <w:jc w:val="center"/>
                            <w:rPr>
                              <w:rFonts w:ascii="宋体" w:hAnsi="宋体"/>
                              <w:b w:val="0"/>
                              <w:sz w:val="20"/>
                            </w:rPr>
                          </w:pPr>
                          <w:r>
                            <w:rPr>
                              <w:rFonts w:hint="eastAsia" w:ascii="宋体" w:hAnsi="宋体"/>
                              <w:b w:val="0"/>
                              <w:sz w:val="20"/>
                            </w:rPr>
                            <w:t>热分解</w:t>
                          </w:r>
                        </w:p>
                      </w:txbxContent>
                    </v:textbox>
                  </v:rect>
                  <v:rect id="Rectangle 30" o:spid="_x0000_s1026" o:spt="1" style="position:absolute;left:4114;top:10264;height:367;width:930;" fillcolor="#FFFFFF" filled="t" stroked="f" coordsize="21600,21600" o:gfxdata="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XmI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4C462E5B">
                          <w:pPr>
                            <w:jc w:val="center"/>
                            <w:rPr>
                              <w:rFonts w:ascii="宋体" w:hAnsi="宋体"/>
                              <w:b w:val="0"/>
                              <w:sz w:val="20"/>
                            </w:rPr>
                          </w:pPr>
                          <w:r>
                            <w:rPr>
                              <w:rFonts w:hint="eastAsia" w:ascii="宋体" w:hAnsi="宋体"/>
                              <w:b w:val="0"/>
                              <w:sz w:val="20"/>
                            </w:rPr>
                            <w:t>摩擦撞击</w:t>
                          </w:r>
                        </w:p>
                      </w:txbxContent>
                    </v:textbox>
                  </v:rect>
                  <v:rect id="Rectangle 31" o:spid="_x0000_s1026" o:spt="1" style="position:absolute;left:4781;top:11421;height:367;width:777;" fillcolor="#FFFFFF" filled="t" stroked="f" coordsize="21600,21600" o:gfxdata="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ElDu7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67B6A52F">
                          <w:pPr>
                            <w:jc w:val="center"/>
                            <w:rPr>
                              <w:rFonts w:ascii="宋体" w:hAnsi="宋体"/>
                              <w:b w:val="0"/>
                              <w:sz w:val="20"/>
                            </w:rPr>
                          </w:pPr>
                          <w:r>
                            <w:rPr>
                              <w:rFonts w:hint="eastAsia" w:ascii="宋体" w:hAnsi="宋体"/>
                              <w:b w:val="0"/>
                              <w:sz w:val="20"/>
                            </w:rPr>
                            <w:t>雷击</w:t>
                          </w:r>
                        </w:p>
                      </w:txbxContent>
                    </v:textbox>
                  </v:rect>
                  <v:rect id="Rectangle 32" o:spid="_x0000_s1026" o:spt="1" style="position:absolute;left:5801;top:11421;height:367;width:988;" fillcolor="#FFFFFF" filled="t" stroked="f" coordsize="21600,21600" o:gfxdata="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6Dbz7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49B61E6F">
                          <w:pPr>
                            <w:jc w:val="center"/>
                            <w:rPr>
                              <w:rFonts w:ascii="宋体" w:hAnsi="宋体"/>
                              <w:b w:val="0"/>
                              <w:sz w:val="20"/>
                            </w:rPr>
                          </w:pPr>
                          <w:r>
                            <w:rPr>
                              <w:rFonts w:hint="eastAsia" w:ascii="宋体" w:hAnsi="宋体"/>
                              <w:b w:val="0"/>
                              <w:sz w:val="20"/>
                            </w:rPr>
                            <w:t>化学反应</w:t>
                          </w:r>
                        </w:p>
                      </w:txbxContent>
                    </v:textbox>
                  </v:rect>
                  <v:rect id="Rectangle 33" o:spid="_x0000_s1026" o:spt="1" style="position:absolute;left:3674;top:11421;height:367;width:700;" fillcolor="#FFFFFF" filled="t" stroked="f" coordsize="21600,21600" o:gfxdata="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Ox+V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0B9F7392">
                          <w:pPr>
                            <w:jc w:val="center"/>
                            <w:rPr>
                              <w:rFonts w:ascii="宋体" w:hAnsi="宋体"/>
                              <w:b w:val="0"/>
                              <w:sz w:val="20"/>
                            </w:rPr>
                          </w:pPr>
                          <w:r>
                            <w:rPr>
                              <w:rFonts w:hint="eastAsia" w:ascii="宋体" w:hAnsi="宋体"/>
                              <w:b w:val="0"/>
                              <w:sz w:val="20"/>
                            </w:rPr>
                            <w:t>明火</w:t>
                          </w:r>
                        </w:p>
                      </w:txbxContent>
                    </v:textbox>
                  </v:rect>
                  <v:rect id="Rectangle 34" o:spid="_x0000_s1026" o:spt="1" style="position:absolute;left:2522;top:11421;height:367;width:935;" fillcolor="#FFFFFF" filled="t" stroked="f" coordsize="21600,21600" o:gfxdata="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uAj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6.91196850393701pt,3.4559842519685pt,6.91196850393701pt,3.4559842519685pt">
                      <w:txbxContent>
                        <w:p w14:paraId="3EE01BB1">
                          <w:pPr>
                            <w:jc w:val="center"/>
                            <w:rPr>
                              <w:rFonts w:ascii="宋体" w:hAnsi="宋体"/>
                              <w:b w:val="0"/>
                              <w:sz w:val="20"/>
                            </w:rPr>
                          </w:pPr>
                          <w:r>
                            <w:rPr>
                              <w:rFonts w:hint="eastAsia" w:ascii="宋体" w:hAnsi="宋体"/>
                              <w:b w:val="0"/>
                              <w:sz w:val="20"/>
                            </w:rPr>
                            <w:t>静电火花</w:t>
                          </w:r>
                        </w:p>
                      </w:txbxContent>
                    </v:textbox>
                  </v:rect>
                  <v:rect id="Rectangle 35" o:spid="_x0000_s1026" o:spt="1" style="position:absolute;left:2699;top:10264;height:367;width:635;" fillcolor="#FFFFFF" filled="t" stroked="f" coordsize="21600,21600" o:gfxdata="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kW4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6.91196850393701pt,3.4559842519685pt,6.91196850393701pt,3.4559842519685pt">
                      <w:txbxContent>
                        <w:p w14:paraId="48F43932">
                          <w:pPr>
                            <w:jc w:val="center"/>
                            <w:rPr>
                              <w:rFonts w:ascii="宋体" w:hAnsi="宋体"/>
                              <w:b w:val="0"/>
                              <w:sz w:val="20"/>
                            </w:rPr>
                          </w:pPr>
                          <w:r>
                            <w:rPr>
                              <w:rFonts w:hint="eastAsia" w:ascii="宋体" w:hAnsi="宋体"/>
                              <w:b w:val="0"/>
                              <w:sz w:val="20"/>
                            </w:rPr>
                            <w:t>高温</w:t>
                          </w:r>
                        </w:p>
                      </w:txbxContent>
                    </v:textbox>
                  </v:rect>
                  <v:rect id="Rectangle 36" o:spid="_x0000_s1026" o:spt="1" style="position:absolute;left:6276;top:11848;height:592;width:1036;" fillcolor="#FFFFFF" filled="t" stroked="f" coordsize="21600,21600" o:gfxdata="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u3RyrsAAADc&#10;AAAADwAAAAAAAAABACAAAAAiAAAAZHJzL2Rvd25yZXYueG1sUEsBAhQAFAAAAAgAh07iQDMvBZ47&#10;AAAAOQAAABAAAAAAAAAAAQAgAAAACgEAAGRycy9zaGFwZXhtbC54bWxQSwUGAAAAAAYABgBbAQAA&#10;tAMAAAAA&#10;">
                    <v:fill on="t" opacity="0f" focussize="0,0"/>
                    <v:stroke on="f"/>
                    <v:imagedata o:title=""/>
                    <o:lock v:ext="edit" aspectratio="f"/>
                    <v:textbox inset="6.91196850393701pt,3.4559842519685pt,6.91196850393701pt,3.4559842519685pt">
                      <w:txbxContent>
                        <w:p w14:paraId="14B56143">
                          <w:pPr>
                            <w:jc w:val="center"/>
                            <w:rPr>
                              <w:rFonts w:ascii="宋体" w:hAnsi="宋体"/>
                              <w:b w:val="0"/>
                              <w:sz w:val="20"/>
                            </w:rPr>
                          </w:pPr>
                          <w:r>
                            <w:rPr>
                              <w:rFonts w:hint="eastAsia" w:ascii="宋体" w:hAnsi="宋体"/>
                              <w:b w:val="0"/>
                              <w:sz w:val="20"/>
                            </w:rPr>
                            <w:t>接触反应</w:t>
                          </w:r>
                        </w:p>
                      </w:txbxContent>
                    </v:textbox>
                  </v:rect>
                  <v:rect id="Rectangle 37" o:spid="_x0000_s1026" o:spt="1" style="position:absolute;left:2699;top:12163;height:483;width:593;" fillcolor="#FFFFFF" filled="t" stroked="f" coordsize="21600,21600" o:gfxdata="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hdFG/&#10;AAAA3AAAAA8AAAAAAAAAAQAgAAAAIgAAAGRycy9kb3ducmV2LnhtbFBLAQIUABQAAAAIAIdO4kAz&#10;LwWeOwAAADkAAAAQAAAAAAAAAAEAIAAAAA4BAABkcnMvc2hhcGV4bWwueG1sUEsFBgAAAAAGAAYA&#10;WwEAALgDAAAAAA==&#10;">
                    <v:fill on="t" opacity="0f" focussize="0,0"/>
                    <v:stroke on="f"/>
                    <v:imagedata o:title=""/>
                    <o:lock v:ext="edit" aspectratio="f"/>
                    <v:textbox inset="6.91196850393701pt,3.4559842519685pt,6.91196850393701pt,3.4559842519685pt">
                      <w:txbxContent>
                        <w:p w14:paraId="5BD67D5B">
                          <w:pPr>
                            <w:jc w:val="center"/>
                            <w:rPr>
                              <w:rFonts w:ascii="宋体" w:hAnsi="宋体"/>
                              <w:b w:val="0"/>
                              <w:sz w:val="20"/>
                            </w:rPr>
                          </w:pPr>
                          <w:r>
                            <w:rPr>
                              <w:rFonts w:hint="eastAsia" w:ascii="宋体" w:hAnsi="宋体"/>
                              <w:b w:val="0"/>
                              <w:sz w:val="20"/>
                            </w:rPr>
                            <w:t>吸烟</w:t>
                          </w:r>
                        </w:p>
                      </w:txbxContent>
                    </v:textbox>
                  </v:rect>
                  <v:rect id="Rectangle 38" o:spid="_x0000_s1026" o:spt="1" style="position:absolute;left:2966;top:11717;height:498;width:777;" fillcolor="#FFFFFF" filled="t" stroked="f" coordsize="21600,21600" o:gfxdata="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QksR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6.91196850393701pt,3.4559842519685pt,6.91196850393701pt,3.4559842519685pt">
                      <w:txbxContent>
                        <w:p w14:paraId="1D659D85">
                          <w:pPr>
                            <w:jc w:val="center"/>
                            <w:rPr>
                              <w:rFonts w:ascii="宋体" w:hAnsi="宋体"/>
                              <w:b w:val="0"/>
                              <w:sz w:val="20"/>
                            </w:rPr>
                          </w:pPr>
                          <w:r>
                            <w:rPr>
                              <w:rFonts w:hint="eastAsia" w:ascii="宋体" w:hAnsi="宋体"/>
                              <w:b w:val="0"/>
                              <w:sz w:val="20"/>
                            </w:rPr>
                            <w:t>电火花</w:t>
                          </w:r>
                        </w:p>
                      </w:txbxContent>
                    </v:textbox>
                  </v:rect>
                  <v:rect id="Rectangle 39" o:spid="_x0000_s1026" o:spt="1" style="position:absolute;left:3916;top:11958;height:483;width:933;" fillcolor="#FFFFFF" filled="t" stroked="f" coordsize="21600,21600" o:gfxdata="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7uir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0B6BF61C">
                          <w:pPr>
                            <w:jc w:val="center"/>
                            <w:rPr>
                              <w:rFonts w:ascii="宋体" w:hAnsi="宋体"/>
                              <w:b w:val="0"/>
                              <w:sz w:val="20"/>
                            </w:rPr>
                          </w:pPr>
                          <w:r>
                            <w:rPr>
                              <w:rFonts w:hint="eastAsia" w:ascii="宋体" w:hAnsi="宋体"/>
                              <w:b w:val="0"/>
                              <w:sz w:val="20"/>
                            </w:rPr>
                            <w:t>环境因素</w:t>
                          </w:r>
                        </w:p>
                      </w:txbxContent>
                    </v:textbox>
                  </v:rect>
                  <v:rect id="Rectangle 40" o:spid="_x0000_s1026" o:spt="1" style="position:absolute;left:3186;top:9619;height:367;width:928;" fillcolor="#FFFFFF" filled="t" stroked="f" coordsize="21600,21600" o:gfxdata="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xw/b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2A1EB82A">
                          <w:pPr>
                            <w:jc w:val="center"/>
                            <w:rPr>
                              <w:rFonts w:ascii="宋体" w:hAnsi="宋体"/>
                              <w:b w:val="0"/>
                              <w:sz w:val="20"/>
                            </w:rPr>
                          </w:pPr>
                          <w:r>
                            <w:rPr>
                              <w:rFonts w:hint="eastAsia" w:ascii="宋体" w:hAnsi="宋体"/>
                              <w:b w:val="0"/>
                              <w:sz w:val="20"/>
                            </w:rPr>
                            <w:t>硬质工具</w:t>
                          </w:r>
                        </w:p>
                      </w:txbxContent>
                    </v:textbox>
                  </v:rect>
                  <v:line id="Line 41" o:spid="_x0000_s1026" o:spt="20" style="position:absolute;left:2811;top:9471;flip:y;height:476;width:315;rotation:8137790f;" filled="f" stroked="t" coordsize="21600,21600" o:gfxdata="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aRFw&#10;wAAAANwAAAAPAAAAAAAAAAEAIAAAACIAAABkcnMvZG93bnJldi54bWxQSwECFAAUAAAACACHTuJA&#10;My8FnjsAAAA5AAAAEAAAAAAAAAABACAAAAAPAQAAZHJzL3NoYXBleG1sLnhtbFBLBQYAAAAABgAG&#10;AFsBAAC5AwAAAAA=&#10;">
                    <v:fill on="f" focussize="0,0"/>
                    <v:stroke weight="1.5pt" color="#000000" joinstyle="round" endarrow="open"/>
                    <v:imagedata o:title=""/>
                    <o:lock v:ext="edit" aspectratio="f"/>
                  </v:line>
                  <v:rect id="Rectangle 42" o:spid="_x0000_s1026" o:spt="1" style="position:absolute;left:2731;top:9309;height:480;width:562;" fillcolor="#FFFFFF" filled="t" stroked="f" coordsize="21600,21600" o:gfxdata="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nlNEr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509BF834">
                          <w:pPr>
                            <w:rPr>
                              <w:rFonts w:ascii="宋体" w:hAnsi="宋体"/>
                              <w:b w:val="0"/>
                              <w:sz w:val="20"/>
                            </w:rPr>
                          </w:pPr>
                          <w:r>
                            <w:rPr>
                              <w:rFonts w:hint="eastAsia" w:ascii="宋体" w:hAnsi="宋体"/>
                              <w:b w:val="0"/>
                              <w:sz w:val="20"/>
                            </w:rPr>
                            <w:t>曝晒</w:t>
                          </w:r>
                        </w:p>
                      </w:txbxContent>
                    </v:textbox>
                  </v:rect>
                  <v:line id="Line 43" o:spid="_x0000_s1026" o:spt="20" style="position:absolute;left:1881;top:9625;flip:y;height:975;width:674;rotation:-3669412f;" filled="f" stroked="t" coordsize="21600,21600" o:gfxdata="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Lrb68AAAA&#10;3AAAAA8AAAAAAAAAAQAgAAAAIgAAAGRycy9kb3ducmV2LnhtbFBLAQIUABQAAAAIAIdO4kAzLwWe&#10;OwAAADkAAAAQAAAAAAAAAAEAIAAAAAsBAABkcnMvc2hhcGV4bWwueG1sUEsFBgAAAAAGAAYAWwEA&#10;ALUDAAAAAA==&#10;">
                    <v:fill on="f" focussize="0,0"/>
                    <v:stroke weight="1.5pt" color="#000000" joinstyle="round" endarrow="open"/>
                    <v:imagedata o:title=""/>
                    <o:lock v:ext="edit" aspectratio="f"/>
                  </v:line>
                  <v:rect id="Rectangle 44" o:spid="_x0000_s1026" o:spt="1" style="position:absolute;left:1631;top:9716;height:367;width:943;" fillcolor="#FFFFFF" filled="t" stroked="f" coordsize="21600,21600" o:gfxdata="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r/E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6.91196850393701pt,3.4559842519685pt,6.91196850393701pt,3.4559842519685pt">
                      <w:txbxContent>
                        <w:p w14:paraId="78D93743">
                          <w:pPr>
                            <w:rPr>
                              <w:rFonts w:ascii="宋体" w:hAnsi="宋体"/>
                              <w:b w:val="0"/>
                              <w:sz w:val="20"/>
                            </w:rPr>
                          </w:pPr>
                          <w:r>
                            <w:rPr>
                              <w:rFonts w:hint="eastAsia" w:ascii="宋体" w:hAnsi="宋体"/>
                              <w:b w:val="0"/>
                              <w:sz w:val="20"/>
                            </w:rPr>
                            <w:t>玻璃聚焦</w:t>
                          </w:r>
                        </w:p>
                      </w:txbxContent>
                    </v:textbox>
                  </v:rect>
                  <v:rect id="Rectangle 45" o:spid="_x0000_s1026" o:spt="1" style="position:absolute;left:1977;top:10821;height:367;width:754;" fillcolor="#FFFFFF" filled="t" stroked="f" coordsize="21600,21600" o:gfxdata="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WcBQ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6.91196850393701pt,3.4559842519685pt,6.91196850393701pt,3.4559842519685pt">
                      <w:txbxContent>
                        <w:p w14:paraId="23356482">
                          <w:pPr>
                            <w:rPr>
                              <w:rFonts w:ascii="宋体" w:hAnsi="宋体"/>
                              <w:b w:val="0"/>
                              <w:sz w:val="20"/>
                            </w:rPr>
                          </w:pPr>
                          <w:r>
                            <w:rPr>
                              <w:rFonts w:hint="eastAsia" w:ascii="宋体" w:hAnsi="宋体"/>
                              <w:b w:val="0"/>
                              <w:sz w:val="20"/>
                            </w:rPr>
                            <w:t>黑火药</w:t>
                          </w:r>
                        </w:p>
                      </w:txbxContent>
                    </v:textbox>
                  </v:rect>
                  <v:line id="Line 46" o:spid="_x0000_s1026" o:spt="20" style="position:absolute;left:4323;top:9473;flip:y;height:482;width:348;rotation:8137790f;" filled="f" stroked="t" coordsize="21600,21600" o:gfxdata="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od2/&#10;AAAA3AAAAA8AAAAAAAAAAQAgAAAAIgAAAGRycy9kb3ducmV2LnhtbFBLAQIUABQAAAAIAIdO4kAz&#10;LwWeOwAAADkAAAAQAAAAAAAAAAEAIAAAAA4BAABkcnMvc2hhcGV4bWwueG1sUEsFBgAAAAAGAAYA&#10;WwEAALgDAAAAAA==&#10;">
                    <v:fill on="f" focussize="0,0"/>
                    <v:stroke weight="1.5pt" color="#000000" joinstyle="round" endarrow="open"/>
                    <v:imagedata o:title=""/>
                    <o:lock v:ext="edit" aspectratio="f"/>
                  </v:line>
                  <v:rect id="Rectangle 47" o:spid="_x0000_s1026" o:spt="1" style="position:absolute;left:4302;top:9309;height:480;width:613;" fillcolor="#FFFFFF" filled="t" stroked="f" coordsize="21600,21600" o:gfxdata="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x/u8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6.91196850393701pt,3.4559842519685pt,6.91196850393701pt,3.4559842519685pt">
                      <w:txbxContent>
                        <w:p w14:paraId="6CD5B23C">
                          <w:pPr>
                            <w:rPr>
                              <w:rFonts w:ascii="宋体" w:hAnsi="宋体"/>
                              <w:b w:val="0"/>
                              <w:sz w:val="20"/>
                            </w:rPr>
                          </w:pPr>
                          <w:r>
                            <w:rPr>
                              <w:rFonts w:hint="eastAsia" w:ascii="宋体" w:hAnsi="宋体"/>
                              <w:b w:val="0"/>
                              <w:sz w:val="20"/>
                            </w:rPr>
                            <w:t>坠落</w:t>
                          </w:r>
                        </w:p>
                      </w:txbxContent>
                    </v:textbox>
                  </v:rect>
                </v:group>
                <w10:wrap type="none"/>
                <w10:anchorlock/>
              </v:group>
            </w:pict>
          </mc:Fallback>
        </mc:AlternateContent>
      </w:r>
      <w:r>
        <w:rPr>
          <w:rFonts w:hint="eastAsia" w:ascii="黑体" w:hAnsi="宋体" w:eastAsia="黑体"/>
          <w:b w:val="0"/>
          <w:sz w:val="24"/>
        </w:rPr>
        <w:t>图3</w:t>
      </w:r>
      <w:r>
        <w:rPr>
          <w:rFonts w:ascii="黑体" w:hAnsi="宋体" w:eastAsia="黑体"/>
          <w:b w:val="0"/>
          <w:sz w:val="24"/>
        </w:rPr>
        <w:t xml:space="preserve">.12-1 </w:t>
      </w:r>
      <w:r>
        <w:rPr>
          <w:rFonts w:hint="eastAsia" w:ascii="黑体" w:hAnsi="宋体" w:eastAsia="黑体"/>
          <w:b w:val="0"/>
          <w:sz w:val="24"/>
        </w:rPr>
        <w:t>燃烧、爆炸触发条件分析图</w:t>
      </w:r>
    </w:p>
    <w:p w14:paraId="1F70B44B">
      <w:pPr>
        <w:spacing w:line="360" w:lineRule="auto"/>
        <w:ind w:firstLine="420" w:firstLineChars="150"/>
        <w:rPr>
          <w:rFonts w:ascii="宋体" w:hAnsi="宋体"/>
          <w:b w:val="0"/>
          <w:snapToGrid w:val="0"/>
          <w:sz w:val="28"/>
          <w:szCs w:val="28"/>
        </w:rPr>
      </w:pPr>
      <w:r>
        <w:rPr>
          <w:rFonts w:hint="eastAsia" w:ascii="宋体" w:hAnsi="宋体"/>
          <w:b w:val="0"/>
          <w:snapToGrid w:val="0"/>
          <w:sz w:val="28"/>
          <w:szCs w:val="28"/>
        </w:rPr>
        <w:t>（4）导致事故扩大的因素分析</w:t>
      </w:r>
    </w:p>
    <w:p w14:paraId="41C160B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根据黑火药生产特性及烟花爆竹行业重大事故案例资料分析，导致黑火药生产企业事故扩大的因素主要有：</w:t>
      </w:r>
    </w:p>
    <w:p w14:paraId="32A7FA30">
      <w:pPr>
        <w:spacing w:line="360" w:lineRule="auto"/>
        <w:ind w:firstLine="670" w:firstLineChars="250"/>
        <w:rPr>
          <w:rFonts w:ascii="宋体" w:hAnsi="宋体"/>
          <w:b w:val="0"/>
          <w:snapToGrid w:val="0"/>
          <w:sz w:val="28"/>
          <w:szCs w:val="28"/>
        </w:rPr>
      </w:pPr>
      <w:r>
        <w:rPr>
          <w:rFonts w:ascii="宋体" w:hAnsi="宋体"/>
          <w:b w:val="0"/>
          <w:snapToGrid w:val="0"/>
          <w:spacing w:val="-6"/>
          <w:sz w:val="28"/>
          <w:szCs w:val="28"/>
        </w:rPr>
        <w:t>1</w:t>
      </w:r>
      <w:r>
        <w:rPr>
          <w:rFonts w:hint="eastAsia" w:ascii="宋体" w:hAnsi="宋体"/>
          <w:b w:val="0"/>
          <w:snapToGrid w:val="0"/>
          <w:spacing w:val="-6"/>
          <w:sz w:val="28"/>
          <w:szCs w:val="28"/>
        </w:rPr>
        <w:t>）安全距离不够，防护屏障不符合要求，相邻工库房间发生连环爆炸。</w:t>
      </w:r>
    </w:p>
    <w:p w14:paraId="7135D5A2">
      <w:pPr>
        <w:spacing w:line="360" w:lineRule="auto"/>
        <w:ind w:firstLine="700" w:firstLineChars="250"/>
        <w:rPr>
          <w:rFonts w:ascii="宋体" w:hAnsi="宋体"/>
          <w:b w:val="0"/>
          <w:snapToGrid w:val="0"/>
          <w:sz w:val="28"/>
          <w:szCs w:val="28"/>
        </w:rPr>
      </w:pPr>
      <w:r>
        <w:rPr>
          <w:rFonts w:ascii="宋体" w:hAnsi="宋体"/>
          <w:b w:val="0"/>
          <w:snapToGrid w:val="0"/>
          <w:sz w:val="28"/>
          <w:szCs w:val="28"/>
        </w:rPr>
        <w:t>2</w:t>
      </w:r>
      <w:r>
        <w:rPr>
          <w:rFonts w:hint="eastAsia" w:ascii="宋体" w:hAnsi="宋体"/>
          <w:b w:val="0"/>
          <w:snapToGrid w:val="0"/>
          <w:sz w:val="28"/>
          <w:szCs w:val="28"/>
        </w:rPr>
        <w:t>）擅自改变工房用途，在低危险等级建筑物内从事高危险等级建筑物内的作业。</w:t>
      </w:r>
    </w:p>
    <w:p w14:paraId="39518BA8">
      <w:pPr>
        <w:spacing w:line="360" w:lineRule="auto"/>
        <w:ind w:firstLine="700" w:firstLineChars="250"/>
        <w:rPr>
          <w:rFonts w:ascii="宋体" w:hAnsi="宋体"/>
          <w:b w:val="0"/>
          <w:snapToGrid w:val="0"/>
          <w:sz w:val="28"/>
          <w:szCs w:val="28"/>
        </w:rPr>
      </w:pPr>
      <w:r>
        <w:rPr>
          <w:rFonts w:ascii="宋体" w:hAnsi="宋体"/>
          <w:b w:val="0"/>
          <w:snapToGrid w:val="0"/>
          <w:sz w:val="28"/>
          <w:szCs w:val="28"/>
        </w:rPr>
        <w:t>3</w:t>
      </w:r>
      <w:r>
        <w:rPr>
          <w:rFonts w:hint="eastAsia" w:ascii="宋体" w:hAnsi="宋体"/>
          <w:b w:val="0"/>
          <w:snapToGrid w:val="0"/>
          <w:sz w:val="28"/>
          <w:szCs w:val="28"/>
        </w:rPr>
        <w:t>）工库房超量存放危险品。</w:t>
      </w:r>
    </w:p>
    <w:p w14:paraId="086783C7">
      <w:pPr>
        <w:spacing w:line="360" w:lineRule="auto"/>
        <w:ind w:firstLine="700" w:firstLineChars="250"/>
        <w:rPr>
          <w:rFonts w:ascii="宋体" w:hAnsi="宋体"/>
          <w:b w:val="0"/>
          <w:snapToGrid w:val="0"/>
          <w:sz w:val="28"/>
          <w:szCs w:val="28"/>
        </w:rPr>
      </w:pPr>
      <w:r>
        <w:rPr>
          <w:rFonts w:ascii="宋体" w:hAnsi="宋体"/>
          <w:b w:val="0"/>
          <w:snapToGrid w:val="0"/>
          <w:sz w:val="28"/>
          <w:szCs w:val="28"/>
        </w:rPr>
        <w:t>4</w:t>
      </w:r>
      <w:r>
        <w:rPr>
          <w:rFonts w:hint="eastAsia" w:ascii="宋体" w:hAnsi="宋体"/>
          <w:b w:val="0"/>
          <w:snapToGrid w:val="0"/>
          <w:sz w:val="28"/>
          <w:szCs w:val="28"/>
        </w:rPr>
        <w:t>）疏散通道不畅或无关人员出入危险品作业场所。</w:t>
      </w:r>
    </w:p>
    <w:p w14:paraId="0637114F">
      <w:pPr>
        <w:spacing w:line="360" w:lineRule="auto"/>
        <w:ind w:firstLine="700" w:firstLineChars="250"/>
        <w:rPr>
          <w:rFonts w:ascii="宋体" w:hAnsi="宋体"/>
          <w:b w:val="0"/>
          <w:snapToGrid w:val="0"/>
          <w:sz w:val="28"/>
          <w:szCs w:val="28"/>
        </w:rPr>
      </w:pPr>
      <w:r>
        <w:rPr>
          <w:rFonts w:ascii="宋体" w:hAnsi="宋体"/>
          <w:b w:val="0"/>
          <w:snapToGrid w:val="0"/>
          <w:sz w:val="28"/>
          <w:szCs w:val="28"/>
        </w:rPr>
        <w:t>5</w:t>
      </w:r>
      <w:r>
        <w:rPr>
          <w:rFonts w:hint="eastAsia" w:ascii="宋体" w:hAnsi="宋体"/>
          <w:b w:val="0"/>
          <w:snapToGrid w:val="0"/>
          <w:sz w:val="28"/>
          <w:szCs w:val="28"/>
        </w:rPr>
        <w:t>）工库房建筑强度不够，易在冲击波作用下倒塌。</w:t>
      </w:r>
    </w:p>
    <w:p w14:paraId="099FB707">
      <w:pPr>
        <w:spacing w:line="360" w:lineRule="auto"/>
        <w:ind w:firstLine="700" w:firstLineChars="250"/>
        <w:rPr>
          <w:rFonts w:ascii="宋体" w:hAnsi="宋体"/>
          <w:b w:val="0"/>
          <w:snapToGrid w:val="0"/>
          <w:sz w:val="28"/>
          <w:szCs w:val="28"/>
        </w:rPr>
      </w:pPr>
      <w:r>
        <w:rPr>
          <w:rFonts w:ascii="宋体" w:hAnsi="宋体"/>
          <w:b w:val="0"/>
          <w:snapToGrid w:val="0"/>
          <w:sz w:val="28"/>
          <w:szCs w:val="28"/>
        </w:rPr>
        <w:t>6</w:t>
      </w:r>
      <w:r>
        <w:rPr>
          <w:rFonts w:hint="eastAsia" w:ascii="宋体" w:hAnsi="宋体"/>
          <w:b w:val="0"/>
          <w:snapToGrid w:val="0"/>
          <w:sz w:val="28"/>
          <w:szCs w:val="28"/>
        </w:rPr>
        <w:t>）应急救援措施失效。</w:t>
      </w:r>
    </w:p>
    <w:p w14:paraId="4F3D4B47">
      <w:pPr>
        <w:spacing w:line="360" w:lineRule="auto"/>
        <w:outlineLvl w:val="2"/>
        <w:rPr>
          <w:rFonts w:ascii="黑体" w:hAnsi="黑体" w:eastAsia="黑体"/>
          <w:b w:val="0"/>
          <w:sz w:val="30"/>
          <w:szCs w:val="30"/>
        </w:rPr>
      </w:pPr>
      <w:bookmarkStart w:id="435" w:name="_Toc58946842"/>
      <w:bookmarkStart w:id="436" w:name="_Toc145275218"/>
      <w:bookmarkStart w:id="437" w:name="_Toc301365472"/>
      <w:bookmarkStart w:id="438" w:name="_Toc326007677"/>
      <w:bookmarkStart w:id="439" w:name="_Toc60129125"/>
      <w:bookmarkStart w:id="440" w:name="_Toc181194091"/>
      <w:bookmarkStart w:id="441" w:name="_Toc280010185"/>
      <w:bookmarkStart w:id="442" w:name="_Toc325531553"/>
      <w:bookmarkStart w:id="443" w:name="_Toc326823029"/>
      <w:bookmarkStart w:id="444" w:name="_Toc148037013"/>
      <w:bookmarkStart w:id="445" w:name="_Toc335902420"/>
      <w:bookmarkStart w:id="446" w:name="_Toc173077684"/>
      <w:bookmarkStart w:id="447" w:name="_Toc299549428"/>
      <w:bookmarkStart w:id="448" w:name="_Toc58862010"/>
      <w:r>
        <w:rPr>
          <w:rFonts w:hint="eastAsia" w:ascii="黑体" w:hAnsi="黑体" w:eastAsia="黑体"/>
          <w:b w:val="0"/>
          <w:sz w:val="30"/>
          <w:szCs w:val="30"/>
        </w:rPr>
        <w:t>3.1</w:t>
      </w:r>
      <w:r>
        <w:rPr>
          <w:rFonts w:ascii="黑体" w:hAnsi="黑体" w:eastAsia="黑体"/>
          <w:b w:val="0"/>
          <w:sz w:val="30"/>
          <w:szCs w:val="30"/>
        </w:rPr>
        <w:t>2</w:t>
      </w:r>
      <w:r>
        <w:rPr>
          <w:rFonts w:hint="eastAsia" w:ascii="黑体" w:hAnsi="黑体" w:eastAsia="黑体"/>
          <w:b w:val="0"/>
          <w:sz w:val="30"/>
          <w:szCs w:val="30"/>
        </w:rPr>
        <w:t>.2电伤害</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7D7DC46C">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电伤害包括静电危害、电气事故危害和雷电灾害，雷电灾害已在“3.</w:t>
      </w:r>
      <w:r>
        <w:rPr>
          <w:rFonts w:ascii="宋体" w:hAnsi="宋体"/>
          <w:b w:val="0"/>
          <w:snapToGrid w:val="0"/>
          <w:sz w:val="28"/>
          <w:szCs w:val="28"/>
        </w:rPr>
        <w:t>9</w:t>
      </w:r>
      <w:r>
        <w:rPr>
          <w:rFonts w:hint="eastAsia" w:ascii="宋体" w:hAnsi="宋体"/>
          <w:b w:val="0"/>
          <w:snapToGrid w:val="0"/>
          <w:sz w:val="28"/>
          <w:szCs w:val="28"/>
        </w:rPr>
        <w:t>.1自然环境危险有害因素”章节中进行了辨识、分析，此处不再重复。</w:t>
      </w:r>
    </w:p>
    <w:p w14:paraId="5CE55712">
      <w:pPr>
        <w:spacing w:line="360" w:lineRule="auto"/>
        <w:ind w:firstLine="420" w:firstLineChars="150"/>
        <w:rPr>
          <w:rFonts w:ascii="宋体" w:hAnsi="宋体"/>
          <w:b w:val="0"/>
          <w:snapToGrid w:val="0"/>
          <w:sz w:val="28"/>
          <w:szCs w:val="28"/>
        </w:rPr>
      </w:pPr>
      <w:r>
        <w:rPr>
          <w:rFonts w:hint="eastAsia" w:ascii="宋体" w:hAnsi="宋体"/>
          <w:b w:val="0"/>
          <w:snapToGrid w:val="0"/>
          <w:sz w:val="28"/>
          <w:szCs w:val="28"/>
        </w:rPr>
        <w:t>（1）静电危害</w:t>
      </w:r>
    </w:p>
    <w:p w14:paraId="654A46D9">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静电是不同物质的物体之间相互摩擦或接触时产生的，有引起火灾爆炸成为点火源的危害，黑火药生产中的操作人员、工装器具均处于运动状态，烟火药是电的不良导体，在各涉药工序的加工、操作过程中极易产生静电积累，若工库房内空气干燥，地、台面导电条件差以及工装器具材料绝缘性强都会导致静电积累，一旦具备静电放电条件就会产生静电放电火花，当火花能量大于烟火药的最小发火能，就可能引起火灾和爆炸事故。</w:t>
      </w:r>
    </w:p>
    <w:p w14:paraId="6D8CCF97">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本项目中，下面一些工序和设备容易产生静电。</w:t>
      </w:r>
    </w:p>
    <w:p w14:paraId="4E04CF1D">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①硝酸钾粉碎、二味球磨、三味球磨/筛选时也会产生静电。</w:t>
      </w:r>
    </w:p>
    <w:p w14:paraId="298A5DBC">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②自动混合/上潮/装模制片时都会产生静电。</w:t>
      </w:r>
    </w:p>
    <w:p w14:paraId="3C3AB2BD">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③倾倒黑火药或用瓢舀取黑火药时会因摩擦产生静电。</w:t>
      </w:r>
    </w:p>
    <w:p w14:paraId="32E7D467">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④操作人员穿化纤衣服、塑料鞋底和橡胶鞋操作或走路时都会带电，如果不能接地把静电导走，就会积累。这时若接触不带电的黑火药，就可能发生静电放电，引起黑火药的燃烧或爆炸。</w:t>
      </w:r>
    </w:p>
    <w:p w14:paraId="02CC41CC">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3.1</w:t>
      </w:r>
      <w:r>
        <w:rPr>
          <w:rFonts w:ascii="宋体" w:hAnsi="宋体"/>
          <w:b w:val="0"/>
          <w:snapToGrid w:val="0"/>
          <w:sz w:val="28"/>
          <w:szCs w:val="28"/>
        </w:rPr>
        <w:t>2</w:t>
      </w:r>
      <w:r>
        <w:rPr>
          <w:rFonts w:hint="eastAsia" w:ascii="宋体" w:hAnsi="宋体"/>
          <w:b w:val="0"/>
          <w:snapToGrid w:val="0"/>
          <w:sz w:val="28"/>
          <w:szCs w:val="28"/>
        </w:rPr>
        <w:t>-2。</w:t>
      </w:r>
    </w:p>
    <w:p w14:paraId="7104E26F">
      <w:pPr>
        <w:jc w:val="center"/>
        <w:rPr>
          <w:rFonts w:ascii="黑体" w:hAnsi="宋体" w:eastAsia="黑体"/>
          <w:b w:val="0"/>
          <w:sz w:val="24"/>
        </w:rPr>
      </w:pPr>
      <w:r>
        <w:rPr>
          <w:rFonts w:hint="eastAsia" w:ascii="黑体" w:hAnsi="宋体" w:eastAsia="黑体"/>
          <w:b w:val="0"/>
          <w:sz w:val="24"/>
        </w:rPr>
        <w:t>表3.1</w:t>
      </w:r>
      <w:r>
        <w:rPr>
          <w:rFonts w:ascii="黑体" w:hAnsi="宋体" w:eastAsia="黑体"/>
          <w:b w:val="0"/>
          <w:sz w:val="24"/>
        </w:rPr>
        <w:t>2</w:t>
      </w:r>
      <w:r>
        <w:rPr>
          <w:rFonts w:hint="eastAsia" w:ascii="黑体" w:hAnsi="宋体" w:eastAsia="黑体"/>
          <w:b w:val="0"/>
          <w:sz w:val="24"/>
        </w:rPr>
        <w:t>-2 静电电击人体的反应</w:t>
      </w:r>
    </w:p>
    <w:tbl>
      <w:tblPr>
        <w:tblStyle w:val="88"/>
        <w:tblW w:w="501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27"/>
        <w:gridCol w:w="4145"/>
        <w:gridCol w:w="2746"/>
      </w:tblGrid>
      <w:tr w14:paraId="29B15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302" w:type="pct"/>
            <w:vAlign w:val="center"/>
          </w:tcPr>
          <w:p w14:paraId="636FA66C">
            <w:pPr>
              <w:jc w:val="center"/>
              <w:rPr>
                <w:rFonts w:ascii="宋体" w:hAnsi="宋体"/>
                <w:bCs/>
                <w:szCs w:val="21"/>
              </w:rPr>
            </w:pPr>
            <w:r>
              <w:rPr>
                <w:rFonts w:hint="eastAsia" w:ascii="宋体" w:hAnsi="宋体"/>
                <w:bCs/>
                <w:szCs w:val="21"/>
              </w:rPr>
              <w:t>人体带电电位（V）</w:t>
            </w:r>
          </w:p>
        </w:tc>
        <w:tc>
          <w:tcPr>
            <w:tcW w:w="2223" w:type="pct"/>
            <w:vAlign w:val="center"/>
          </w:tcPr>
          <w:p w14:paraId="4D5075F2">
            <w:pPr>
              <w:jc w:val="center"/>
              <w:rPr>
                <w:rFonts w:ascii="宋体" w:hAnsi="宋体"/>
                <w:bCs/>
                <w:szCs w:val="21"/>
              </w:rPr>
            </w:pPr>
            <w:r>
              <w:rPr>
                <w:rFonts w:hint="eastAsia" w:ascii="宋体" w:hAnsi="宋体"/>
                <w:bCs/>
                <w:szCs w:val="21"/>
              </w:rPr>
              <w:t>静电放电时人体感觉程度</w:t>
            </w:r>
          </w:p>
        </w:tc>
        <w:tc>
          <w:tcPr>
            <w:tcW w:w="1473" w:type="pct"/>
            <w:vAlign w:val="center"/>
          </w:tcPr>
          <w:p w14:paraId="22C9904B">
            <w:pPr>
              <w:jc w:val="center"/>
              <w:rPr>
                <w:rFonts w:ascii="宋体" w:hAnsi="宋体"/>
                <w:bCs/>
                <w:szCs w:val="21"/>
              </w:rPr>
            </w:pPr>
            <w:r>
              <w:rPr>
                <w:rFonts w:hint="eastAsia" w:ascii="宋体" w:hAnsi="宋体"/>
                <w:bCs/>
                <w:szCs w:val="21"/>
              </w:rPr>
              <w:t>备注</w:t>
            </w:r>
          </w:p>
        </w:tc>
      </w:tr>
      <w:tr w14:paraId="75AF3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143FDA84">
            <w:pPr>
              <w:jc w:val="center"/>
              <w:rPr>
                <w:rFonts w:ascii="宋体" w:hAnsi="宋体"/>
                <w:b w:val="0"/>
                <w:szCs w:val="21"/>
              </w:rPr>
            </w:pPr>
            <w:r>
              <w:rPr>
                <w:rFonts w:hint="eastAsia" w:ascii="宋体" w:hAnsi="宋体"/>
                <w:b w:val="0"/>
                <w:szCs w:val="21"/>
              </w:rPr>
              <w:t>1000</w:t>
            </w:r>
          </w:p>
        </w:tc>
        <w:tc>
          <w:tcPr>
            <w:tcW w:w="2223" w:type="pct"/>
            <w:vAlign w:val="center"/>
          </w:tcPr>
          <w:p w14:paraId="70AEA63C">
            <w:pPr>
              <w:jc w:val="center"/>
              <w:rPr>
                <w:rFonts w:ascii="宋体" w:hAnsi="宋体"/>
                <w:b w:val="0"/>
                <w:szCs w:val="21"/>
              </w:rPr>
            </w:pPr>
            <w:r>
              <w:rPr>
                <w:rFonts w:hint="eastAsia" w:ascii="宋体" w:hAnsi="宋体"/>
                <w:b w:val="0"/>
                <w:szCs w:val="21"/>
              </w:rPr>
              <w:t>没有感觉</w:t>
            </w:r>
          </w:p>
        </w:tc>
        <w:tc>
          <w:tcPr>
            <w:tcW w:w="1473" w:type="pct"/>
            <w:vAlign w:val="center"/>
          </w:tcPr>
          <w:p w14:paraId="772C330C">
            <w:pPr>
              <w:jc w:val="center"/>
              <w:rPr>
                <w:rFonts w:ascii="宋体" w:hAnsi="宋体"/>
                <w:b w:val="0"/>
                <w:szCs w:val="21"/>
              </w:rPr>
            </w:pPr>
          </w:p>
        </w:tc>
      </w:tr>
      <w:tr w14:paraId="32FDB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5E263B19">
            <w:pPr>
              <w:jc w:val="center"/>
              <w:rPr>
                <w:rFonts w:ascii="宋体" w:hAnsi="宋体"/>
                <w:b w:val="0"/>
                <w:szCs w:val="21"/>
              </w:rPr>
            </w:pPr>
            <w:r>
              <w:rPr>
                <w:rFonts w:hint="eastAsia" w:ascii="宋体" w:hAnsi="宋体"/>
                <w:b w:val="0"/>
                <w:szCs w:val="21"/>
              </w:rPr>
              <w:t>2000</w:t>
            </w:r>
          </w:p>
        </w:tc>
        <w:tc>
          <w:tcPr>
            <w:tcW w:w="2223" w:type="pct"/>
            <w:vAlign w:val="center"/>
          </w:tcPr>
          <w:p w14:paraId="7BB617CD">
            <w:pPr>
              <w:jc w:val="center"/>
              <w:rPr>
                <w:rFonts w:ascii="宋体" w:hAnsi="宋体"/>
                <w:b w:val="0"/>
                <w:szCs w:val="21"/>
              </w:rPr>
            </w:pPr>
            <w:r>
              <w:rPr>
                <w:rFonts w:hint="eastAsia" w:ascii="宋体" w:hAnsi="宋体"/>
                <w:b w:val="0"/>
                <w:szCs w:val="21"/>
              </w:rPr>
              <w:t>手指外侧有感觉，但不痛</w:t>
            </w:r>
          </w:p>
        </w:tc>
        <w:tc>
          <w:tcPr>
            <w:tcW w:w="1473" w:type="pct"/>
            <w:vAlign w:val="center"/>
          </w:tcPr>
          <w:p w14:paraId="13BC1EFE">
            <w:pPr>
              <w:jc w:val="center"/>
              <w:rPr>
                <w:rFonts w:ascii="宋体" w:hAnsi="宋体"/>
                <w:b w:val="0"/>
                <w:szCs w:val="21"/>
              </w:rPr>
            </w:pPr>
            <w:r>
              <w:rPr>
                <w:rFonts w:hint="eastAsia" w:ascii="宋体" w:hAnsi="宋体"/>
                <w:b w:val="0"/>
                <w:szCs w:val="21"/>
              </w:rPr>
              <w:t>产生微弱放电声</w:t>
            </w:r>
          </w:p>
        </w:tc>
      </w:tr>
      <w:tr w14:paraId="4F165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49A7EDF0">
            <w:pPr>
              <w:jc w:val="center"/>
              <w:rPr>
                <w:rFonts w:ascii="宋体" w:hAnsi="宋体"/>
                <w:b w:val="0"/>
                <w:szCs w:val="21"/>
              </w:rPr>
            </w:pPr>
            <w:r>
              <w:rPr>
                <w:rFonts w:hint="eastAsia" w:ascii="宋体" w:hAnsi="宋体"/>
                <w:b w:val="0"/>
                <w:szCs w:val="21"/>
              </w:rPr>
              <w:t>3000</w:t>
            </w:r>
          </w:p>
        </w:tc>
        <w:tc>
          <w:tcPr>
            <w:tcW w:w="2223" w:type="pct"/>
            <w:vAlign w:val="center"/>
          </w:tcPr>
          <w:p w14:paraId="4A5FE861">
            <w:pPr>
              <w:jc w:val="center"/>
              <w:rPr>
                <w:rFonts w:ascii="宋体" w:hAnsi="宋体"/>
                <w:b w:val="0"/>
                <w:szCs w:val="21"/>
              </w:rPr>
            </w:pPr>
            <w:r>
              <w:rPr>
                <w:rFonts w:hint="eastAsia" w:ascii="宋体" w:hAnsi="宋体"/>
                <w:b w:val="0"/>
                <w:szCs w:val="21"/>
              </w:rPr>
              <w:t>有微弱的刺痛感</w:t>
            </w:r>
          </w:p>
        </w:tc>
        <w:tc>
          <w:tcPr>
            <w:tcW w:w="1473" w:type="pct"/>
            <w:vAlign w:val="center"/>
          </w:tcPr>
          <w:p w14:paraId="5C62A30F">
            <w:pPr>
              <w:jc w:val="center"/>
              <w:rPr>
                <w:rFonts w:ascii="宋体" w:hAnsi="宋体"/>
                <w:b w:val="0"/>
                <w:szCs w:val="21"/>
              </w:rPr>
            </w:pPr>
          </w:p>
        </w:tc>
      </w:tr>
      <w:tr w14:paraId="73310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28186147">
            <w:pPr>
              <w:jc w:val="center"/>
              <w:rPr>
                <w:rFonts w:ascii="宋体" w:hAnsi="宋体"/>
                <w:b w:val="0"/>
                <w:szCs w:val="21"/>
              </w:rPr>
            </w:pPr>
            <w:r>
              <w:rPr>
                <w:rFonts w:hint="eastAsia" w:ascii="宋体" w:hAnsi="宋体"/>
                <w:b w:val="0"/>
                <w:szCs w:val="21"/>
              </w:rPr>
              <w:t>4000</w:t>
            </w:r>
          </w:p>
        </w:tc>
        <w:tc>
          <w:tcPr>
            <w:tcW w:w="2223" w:type="pct"/>
            <w:vAlign w:val="center"/>
          </w:tcPr>
          <w:p w14:paraId="4A58AD4B">
            <w:pPr>
              <w:jc w:val="center"/>
              <w:rPr>
                <w:rFonts w:ascii="宋体" w:hAnsi="宋体"/>
                <w:b w:val="0"/>
                <w:szCs w:val="21"/>
              </w:rPr>
            </w:pPr>
            <w:r>
              <w:rPr>
                <w:rFonts w:hint="eastAsia" w:ascii="宋体" w:hAnsi="宋体"/>
                <w:b w:val="0"/>
                <w:szCs w:val="21"/>
              </w:rPr>
              <w:t>手指微痛感，如针刺感</w:t>
            </w:r>
          </w:p>
        </w:tc>
        <w:tc>
          <w:tcPr>
            <w:tcW w:w="1473" w:type="pct"/>
            <w:vAlign w:val="center"/>
          </w:tcPr>
          <w:p w14:paraId="46FD018B">
            <w:pPr>
              <w:jc w:val="center"/>
              <w:rPr>
                <w:rFonts w:ascii="宋体" w:hAnsi="宋体"/>
                <w:b w:val="0"/>
                <w:szCs w:val="21"/>
              </w:rPr>
            </w:pPr>
            <w:r>
              <w:rPr>
                <w:rFonts w:hint="eastAsia" w:ascii="宋体" w:hAnsi="宋体"/>
                <w:b w:val="0"/>
                <w:szCs w:val="21"/>
              </w:rPr>
              <w:t>可见到放电火花</w:t>
            </w:r>
          </w:p>
        </w:tc>
      </w:tr>
      <w:tr w14:paraId="5C6A1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3C2DACAC">
            <w:pPr>
              <w:jc w:val="center"/>
              <w:rPr>
                <w:rFonts w:ascii="宋体" w:hAnsi="宋体"/>
                <w:b w:val="0"/>
                <w:szCs w:val="21"/>
              </w:rPr>
            </w:pPr>
            <w:r>
              <w:rPr>
                <w:rFonts w:hint="eastAsia" w:ascii="宋体" w:hAnsi="宋体"/>
                <w:b w:val="0"/>
                <w:szCs w:val="21"/>
              </w:rPr>
              <w:t>5000</w:t>
            </w:r>
          </w:p>
        </w:tc>
        <w:tc>
          <w:tcPr>
            <w:tcW w:w="2223" w:type="pct"/>
            <w:vAlign w:val="center"/>
          </w:tcPr>
          <w:p w14:paraId="3F461B6D">
            <w:pPr>
              <w:jc w:val="center"/>
              <w:rPr>
                <w:rFonts w:ascii="宋体" w:hAnsi="宋体"/>
                <w:b w:val="0"/>
                <w:szCs w:val="21"/>
              </w:rPr>
            </w:pPr>
            <w:r>
              <w:rPr>
                <w:rFonts w:hint="eastAsia" w:ascii="宋体" w:hAnsi="宋体"/>
                <w:b w:val="0"/>
                <w:szCs w:val="21"/>
              </w:rPr>
              <w:t>手掌到手臂前半部有电极击痛感</w:t>
            </w:r>
          </w:p>
        </w:tc>
        <w:tc>
          <w:tcPr>
            <w:tcW w:w="1473" w:type="pct"/>
            <w:vAlign w:val="center"/>
          </w:tcPr>
          <w:p w14:paraId="7F96EF5F">
            <w:pPr>
              <w:jc w:val="center"/>
              <w:rPr>
                <w:rFonts w:ascii="宋体" w:hAnsi="宋体"/>
                <w:b w:val="0"/>
                <w:szCs w:val="21"/>
              </w:rPr>
            </w:pPr>
            <w:r>
              <w:rPr>
                <w:rFonts w:hint="eastAsia" w:ascii="宋体" w:hAnsi="宋体"/>
                <w:b w:val="0"/>
                <w:szCs w:val="21"/>
              </w:rPr>
              <w:t>放电火花从手指延伸</w:t>
            </w:r>
          </w:p>
        </w:tc>
      </w:tr>
      <w:tr w14:paraId="6A218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6D81DEDC">
            <w:pPr>
              <w:jc w:val="center"/>
              <w:rPr>
                <w:rFonts w:ascii="宋体" w:hAnsi="宋体"/>
                <w:b w:val="0"/>
                <w:szCs w:val="21"/>
              </w:rPr>
            </w:pPr>
            <w:r>
              <w:rPr>
                <w:rFonts w:hint="eastAsia" w:ascii="宋体" w:hAnsi="宋体"/>
                <w:b w:val="0"/>
                <w:szCs w:val="21"/>
              </w:rPr>
              <w:t>6000</w:t>
            </w:r>
          </w:p>
        </w:tc>
        <w:tc>
          <w:tcPr>
            <w:tcW w:w="2223" w:type="pct"/>
            <w:vAlign w:val="center"/>
          </w:tcPr>
          <w:p w14:paraId="2A4F9AE7">
            <w:pPr>
              <w:jc w:val="center"/>
              <w:rPr>
                <w:rFonts w:ascii="宋体" w:hAnsi="宋体"/>
                <w:b w:val="0"/>
                <w:szCs w:val="21"/>
              </w:rPr>
            </w:pPr>
            <w:r>
              <w:rPr>
                <w:rFonts w:hint="eastAsia" w:ascii="宋体" w:hAnsi="宋体"/>
                <w:b w:val="0"/>
                <w:szCs w:val="21"/>
              </w:rPr>
              <w:t>手指剧烈痛感，电击后手臂感觉沉重</w:t>
            </w:r>
          </w:p>
        </w:tc>
        <w:tc>
          <w:tcPr>
            <w:tcW w:w="1473" w:type="pct"/>
            <w:vAlign w:val="center"/>
          </w:tcPr>
          <w:p w14:paraId="4AF668DC">
            <w:pPr>
              <w:jc w:val="center"/>
              <w:rPr>
                <w:rFonts w:ascii="宋体" w:hAnsi="宋体"/>
                <w:b w:val="0"/>
                <w:szCs w:val="21"/>
              </w:rPr>
            </w:pPr>
          </w:p>
        </w:tc>
      </w:tr>
      <w:tr w14:paraId="78373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23D2D982">
            <w:pPr>
              <w:jc w:val="center"/>
              <w:rPr>
                <w:rFonts w:ascii="宋体" w:hAnsi="宋体"/>
                <w:b w:val="0"/>
                <w:szCs w:val="21"/>
              </w:rPr>
            </w:pPr>
            <w:r>
              <w:rPr>
                <w:rFonts w:hint="eastAsia" w:ascii="宋体" w:hAnsi="宋体"/>
                <w:b w:val="0"/>
                <w:szCs w:val="21"/>
              </w:rPr>
              <w:t>7000</w:t>
            </w:r>
          </w:p>
        </w:tc>
        <w:tc>
          <w:tcPr>
            <w:tcW w:w="2223" w:type="pct"/>
            <w:vAlign w:val="center"/>
          </w:tcPr>
          <w:p w14:paraId="6AEF19F4">
            <w:pPr>
              <w:jc w:val="center"/>
              <w:rPr>
                <w:rFonts w:ascii="宋体" w:hAnsi="宋体"/>
                <w:b w:val="0"/>
                <w:szCs w:val="21"/>
              </w:rPr>
            </w:pPr>
            <w:r>
              <w:rPr>
                <w:rFonts w:hint="eastAsia" w:ascii="宋体" w:hAnsi="宋体"/>
                <w:b w:val="0"/>
                <w:szCs w:val="21"/>
              </w:rPr>
              <w:t>手指、手掌有强烈痛感，麻痹感</w:t>
            </w:r>
          </w:p>
        </w:tc>
        <w:tc>
          <w:tcPr>
            <w:tcW w:w="1473" w:type="pct"/>
            <w:vAlign w:val="center"/>
          </w:tcPr>
          <w:p w14:paraId="71C39BA6">
            <w:pPr>
              <w:jc w:val="center"/>
              <w:rPr>
                <w:rFonts w:ascii="宋体" w:hAnsi="宋体"/>
                <w:b w:val="0"/>
                <w:szCs w:val="21"/>
              </w:rPr>
            </w:pPr>
          </w:p>
        </w:tc>
      </w:tr>
      <w:tr w14:paraId="6FFA0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78A4DA48">
            <w:pPr>
              <w:jc w:val="center"/>
              <w:rPr>
                <w:rFonts w:ascii="宋体" w:hAnsi="宋体"/>
                <w:b w:val="0"/>
                <w:szCs w:val="21"/>
              </w:rPr>
            </w:pPr>
            <w:r>
              <w:rPr>
                <w:rFonts w:hint="eastAsia" w:ascii="宋体" w:hAnsi="宋体"/>
                <w:b w:val="0"/>
                <w:szCs w:val="21"/>
              </w:rPr>
              <w:t>8000</w:t>
            </w:r>
          </w:p>
        </w:tc>
        <w:tc>
          <w:tcPr>
            <w:tcW w:w="2223" w:type="pct"/>
            <w:vAlign w:val="center"/>
          </w:tcPr>
          <w:p w14:paraId="6756E714">
            <w:pPr>
              <w:jc w:val="center"/>
              <w:rPr>
                <w:rFonts w:ascii="宋体" w:hAnsi="宋体"/>
                <w:b w:val="0"/>
                <w:szCs w:val="21"/>
              </w:rPr>
            </w:pPr>
            <w:r>
              <w:rPr>
                <w:rFonts w:hint="eastAsia" w:ascii="宋体" w:hAnsi="宋体"/>
                <w:b w:val="0"/>
                <w:szCs w:val="21"/>
              </w:rPr>
              <w:t>从手掌到前臂的麻痹感</w:t>
            </w:r>
          </w:p>
        </w:tc>
        <w:tc>
          <w:tcPr>
            <w:tcW w:w="1473" w:type="pct"/>
            <w:vAlign w:val="center"/>
          </w:tcPr>
          <w:p w14:paraId="0BEBCBE7">
            <w:pPr>
              <w:jc w:val="center"/>
              <w:rPr>
                <w:rFonts w:ascii="宋体" w:hAnsi="宋体"/>
                <w:b w:val="0"/>
                <w:szCs w:val="21"/>
              </w:rPr>
            </w:pPr>
          </w:p>
        </w:tc>
      </w:tr>
      <w:tr w14:paraId="07CFE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657979B3">
            <w:pPr>
              <w:jc w:val="center"/>
              <w:rPr>
                <w:rFonts w:ascii="宋体" w:hAnsi="宋体"/>
                <w:b w:val="0"/>
                <w:szCs w:val="21"/>
              </w:rPr>
            </w:pPr>
            <w:r>
              <w:rPr>
                <w:rFonts w:hint="eastAsia" w:ascii="宋体" w:hAnsi="宋体"/>
                <w:b w:val="0"/>
                <w:szCs w:val="21"/>
              </w:rPr>
              <w:t>9000</w:t>
            </w:r>
          </w:p>
        </w:tc>
        <w:tc>
          <w:tcPr>
            <w:tcW w:w="2223" w:type="pct"/>
            <w:vAlign w:val="center"/>
          </w:tcPr>
          <w:p w14:paraId="003EBD4B">
            <w:pPr>
              <w:jc w:val="center"/>
              <w:rPr>
                <w:rFonts w:ascii="宋体" w:hAnsi="宋体"/>
                <w:b w:val="0"/>
                <w:szCs w:val="21"/>
              </w:rPr>
            </w:pPr>
            <w:r>
              <w:rPr>
                <w:rFonts w:hint="eastAsia" w:ascii="宋体" w:hAnsi="宋体"/>
                <w:b w:val="0"/>
                <w:szCs w:val="21"/>
              </w:rPr>
              <w:t>手腕有强烈痛感，手掌有很强麻痹感</w:t>
            </w:r>
          </w:p>
        </w:tc>
        <w:tc>
          <w:tcPr>
            <w:tcW w:w="1473" w:type="pct"/>
            <w:vAlign w:val="center"/>
          </w:tcPr>
          <w:p w14:paraId="01F0A3FE">
            <w:pPr>
              <w:jc w:val="center"/>
              <w:rPr>
                <w:rFonts w:ascii="宋体" w:hAnsi="宋体"/>
                <w:b w:val="0"/>
                <w:szCs w:val="21"/>
              </w:rPr>
            </w:pPr>
          </w:p>
        </w:tc>
      </w:tr>
      <w:tr w14:paraId="05A1C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2" w:type="pct"/>
            <w:vAlign w:val="center"/>
          </w:tcPr>
          <w:p w14:paraId="4EF08D86">
            <w:pPr>
              <w:jc w:val="center"/>
              <w:rPr>
                <w:rFonts w:ascii="宋体" w:hAnsi="宋体"/>
                <w:b w:val="0"/>
                <w:szCs w:val="21"/>
              </w:rPr>
            </w:pPr>
            <w:r>
              <w:rPr>
                <w:rFonts w:hint="eastAsia" w:ascii="宋体" w:hAnsi="宋体"/>
                <w:b w:val="0"/>
                <w:szCs w:val="21"/>
              </w:rPr>
              <w:t>10000</w:t>
            </w:r>
          </w:p>
        </w:tc>
        <w:tc>
          <w:tcPr>
            <w:tcW w:w="2223" w:type="pct"/>
            <w:vAlign w:val="center"/>
          </w:tcPr>
          <w:p w14:paraId="7D72242E">
            <w:pPr>
              <w:jc w:val="center"/>
              <w:rPr>
                <w:rFonts w:ascii="宋体" w:hAnsi="宋体"/>
                <w:b w:val="0"/>
                <w:szCs w:val="21"/>
              </w:rPr>
            </w:pPr>
            <w:r>
              <w:rPr>
                <w:rFonts w:hint="eastAsia" w:ascii="宋体" w:hAnsi="宋体"/>
                <w:b w:val="0"/>
                <w:szCs w:val="21"/>
              </w:rPr>
              <w:t>整个手都痛，感到电流流过</w:t>
            </w:r>
          </w:p>
        </w:tc>
        <w:tc>
          <w:tcPr>
            <w:tcW w:w="1473" w:type="pct"/>
            <w:vAlign w:val="center"/>
          </w:tcPr>
          <w:p w14:paraId="1EE300C8">
            <w:pPr>
              <w:jc w:val="center"/>
              <w:rPr>
                <w:rFonts w:ascii="宋体" w:hAnsi="宋体"/>
                <w:b w:val="0"/>
                <w:szCs w:val="21"/>
              </w:rPr>
            </w:pPr>
          </w:p>
        </w:tc>
      </w:tr>
    </w:tbl>
    <w:p w14:paraId="2B462D1F">
      <w:pPr>
        <w:spacing w:before="120" w:beforeLines="50" w:line="360" w:lineRule="auto"/>
        <w:ind w:firstLine="560" w:firstLineChars="200"/>
        <w:rPr>
          <w:rFonts w:ascii="宋体" w:hAnsi="宋体"/>
          <w:b w:val="0"/>
          <w:snapToGrid w:val="0"/>
          <w:sz w:val="28"/>
          <w:szCs w:val="28"/>
        </w:rPr>
      </w:pPr>
      <w:r>
        <w:rPr>
          <w:rFonts w:hint="eastAsia" w:ascii="宋体" w:hAnsi="宋体"/>
          <w:b w:val="0"/>
          <w:snapToGrid w:val="0"/>
          <w:sz w:val="28"/>
          <w:szCs w:val="28"/>
        </w:rPr>
        <w:t>（2）电气事故危害</w:t>
      </w:r>
    </w:p>
    <w:p w14:paraId="3E3DCD76">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电气安全包括设备安全和人身安全两个方面。</w:t>
      </w:r>
    </w:p>
    <w:p w14:paraId="6400017B">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如果设备及配套电器未使用防爆型，产生的电火花可能引起黑火药燃烧、爆炸。如果线路绝缘老化、受潮、机械磨损，会造成绝缘强度降低或绝缘层损坏，可能导致人体触电或短路。线路因过载、短路等故障导致的高温、电火花可能引燃、引爆黑火药，引起火灾、爆炸事故。</w:t>
      </w:r>
    </w:p>
    <w:p w14:paraId="6F45AED0">
      <w:pPr>
        <w:spacing w:line="360" w:lineRule="auto"/>
        <w:ind w:firstLine="560" w:firstLineChars="200"/>
        <w:rPr>
          <w:rFonts w:ascii="宋体" w:hAnsi="宋体"/>
          <w:b w:val="0"/>
          <w:snapToGrid w:val="0"/>
          <w:sz w:val="28"/>
          <w:szCs w:val="28"/>
        </w:rPr>
      </w:pPr>
      <w:r>
        <w:rPr>
          <w:rFonts w:hint="eastAsia" w:ascii="宋体" w:hAnsi="宋体"/>
          <w:b w:val="0"/>
          <w:snapToGrid w:val="0"/>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14:paraId="5F504750">
      <w:pPr>
        <w:pStyle w:val="2"/>
        <w:ind w:firstLine="560"/>
        <w:rPr>
          <w:rFonts w:asciiTheme="minorEastAsia" w:hAnsiTheme="minorEastAsia" w:eastAsiaTheme="minorEastAsia"/>
          <w:b w:val="0"/>
          <w:bCs/>
          <w:color w:val="FF0000"/>
        </w:rPr>
      </w:pPr>
    </w:p>
    <w:p w14:paraId="25CCBBAE">
      <w:pPr>
        <w:keepNext/>
        <w:pageBreakBefore/>
        <w:widowControl/>
        <w:spacing w:before="120" w:beforeLines="50" w:line="360" w:lineRule="auto"/>
        <w:jc w:val="center"/>
        <w:outlineLvl w:val="0"/>
        <w:rPr>
          <w:rFonts w:ascii="黑体" w:hAnsi="宋体" w:eastAsia="黑体"/>
          <w:b w:val="0"/>
          <w:sz w:val="32"/>
          <w:szCs w:val="32"/>
        </w:rPr>
      </w:pPr>
      <w:bookmarkStart w:id="449" w:name="_Toc239191512"/>
      <w:bookmarkStart w:id="450" w:name="_Toc233449786"/>
      <w:r>
        <w:rPr>
          <w:rFonts w:hint="eastAsia" w:ascii="黑体" w:hAnsi="宋体" w:eastAsia="黑体"/>
          <w:b w:val="0"/>
          <w:sz w:val="32"/>
          <w:szCs w:val="32"/>
        </w:rPr>
        <w:t>第四章 评价单元划分及评价方法的选择</w:t>
      </w:r>
      <w:bookmarkEnd w:id="449"/>
    </w:p>
    <w:p w14:paraId="3A48C01A">
      <w:pPr>
        <w:keepNext/>
        <w:keepLines/>
        <w:spacing w:before="120" w:beforeLines="50" w:line="360" w:lineRule="auto"/>
        <w:outlineLvl w:val="1"/>
        <w:rPr>
          <w:rFonts w:ascii="黑体" w:hAnsi="宋体" w:eastAsia="黑体"/>
          <w:b w:val="0"/>
          <w:bCs/>
          <w:snapToGrid w:val="0"/>
          <w:sz w:val="30"/>
          <w:szCs w:val="30"/>
        </w:rPr>
      </w:pPr>
      <w:bookmarkStart w:id="451" w:name="_Toc211769696"/>
      <w:bookmarkStart w:id="452" w:name="_Toc221454626"/>
      <w:bookmarkStart w:id="453" w:name="_Toc235352276"/>
      <w:bookmarkStart w:id="454" w:name="_Toc235865635"/>
      <w:bookmarkStart w:id="455" w:name="_Toc235865724"/>
      <w:bookmarkStart w:id="456" w:name="_Toc235862393"/>
      <w:bookmarkStart w:id="457" w:name="_Toc235352372"/>
      <w:bookmarkStart w:id="458" w:name="_Toc364346095"/>
      <w:bookmarkStart w:id="459" w:name="_Toc239191513"/>
      <w:r>
        <w:rPr>
          <w:rFonts w:hint="eastAsia" w:ascii="黑体" w:hAnsi="宋体" w:eastAsia="黑体"/>
          <w:b w:val="0"/>
          <w:bCs/>
          <w:snapToGrid w:val="0"/>
          <w:sz w:val="30"/>
          <w:szCs w:val="30"/>
        </w:rPr>
        <w:t>4.1评价单元划分</w:t>
      </w:r>
      <w:bookmarkEnd w:id="451"/>
      <w:bookmarkEnd w:id="452"/>
      <w:bookmarkEnd w:id="453"/>
      <w:bookmarkEnd w:id="454"/>
      <w:bookmarkEnd w:id="455"/>
      <w:bookmarkEnd w:id="456"/>
      <w:bookmarkEnd w:id="457"/>
      <w:bookmarkEnd w:id="458"/>
      <w:bookmarkEnd w:id="459"/>
    </w:p>
    <w:p w14:paraId="13FE80A3">
      <w:pPr>
        <w:adjustRightInd w:val="0"/>
        <w:snapToGrid w:val="0"/>
        <w:spacing w:line="360" w:lineRule="auto"/>
        <w:ind w:firstLine="523" w:firstLineChars="187"/>
        <w:rPr>
          <w:rFonts w:ascii="宋体" w:hAnsi="宋体" w:cs="宋体"/>
          <w:b w:val="0"/>
          <w:sz w:val="28"/>
        </w:rPr>
      </w:pPr>
      <w:r>
        <w:rPr>
          <w:rFonts w:hint="eastAsia" w:ascii="宋体" w:hAnsi="宋体" w:cs="宋体"/>
          <w:b w:val="0"/>
          <w:sz w:val="28"/>
        </w:rPr>
        <w:t xml:space="preserve">根据《安全预评价导则》（AQ8002-2007）和《烟花爆竹企业安全评价规范》（AQ4113-2008）结合评价对象的主要功能、区域划分及其危险性质，结合安全评价单元的划分原则，为简单有效地对厂区各环节危险、有害因素进行评价，考虑本项目的特点，本次评价将对象划分为以下几个评价单元： </w:t>
      </w:r>
    </w:p>
    <w:p w14:paraId="2599A2DE">
      <w:pPr>
        <w:adjustRightInd w:val="0"/>
        <w:snapToGrid w:val="0"/>
        <w:spacing w:line="360" w:lineRule="auto"/>
        <w:ind w:firstLine="548" w:firstLineChars="196"/>
        <w:rPr>
          <w:rFonts w:ascii="宋体" w:hAnsi="宋体" w:cs="宋体"/>
          <w:b w:val="0"/>
          <w:sz w:val="28"/>
          <w:szCs w:val="28"/>
        </w:rPr>
      </w:pPr>
      <w:r>
        <w:rPr>
          <w:rFonts w:hint="eastAsia" w:ascii="宋体" w:hAnsi="宋体" w:cs="宋体"/>
          <w:b w:val="0"/>
          <w:sz w:val="28"/>
          <w:szCs w:val="28"/>
        </w:rPr>
        <w:t>1）建设项目安全条件单元；</w:t>
      </w:r>
    </w:p>
    <w:p w14:paraId="1209D43A">
      <w:pPr>
        <w:adjustRightInd w:val="0"/>
        <w:snapToGrid w:val="0"/>
        <w:spacing w:line="360" w:lineRule="auto"/>
        <w:ind w:firstLine="548" w:firstLineChars="196"/>
        <w:rPr>
          <w:rFonts w:ascii="宋体" w:hAnsi="宋体" w:cs="宋体"/>
          <w:b w:val="0"/>
          <w:sz w:val="28"/>
          <w:szCs w:val="28"/>
        </w:rPr>
      </w:pPr>
      <w:r>
        <w:rPr>
          <w:rFonts w:hint="eastAsia" w:ascii="宋体" w:hAnsi="宋体" w:cs="宋体"/>
          <w:b w:val="0"/>
          <w:sz w:val="28"/>
          <w:szCs w:val="28"/>
        </w:rPr>
        <w:t>2）建设项目总体布局；</w:t>
      </w:r>
    </w:p>
    <w:p w14:paraId="1E1F63AE">
      <w:pPr>
        <w:adjustRightInd w:val="0"/>
        <w:snapToGrid w:val="0"/>
        <w:spacing w:line="360" w:lineRule="auto"/>
        <w:ind w:firstLine="548" w:firstLineChars="196"/>
        <w:rPr>
          <w:rFonts w:ascii="宋体" w:hAnsi="宋体" w:cs="宋体"/>
          <w:b w:val="0"/>
          <w:sz w:val="28"/>
          <w:szCs w:val="28"/>
        </w:rPr>
      </w:pPr>
      <w:r>
        <w:rPr>
          <w:rFonts w:hint="eastAsia" w:ascii="宋体" w:hAnsi="宋体" w:cs="宋体"/>
          <w:b w:val="0"/>
          <w:sz w:val="28"/>
          <w:szCs w:val="28"/>
        </w:rPr>
        <w:t>3）安全设施及公用工程单元；</w:t>
      </w:r>
    </w:p>
    <w:p w14:paraId="353FBCF0">
      <w:pPr>
        <w:pStyle w:val="2"/>
        <w:ind w:firstLine="560"/>
        <w:rPr>
          <w:rFonts w:ascii="宋体" w:hAnsi="宋体" w:eastAsia="宋体" w:cs="宋体"/>
          <w:b w:val="0"/>
          <w:kern w:val="2"/>
          <w:szCs w:val="28"/>
        </w:rPr>
      </w:pPr>
      <w:r>
        <w:rPr>
          <w:rFonts w:ascii="宋体" w:hAnsi="宋体" w:eastAsia="宋体" w:cs="宋体"/>
          <w:b w:val="0"/>
          <w:kern w:val="2"/>
          <w:szCs w:val="28"/>
        </w:rPr>
        <w:t>4</w:t>
      </w:r>
      <w:r>
        <w:rPr>
          <w:rFonts w:hint="eastAsia" w:ascii="宋体" w:hAnsi="宋体" w:eastAsia="宋体" w:cs="宋体"/>
          <w:b w:val="0"/>
          <w:kern w:val="2"/>
          <w:szCs w:val="28"/>
        </w:rPr>
        <w:t>）安全管理；</w:t>
      </w:r>
    </w:p>
    <w:p w14:paraId="69401BE7">
      <w:pPr>
        <w:pStyle w:val="2"/>
        <w:ind w:firstLine="560"/>
        <w:rPr>
          <w:rFonts w:ascii="宋体" w:hAnsi="宋体" w:eastAsia="宋体" w:cs="宋体"/>
          <w:b w:val="0"/>
          <w:kern w:val="2"/>
          <w:szCs w:val="28"/>
        </w:rPr>
      </w:pPr>
      <w:r>
        <w:rPr>
          <w:rFonts w:hint="eastAsia" w:ascii="宋体" w:hAnsi="宋体" w:eastAsia="宋体" w:cs="宋体"/>
          <w:b w:val="0"/>
          <w:kern w:val="2"/>
          <w:szCs w:val="28"/>
        </w:rPr>
        <w:t>5）生产过程</w:t>
      </w:r>
    </w:p>
    <w:p w14:paraId="5B7B4927">
      <w:pPr>
        <w:pStyle w:val="2"/>
        <w:ind w:firstLine="560"/>
        <w:rPr>
          <w:rFonts w:ascii="宋体" w:hAnsi="宋体" w:eastAsia="宋体" w:cs="宋体"/>
          <w:b w:val="0"/>
          <w:kern w:val="2"/>
          <w:szCs w:val="28"/>
        </w:rPr>
      </w:pPr>
      <w:r>
        <w:rPr>
          <w:rFonts w:hint="eastAsia" w:ascii="宋体" w:hAnsi="宋体" w:eastAsia="宋体" w:cs="宋体"/>
          <w:b w:val="0"/>
          <w:kern w:val="2"/>
          <w:szCs w:val="28"/>
        </w:rPr>
        <w:t>6）建筑施工；</w:t>
      </w:r>
    </w:p>
    <w:p w14:paraId="23B24E03">
      <w:pPr>
        <w:pStyle w:val="2"/>
        <w:ind w:firstLine="560"/>
        <w:rPr>
          <w:rFonts w:ascii="宋体" w:hAnsi="宋体" w:eastAsia="宋体" w:cs="宋体"/>
          <w:b w:val="0"/>
          <w:kern w:val="2"/>
          <w:szCs w:val="28"/>
        </w:rPr>
      </w:pPr>
      <w:r>
        <w:rPr>
          <w:rFonts w:hint="eastAsia" w:ascii="宋体" w:hAnsi="宋体" w:eastAsia="宋体" w:cs="宋体"/>
          <w:b w:val="0"/>
          <w:kern w:val="2"/>
          <w:szCs w:val="28"/>
        </w:rPr>
        <w:t>7）事故后果模拟分析。</w:t>
      </w:r>
    </w:p>
    <w:p w14:paraId="4C204B8D">
      <w:pPr>
        <w:pStyle w:val="2"/>
        <w:ind w:firstLine="560"/>
        <w:rPr>
          <w:rFonts w:ascii="宋体" w:hAnsi="宋体" w:eastAsia="宋体" w:cs="宋体"/>
          <w:b w:val="0"/>
          <w:kern w:val="2"/>
          <w:szCs w:val="28"/>
        </w:rPr>
      </w:pPr>
      <w:r>
        <w:rPr>
          <w:rFonts w:hint="eastAsia" w:ascii="宋体" w:hAnsi="宋体" w:eastAsia="宋体" w:cs="宋体"/>
          <w:b w:val="0"/>
          <w:kern w:val="2"/>
          <w:szCs w:val="28"/>
        </w:rPr>
        <w:t>8）重大危险源评价。</w:t>
      </w:r>
    </w:p>
    <w:p w14:paraId="0A6791B3">
      <w:pPr>
        <w:keepNext/>
        <w:keepLines/>
        <w:spacing w:before="120" w:beforeLines="50" w:line="360" w:lineRule="auto"/>
        <w:outlineLvl w:val="1"/>
        <w:rPr>
          <w:rFonts w:ascii="黑体" w:hAnsi="宋体" w:eastAsia="黑体"/>
          <w:b w:val="0"/>
          <w:bCs/>
          <w:snapToGrid w:val="0"/>
          <w:sz w:val="30"/>
          <w:szCs w:val="30"/>
        </w:rPr>
      </w:pPr>
      <w:bookmarkStart w:id="460" w:name="_Toc239191514"/>
      <w:r>
        <w:rPr>
          <w:rFonts w:hint="eastAsia" w:ascii="黑体" w:hAnsi="宋体" w:eastAsia="黑体"/>
          <w:b w:val="0"/>
          <w:bCs/>
          <w:snapToGrid w:val="0"/>
          <w:sz w:val="30"/>
          <w:szCs w:val="30"/>
        </w:rPr>
        <w:t>4.2评价方法的选择</w:t>
      </w:r>
      <w:bookmarkEnd w:id="460"/>
    </w:p>
    <w:p w14:paraId="424D33E1">
      <w:pPr>
        <w:spacing w:line="360" w:lineRule="auto"/>
        <w:ind w:firstLine="560" w:firstLineChars="200"/>
        <w:rPr>
          <w:rFonts w:ascii="Times New Roman" w:hAnsi="Times New Roman"/>
          <w:b w:val="0"/>
          <w:sz w:val="28"/>
        </w:rPr>
      </w:pPr>
      <w:r>
        <w:rPr>
          <w:rFonts w:hint="eastAsia" w:ascii="宋体" w:hAnsi="宋体"/>
          <w:b w:val="0"/>
          <w:sz w:val="28"/>
        </w:rPr>
        <w:t>根据国家对该企业扩建项目的有关法律法规要求及《烟花爆竹工程设计安全标准》（GB50161-2022）的要求</w:t>
      </w:r>
      <w:r>
        <w:rPr>
          <w:rFonts w:hint="eastAsia" w:ascii="Times New Roman" w:hAnsi="Times New Roman"/>
          <w:b w:val="0"/>
          <w:sz w:val="28"/>
        </w:rPr>
        <w:t>，为了确保安全评价工作的科学性、系统性、全面性及预测性：</w:t>
      </w:r>
    </w:p>
    <w:p w14:paraId="26CC0CE4">
      <w:pPr>
        <w:spacing w:line="360" w:lineRule="auto"/>
        <w:ind w:firstLine="560" w:firstLineChars="200"/>
        <w:rPr>
          <w:rFonts w:ascii="Times New Roman" w:hAnsi="Times New Roman"/>
          <w:b w:val="0"/>
          <w:sz w:val="28"/>
        </w:rPr>
      </w:pPr>
      <w:r>
        <w:rPr>
          <w:rFonts w:hint="eastAsia" w:ascii="Times New Roman" w:hAnsi="Times New Roman"/>
          <w:b w:val="0"/>
          <w:sz w:val="28"/>
        </w:rPr>
        <w:t>对建设项目安全条件、</w:t>
      </w:r>
      <w:bookmarkStart w:id="461" w:name="_Toc15457"/>
      <w:r>
        <w:rPr>
          <w:rFonts w:hint="eastAsia" w:ascii="Times New Roman" w:hAnsi="Times New Roman"/>
          <w:b w:val="0"/>
          <w:sz w:val="28"/>
        </w:rPr>
        <w:t>安全设施及公用工程</w:t>
      </w:r>
      <w:bookmarkEnd w:id="461"/>
      <w:r>
        <w:rPr>
          <w:rFonts w:hint="eastAsia" w:ascii="Times New Roman" w:hAnsi="Times New Roman"/>
          <w:b w:val="0"/>
          <w:sz w:val="28"/>
        </w:rPr>
        <w:t>单元采用对照分析法。</w:t>
      </w:r>
    </w:p>
    <w:p w14:paraId="7D174B9C">
      <w:pPr>
        <w:spacing w:line="360" w:lineRule="auto"/>
        <w:ind w:firstLine="560" w:firstLineChars="200"/>
        <w:rPr>
          <w:rFonts w:ascii="Times New Roman" w:hAnsi="Times New Roman"/>
          <w:b w:val="0"/>
          <w:sz w:val="28"/>
        </w:rPr>
      </w:pPr>
      <w:r>
        <w:rPr>
          <w:rFonts w:hint="eastAsia" w:ascii="Times New Roman" w:hAnsi="Times New Roman"/>
          <w:b w:val="0"/>
          <w:sz w:val="28"/>
        </w:rPr>
        <w:t>对建设项目总体布局、安全管理单元采用安全检查表法。</w:t>
      </w:r>
    </w:p>
    <w:p w14:paraId="01BC9623">
      <w:pPr>
        <w:spacing w:line="360" w:lineRule="auto"/>
        <w:ind w:firstLine="560" w:firstLineChars="200"/>
        <w:rPr>
          <w:rFonts w:ascii="Times New Roman" w:hAnsi="Times New Roman"/>
          <w:b w:val="0"/>
          <w:sz w:val="28"/>
        </w:rPr>
      </w:pPr>
      <w:r>
        <w:rPr>
          <w:rFonts w:hint="eastAsia" w:ascii="Times New Roman" w:hAnsi="Times New Roman"/>
          <w:b w:val="0"/>
          <w:sz w:val="28"/>
        </w:rPr>
        <w:t>对生产过程单元和建筑施工单元采用预先危险性分析法。</w:t>
      </w:r>
    </w:p>
    <w:p w14:paraId="3AD876EF">
      <w:pPr>
        <w:spacing w:line="360" w:lineRule="auto"/>
        <w:ind w:firstLine="560" w:firstLineChars="200"/>
        <w:rPr>
          <w:rFonts w:ascii="Times New Roman" w:hAnsi="Times New Roman"/>
          <w:b w:val="0"/>
          <w:sz w:val="28"/>
        </w:rPr>
      </w:pPr>
      <w:r>
        <w:rPr>
          <w:rFonts w:hint="eastAsia" w:ascii="Times New Roman" w:hAnsi="Times New Roman"/>
          <w:b w:val="0"/>
          <w:sz w:val="28"/>
        </w:rPr>
        <w:t>对事故后果模拟分析单元采用伤害（或破坏）范围评价法。</w:t>
      </w:r>
    </w:p>
    <w:p w14:paraId="42E92182">
      <w:pPr>
        <w:pStyle w:val="2"/>
        <w:ind w:firstLine="560"/>
        <w:rPr>
          <w:rFonts w:ascii="黑体" w:hAnsi="黑体" w:eastAsia="黑体" w:cs="宋体"/>
          <w:b w:val="0"/>
          <w:sz w:val="24"/>
        </w:rPr>
      </w:pPr>
      <w:r>
        <w:rPr>
          <w:rFonts w:hint="eastAsia" w:ascii="宋体" w:hAnsi="宋体" w:eastAsia="宋体"/>
          <w:b w:val="0"/>
          <w:kern w:val="2"/>
          <w:szCs w:val="24"/>
        </w:rPr>
        <w:t>针对被评价单位的危险、有害因素及现场情况，该项目评价组以表4.</w:t>
      </w:r>
      <w:r>
        <w:rPr>
          <w:rFonts w:ascii="宋体" w:hAnsi="宋体" w:eastAsia="宋体"/>
          <w:b w:val="0"/>
          <w:kern w:val="2"/>
          <w:szCs w:val="24"/>
        </w:rPr>
        <w:t>2</w:t>
      </w:r>
      <w:r>
        <w:rPr>
          <w:rFonts w:hint="eastAsia" w:ascii="宋体" w:hAnsi="宋体" w:eastAsia="宋体"/>
          <w:b w:val="0"/>
          <w:kern w:val="2"/>
          <w:szCs w:val="24"/>
        </w:rPr>
        <w:t>-1所示的方法对各单元进行评价。</w:t>
      </w:r>
      <w:r>
        <w:rPr>
          <w:rFonts w:hint="eastAsia" w:ascii="黑体" w:hAnsi="黑体" w:eastAsia="黑体" w:cs="宋体"/>
          <w:b w:val="0"/>
          <w:sz w:val="24"/>
        </w:rPr>
        <w:br w:type="page"/>
      </w:r>
    </w:p>
    <w:p w14:paraId="04B75F1B">
      <w:pPr>
        <w:pStyle w:val="2"/>
        <w:spacing w:line="240" w:lineRule="auto"/>
        <w:ind w:firstLine="0" w:firstLineChars="0"/>
        <w:jc w:val="center"/>
        <w:rPr>
          <w:rFonts w:ascii="黑体" w:hAnsi="黑体" w:eastAsia="黑体" w:cs="宋体"/>
          <w:b w:val="0"/>
          <w:kern w:val="2"/>
          <w:sz w:val="24"/>
          <w:szCs w:val="24"/>
        </w:rPr>
      </w:pPr>
      <w:r>
        <w:rPr>
          <w:rFonts w:hint="eastAsia" w:ascii="黑体" w:hAnsi="黑体" w:eastAsia="黑体" w:cs="宋体"/>
          <w:b w:val="0"/>
          <w:kern w:val="2"/>
          <w:sz w:val="24"/>
          <w:szCs w:val="24"/>
        </w:rPr>
        <w:t>表4</w:t>
      </w:r>
      <w:r>
        <w:rPr>
          <w:rFonts w:ascii="黑体" w:hAnsi="黑体" w:eastAsia="黑体" w:cs="宋体"/>
          <w:b w:val="0"/>
          <w:kern w:val="2"/>
          <w:sz w:val="24"/>
          <w:szCs w:val="24"/>
        </w:rPr>
        <w:t>.2</w:t>
      </w:r>
      <w:r>
        <w:rPr>
          <w:rFonts w:hint="eastAsia" w:ascii="黑体" w:hAnsi="黑体" w:eastAsia="黑体" w:cs="宋体"/>
          <w:b w:val="0"/>
          <w:kern w:val="2"/>
          <w:sz w:val="24"/>
          <w:szCs w:val="24"/>
        </w:rPr>
        <w:t>-1 评价方法选择情况表</w:t>
      </w:r>
    </w:p>
    <w:tbl>
      <w:tblPr>
        <w:tblStyle w:val="88"/>
        <w:tblW w:w="501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3095"/>
        <w:gridCol w:w="3000"/>
        <w:gridCol w:w="2567"/>
      </w:tblGrid>
      <w:tr w14:paraId="2966E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blHeader/>
        </w:trPr>
        <w:tc>
          <w:tcPr>
            <w:tcW w:w="352" w:type="pct"/>
            <w:vAlign w:val="center"/>
          </w:tcPr>
          <w:p w14:paraId="09C85159">
            <w:pPr>
              <w:widowControl/>
              <w:jc w:val="center"/>
              <w:textAlignment w:val="center"/>
              <w:rPr>
                <w:rFonts w:ascii="宋体" w:hAnsi="宋体" w:cs="宋体"/>
                <w:bCs/>
                <w:kern w:val="0"/>
                <w:szCs w:val="21"/>
                <w:lang w:bidi="ar"/>
              </w:rPr>
            </w:pPr>
            <w:r>
              <w:rPr>
                <w:rFonts w:hint="eastAsia" w:ascii="宋体" w:hAnsi="宋体" w:cs="宋体"/>
                <w:bCs/>
                <w:kern w:val="0"/>
                <w:szCs w:val="21"/>
                <w:lang w:bidi="ar"/>
              </w:rPr>
              <w:t>序号</w:t>
            </w:r>
          </w:p>
        </w:tc>
        <w:tc>
          <w:tcPr>
            <w:tcW w:w="1660" w:type="pct"/>
            <w:vAlign w:val="center"/>
          </w:tcPr>
          <w:p w14:paraId="64E58232">
            <w:pPr>
              <w:widowControl/>
              <w:jc w:val="center"/>
              <w:textAlignment w:val="center"/>
              <w:rPr>
                <w:rFonts w:ascii="宋体" w:hAnsi="宋体" w:cs="宋体"/>
                <w:bCs/>
                <w:kern w:val="0"/>
                <w:szCs w:val="21"/>
                <w:lang w:bidi="ar"/>
              </w:rPr>
            </w:pPr>
            <w:r>
              <w:rPr>
                <w:rFonts w:hint="eastAsia" w:ascii="宋体" w:hAnsi="宋体" w:cs="宋体"/>
                <w:bCs/>
                <w:kern w:val="0"/>
                <w:szCs w:val="21"/>
                <w:lang w:bidi="ar"/>
              </w:rPr>
              <w:t>评价单元名称</w:t>
            </w:r>
          </w:p>
        </w:tc>
        <w:tc>
          <w:tcPr>
            <w:tcW w:w="1609" w:type="pct"/>
            <w:vAlign w:val="center"/>
          </w:tcPr>
          <w:p w14:paraId="53C0A136">
            <w:pPr>
              <w:widowControl/>
              <w:jc w:val="center"/>
              <w:textAlignment w:val="center"/>
              <w:rPr>
                <w:rFonts w:ascii="宋体" w:hAnsi="宋体" w:cs="宋体"/>
                <w:bCs/>
                <w:kern w:val="0"/>
                <w:szCs w:val="21"/>
                <w:lang w:bidi="ar"/>
              </w:rPr>
            </w:pPr>
            <w:r>
              <w:rPr>
                <w:rFonts w:hint="eastAsia" w:ascii="宋体" w:hAnsi="宋体" w:cs="宋体"/>
                <w:bCs/>
                <w:kern w:val="0"/>
                <w:szCs w:val="21"/>
                <w:lang w:bidi="ar"/>
              </w:rPr>
              <w:t>评价子单元名称</w:t>
            </w:r>
          </w:p>
        </w:tc>
        <w:tc>
          <w:tcPr>
            <w:tcW w:w="1377" w:type="pct"/>
            <w:vAlign w:val="center"/>
          </w:tcPr>
          <w:p w14:paraId="1FF587C9">
            <w:pPr>
              <w:widowControl/>
              <w:jc w:val="center"/>
              <w:textAlignment w:val="center"/>
              <w:rPr>
                <w:rFonts w:ascii="宋体" w:hAnsi="宋体" w:cs="宋体"/>
                <w:bCs/>
                <w:kern w:val="0"/>
                <w:szCs w:val="21"/>
                <w:lang w:bidi="ar"/>
              </w:rPr>
            </w:pPr>
            <w:r>
              <w:rPr>
                <w:rFonts w:hint="eastAsia" w:ascii="宋体" w:hAnsi="宋体" w:cs="宋体"/>
                <w:bCs/>
                <w:kern w:val="0"/>
                <w:szCs w:val="21"/>
                <w:lang w:bidi="ar"/>
              </w:rPr>
              <w:t>采用的评价方法</w:t>
            </w:r>
          </w:p>
        </w:tc>
      </w:tr>
      <w:tr w14:paraId="31456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352" w:type="pct"/>
            <w:vAlign w:val="center"/>
          </w:tcPr>
          <w:p w14:paraId="6B5776C7">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1</w:t>
            </w:r>
          </w:p>
        </w:tc>
        <w:tc>
          <w:tcPr>
            <w:tcW w:w="1660" w:type="pct"/>
            <w:vAlign w:val="center"/>
          </w:tcPr>
          <w:p w14:paraId="1574B06C">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建设项目安全条件</w:t>
            </w:r>
          </w:p>
        </w:tc>
        <w:tc>
          <w:tcPr>
            <w:tcW w:w="1609" w:type="pct"/>
            <w:vAlign w:val="center"/>
          </w:tcPr>
          <w:p w14:paraId="38A0EA17">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10413971">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对照分析法</w:t>
            </w:r>
          </w:p>
        </w:tc>
      </w:tr>
      <w:tr w14:paraId="1C426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352" w:type="pct"/>
            <w:vAlign w:val="center"/>
          </w:tcPr>
          <w:p w14:paraId="4EF3486B">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2</w:t>
            </w:r>
          </w:p>
        </w:tc>
        <w:tc>
          <w:tcPr>
            <w:tcW w:w="1660" w:type="pct"/>
            <w:vAlign w:val="center"/>
          </w:tcPr>
          <w:p w14:paraId="662E0A69">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建设项目总体布局</w:t>
            </w:r>
          </w:p>
        </w:tc>
        <w:tc>
          <w:tcPr>
            <w:tcW w:w="1609" w:type="pct"/>
            <w:tcBorders>
              <w:bottom w:val="single" w:color="auto" w:sz="4" w:space="0"/>
            </w:tcBorders>
            <w:vAlign w:val="center"/>
          </w:tcPr>
          <w:p w14:paraId="0F523A4F">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规划、工艺布置、条件与设施</w:t>
            </w:r>
          </w:p>
        </w:tc>
        <w:tc>
          <w:tcPr>
            <w:tcW w:w="1377" w:type="pct"/>
            <w:tcBorders>
              <w:bottom w:val="single" w:color="auto" w:sz="4" w:space="0"/>
            </w:tcBorders>
            <w:vAlign w:val="center"/>
          </w:tcPr>
          <w:p w14:paraId="6093AC35">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安全检查表法</w:t>
            </w:r>
          </w:p>
        </w:tc>
      </w:tr>
      <w:tr w14:paraId="6BDB7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352" w:type="pct"/>
            <w:vAlign w:val="center"/>
          </w:tcPr>
          <w:p w14:paraId="3976E9CF">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3</w:t>
            </w:r>
          </w:p>
        </w:tc>
        <w:tc>
          <w:tcPr>
            <w:tcW w:w="1660" w:type="pct"/>
            <w:vAlign w:val="center"/>
          </w:tcPr>
          <w:p w14:paraId="21F47BE0">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安全设施及公用工程</w:t>
            </w:r>
          </w:p>
        </w:tc>
        <w:tc>
          <w:tcPr>
            <w:tcW w:w="1609" w:type="pct"/>
            <w:tcBorders>
              <w:bottom w:val="single" w:color="auto" w:sz="4" w:space="0"/>
            </w:tcBorders>
            <w:vAlign w:val="center"/>
          </w:tcPr>
          <w:p w14:paraId="3B40F367">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消防、防雷、防静电等</w:t>
            </w:r>
          </w:p>
        </w:tc>
        <w:tc>
          <w:tcPr>
            <w:tcW w:w="1377" w:type="pct"/>
            <w:vAlign w:val="center"/>
          </w:tcPr>
          <w:p w14:paraId="45C684A5">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对照分析法</w:t>
            </w:r>
          </w:p>
        </w:tc>
      </w:tr>
      <w:tr w14:paraId="5CBF07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352" w:type="pct"/>
            <w:vAlign w:val="center"/>
          </w:tcPr>
          <w:p w14:paraId="5DD86DA4">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4</w:t>
            </w:r>
          </w:p>
        </w:tc>
        <w:tc>
          <w:tcPr>
            <w:tcW w:w="1660" w:type="pct"/>
            <w:vAlign w:val="center"/>
          </w:tcPr>
          <w:p w14:paraId="52F30D9C">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安全管理</w:t>
            </w:r>
          </w:p>
        </w:tc>
        <w:tc>
          <w:tcPr>
            <w:tcW w:w="1609" w:type="pct"/>
            <w:vAlign w:val="center"/>
          </w:tcPr>
          <w:p w14:paraId="515DFC20">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1D9E4B64">
            <w:pPr>
              <w:widowControl/>
              <w:jc w:val="center"/>
              <w:textAlignment w:val="center"/>
              <w:rPr>
                <w:rFonts w:ascii="宋体" w:hAnsi="宋体" w:cs="宋体"/>
                <w:b w:val="0"/>
                <w:kern w:val="0"/>
                <w:szCs w:val="21"/>
                <w:lang w:val="en-GB" w:bidi="ar"/>
              </w:rPr>
            </w:pPr>
            <w:r>
              <w:rPr>
                <w:rFonts w:hint="eastAsia" w:ascii="宋体" w:hAnsi="宋体" w:cs="宋体"/>
                <w:b w:val="0"/>
                <w:kern w:val="0"/>
                <w:szCs w:val="21"/>
                <w:lang w:val="en-GB" w:bidi="ar"/>
              </w:rPr>
              <w:t>安全检查表法</w:t>
            </w:r>
          </w:p>
        </w:tc>
      </w:tr>
      <w:tr w14:paraId="79554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352" w:type="pct"/>
            <w:vAlign w:val="center"/>
          </w:tcPr>
          <w:p w14:paraId="27825C7B">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5</w:t>
            </w:r>
          </w:p>
        </w:tc>
        <w:tc>
          <w:tcPr>
            <w:tcW w:w="1660" w:type="pct"/>
            <w:vAlign w:val="center"/>
          </w:tcPr>
          <w:p w14:paraId="4F229115">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生产过程</w:t>
            </w:r>
          </w:p>
        </w:tc>
        <w:tc>
          <w:tcPr>
            <w:tcW w:w="1609" w:type="pct"/>
            <w:vAlign w:val="center"/>
          </w:tcPr>
          <w:p w14:paraId="7C24A785">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253B91CE">
            <w:pPr>
              <w:widowControl/>
              <w:jc w:val="center"/>
              <w:textAlignment w:val="center"/>
              <w:rPr>
                <w:rFonts w:ascii="宋体" w:hAnsi="宋体" w:cs="宋体"/>
                <w:b w:val="0"/>
                <w:kern w:val="0"/>
                <w:szCs w:val="21"/>
                <w:lang w:val="en-GB" w:bidi="ar"/>
              </w:rPr>
            </w:pPr>
            <w:r>
              <w:rPr>
                <w:rFonts w:hint="eastAsia" w:ascii="宋体" w:hAnsi="宋体" w:cs="宋体"/>
                <w:b w:val="0"/>
                <w:kern w:val="0"/>
                <w:szCs w:val="21"/>
                <w:lang w:bidi="ar"/>
              </w:rPr>
              <w:t>预先危险性分析法</w:t>
            </w:r>
          </w:p>
        </w:tc>
      </w:tr>
      <w:tr w14:paraId="7AB96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352" w:type="pct"/>
            <w:vAlign w:val="center"/>
          </w:tcPr>
          <w:p w14:paraId="56DDAC8F">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6</w:t>
            </w:r>
          </w:p>
        </w:tc>
        <w:tc>
          <w:tcPr>
            <w:tcW w:w="1660" w:type="pct"/>
            <w:vAlign w:val="center"/>
          </w:tcPr>
          <w:p w14:paraId="1131DE77">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建筑施工</w:t>
            </w:r>
          </w:p>
        </w:tc>
        <w:tc>
          <w:tcPr>
            <w:tcW w:w="1609" w:type="pct"/>
            <w:vAlign w:val="center"/>
          </w:tcPr>
          <w:p w14:paraId="41304004">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7314A98C">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预先危险性分析法</w:t>
            </w:r>
          </w:p>
        </w:tc>
      </w:tr>
      <w:tr w14:paraId="273F3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352" w:type="pct"/>
            <w:vAlign w:val="center"/>
          </w:tcPr>
          <w:p w14:paraId="35A6EBFA">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7</w:t>
            </w:r>
          </w:p>
        </w:tc>
        <w:tc>
          <w:tcPr>
            <w:tcW w:w="1660" w:type="pct"/>
            <w:vAlign w:val="center"/>
          </w:tcPr>
          <w:p w14:paraId="5FB799C7">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事故后果模拟分析</w:t>
            </w:r>
          </w:p>
        </w:tc>
        <w:tc>
          <w:tcPr>
            <w:tcW w:w="1609" w:type="pct"/>
            <w:vAlign w:val="center"/>
          </w:tcPr>
          <w:p w14:paraId="21935DD5">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2D83757E">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伤害（或破坏）范围评价法</w:t>
            </w:r>
          </w:p>
        </w:tc>
      </w:tr>
      <w:bookmarkEnd w:id="450"/>
      <w:tr w14:paraId="7724C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352" w:type="pct"/>
            <w:vAlign w:val="center"/>
          </w:tcPr>
          <w:p w14:paraId="20756771">
            <w:pPr>
              <w:widowControl/>
              <w:jc w:val="center"/>
              <w:textAlignment w:val="center"/>
              <w:rPr>
                <w:rFonts w:ascii="宋体" w:hAnsi="宋体" w:cs="宋体"/>
                <w:b w:val="0"/>
                <w:kern w:val="0"/>
                <w:szCs w:val="21"/>
                <w:lang w:bidi="ar"/>
              </w:rPr>
            </w:pPr>
            <w:bookmarkStart w:id="462" w:name="_Toc21714"/>
            <w:bookmarkStart w:id="463" w:name="_Toc239191515"/>
            <w:bookmarkStart w:id="464" w:name="_Toc233449789"/>
            <w:r>
              <w:rPr>
                <w:rFonts w:hint="eastAsia" w:ascii="宋体" w:hAnsi="宋体" w:cs="宋体"/>
                <w:b w:val="0"/>
                <w:kern w:val="0"/>
                <w:szCs w:val="21"/>
                <w:lang w:bidi="ar"/>
              </w:rPr>
              <w:t>8</w:t>
            </w:r>
          </w:p>
        </w:tc>
        <w:tc>
          <w:tcPr>
            <w:tcW w:w="1660" w:type="pct"/>
            <w:vAlign w:val="center"/>
          </w:tcPr>
          <w:p w14:paraId="530E2AE6">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重大危险源评价</w:t>
            </w:r>
          </w:p>
        </w:tc>
        <w:tc>
          <w:tcPr>
            <w:tcW w:w="1609" w:type="pct"/>
            <w:vAlign w:val="center"/>
          </w:tcPr>
          <w:p w14:paraId="61909304">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w:t>
            </w:r>
          </w:p>
        </w:tc>
        <w:tc>
          <w:tcPr>
            <w:tcW w:w="1377" w:type="pct"/>
            <w:vAlign w:val="center"/>
          </w:tcPr>
          <w:p w14:paraId="0264FC04">
            <w:pPr>
              <w:widowControl/>
              <w:jc w:val="center"/>
              <w:textAlignment w:val="center"/>
              <w:rPr>
                <w:rFonts w:ascii="宋体" w:hAnsi="宋体" w:cs="宋体"/>
                <w:b w:val="0"/>
                <w:kern w:val="0"/>
                <w:szCs w:val="21"/>
                <w:lang w:bidi="ar"/>
              </w:rPr>
            </w:pPr>
            <w:r>
              <w:rPr>
                <w:rFonts w:hint="eastAsia" w:ascii="宋体" w:hAnsi="宋体" w:cs="宋体"/>
                <w:b w:val="0"/>
                <w:kern w:val="0"/>
                <w:szCs w:val="21"/>
                <w:lang w:bidi="ar"/>
              </w:rPr>
              <w:t>安全检查表法</w:t>
            </w:r>
          </w:p>
        </w:tc>
      </w:tr>
    </w:tbl>
    <w:p w14:paraId="3F220EED">
      <w:pPr>
        <w:keepNext/>
        <w:keepLines/>
        <w:spacing w:before="120" w:beforeLines="50" w:line="360" w:lineRule="auto"/>
        <w:outlineLvl w:val="1"/>
        <w:rPr>
          <w:rFonts w:ascii="黑体" w:hAnsi="宋体" w:eastAsia="黑体"/>
          <w:b w:val="0"/>
          <w:bCs/>
          <w:snapToGrid w:val="0"/>
          <w:sz w:val="30"/>
          <w:szCs w:val="30"/>
        </w:rPr>
      </w:pPr>
      <w:r>
        <w:rPr>
          <w:rFonts w:hint="eastAsia" w:ascii="黑体" w:hAnsi="宋体" w:eastAsia="黑体"/>
          <w:b w:val="0"/>
          <w:bCs/>
          <w:snapToGrid w:val="0"/>
          <w:sz w:val="30"/>
          <w:szCs w:val="30"/>
        </w:rPr>
        <w:t>4.3选用的安全评价方法简介</w:t>
      </w:r>
      <w:bookmarkEnd w:id="462"/>
      <w:bookmarkEnd w:id="463"/>
    </w:p>
    <w:p w14:paraId="18A35FC9">
      <w:pPr>
        <w:spacing w:line="360" w:lineRule="auto"/>
        <w:outlineLvl w:val="2"/>
        <w:rPr>
          <w:rFonts w:ascii="黑体" w:hAnsi="黑体" w:eastAsia="黑体"/>
          <w:b w:val="0"/>
          <w:sz w:val="30"/>
          <w:szCs w:val="30"/>
        </w:rPr>
      </w:pPr>
      <w:r>
        <w:rPr>
          <w:rFonts w:hint="eastAsia" w:ascii="黑体" w:hAnsi="黑体" w:eastAsia="黑体"/>
          <w:b w:val="0"/>
          <w:sz w:val="30"/>
          <w:szCs w:val="30"/>
        </w:rPr>
        <w:t>4.3.1对照分析法</w:t>
      </w:r>
    </w:p>
    <w:p w14:paraId="4E9E52A6">
      <w:pPr>
        <w:spacing w:line="360" w:lineRule="auto"/>
        <w:ind w:firstLine="560" w:firstLineChars="200"/>
        <w:jc w:val="left"/>
        <w:rPr>
          <w:rFonts w:ascii="宋体" w:hAnsi="宋体"/>
          <w:b w:val="0"/>
          <w:sz w:val="28"/>
          <w:szCs w:val="28"/>
        </w:rPr>
      </w:pPr>
      <w:r>
        <w:rPr>
          <w:rFonts w:hint="eastAsia" w:ascii="宋体" w:hAnsi="宋体"/>
          <w:b w:val="0"/>
          <w:sz w:val="28"/>
          <w:szCs w:val="28"/>
        </w:rPr>
        <w:t>对照分析法是对照有关标准、法规，检查表，直接地对评价对象的危险因素进行分析的方法。</w:t>
      </w:r>
    </w:p>
    <w:p w14:paraId="2AD57FB9">
      <w:pPr>
        <w:spacing w:line="360" w:lineRule="auto"/>
        <w:outlineLvl w:val="2"/>
        <w:rPr>
          <w:rFonts w:ascii="黑体" w:hAnsi="黑体" w:eastAsia="黑体"/>
          <w:b w:val="0"/>
          <w:sz w:val="30"/>
          <w:szCs w:val="30"/>
        </w:rPr>
      </w:pPr>
      <w:r>
        <w:rPr>
          <w:rFonts w:hint="eastAsia" w:ascii="黑体" w:hAnsi="黑体" w:eastAsia="黑体"/>
          <w:b w:val="0"/>
          <w:sz w:val="30"/>
          <w:szCs w:val="30"/>
        </w:rPr>
        <w:t>4.3.2安全检查表法</w:t>
      </w:r>
    </w:p>
    <w:p w14:paraId="5B91B8BE">
      <w:pPr>
        <w:spacing w:line="360" w:lineRule="auto"/>
        <w:ind w:firstLine="560" w:firstLineChars="200"/>
        <w:rPr>
          <w:rFonts w:ascii="宋体" w:hAnsi="宋体"/>
          <w:b w:val="0"/>
          <w:sz w:val="28"/>
          <w:szCs w:val="28"/>
        </w:rPr>
      </w:pPr>
      <w:r>
        <w:rPr>
          <w:rFonts w:hint="eastAsia" w:ascii="宋体" w:hAnsi="宋体"/>
          <w:b w:val="0"/>
          <w:sz w:val="28"/>
          <w:szCs w:val="28"/>
        </w:rPr>
        <w:t>安全检查表评价法是一种基础性的安全评价方法。该方法的核心是预先由安全专家和工艺技术人员基于系统分析，识别不安全因素并编制成清单式表格。进行安全评价时，将现场情况与检查表中的项目逐一对照，依据相关标准、规范，核查已知危险类别、设计缺陷以及工艺设备、操作管理等方面的潜在危险与有害因素，从而判断系统的符合性。其评价结果以定性方式呈现，且实行“否决项”原则，即检查表中任何一项不合格，则该评价单元的整体评价结果为不合格。</w:t>
      </w:r>
    </w:p>
    <w:p w14:paraId="00693761">
      <w:pPr>
        <w:spacing w:line="360" w:lineRule="auto"/>
        <w:outlineLvl w:val="2"/>
        <w:rPr>
          <w:rFonts w:ascii="黑体" w:hAnsi="黑体" w:eastAsia="黑体"/>
          <w:b w:val="0"/>
          <w:sz w:val="30"/>
          <w:szCs w:val="30"/>
        </w:rPr>
      </w:pPr>
      <w:r>
        <w:rPr>
          <w:rFonts w:hint="eastAsia" w:ascii="黑体" w:hAnsi="黑体" w:eastAsia="黑体"/>
          <w:b w:val="0"/>
          <w:sz w:val="30"/>
          <w:szCs w:val="30"/>
        </w:rPr>
        <w:t>4.3.3预先危险性分析法</w:t>
      </w:r>
    </w:p>
    <w:p w14:paraId="5F7E3C5C">
      <w:pPr>
        <w:spacing w:line="360" w:lineRule="auto"/>
        <w:ind w:firstLine="536" w:firstLineChars="200"/>
        <w:jc w:val="left"/>
        <w:rPr>
          <w:rFonts w:ascii="宋体" w:hAnsi="宋体"/>
          <w:b w:val="0"/>
          <w:sz w:val="28"/>
          <w:szCs w:val="28"/>
        </w:rPr>
      </w:pPr>
      <w:r>
        <w:rPr>
          <w:rFonts w:hint="eastAsia" w:ascii="宋体" w:hAnsi="宋体"/>
          <w:b w:val="0"/>
          <w:spacing w:val="-6"/>
          <w:sz w:val="28"/>
          <w:szCs w:val="28"/>
        </w:rPr>
        <w:t>预先危险性分析评价法通过对选定系统的分析、判断，大体识别系统存在的主要潜在危险，找出产生危险的原因，分析估计危险失控和发生事故可能导致的后果，判定已识别的危险性等级，提出消除或控制危险性的措施。</w:t>
      </w:r>
    </w:p>
    <w:p w14:paraId="08DE7124">
      <w:pPr>
        <w:spacing w:line="360" w:lineRule="auto"/>
        <w:ind w:firstLine="560" w:firstLineChars="200"/>
        <w:jc w:val="left"/>
        <w:rPr>
          <w:rFonts w:ascii="宋体" w:hAnsi="宋体"/>
          <w:b w:val="0"/>
          <w:sz w:val="28"/>
          <w:szCs w:val="28"/>
        </w:rPr>
      </w:pPr>
      <w:r>
        <w:rPr>
          <w:rFonts w:hint="eastAsia" w:ascii="宋体" w:hAnsi="宋体"/>
          <w:b w:val="0"/>
          <w:sz w:val="28"/>
          <w:szCs w:val="28"/>
        </w:rPr>
        <w:t>在分析系统危险性时，为了衡量危险性的大小及其对系统破坏程度，将各类危险性划分为4个等级，见表4</w:t>
      </w:r>
      <w:r>
        <w:rPr>
          <w:rFonts w:ascii="宋体" w:hAnsi="宋体"/>
          <w:b w:val="0"/>
          <w:sz w:val="28"/>
          <w:szCs w:val="28"/>
        </w:rPr>
        <w:t>.3</w:t>
      </w:r>
      <w:r>
        <w:rPr>
          <w:rFonts w:hint="eastAsia" w:ascii="宋体" w:hAnsi="宋体"/>
          <w:b w:val="0"/>
          <w:sz w:val="28"/>
          <w:szCs w:val="28"/>
        </w:rPr>
        <w:t>-</w:t>
      </w:r>
      <w:r>
        <w:rPr>
          <w:rFonts w:ascii="宋体" w:hAnsi="宋体"/>
          <w:b w:val="0"/>
          <w:sz w:val="28"/>
          <w:szCs w:val="28"/>
        </w:rPr>
        <w:t>1</w:t>
      </w:r>
      <w:r>
        <w:rPr>
          <w:rFonts w:hint="eastAsia" w:ascii="宋体" w:hAnsi="宋体"/>
          <w:b w:val="0"/>
          <w:sz w:val="28"/>
          <w:szCs w:val="28"/>
        </w:rPr>
        <w:t>。</w:t>
      </w:r>
    </w:p>
    <w:p w14:paraId="58A71A2A">
      <w:pPr>
        <w:jc w:val="center"/>
        <w:rPr>
          <w:rFonts w:ascii="黑体" w:hAnsi="黑体" w:eastAsia="黑体"/>
          <w:b w:val="0"/>
          <w:bCs/>
          <w:sz w:val="24"/>
          <w:szCs w:val="28"/>
        </w:rPr>
      </w:pPr>
      <w:r>
        <w:rPr>
          <w:rFonts w:hint="eastAsia" w:ascii="黑体" w:hAnsi="黑体" w:eastAsia="黑体"/>
          <w:b w:val="0"/>
          <w:bCs/>
          <w:sz w:val="24"/>
          <w:szCs w:val="28"/>
        </w:rPr>
        <w:t>表4</w:t>
      </w:r>
      <w:r>
        <w:rPr>
          <w:rFonts w:ascii="黑体" w:hAnsi="黑体" w:eastAsia="黑体"/>
          <w:b w:val="0"/>
          <w:bCs/>
          <w:sz w:val="24"/>
          <w:szCs w:val="28"/>
        </w:rPr>
        <w:t>.3</w:t>
      </w:r>
      <w:r>
        <w:rPr>
          <w:rFonts w:hint="eastAsia" w:ascii="黑体" w:hAnsi="黑体" w:eastAsia="黑体"/>
          <w:b w:val="0"/>
          <w:bCs/>
          <w:sz w:val="24"/>
          <w:szCs w:val="28"/>
        </w:rPr>
        <w:t>-</w:t>
      </w:r>
      <w:r>
        <w:rPr>
          <w:rFonts w:ascii="黑体" w:hAnsi="黑体" w:eastAsia="黑体"/>
          <w:b w:val="0"/>
          <w:bCs/>
          <w:sz w:val="24"/>
          <w:szCs w:val="28"/>
        </w:rPr>
        <w:t>1</w:t>
      </w:r>
      <w:r>
        <w:rPr>
          <w:rFonts w:hint="eastAsia" w:ascii="黑体" w:hAnsi="黑体" w:eastAsia="黑体"/>
          <w:b w:val="0"/>
          <w:bCs/>
          <w:sz w:val="24"/>
          <w:szCs w:val="28"/>
        </w:rPr>
        <w:t xml:space="preserve">   危险性等级划分表</w:t>
      </w:r>
    </w:p>
    <w:tbl>
      <w:tblPr>
        <w:tblStyle w:val="88"/>
        <w:tblW w:w="931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0"/>
        <w:gridCol w:w="1435"/>
        <w:gridCol w:w="6984"/>
      </w:tblGrid>
      <w:tr w14:paraId="1A263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4" w:hRule="atLeast"/>
          <w:tblHeader/>
        </w:trPr>
        <w:tc>
          <w:tcPr>
            <w:tcW w:w="900" w:type="dxa"/>
            <w:vAlign w:val="center"/>
          </w:tcPr>
          <w:p w14:paraId="1DA39DEB">
            <w:pPr>
              <w:spacing w:line="400" w:lineRule="exact"/>
              <w:jc w:val="center"/>
              <w:rPr>
                <w:rFonts w:ascii="宋体" w:hAnsi="宋体"/>
                <w:bCs/>
                <w:szCs w:val="21"/>
              </w:rPr>
            </w:pPr>
            <w:r>
              <w:rPr>
                <w:rFonts w:hint="eastAsia" w:ascii="宋体" w:hAnsi="宋体"/>
                <w:bCs/>
                <w:szCs w:val="21"/>
              </w:rPr>
              <w:t>级别</w:t>
            </w:r>
          </w:p>
        </w:tc>
        <w:tc>
          <w:tcPr>
            <w:tcW w:w="1435" w:type="dxa"/>
            <w:vAlign w:val="center"/>
          </w:tcPr>
          <w:p w14:paraId="28EDFFFD">
            <w:pPr>
              <w:spacing w:line="400" w:lineRule="exact"/>
              <w:jc w:val="center"/>
              <w:rPr>
                <w:rFonts w:ascii="宋体" w:hAnsi="宋体"/>
                <w:bCs/>
                <w:szCs w:val="21"/>
              </w:rPr>
            </w:pPr>
            <w:r>
              <w:rPr>
                <w:rFonts w:hint="eastAsia" w:ascii="宋体" w:hAnsi="宋体"/>
                <w:bCs/>
                <w:szCs w:val="21"/>
              </w:rPr>
              <w:t>危险程度</w:t>
            </w:r>
          </w:p>
        </w:tc>
        <w:tc>
          <w:tcPr>
            <w:tcW w:w="6984" w:type="dxa"/>
            <w:vAlign w:val="center"/>
          </w:tcPr>
          <w:p w14:paraId="4D82488D">
            <w:pPr>
              <w:spacing w:line="400" w:lineRule="exact"/>
              <w:jc w:val="center"/>
              <w:rPr>
                <w:rFonts w:ascii="宋体" w:hAnsi="宋体"/>
                <w:bCs/>
                <w:szCs w:val="21"/>
              </w:rPr>
            </w:pPr>
            <w:r>
              <w:rPr>
                <w:rFonts w:hint="eastAsia" w:ascii="宋体" w:hAnsi="宋体"/>
                <w:bCs/>
                <w:szCs w:val="21"/>
              </w:rPr>
              <w:t>可能导致的后果</w:t>
            </w:r>
          </w:p>
        </w:tc>
      </w:tr>
      <w:tr w14:paraId="000EC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blHeader/>
        </w:trPr>
        <w:tc>
          <w:tcPr>
            <w:tcW w:w="900" w:type="dxa"/>
            <w:vAlign w:val="center"/>
          </w:tcPr>
          <w:p w14:paraId="477A47B0">
            <w:pPr>
              <w:spacing w:line="400" w:lineRule="exact"/>
              <w:jc w:val="center"/>
              <w:rPr>
                <w:rFonts w:ascii="宋体" w:hAnsi="宋体"/>
                <w:b w:val="0"/>
                <w:szCs w:val="21"/>
              </w:rPr>
            </w:pPr>
            <w:r>
              <w:rPr>
                <w:rFonts w:hint="eastAsia" w:ascii="宋体" w:hAnsi="宋体"/>
                <w:b w:val="0"/>
                <w:szCs w:val="21"/>
              </w:rPr>
              <w:t>I</w:t>
            </w:r>
          </w:p>
        </w:tc>
        <w:tc>
          <w:tcPr>
            <w:tcW w:w="1435" w:type="dxa"/>
            <w:vAlign w:val="center"/>
          </w:tcPr>
          <w:p w14:paraId="391CFBA3">
            <w:pPr>
              <w:spacing w:line="400" w:lineRule="exact"/>
              <w:jc w:val="center"/>
              <w:rPr>
                <w:rFonts w:ascii="宋体" w:hAnsi="宋体"/>
                <w:b w:val="0"/>
                <w:szCs w:val="21"/>
              </w:rPr>
            </w:pPr>
            <w:r>
              <w:rPr>
                <w:rFonts w:hint="eastAsia" w:ascii="宋体" w:hAnsi="宋体"/>
                <w:b w:val="0"/>
                <w:szCs w:val="21"/>
              </w:rPr>
              <w:t>安全的</w:t>
            </w:r>
          </w:p>
        </w:tc>
        <w:tc>
          <w:tcPr>
            <w:tcW w:w="6984" w:type="dxa"/>
            <w:vAlign w:val="center"/>
          </w:tcPr>
          <w:p w14:paraId="27EE67BF">
            <w:pPr>
              <w:spacing w:line="400" w:lineRule="exact"/>
              <w:rPr>
                <w:rFonts w:ascii="宋体" w:hAnsi="宋体"/>
                <w:b w:val="0"/>
                <w:szCs w:val="21"/>
              </w:rPr>
            </w:pPr>
            <w:r>
              <w:rPr>
                <w:rFonts w:hint="eastAsia" w:ascii="宋体" w:hAnsi="宋体"/>
                <w:b w:val="0"/>
                <w:szCs w:val="21"/>
              </w:rPr>
              <w:t>不会造成人员伤亡及系统损坏。</w:t>
            </w:r>
          </w:p>
        </w:tc>
      </w:tr>
      <w:tr w14:paraId="3D14C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3" w:hRule="atLeast"/>
          <w:tblHeader/>
        </w:trPr>
        <w:tc>
          <w:tcPr>
            <w:tcW w:w="900" w:type="dxa"/>
            <w:vAlign w:val="center"/>
          </w:tcPr>
          <w:p w14:paraId="512092C0">
            <w:pPr>
              <w:spacing w:line="400" w:lineRule="exact"/>
              <w:jc w:val="center"/>
              <w:rPr>
                <w:rFonts w:ascii="宋体" w:hAnsi="宋体"/>
                <w:b w:val="0"/>
                <w:szCs w:val="21"/>
              </w:rPr>
            </w:pPr>
            <w:r>
              <w:rPr>
                <w:rFonts w:hint="eastAsia" w:ascii="宋体" w:hAnsi="宋体"/>
                <w:b w:val="0"/>
                <w:szCs w:val="21"/>
              </w:rPr>
              <w:t>II</w:t>
            </w:r>
          </w:p>
        </w:tc>
        <w:tc>
          <w:tcPr>
            <w:tcW w:w="1435" w:type="dxa"/>
            <w:vAlign w:val="center"/>
          </w:tcPr>
          <w:p w14:paraId="69AAA325">
            <w:pPr>
              <w:spacing w:line="400" w:lineRule="exact"/>
              <w:jc w:val="center"/>
              <w:rPr>
                <w:rFonts w:ascii="宋体" w:hAnsi="宋体"/>
                <w:b w:val="0"/>
                <w:szCs w:val="21"/>
              </w:rPr>
            </w:pPr>
            <w:r>
              <w:rPr>
                <w:rFonts w:hint="eastAsia" w:ascii="宋体" w:hAnsi="宋体"/>
                <w:b w:val="0"/>
                <w:szCs w:val="21"/>
              </w:rPr>
              <w:t>临界的</w:t>
            </w:r>
          </w:p>
        </w:tc>
        <w:tc>
          <w:tcPr>
            <w:tcW w:w="6984" w:type="dxa"/>
            <w:vAlign w:val="center"/>
          </w:tcPr>
          <w:p w14:paraId="5241B049">
            <w:pPr>
              <w:spacing w:line="400" w:lineRule="exact"/>
              <w:rPr>
                <w:rFonts w:ascii="宋体" w:hAnsi="宋体"/>
                <w:b w:val="0"/>
                <w:szCs w:val="21"/>
              </w:rPr>
            </w:pPr>
            <w:r>
              <w:rPr>
                <w:rFonts w:hint="eastAsia" w:ascii="宋体" w:hAnsi="宋体"/>
                <w:b w:val="0"/>
                <w:szCs w:val="21"/>
              </w:rPr>
              <w:t>处于事故的边缘状态，暂时还不至于造成人员伤亡、系统损坏或降低系统性能，但应予以排除或采取控制措施。</w:t>
            </w:r>
          </w:p>
        </w:tc>
      </w:tr>
      <w:tr w14:paraId="36764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blHeader/>
        </w:trPr>
        <w:tc>
          <w:tcPr>
            <w:tcW w:w="900" w:type="dxa"/>
            <w:vAlign w:val="center"/>
          </w:tcPr>
          <w:p w14:paraId="60E1DA36">
            <w:pPr>
              <w:spacing w:line="400" w:lineRule="exact"/>
              <w:jc w:val="center"/>
              <w:rPr>
                <w:rFonts w:ascii="宋体" w:hAnsi="宋体"/>
                <w:b w:val="0"/>
                <w:szCs w:val="21"/>
              </w:rPr>
            </w:pPr>
            <w:r>
              <w:rPr>
                <w:rFonts w:hint="eastAsia" w:ascii="宋体" w:hAnsi="宋体"/>
                <w:b w:val="0"/>
                <w:szCs w:val="21"/>
              </w:rPr>
              <w:t>Ⅲ</w:t>
            </w:r>
          </w:p>
        </w:tc>
        <w:tc>
          <w:tcPr>
            <w:tcW w:w="1435" w:type="dxa"/>
            <w:vAlign w:val="center"/>
          </w:tcPr>
          <w:p w14:paraId="537D2F25">
            <w:pPr>
              <w:spacing w:line="400" w:lineRule="exact"/>
              <w:jc w:val="center"/>
              <w:rPr>
                <w:rFonts w:ascii="宋体" w:hAnsi="宋体"/>
                <w:b w:val="0"/>
                <w:szCs w:val="21"/>
              </w:rPr>
            </w:pPr>
            <w:r>
              <w:rPr>
                <w:rFonts w:hint="eastAsia" w:ascii="宋体" w:hAnsi="宋体"/>
                <w:b w:val="0"/>
                <w:szCs w:val="21"/>
              </w:rPr>
              <w:t>危险的</w:t>
            </w:r>
          </w:p>
        </w:tc>
        <w:tc>
          <w:tcPr>
            <w:tcW w:w="6984" w:type="dxa"/>
            <w:vAlign w:val="center"/>
          </w:tcPr>
          <w:p w14:paraId="04867D01">
            <w:pPr>
              <w:spacing w:line="400" w:lineRule="exact"/>
              <w:rPr>
                <w:rFonts w:ascii="宋体" w:hAnsi="宋体"/>
                <w:b w:val="0"/>
                <w:szCs w:val="21"/>
              </w:rPr>
            </w:pPr>
            <w:r>
              <w:rPr>
                <w:rFonts w:hint="eastAsia" w:ascii="宋体" w:hAnsi="宋体"/>
                <w:b w:val="0"/>
                <w:szCs w:val="21"/>
              </w:rPr>
              <w:t>会造成人员伤亡和系统损坏，要立即采取防范对策措施。</w:t>
            </w:r>
          </w:p>
        </w:tc>
      </w:tr>
      <w:tr w14:paraId="284B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8" w:hRule="atLeast"/>
          <w:tblHeader/>
        </w:trPr>
        <w:tc>
          <w:tcPr>
            <w:tcW w:w="900" w:type="dxa"/>
            <w:vAlign w:val="center"/>
          </w:tcPr>
          <w:p w14:paraId="73423484">
            <w:pPr>
              <w:spacing w:line="400" w:lineRule="exact"/>
              <w:jc w:val="center"/>
              <w:rPr>
                <w:rFonts w:ascii="宋体" w:hAnsi="宋体"/>
                <w:b w:val="0"/>
                <w:szCs w:val="21"/>
              </w:rPr>
            </w:pPr>
            <w:r>
              <w:rPr>
                <w:rFonts w:hint="eastAsia" w:ascii="宋体" w:hAnsi="宋体"/>
                <w:b w:val="0"/>
                <w:szCs w:val="21"/>
              </w:rPr>
              <w:t>IV</w:t>
            </w:r>
          </w:p>
        </w:tc>
        <w:tc>
          <w:tcPr>
            <w:tcW w:w="1435" w:type="dxa"/>
            <w:vAlign w:val="center"/>
          </w:tcPr>
          <w:p w14:paraId="4DE591C8">
            <w:pPr>
              <w:spacing w:line="400" w:lineRule="exact"/>
              <w:jc w:val="center"/>
              <w:rPr>
                <w:rFonts w:ascii="宋体" w:hAnsi="宋体"/>
                <w:b w:val="0"/>
                <w:szCs w:val="21"/>
              </w:rPr>
            </w:pPr>
            <w:r>
              <w:rPr>
                <w:rFonts w:hint="eastAsia" w:ascii="宋体" w:hAnsi="宋体"/>
                <w:b w:val="0"/>
                <w:szCs w:val="21"/>
              </w:rPr>
              <w:t>灾难性的</w:t>
            </w:r>
          </w:p>
        </w:tc>
        <w:tc>
          <w:tcPr>
            <w:tcW w:w="6984" w:type="dxa"/>
            <w:vAlign w:val="center"/>
          </w:tcPr>
          <w:p w14:paraId="7B1679CC">
            <w:pPr>
              <w:spacing w:line="400" w:lineRule="exact"/>
              <w:rPr>
                <w:rFonts w:ascii="宋体" w:hAnsi="宋体"/>
                <w:b w:val="0"/>
                <w:szCs w:val="21"/>
              </w:rPr>
            </w:pPr>
            <w:r>
              <w:rPr>
                <w:rFonts w:hint="eastAsia" w:ascii="宋体" w:hAnsi="宋体"/>
                <w:b w:val="0"/>
                <w:szCs w:val="21"/>
              </w:rPr>
              <w:t>造成人员重大伤亡及系统严重破坏的灾难性事故，必须予以果断排除并进行重点防范。</w:t>
            </w:r>
          </w:p>
        </w:tc>
      </w:tr>
    </w:tbl>
    <w:p w14:paraId="7478FB0C">
      <w:pPr>
        <w:spacing w:before="120" w:beforeLines="50" w:line="360" w:lineRule="auto"/>
        <w:ind w:firstLine="560" w:firstLineChars="200"/>
        <w:jc w:val="left"/>
        <w:rPr>
          <w:rFonts w:ascii="宋体" w:hAnsi="宋体"/>
          <w:b w:val="0"/>
          <w:sz w:val="28"/>
          <w:szCs w:val="28"/>
        </w:rPr>
      </w:pPr>
      <w:r>
        <w:rPr>
          <w:rFonts w:hint="eastAsia" w:ascii="宋体" w:hAnsi="宋体"/>
          <w:b w:val="0"/>
          <w:sz w:val="28"/>
          <w:szCs w:val="28"/>
        </w:rPr>
        <w:t>用预先危险性分析评价法进行评价时，根据确定的危险性等级，结合现场实际采取的预防措施情况，确定系统存在的风险是否可控。</w:t>
      </w:r>
    </w:p>
    <w:p w14:paraId="6043E169">
      <w:pPr>
        <w:spacing w:line="360" w:lineRule="auto"/>
        <w:outlineLvl w:val="2"/>
        <w:rPr>
          <w:rFonts w:ascii="黑体" w:hAnsi="黑体" w:eastAsia="黑体"/>
          <w:b w:val="0"/>
          <w:sz w:val="30"/>
          <w:szCs w:val="30"/>
        </w:rPr>
      </w:pPr>
      <w:r>
        <w:rPr>
          <w:rFonts w:hint="eastAsia" w:ascii="黑体" w:hAnsi="黑体" w:eastAsia="黑体"/>
          <w:b w:val="0"/>
          <w:sz w:val="30"/>
          <w:szCs w:val="30"/>
        </w:rPr>
        <w:t>4.3.4伤害（或破坏）范围评价法</w:t>
      </w:r>
    </w:p>
    <w:p w14:paraId="272B6245">
      <w:pPr>
        <w:pStyle w:val="2"/>
        <w:ind w:firstLine="560"/>
        <w:sectPr>
          <w:pgSz w:w="11906" w:h="16838"/>
          <w:pgMar w:top="1417" w:right="1417" w:bottom="1417" w:left="1417" w:header="851" w:footer="863" w:gutter="0"/>
          <w:pgBorders>
            <w:top w:val="none" w:sz="0" w:space="0"/>
            <w:left w:val="none" w:sz="0" w:space="0"/>
            <w:bottom w:val="none" w:sz="0" w:space="0"/>
            <w:right w:val="none" w:sz="0" w:space="0"/>
          </w:pgBorders>
          <w:cols w:space="720" w:num="1"/>
          <w:docGrid w:linePitch="312" w:charSpace="0"/>
        </w:sectPr>
      </w:pPr>
      <w:r>
        <w:rPr>
          <w:rFonts w:hint="eastAsia" w:ascii="宋体" w:hAnsi="宋体" w:eastAsia="宋体"/>
          <w:b w:val="0"/>
          <w:kern w:val="2"/>
          <w:szCs w:val="28"/>
        </w:rPr>
        <w:t>伤害（或破坏）范围评价法是根据事故的数学模型，应用数学方法，求取事故对人员的伤害范围或对物体的破坏范围的安全评价方法。评价结果是事故对人员的伤害范围或（和）对物体的破坏范围，因此评价结果直观、可靠，评价结果可用于危险性分区，同时还可以进一步计算伤害区域内的人员及其人员的伤害程度，以及破坏范围物体损坏程度和直接经济损失。</w:t>
      </w:r>
    </w:p>
    <w:bookmarkEnd w:id="184"/>
    <w:bookmarkEnd w:id="464"/>
    <w:p w14:paraId="4665C4D6">
      <w:pPr>
        <w:keepNext/>
        <w:pageBreakBefore/>
        <w:widowControl/>
        <w:spacing w:before="120" w:beforeLines="50" w:line="360" w:lineRule="auto"/>
        <w:jc w:val="center"/>
        <w:outlineLvl w:val="0"/>
        <w:rPr>
          <w:rFonts w:ascii="黑体" w:hAnsi="宋体" w:eastAsia="黑体"/>
          <w:b w:val="0"/>
          <w:sz w:val="32"/>
          <w:szCs w:val="32"/>
        </w:rPr>
      </w:pPr>
      <w:bookmarkStart w:id="465" w:name="_Toc157496785"/>
      <w:bookmarkStart w:id="466" w:name="_Toc270850122"/>
      <w:bookmarkStart w:id="467" w:name="_Toc274316590"/>
      <w:bookmarkStart w:id="468" w:name="_Toc239191516"/>
      <w:bookmarkStart w:id="469" w:name="_Toc104354001"/>
      <w:bookmarkStart w:id="470" w:name="_Toc104424059"/>
      <w:bookmarkStart w:id="471" w:name="_Toc233449794"/>
      <w:bookmarkStart w:id="472" w:name="_Toc124131613"/>
      <w:bookmarkStart w:id="473" w:name="_Toc110569910"/>
      <w:r>
        <w:rPr>
          <w:rFonts w:hint="eastAsia" w:ascii="黑体" w:hAnsi="宋体" w:eastAsia="黑体"/>
          <w:b w:val="0"/>
          <w:sz w:val="32"/>
          <w:szCs w:val="32"/>
        </w:rPr>
        <w:t>第五章 定性定量评价</w:t>
      </w:r>
      <w:bookmarkEnd w:id="465"/>
      <w:bookmarkEnd w:id="466"/>
      <w:bookmarkEnd w:id="467"/>
      <w:bookmarkEnd w:id="468"/>
    </w:p>
    <w:p w14:paraId="493D226E">
      <w:pPr>
        <w:keepNext/>
        <w:keepLines/>
        <w:spacing w:before="120" w:beforeLines="50" w:line="360" w:lineRule="auto"/>
        <w:outlineLvl w:val="1"/>
        <w:rPr>
          <w:rFonts w:ascii="黑体" w:hAnsi="宋体" w:eastAsia="黑体"/>
          <w:b w:val="0"/>
          <w:bCs/>
          <w:snapToGrid w:val="0"/>
          <w:sz w:val="30"/>
          <w:szCs w:val="30"/>
        </w:rPr>
      </w:pPr>
      <w:bookmarkStart w:id="474" w:name="_Toc239191517"/>
      <w:bookmarkStart w:id="475" w:name="_Toc235862396"/>
      <w:bookmarkStart w:id="476" w:name="_Toc211769700"/>
      <w:bookmarkStart w:id="477" w:name="_Toc235865638"/>
      <w:bookmarkStart w:id="478" w:name="_Toc235352375"/>
      <w:bookmarkStart w:id="479" w:name="_Toc176170398"/>
      <w:bookmarkStart w:id="480" w:name="_Toc235352279"/>
      <w:bookmarkStart w:id="481" w:name="_Toc235865727"/>
      <w:bookmarkStart w:id="482" w:name="_Toc171001579"/>
      <w:bookmarkStart w:id="483" w:name="_Toc364346099"/>
      <w:bookmarkStart w:id="484" w:name="_Toc221454629"/>
      <w:bookmarkStart w:id="485" w:name="_Toc174793934"/>
      <w:r>
        <w:rPr>
          <w:rFonts w:hint="eastAsia" w:ascii="黑体" w:hAnsi="宋体" w:eastAsia="黑体"/>
          <w:b w:val="0"/>
          <w:bCs/>
          <w:snapToGrid w:val="0"/>
          <w:sz w:val="30"/>
          <w:szCs w:val="30"/>
        </w:rPr>
        <w:t>5.1建设项目安全条件单元</w:t>
      </w:r>
      <w:bookmarkEnd w:id="474"/>
    </w:p>
    <w:p w14:paraId="495EA3E3">
      <w:pPr>
        <w:spacing w:line="360" w:lineRule="auto"/>
        <w:ind w:firstLine="560" w:firstLineChars="200"/>
        <w:rPr>
          <w:rFonts w:ascii="宋体" w:hAnsi="宋体" w:cs="宋体"/>
          <w:b w:val="0"/>
          <w:sz w:val="28"/>
          <w:szCs w:val="28"/>
        </w:rPr>
      </w:pPr>
      <w:r>
        <w:rPr>
          <w:rFonts w:hint="eastAsia"/>
          <w:b w:val="0"/>
          <w:bCs/>
          <w:sz w:val="28"/>
          <w:szCs w:val="28"/>
        </w:rPr>
        <w:t>采用对照分析法对本单元进行评价</w:t>
      </w:r>
      <w:r>
        <w:rPr>
          <w:rFonts w:hint="eastAsia" w:ascii="宋体" w:hAnsi="宋体" w:cs="宋体"/>
          <w:b w:val="0"/>
          <w:sz w:val="28"/>
          <w:szCs w:val="28"/>
        </w:rPr>
        <w:t>。</w:t>
      </w:r>
    </w:p>
    <w:p w14:paraId="4EC211B5">
      <w:pPr>
        <w:pStyle w:val="7"/>
        <w:jc w:val="both"/>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1</w:t>
      </w:r>
      <w:r>
        <w:rPr>
          <w:rFonts w:hint="eastAsia" w:ascii="黑体" w:hAnsi="黑体" w:eastAsia="黑体" w:cs="宋体"/>
          <w:b w:val="0"/>
          <w:szCs w:val="28"/>
        </w:rPr>
        <w:t>.1建设项目内在危险有害因素对周边单位生产、经营活动或者居民生产的影响</w:t>
      </w:r>
    </w:p>
    <w:p w14:paraId="062E2938">
      <w:pPr>
        <w:spacing w:line="360" w:lineRule="auto"/>
        <w:ind w:firstLine="560" w:firstLineChars="200"/>
        <w:rPr>
          <w:rFonts w:ascii="宋体" w:hAnsi="宋体" w:cs="宋体"/>
          <w:b w:val="0"/>
          <w:sz w:val="28"/>
          <w:szCs w:val="28"/>
        </w:rPr>
      </w:pPr>
      <w:r>
        <w:rPr>
          <w:rFonts w:hint="eastAsia" w:ascii="宋体" w:hAnsi="宋体" w:cs="宋体"/>
          <w:b w:val="0"/>
          <w:sz w:val="28"/>
          <w:szCs w:val="28"/>
        </w:rPr>
        <w:t>该企业为黑火药生产企业，正常情况下无废气、废渣及噪声排放，生产的有药废水经沉淀池沉淀后采用水泥明沟依据地势，由高向低呈散形排放。因此企业不会对周边的生态环境和人文环境构成威胁。</w:t>
      </w:r>
    </w:p>
    <w:p w14:paraId="33F0025E">
      <w:pPr>
        <w:spacing w:line="360" w:lineRule="auto"/>
        <w:ind w:firstLine="560" w:firstLineChars="200"/>
        <w:rPr>
          <w:rFonts w:ascii="宋体" w:hAnsi="宋体" w:cs="宋体"/>
          <w:b w:val="0"/>
          <w:sz w:val="28"/>
          <w:szCs w:val="28"/>
        </w:rPr>
      </w:pPr>
      <w:r>
        <w:rPr>
          <w:rFonts w:ascii="宋体" w:hAnsi="宋体" w:cs="Arial"/>
          <w:b w:val="0"/>
          <w:sz w:val="28"/>
        </w:rPr>
        <w:t>根据《湖南省应急管理厅关于醴陵市增加黑火药供给产能的批复》（湘应急函〔2024〕33 号），湖南金帝烟花爆竹制造有限公司于 2024 年 7 月提出申请在醴陵市沩山镇泉水村新建黑火药（粒状）生产线项目，建设项目</w:t>
      </w:r>
      <w:r>
        <w:rPr>
          <w:rFonts w:hint="eastAsia" w:ascii="宋体" w:hAnsi="宋体" w:cs="Arial"/>
          <w:b w:val="0"/>
          <w:sz w:val="28"/>
        </w:rPr>
        <w:t>2024年</w:t>
      </w:r>
      <w:r>
        <w:rPr>
          <w:rFonts w:ascii="宋体" w:hAnsi="宋体" w:cs="Arial"/>
          <w:b w:val="0"/>
          <w:sz w:val="28"/>
        </w:rPr>
        <w:t>委托湖南省泰衡民用爆破工程安全设计咨询有限公司进行了安全设施设计，</w:t>
      </w:r>
      <w:r>
        <w:rPr>
          <w:rFonts w:hint="eastAsia" w:ascii="宋体" w:hAnsi="宋体" w:cs="Arial"/>
          <w:b w:val="0"/>
          <w:bCs/>
          <w:sz w:val="28"/>
        </w:rPr>
        <w:t>建设项目安全设施设计经湖南省应急管理厅组织的专家组审查通过，</w:t>
      </w:r>
      <w:r>
        <w:rPr>
          <w:rFonts w:hint="eastAsia" w:ascii="宋体" w:hAnsi="宋体" w:cs="Arial"/>
          <w:b w:val="0"/>
          <w:sz w:val="28"/>
        </w:rPr>
        <w:t>2024年11月18日</w:t>
      </w:r>
      <w:r>
        <w:rPr>
          <w:rFonts w:hint="eastAsia" w:ascii="宋体" w:hAnsi="宋体" w:cs="Arial"/>
          <w:b w:val="0"/>
          <w:bCs/>
          <w:sz w:val="28"/>
        </w:rPr>
        <w:t>由湖南省应急管理厅下发安全设施设计审查批复：湘应急许烟设审字〔2024〕第</w:t>
      </w:r>
      <w:r>
        <w:rPr>
          <w:rFonts w:ascii="宋体" w:hAnsi="宋体" w:cs="Arial"/>
          <w:b w:val="0"/>
          <w:bCs/>
          <w:sz w:val="28"/>
        </w:rPr>
        <w:t>0</w:t>
      </w:r>
      <w:r>
        <w:rPr>
          <w:rFonts w:hint="eastAsia" w:ascii="宋体" w:hAnsi="宋体" w:cs="Arial"/>
          <w:b w:val="0"/>
          <w:bCs/>
          <w:sz w:val="28"/>
        </w:rPr>
        <w:t>64号，建设工程现正建设中；</w:t>
      </w:r>
      <w:r>
        <w:rPr>
          <w:rFonts w:ascii="宋体" w:hAnsi="宋体" w:cs="Arial"/>
          <w:b w:val="0"/>
          <w:sz w:val="28"/>
        </w:rPr>
        <w:t>根据</w:t>
      </w:r>
      <w:r>
        <w:rPr>
          <w:rFonts w:hint="eastAsia" w:ascii="宋体" w:hAnsi="宋体" w:cs="Arial"/>
          <w:b w:val="0"/>
          <w:sz w:val="28"/>
        </w:rPr>
        <w:t>2024年12月27日由</w:t>
      </w:r>
      <w:r>
        <w:rPr>
          <w:rFonts w:ascii="宋体" w:hAnsi="宋体" w:cs="Arial"/>
          <w:b w:val="0"/>
          <w:sz w:val="28"/>
        </w:rPr>
        <w:t>湖南省应急管理厅下发的《湖南省应急管理厅关于同意湖南省科富花炮实业有限公司等两家企业改扩建的批复》（湘应急函〔2024〕</w:t>
      </w:r>
      <w:r>
        <w:rPr>
          <w:rFonts w:hint="eastAsia" w:ascii="宋体" w:hAnsi="宋体" w:cs="Arial"/>
          <w:b w:val="0"/>
          <w:sz w:val="28"/>
        </w:rPr>
        <w:t>30</w:t>
      </w:r>
      <w:r>
        <w:rPr>
          <w:rFonts w:ascii="宋体" w:hAnsi="宋体" w:cs="Arial"/>
          <w:b w:val="0"/>
          <w:sz w:val="28"/>
        </w:rPr>
        <w:t xml:space="preserve"> 号），同意批准湖南金帝烟花爆竹制造有限公司在原批复（湘应急函〔2024〕33 号，</w:t>
      </w:r>
      <w:r>
        <w:rPr>
          <w:rFonts w:hint="eastAsia" w:ascii="宋体" w:hAnsi="宋体" w:cs="Arial"/>
          <w:b w:val="0"/>
          <w:bCs/>
          <w:sz w:val="28"/>
        </w:rPr>
        <w:t>湘应急许烟设审字〔2024〕第</w:t>
      </w:r>
      <w:r>
        <w:rPr>
          <w:rFonts w:ascii="宋体" w:hAnsi="宋体" w:cs="Arial"/>
          <w:b w:val="0"/>
          <w:bCs/>
          <w:sz w:val="28"/>
        </w:rPr>
        <w:t>0</w:t>
      </w:r>
      <w:r>
        <w:rPr>
          <w:rFonts w:hint="eastAsia" w:ascii="宋体" w:hAnsi="宋体" w:cs="Arial"/>
          <w:b w:val="0"/>
          <w:bCs/>
          <w:sz w:val="28"/>
        </w:rPr>
        <w:t>64号</w:t>
      </w:r>
      <w:r>
        <w:rPr>
          <w:rFonts w:ascii="宋体" w:hAnsi="宋体" w:cs="Arial"/>
          <w:b w:val="0"/>
          <w:sz w:val="28"/>
        </w:rPr>
        <w:t>）基础上拟扩建</w:t>
      </w:r>
      <w:r>
        <w:rPr>
          <w:rFonts w:hint="eastAsia" w:ascii="宋体" w:hAnsi="宋体" w:cs="Arial"/>
          <w:b w:val="0"/>
          <w:sz w:val="28"/>
        </w:rPr>
        <w:t>1条黑火药（粉状）生产线。拟扩建后厂区共设工库房等建(构)筑物134栋，包括本次拟新建黑火药（粉状）生产线1条，泉水工区申请生产范围为：黑火药（粒状）、黑火药（粉状）</w:t>
      </w:r>
      <w:r>
        <w:rPr>
          <w:rFonts w:hint="eastAsia" w:ascii="宋体" w:hAnsi="宋体"/>
          <w:b w:val="0"/>
          <w:sz w:val="28"/>
          <w:szCs w:val="28"/>
        </w:rPr>
        <w:t>。</w:t>
      </w:r>
    </w:p>
    <w:p w14:paraId="19978C65">
      <w:pPr>
        <w:spacing w:line="360" w:lineRule="auto"/>
        <w:ind w:firstLine="560" w:firstLineChars="200"/>
        <w:rPr>
          <w:rFonts w:ascii="宋体" w:hAnsi="宋体"/>
          <w:b w:val="0"/>
          <w:sz w:val="28"/>
          <w:szCs w:val="28"/>
        </w:rPr>
      </w:pPr>
      <w:r>
        <w:rPr>
          <w:rFonts w:hint="eastAsia" w:ascii="宋体" w:hAnsi="宋体"/>
          <w:b w:val="0"/>
          <w:sz w:val="28"/>
          <w:szCs w:val="28"/>
          <w:lang w:val="en-GB"/>
        </w:rPr>
        <w:t>泉水工区扩建项目位于醴陵市王仙镇灌冲村，建设项目</w:t>
      </w:r>
      <w:r>
        <w:rPr>
          <w:rFonts w:hint="eastAsia" w:ascii="宋体" w:hAnsi="宋体"/>
          <w:b w:val="0"/>
          <w:sz w:val="28"/>
          <w:szCs w:val="28"/>
        </w:rPr>
        <w:t>的</w:t>
      </w:r>
      <w:r>
        <w:rPr>
          <w:rFonts w:hint="eastAsia" w:ascii="宋体" w:hAnsi="宋体"/>
          <w:b w:val="0"/>
          <w:sz w:val="28"/>
          <w:szCs w:val="28"/>
          <w:lang w:val="en-GB"/>
        </w:rPr>
        <w:t>周边环境相对简单，周边安全距离内无城镇规划区、工业区、旅游区等建（构）筑物。该项目周边分布有</w:t>
      </w:r>
      <w:r>
        <w:rPr>
          <w:rFonts w:hint="eastAsia" w:ascii="宋体" w:hAnsi="宋体"/>
          <w:b w:val="0"/>
          <w:sz w:val="28"/>
          <w:szCs w:val="28"/>
        </w:rPr>
        <w:t>零散民房及其他烟花爆竹企业（醴陵市楚丰出口烟花鞭炮制造有限公司），该项目工库房的外部距离均符合《烟花爆竹工程设计安全标准》（GB50161-2022）要求</w:t>
      </w:r>
      <w:r>
        <w:rPr>
          <w:rFonts w:hint="eastAsia" w:ascii="宋体" w:hAnsi="宋体"/>
          <w:b w:val="0"/>
          <w:sz w:val="28"/>
          <w:szCs w:val="28"/>
          <w:lang w:val="en-GB"/>
        </w:rPr>
        <w:t>。</w:t>
      </w:r>
      <w:r>
        <w:rPr>
          <w:rFonts w:hint="eastAsia" w:ascii="宋体" w:hAnsi="宋体"/>
          <w:b w:val="0"/>
          <w:sz w:val="28"/>
          <w:szCs w:val="28"/>
        </w:rPr>
        <w:t>该项目与周边环境均保持有足够的安全距离，与当地城市的近期建设等不发生冲突，不会影响城市建设。</w:t>
      </w:r>
    </w:p>
    <w:p w14:paraId="65F1B3AA">
      <w:pPr>
        <w:spacing w:line="360" w:lineRule="auto"/>
        <w:ind w:firstLine="560" w:firstLineChars="200"/>
        <w:rPr>
          <w:rFonts w:ascii="宋体" w:hAnsi="宋体" w:cs="宋体"/>
          <w:bCs/>
          <w:sz w:val="28"/>
          <w:szCs w:val="28"/>
        </w:rPr>
      </w:pPr>
      <w:r>
        <w:rPr>
          <w:rFonts w:hint="eastAsia" w:ascii="宋体" w:hAnsi="宋体" w:cs="宋体"/>
          <w:b w:val="0"/>
          <w:sz w:val="28"/>
          <w:szCs w:val="28"/>
        </w:rPr>
        <w:t>本地区常年风向为：冬季西北偏北风、夏季西南偏南风，厂区周边安全距离内无居民区，因此该项目不存在因发生火灾、爆炸事故而对下游居民构成太大的危害</w:t>
      </w:r>
      <w:r>
        <w:rPr>
          <w:rFonts w:hint="eastAsia" w:ascii="宋体" w:hAnsi="宋体" w:cs="宋体"/>
          <w:bCs/>
          <w:sz w:val="28"/>
          <w:szCs w:val="28"/>
        </w:rPr>
        <w:t>。</w:t>
      </w:r>
    </w:p>
    <w:p w14:paraId="04866AB6">
      <w:pPr>
        <w:pStyle w:val="7"/>
        <w:spacing w:line="600" w:lineRule="exact"/>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1</w:t>
      </w:r>
      <w:r>
        <w:rPr>
          <w:rFonts w:hint="eastAsia" w:ascii="黑体" w:hAnsi="黑体" w:eastAsia="黑体" w:cs="宋体"/>
          <w:b w:val="0"/>
          <w:szCs w:val="28"/>
        </w:rPr>
        <w:t>.</w:t>
      </w:r>
      <w:r>
        <w:rPr>
          <w:rFonts w:ascii="黑体" w:hAnsi="黑体" w:eastAsia="黑体" w:cs="宋体"/>
          <w:b w:val="0"/>
          <w:szCs w:val="28"/>
        </w:rPr>
        <w:t>2</w:t>
      </w:r>
      <w:r>
        <w:rPr>
          <w:rFonts w:hint="eastAsia" w:ascii="黑体" w:hAnsi="黑体" w:eastAsia="黑体" w:cs="宋体"/>
          <w:b w:val="0"/>
          <w:szCs w:val="28"/>
        </w:rPr>
        <w:t>建设项目周边生产单位、经营活动或居民生产对厂区的影响</w:t>
      </w:r>
    </w:p>
    <w:p w14:paraId="33B87573">
      <w:pPr>
        <w:spacing w:line="600" w:lineRule="exact"/>
        <w:ind w:firstLine="560" w:firstLineChars="200"/>
        <w:rPr>
          <w:rFonts w:ascii="宋体" w:hAnsi="宋体" w:cs="宋体"/>
          <w:b w:val="0"/>
          <w:sz w:val="28"/>
          <w:szCs w:val="28"/>
        </w:rPr>
      </w:pPr>
      <w:r>
        <w:rPr>
          <w:rFonts w:hint="eastAsia" w:ascii="宋体" w:hAnsi="宋体"/>
          <w:b w:val="0"/>
          <w:sz w:val="28"/>
          <w:szCs w:val="28"/>
          <w:lang w:val="en-GB"/>
        </w:rPr>
        <w:t>建设项目位于醴陵市沩山镇泉水村，</w:t>
      </w:r>
      <w:r>
        <w:rPr>
          <w:rFonts w:hint="eastAsia" w:ascii="宋体" w:hAnsi="宋体" w:cs="宋体"/>
          <w:b w:val="0"/>
          <w:sz w:val="28"/>
          <w:szCs w:val="28"/>
        </w:rPr>
        <w:t>坐落于山岭地带，厂区周围无学校、工业区、旅游区、重点建筑物、铁路运输线等。周边外部安全距离范围内无大型居民区，厂区拟设置全厂围墙（部分陡峭地带采用金属网围墙），门口拟设置门禁系统，隔绝了无关人员进入，所以不会对该项目的生产、经营造成影响。</w:t>
      </w:r>
    </w:p>
    <w:p w14:paraId="467E927F">
      <w:pPr>
        <w:spacing w:line="600" w:lineRule="exact"/>
        <w:ind w:firstLine="560" w:firstLineChars="200"/>
        <w:rPr>
          <w:rFonts w:ascii="宋体" w:hAnsi="宋体" w:cs="宋体"/>
          <w:bCs/>
          <w:sz w:val="28"/>
          <w:szCs w:val="28"/>
        </w:rPr>
      </w:pPr>
      <w:r>
        <w:rPr>
          <w:rFonts w:hint="eastAsia" w:ascii="宋体" w:hAnsi="宋体" w:cs="宋体"/>
          <w:b w:val="0"/>
          <w:sz w:val="28"/>
          <w:szCs w:val="28"/>
        </w:rPr>
        <w:t>因此，周边生产经营活动不存在固有的危险有害因素，不会对厂区本身造成影响和相互制约干扰因素</w:t>
      </w:r>
      <w:r>
        <w:rPr>
          <w:rFonts w:hint="eastAsia" w:ascii="宋体" w:hAnsi="宋体" w:cs="宋体"/>
          <w:bCs/>
          <w:sz w:val="28"/>
          <w:szCs w:val="28"/>
        </w:rPr>
        <w:t>。</w:t>
      </w:r>
    </w:p>
    <w:p w14:paraId="00C6E430">
      <w:pPr>
        <w:pStyle w:val="7"/>
        <w:spacing w:line="600" w:lineRule="exact"/>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.1.3</w:t>
      </w:r>
      <w:r>
        <w:rPr>
          <w:rFonts w:hint="eastAsia" w:ascii="黑体" w:hAnsi="黑体" w:eastAsia="黑体" w:cs="宋体"/>
          <w:b w:val="0"/>
          <w:szCs w:val="28"/>
        </w:rPr>
        <w:t>自然条件对建设项目可能产生的影响</w:t>
      </w:r>
    </w:p>
    <w:p w14:paraId="692CB4F1">
      <w:pPr>
        <w:spacing w:line="600" w:lineRule="exact"/>
        <w:ind w:firstLine="560" w:firstLineChars="200"/>
        <w:rPr>
          <w:rFonts w:ascii="宋体" w:hAnsi="宋体"/>
          <w:b w:val="0"/>
          <w:bCs/>
          <w:sz w:val="28"/>
          <w:szCs w:val="28"/>
        </w:rPr>
      </w:pPr>
      <w:r>
        <w:rPr>
          <w:rFonts w:hint="eastAsia" w:ascii="宋体" w:hAnsi="宋体"/>
          <w:b w:val="0"/>
          <w:bCs/>
          <w:sz w:val="28"/>
          <w:szCs w:val="28"/>
        </w:rPr>
        <w:t>在夏天存在雷雨天气，冬天存在冷冻天气。当地自然条件对该企业有一定的影响，在冬季路面结冰时，应注意厂区道路和场地的防滑措施。在暴雨季节，应注意工房屋面的防漏措施。</w:t>
      </w:r>
    </w:p>
    <w:p w14:paraId="73266188">
      <w:pPr>
        <w:spacing w:line="600" w:lineRule="exact"/>
        <w:ind w:firstLine="560" w:firstLineChars="200"/>
        <w:rPr>
          <w:rFonts w:ascii="宋体" w:hAnsi="宋体"/>
          <w:b w:val="0"/>
          <w:bCs/>
          <w:sz w:val="28"/>
          <w:szCs w:val="28"/>
        </w:rPr>
      </w:pPr>
      <w:r>
        <w:rPr>
          <w:rFonts w:hint="eastAsia" w:ascii="宋体" w:hAnsi="宋体"/>
          <w:b w:val="0"/>
          <w:bCs/>
          <w:sz w:val="28"/>
          <w:szCs w:val="28"/>
        </w:rPr>
        <w:t>雷雨天气对工库房有一定的影响，当建筑物防雷设施被破坏或设计不满足建筑物防雷类别要求时，遭到雷击的影响。</w:t>
      </w:r>
    </w:p>
    <w:p w14:paraId="22789DDD">
      <w:pPr>
        <w:pStyle w:val="7"/>
        <w:spacing w:line="600" w:lineRule="exact"/>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1</w:t>
      </w:r>
      <w:r>
        <w:rPr>
          <w:rFonts w:hint="eastAsia" w:ascii="黑体" w:hAnsi="黑体" w:eastAsia="黑体" w:cs="宋体"/>
          <w:b w:val="0"/>
          <w:szCs w:val="28"/>
        </w:rPr>
        <w:t>.</w:t>
      </w:r>
      <w:r>
        <w:rPr>
          <w:rFonts w:ascii="黑体" w:hAnsi="黑体" w:eastAsia="黑体" w:cs="宋体"/>
          <w:b w:val="0"/>
          <w:szCs w:val="28"/>
        </w:rPr>
        <w:t>4</w:t>
      </w:r>
      <w:r>
        <w:rPr>
          <w:rFonts w:hint="eastAsia" w:ascii="黑体" w:hAnsi="黑体" w:eastAsia="黑体" w:cs="宋体"/>
          <w:b w:val="0"/>
          <w:szCs w:val="28"/>
        </w:rPr>
        <w:t>周边环境与建设项目相互影响的评价小结</w:t>
      </w:r>
    </w:p>
    <w:p w14:paraId="084CD9B7">
      <w:pPr>
        <w:pStyle w:val="2"/>
        <w:spacing w:line="600" w:lineRule="exact"/>
        <w:ind w:firstLine="560"/>
        <w:rPr>
          <w:rFonts w:asciiTheme="minorEastAsia" w:hAnsiTheme="minorEastAsia" w:eastAsiaTheme="minorEastAsia"/>
          <w:b w:val="0"/>
          <w:bCs/>
        </w:rPr>
      </w:pPr>
      <w:r>
        <w:rPr>
          <w:rFonts w:hint="eastAsia" w:asciiTheme="minorEastAsia" w:hAnsiTheme="minorEastAsia" w:eastAsiaTheme="minorEastAsia"/>
          <w:b w:val="0"/>
          <w:bCs/>
        </w:rPr>
        <w:t>根据对该企业泉水工区扩建项目内在危险有害因素对周边单位生产、经营活动及居民生活的影响，泉水工区扩建项目周边生产单位、经营活动及居民生活对厂区的影响以及自然条件对泉水工区扩建项目可能产生的影响的分析，在采取相关措施后，周边环境与泉水工区扩建项目的相互影响较小，在可接受范围内。当地自然条件主要是在夏天存在雷雨天气，冬天存在霜冻天气，企业采取防护措施后，均在可接受范围内</w:t>
      </w:r>
      <w:r>
        <w:rPr>
          <w:rFonts w:hint="eastAsia" w:cs="宋体" w:asciiTheme="minorEastAsia" w:hAnsiTheme="minorEastAsia" w:eastAsiaTheme="minorEastAsia"/>
          <w:b w:val="0"/>
          <w:bCs/>
          <w:szCs w:val="28"/>
        </w:rPr>
        <w:t>。</w:t>
      </w:r>
    </w:p>
    <w:p w14:paraId="0748FE53">
      <w:pPr>
        <w:keepNext/>
        <w:keepLines/>
        <w:spacing w:before="120" w:beforeLines="50" w:line="600" w:lineRule="exact"/>
        <w:outlineLvl w:val="1"/>
        <w:rPr>
          <w:rFonts w:ascii="黑体" w:hAnsi="宋体" w:eastAsia="黑体"/>
          <w:b w:val="0"/>
          <w:bCs/>
          <w:snapToGrid w:val="0"/>
          <w:sz w:val="30"/>
          <w:szCs w:val="30"/>
        </w:rPr>
      </w:pPr>
      <w:bookmarkStart w:id="486" w:name="_Toc239191518"/>
      <w:r>
        <w:rPr>
          <w:rFonts w:hint="eastAsia" w:ascii="黑体" w:hAnsi="宋体" w:eastAsia="黑体"/>
          <w:b w:val="0"/>
          <w:bCs/>
          <w:snapToGrid w:val="0"/>
          <w:sz w:val="30"/>
          <w:szCs w:val="30"/>
        </w:rPr>
        <w:t>5.2建设项目</w:t>
      </w:r>
      <w:bookmarkEnd w:id="475"/>
      <w:bookmarkEnd w:id="476"/>
      <w:bookmarkEnd w:id="477"/>
      <w:bookmarkEnd w:id="478"/>
      <w:bookmarkEnd w:id="479"/>
      <w:bookmarkEnd w:id="480"/>
      <w:bookmarkEnd w:id="481"/>
      <w:bookmarkEnd w:id="482"/>
      <w:bookmarkEnd w:id="483"/>
      <w:bookmarkEnd w:id="484"/>
      <w:bookmarkEnd w:id="485"/>
      <w:r>
        <w:rPr>
          <w:rFonts w:hint="eastAsia" w:ascii="黑体" w:hAnsi="宋体" w:eastAsia="黑体"/>
          <w:b w:val="0"/>
          <w:bCs/>
          <w:snapToGrid w:val="0"/>
          <w:sz w:val="30"/>
          <w:szCs w:val="30"/>
        </w:rPr>
        <w:t>总体布局单元</w:t>
      </w:r>
      <w:bookmarkEnd w:id="486"/>
    </w:p>
    <w:p w14:paraId="16517C83">
      <w:pPr>
        <w:spacing w:line="600" w:lineRule="exact"/>
        <w:ind w:firstLine="560" w:firstLineChars="200"/>
        <w:rPr>
          <w:rFonts w:ascii="宋体" w:hAnsi="宋体"/>
          <w:b w:val="0"/>
          <w:bCs/>
          <w:sz w:val="28"/>
          <w:szCs w:val="28"/>
        </w:rPr>
      </w:pPr>
      <w:r>
        <w:rPr>
          <w:rFonts w:hint="eastAsia" w:ascii="宋体" w:hAnsi="宋体" w:cs="宋体"/>
          <w:b w:val="0"/>
          <w:bCs/>
          <w:sz w:val="28"/>
          <w:szCs w:val="28"/>
        </w:rPr>
        <w:t>采用安全检查表法对本单元进行评价。</w:t>
      </w:r>
    </w:p>
    <w:p w14:paraId="4F227692">
      <w:pPr>
        <w:adjustRightInd w:val="0"/>
        <w:snapToGrid w:val="0"/>
        <w:spacing w:line="600" w:lineRule="exact"/>
        <w:ind w:firstLine="560" w:firstLineChars="200"/>
        <w:rPr>
          <w:rFonts w:ascii="Arial" w:hAnsi="宋体" w:cs="Arial"/>
          <w:b w:val="0"/>
          <w:bCs/>
          <w:sz w:val="28"/>
          <w:szCs w:val="28"/>
        </w:rPr>
      </w:pPr>
      <w:r>
        <w:rPr>
          <w:rFonts w:hint="eastAsia" w:ascii="宋体" w:hAnsi="宋体"/>
          <w:b w:val="0"/>
          <w:bCs/>
          <w:sz w:val="28"/>
          <w:szCs w:val="28"/>
        </w:rPr>
        <w:t>根据《安全预评价导则》、《烟花爆竹工程设计安全标准》（GB50161-2022）和</w:t>
      </w:r>
      <w:r>
        <w:rPr>
          <w:rFonts w:ascii="宋体" w:hAnsi="宋体" w:cs="Arial"/>
          <w:b w:val="0"/>
          <w:bCs/>
          <w:sz w:val="28"/>
          <w:szCs w:val="28"/>
        </w:rPr>
        <w:t>《烟花爆竹安全管理</w:t>
      </w:r>
      <w:r>
        <w:rPr>
          <w:rFonts w:hint="eastAsia" w:ascii="宋体" w:hAnsi="宋体"/>
          <w:b w:val="0"/>
          <w:bCs/>
          <w:sz w:val="28"/>
          <w:szCs w:val="28"/>
        </w:rPr>
        <w:t>条例》等要求用安全检查表法对该企业所提供的《湖南金帝烟花爆竹制造有限公司泉水工区扩建项目安全设施设计平面布置图》（初步设计方案图）及其它相关资料进行检查和评价</w:t>
      </w:r>
      <w:r>
        <w:rPr>
          <w:rFonts w:ascii="Arial" w:hAnsi="宋体" w:cs="Arial"/>
          <w:b w:val="0"/>
          <w:bCs/>
          <w:sz w:val="28"/>
          <w:szCs w:val="28"/>
        </w:rPr>
        <w:t>。</w:t>
      </w:r>
    </w:p>
    <w:p w14:paraId="782B95BA">
      <w:pPr>
        <w:jc w:val="center"/>
        <w:rPr>
          <w:rFonts w:ascii="黑体" w:hAnsi="黑体" w:eastAsia="黑体" w:cs="Arial"/>
          <w:b w:val="0"/>
          <w:sz w:val="24"/>
        </w:rPr>
      </w:pPr>
      <w:r>
        <w:rPr>
          <w:rFonts w:ascii="黑体" w:hAnsi="黑体" w:eastAsia="黑体" w:cs="Arial"/>
          <w:b w:val="0"/>
          <w:sz w:val="24"/>
        </w:rPr>
        <w:t>表5.</w:t>
      </w:r>
      <w:r>
        <w:rPr>
          <w:rFonts w:hint="eastAsia" w:ascii="黑体" w:hAnsi="黑体" w:eastAsia="黑体" w:cs="Arial"/>
          <w:b w:val="0"/>
          <w:sz w:val="24"/>
        </w:rPr>
        <w:t>2-1</w:t>
      </w:r>
      <w:r>
        <w:rPr>
          <w:rFonts w:ascii="黑体" w:hAnsi="黑体" w:eastAsia="黑体" w:cs="Arial"/>
          <w:b w:val="0"/>
          <w:sz w:val="24"/>
        </w:rPr>
        <w:t xml:space="preserve">  </w:t>
      </w:r>
      <w:r>
        <w:rPr>
          <w:rFonts w:hint="eastAsia" w:ascii="黑体" w:hAnsi="黑体" w:eastAsia="黑体" w:cs="Arial"/>
          <w:b w:val="0"/>
          <w:sz w:val="24"/>
        </w:rPr>
        <w:t>总平面布置检查</w:t>
      </w:r>
      <w:r>
        <w:rPr>
          <w:rFonts w:ascii="黑体" w:hAnsi="黑体" w:eastAsia="黑体" w:cs="Arial"/>
          <w:b w:val="0"/>
          <w:sz w:val="24"/>
        </w:rPr>
        <w:t>表</w:t>
      </w:r>
    </w:p>
    <w:tbl>
      <w:tblPr>
        <w:tblStyle w:val="88"/>
        <w:tblW w:w="91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18"/>
        <w:gridCol w:w="518"/>
        <w:gridCol w:w="2258"/>
        <w:gridCol w:w="5260"/>
        <w:gridCol w:w="572"/>
      </w:tblGrid>
      <w:tr w14:paraId="529EC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518" w:type="dxa"/>
            <w:vAlign w:val="center"/>
          </w:tcPr>
          <w:p w14:paraId="3B1C06D8">
            <w:pPr>
              <w:adjustRightInd w:val="0"/>
              <w:snapToGrid w:val="0"/>
              <w:spacing w:before="24" w:beforeLines="10"/>
              <w:jc w:val="center"/>
              <w:rPr>
                <w:rFonts w:ascii="宋体" w:hAnsi="宋体"/>
                <w:szCs w:val="21"/>
              </w:rPr>
            </w:pPr>
            <w:r>
              <w:rPr>
                <w:rFonts w:hint="eastAsia" w:ascii="宋体" w:hAnsi="宋体"/>
                <w:szCs w:val="21"/>
              </w:rPr>
              <w:t>序号</w:t>
            </w:r>
          </w:p>
        </w:tc>
        <w:tc>
          <w:tcPr>
            <w:tcW w:w="518" w:type="dxa"/>
            <w:vAlign w:val="center"/>
          </w:tcPr>
          <w:p w14:paraId="3D3F5320">
            <w:pPr>
              <w:adjustRightInd w:val="0"/>
              <w:snapToGrid w:val="0"/>
              <w:spacing w:before="24" w:beforeLines="10"/>
              <w:jc w:val="center"/>
              <w:rPr>
                <w:rFonts w:ascii="宋体" w:hAnsi="宋体"/>
                <w:szCs w:val="21"/>
              </w:rPr>
            </w:pPr>
            <w:r>
              <w:rPr>
                <w:rFonts w:hint="eastAsia" w:ascii="宋体" w:hAnsi="宋体"/>
                <w:szCs w:val="21"/>
              </w:rPr>
              <w:t>项目</w:t>
            </w:r>
          </w:p>
        </w:tc>
        <w:tc>
          <w:tcPr>
            <w:tcW w:w="2258" w:type="dxa"/>
            <w:vAlign w:val="center"/>
          </w:tcPr>
          <w:p w14:paraId="4164D77B">
            <w:pPr>
              <w:adjustRightInd w:val="0"/>
              <w:snapToGrid w:val="0"/>
              <w:spacing w:before="72" w:beforeLines="30" w:after="48" w:afterLines="20"/>
              <w:jc w:val="center"/>
              <w:rPr>
                <w:rFonts w:ascii="宋体" w:hAnsi="宋体"/>
                <w:szCs w:val="21"/>
              </w:rPr>
            </w:pPr>
            <w:r>
              <w:rPr>
                <w:rFonts w:hint="eastAsia" w:ascii="宋体" w:hAnsi="宋体"/>
                <w:szCs w:val="21"/>
              </w:rPr>
              <w:t>检查项目</w:t>
            </w:r>
          </w:p>
        </w:tc>
        <w:tc>
          <w:tcPr>
            <w:tcW w:w="5260" w:type="dxa"/>
            <w:vAlign w:val="center"/>
          </w:tcPr>
          <w:p w14:paraId="54AB4FE4">
            <w:pPr>
              <w:adjustRightInd w:val="0"/>
              <w:snapToGrid w:val="0"/>
              <w:spacing w:before="72" w:beforeLines="30" w:after="48" w:afterLines="20"/>
              <w:jc w:val="center"/>
              <w:rPr>
                <w:rFonts w:ascii="宋体" w:hAnsi="宋体"/>
                <w:szCs w:val="21"/>
              </w:rPr>
            </w:pPr>
            <w:r>
              <w:rPr>
                <w:rFonts w:hint="eastAsia" w:ascii="宋体" w:hAnsi="宋体"/>
                <w:szCs w:val="21"/>
              </w:rPr>
              <w:t>实际情况</w:t>
            </w:r>
          </w:p>
        </w:tc>
        <w:tc>
          <w:tcPr>
            <w:tcW w:w="572" w:type="dxa"/>
            <w:vAlign w:val="center"/>
          </w:tcPr>
          <w:p w14:paraId="4B24BF3C">
            <w:pPr>
              <w:adjustRightInd w:val="0"/>
              <w:snapToGrid w:val="0"/>
              <w:spacing w:before="72" w:beforeLines="30" w:after="48" w:afterLines="20"/>
              <w:jc w:val="center"/>
              <w:rPr>
                <w:rFonts w:ascii="宋体" w:hAnsi="宋体"/>
                <w:szCs w:val="21"/>
              </w:rPr>
            </w:pPr>
            <w:r>
              <w:rPr>
                <w:rFonts w:hint="eastAsia" w:ascii="宋体" w:hAnsi="宋体"/>
                <w:szCs w:val="21"/>
              </w:rPr>
              <w:t>检查</w:t>
            </w:r>
          </w:p>
          <w:p w14:paraId="5BC93FBB">
            <w:pPr>
              <w:adjustRightInd w:val="0"/>
              <w:snapToGrid w:val="0"/>
              <w:spacing w:before="72" w:beforeLines="30" w:after="48" w:afterLines="20"/>
              <w:jc w:val="center"/>
              <w:rPr>
                <w:rFonts w:ascii="宋体" w:hAnsi="宋体"/>
                <w:szCs w:val="21"/>
              </w:rPr>
            </w:pPr>
            <w:r>
              <w:rPr>
                <w:rFonts w:hint="eastAsia" w:ascii="宋体" w:hAnsi="宋体"/>
                <w:szCs w:val="21"/>
              </w:rPr>
              <w:t>结论</w:t>
            </w:r>
          </w:p>
        </w:tc>
      </w:tr>
      <w:tr w14:paraId="57343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89" w:hRule="atLeast"/>
          <w:jc w:val="center"/>
        </w:trPr>
        <w:tc>
          <w:tcPr>
            <w:tcW w:w="518" w:type="dxa"/>
            <w:vMerge w:val="restart"/>
            <w:vAlign w:val="center"/>
          </w:tcPr>
          <w:p w14:paraId="306F0E6C">
            <w:pPr>
              <w:adjustRightInd w:val="0"/>
              <w:snapToGrid w:val="0"/>
              <w:spacing w:before="24" w:beforeLines="10"/>
              <w:jc w:val="center"/>
              <w:rPr>
                <w:rFonts w:ascii="宋体" w:hAnsi="宋体"/>
                <w:b w:val="0"/>
                <w:bCs/>
                <w:szCs w:val="21"/>
              </w:rPr>
            </w:pPr>
            <w:r>
              <w:rPr>
                <w:rFonts w:hint="eastAsia" w:ascii="宋体" w:hAnsi="宋体"/>
                <w:b w:val="0"/>
                <w:bCs/>
                <w:szCs w:val="21"/>
              </w:rPr>
              <w:t>1</w:t>
            </w:r>
          </w:p>
        </w:tc>
        <w:tc>
          <w:tcPr>
            <w:tcW w:w="518" w:type="dxa"/>
            <w:vMerge w:val="restart"/>
            <w:vAlign w:val="center"/>
          </w:tcPr>
          <w:p w14:paraId="2F890693">
            <w:pPr>
              <w:adjustRightInd w:val="0"/>
              <w:snapToGrid w:val="0"/>
              <w:spacing w:before="24" w:beforeLines="10"/>
              <w:ind w:left="105" w:leftChars="50" w:right="105" w:rightChars="50"/>
              <w:jc w:val="center"/>
              <w:rPr>
                <w:rFonts w:ascii="宋体" w:hAnsi="宋体"/>
                <w:b w:val="0"/>
                <w:bCs/>
                <w:szCs w:val="21"/>
              </w:rPr>
            </w:pPr>
            <w:r>
              <w:rPr>
                <w:rFonts w:hint="eastAsia" w:ascii="宋体" w:hAnsi="宋体"/>
                <w:b w:val="0"/>
                <w:bCs/>
                <w:szCs w:val="21"/>
              </w:rPr>
              <w:t>规划</w:t>
            </w:r>
          </w:p>
        </w:tc>
        <w:tc>
          <w:tcPr>
            <w:tcW w:w="2258" w:type="dxa"/>
            <w:vAlign w:val="center"/>
          </w:tcPr>
          <w:p w14:paraId="36CDF7DD">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选址</w:t>
            </w:r>
          </w:p>
        </w:tc>
        <w:tc>
          <w:tcPr>
            <w:tcW w:w="5260" w:type="dxa"/>
            <w:vAlign w:val="center"/>
          </w:tcPr>
          <w:p w14:paraId="16AAB78C">
            <w:pPr>
              <w:adjustRightInd w:val="0"/>
              <w:snapToGrid w:val="0"/>
              <w:spacing w:before="72" w:beforeLines="30" w:after="48" w:afterLines="20"/>
              <w:rPr>
                <w:rFonts w:ascii="宋体" w:hAnsi="宋体"/>
                <w:b w:val="0"/>
                <w:bCs/>
                <w:szCs w:val="21"/>
              </w:rPr>
            </w:pPr>
            <w:r>
              <w:rPr>
                <w:rFonts w:hint="eastAsia" w:ascii="宋体" w:hAnsi="宋体"/>
                <w:b w:val="0"/>
                <w:bCs/>
                <w:szCs w:val="21"/>
              </w:rPr>
              <w:t>建设项目位于醴陵市沩山镇泉水村，选址远离城镇规划的要求，并避开学校、居民点、旅游区、重点建筑物、铁路运输线等保护对象，符合当地城乡规划要求，选址与设计吻合。</w:t>
            </w:r>
          </w:p>
        </w:tc>
        <w:tc>
          <w:tcPr>
            <w:tcW w:w="572" w:type="dxa"/>
            <w:vAlign w:val="center"/>
          </w:tcPr>
          <w:p w14:paraId="2E503CAB">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7A116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096A3731">
            <w:pPr>
              <w:adjustRightInd w:val="0"/>
              <w:snapToGrid w:val="0"/>
              <w:spacing w:before="24" w:beforeLines="10"/>
              <w:jc w:val="center"/>
              <w:rPr>
                <w:rFonts w:ascii="宋体" w:hAnsi="宋体"/>
                <w:b w:val="0"/>
                <w:bCs/>
                <w:szCs w:val="21"/>
              </w:rPr>
            </w:pPr>
          </w:p>
        </w:tc>
        <w:tc>
          <w:tcPr>
            <w:tcW w:w="518" w:type="dxa"/>
            <w:vMerge w:val="continue"/>
            <w:vAlign w:val="center"/>
          </w:tcPr>
          <w:p w14:paraId="4AD40E98">
            <w:pPr>
              <w:adjustRightInd w:val="0"/>
              <w:snapToGrid w:val="0"/>
              <w:spacing w:before="24" w:beforeLines="10"/>
              <w:jc w:val="center"/>
              <w:rPr>
                <w:rFonts w:ascii="宋体" w:hAnsi="宋体"/>
                <w:b w:val="0"/>
                <w:bCs/>
                <w:szCs w:val="21"/>
              </w:rPr>
            </w:pPr>
          </w:p>
        </w:tc>
        <w:tc>
          <w:tcPr>
            <w:tcW w:w="2258" w:type="dxa"/>
            <w:vAlign w:val="center"/>
          </w:tcPr>
          <w:p w14:paraId="4440B51C">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功能分区</w:t>
            </w:r>
          </w:p>
        </w:tc>
        <w:tc>
          <w:tcPr>
            <w:tcW w:w="5260" w:type="dxa"/>
            <w:vAlign w:val="center"/>
          </w:tcPr>
          <w:p w14:paraId="0170CF7D">
            <w:pPr>
              <w:adjustRightInd w:val="0"/>
              <w:snapToGrid w:val="0"/>
              <w:spacing w:before="72" w:beforeLines="30" w:after="48" w:afterLines="20"/>
              <w:rPr>
                <w:rFonts w:ascii="宋体" w:hAnsi="宋体"/>
                <w:b w:val="0"/>
                <w:bCs/>
                <w:szCs w:val="21"/>
              </w:rPr>
            </w:pPr>
            <w:r>
              <w:rPr>
                <w:rFonts w:hint="eastAsia" w:ascii="宋体" w:hAnsi="宋体"/>
                <w:b w:val="0"/>
                <w:bCs/>
                <w:szCs w:val="21"/>
              </w:rPr>
              <w:t>按照GB50161-2022和设计图纸，该企业分别设置了非危险品生产区、危险品生产区、危险品仓库及办公生活区；危险品生产区根据生产的品种，分别建立生产线，做到分小区布置。</w:t>
            </w:r>
          </w:p>
        </w:tc>
        <w:tc>
          <w:tcPr>
            <w:tcW w:w="572" w:type="dxa"/>
            <w:vAlign w:val="center"/>
          </w:tcPr>
          <w:p w14:paraId="5FD4997E">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78E75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518" w:type="dxa"/>
            <w:vMerge w:val="continue"/>
            <w:vAlign w:val="center"/>
          </w:tcPr>
          <w:p w14:paraId="07DAF6D1">
            <w:pPr>
              <w:adjustRightInd w:val="0"/>
              <w:snapToGrid w:val="0"/>
              <w:spacing w:before="24" w:beforeLines="10"/>
              <w:jc w:val="center"/>
              <w:rPr>
                <w:rFonts w:ascii="宋体" w:hAnsi="宋体"/>
                <w:b w:val="0"/>
                <w:bCs/>
                <w:szCs w:val="21"/>
              </w:rPr>
            </w:pPr>
          </w:p>
        </w:tc>
        <w:tc>
          <w:tcPr>
            <w:tcW w:w="518" w:type="dxa"/>
            <w:vMerge w:val="continue"/>
            <w:vAlign w:val="center"/>
          </w:tcPr>
          <w:p w14:paraId="763B72AF">
            <w:pPr>
              <w:adjustRightInd w:val="0"/>
              <w:snapToGrid w:val="0"/>
              <w:spacing w:before="24" w:beforeLines="10"/>
              <w:jc w:val="center"/>
              <w:rPr>
                <w:rFonts w:ascii="宋体" w:hAnsi="宋体"/>
                <w:b w:val="0"/>
                <w:bCs/>
                <w:szCs w:val="21"/>
              </w:rPr>
            </w:pPr>
          </w:p>
        </w:tc>
        <w:tc>
          <w:tcPr>
            <w:tcW w:w="2258" w:type="dxa"/>
            <w:vAlign w:val="center"/>
          </w:tcPr>
          <w:p w14:paraId="61AB9DB5">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建筑物危险等级划分和布置</w:t>
            </w:r>
          </w:p>
        </w:tc>
        <w:tc>
          <w:tcPr>
            <w:tcW w:w="5260" w:type="dxa"/>
            <w:vAlign w:val="center"/>
          </w:tcPr>
          <w:p w14:paraId="0FCE0598">
            <w:pPr>
              <w:adjustRightInd w:val="0"/>
              <w:snapToGrid w:val="0"/>
              <w:spacing w:before="72" w:beforeLines="30" w:after="48" w:afterLines="20"/>
              <w:rPr>
                <w:rFonts w:ascii="宋体" w:hAnsi="宋体"/>
                <w:b w:val="0"/>
                <w:bCs/>
                <w:szCs w:val="21"/>
              </w:rPr>
            </w:pPr>
            <w:r>
              <w:rPr>
                <w:rFonts w:hint="eastAsia" w:ascii="宋体" w:hAnsi="宋体"/>
                <w:b w:val="0"/>
                <w:bCs/>
                <w:szCs w:val="21"/>
              </w:rPr>
              <w:t>建筑物危险等级划分为1.1级、1.3级，分区布置。</w:t>
            </w:r>
          </w:p>
        </w:tc>
        <w:tc>
          <w:tcPr>
            <w:tcW w:w="572" w:type="dxa"/>
            <w:vAlign w:val="center"/>
          </w:tcPr>
          <w:p w14:paraId="6DB94DB7">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1D2DA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5E6E90C1">
            <w:pPr>
              <w:adjustRightInd w:val="0"/>
              <w:snapToGrid w:val="0"/>
              <w:spacing w:before="24" w:beforeLines="10"/>
              <w:rPr>
                <w:rFonts w:ascii="宋体" w:hAnsi="宋体"/>
                <w:b w:val="0"/>
                <w:bCs/>
                <w:szCs w:val="21"/>
              </w:rPr>
            </w:pPr>
          </w:p>
        </w:tc>
        <w:tc>
          <w:tcPr>
            <w:tcW w:w="518" w:type="dxa"/>
            <w:vMerge w:val="continue"/>
            <w:vAlign w:val="center"/>
          </w:tcPr>
          <w:p w14:paraId="52B41B7F">
            <w:pPr>
              <w:adjustRightInd w:val="0"/>
              <w:snapToGrid w:val="0"/>
              <w:spacing w:before="24" w:beforeLines="10"/>
              <w:rPr>
                <w:rFonts w:ascii="宋体" w:hAnsi="宋体"/>
                <w:b w:val="0"/>
                <w:bCs/>
                <w:szCs w:val="21"/>
              </w:rPr>
            </w:pPr>
          </w:p>
        </w:tc>
        <w:tc>
          <w:tcPr>
            <w:tcW w:w="2258" w:type="dxa"/>
            <w:vAlign w:val="center"/>
          </w:tcPr>
          <w:p w14:paraId="628FB9BE">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危险品运输通道</w:t>
            </w:r>
          </w:p>
        </w:tc>
        <w:tc>
          <w:tcPr>
            <w:tcW w:w="5260" w:type="dxa"/>
            <w:vAlign w:val="center"/>
          </w:tcPr>
          <w:p w14:paraId="3ED5895D">
            <w:pPr>
              <w:adjustRightInd w:val="0"/>
              <w:snapToGrid w:val="0"/>
              <w:spacing w:before="72" w:beforeLines="30" w:after="48" w:afterLines="20"/>
              <w:rPr>
                <w:rFonts w:ascii="宋体" w:hAnsi="宋体"/>
                <w:b w:val="0"/>
                <w:bCs/>
                <w:szCs w:val="21"/>
              </w:rPr>
            </w:pPr>
            <w:r>
              <w:rPr>
                <w:rFonts w:hint="eastAsia" w:ascii="宋体" w:hAnsi="宋体"/>
                <w:b w:val="0"/>
                <w:bCs/>
                <w:szCs w:val="21"/>
              </w:rPr>
              <w:t>生产区内运输危险品的通道较平整，距离危险品建筑物的距离符合要求。</w:t>
            </w:r>
          </w:p>
        </w:tc>
        <w:tc>
          <w:tcPr>
            <w:tcW w:w="572" w:type="dxa"/>
            <w:vAlign w:val="center"/>
          </w:tcPr>
          <w:p w14:paraId="2103785F">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74A43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984" w:hRule="atLeast"/>
          <w:jc w:val="center"/>
        </w:trPr>
        <w:tc>
          <w:tcPr>
            <w:tcW w:w="518" w:type="dxa"/>
            <w:vMerge w:val="continue"/>
            <w:vAlign w:val="center"/>
          </w:tcPr>
          <w:p w14:paraId="7B9ACEF8">
            <w:pPr>
              <w:adjustRightInd w:val="0"/>
              <w:snapToGrid w:val="0"/>
              <w:spacing w:before="24" w:beforeLines="10"/>
              <w:rPr>
                <w:rFonts w:ascii="宋体" w:hAnsi="宋体"/>
                <w:b w:val="0"/>
                <w:bCs/>
                <w:szCs w:val="21"/>
              </w:rPr>
            </w:pPr>
          </w:p>
        </w:tc>
        <w:tc>
          <w:tcPr>
            <w:tcW w:w="518" w:type="dxa"/>
            <w:vMerge w:val="continue"/>
            <w:vAlign w:val="center"/>
          </w:tcPr>
          <w:p w14:paraId="7D02F880">
            <w:pPr>
              <w:adjustRightInd w:val="0"/>
              <w:snapToGrid w:val="0"/>
              <w:spacing w:before="24" w:beforeLines="10"/>
              <w:rPr>
                <w:rFonts w:ascii="宋体" w:hAnsi="宋体"/>
                <w:b w:val="0"/>
                <w:bCs/>
                <w:szCs w:val="21"/>
              </w:rPr>
            </w:pPr>
          </w:p>
        </w:tc>
        <w:tc>
          <w:tcPr>
            <w:tcW w:w="2258" w:type="dxa"/>
            <w:vAlign w:val="center"/>
          </w:tcPr>
          <w:p w14:paraId="760442CE">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外部安全距离</w:t>
            </w:r>
          </w:p>
        </w:tc>
        <w:tc>
          <w:tcPr>
            <w:tcW w:w="5260" w:type="dxa"/>
            <w:vAlign w:val="center"/>
          </w:tcPr>
          <w:p w14:paraId="1C83BFDD">
            <w:pPr>
              <w:adjustRightInd w:val="0"/>
              <w:snapToGrid w:val="0"/>
              <w:spacing w:before="72" w:beforeLines="30" w:after="48" w:afterLines="20"/>
              <w:rPr>
                <w:rFonts w:ascii="宋体" w:hAnsi="宋体"/>
                <w:b w:val="0"/>
                <w:bCs/>
                <w:szCs w:val="21"/>
              </w:rPr>
            </w:pPr>
            <w:r>
              <w:rPr>
                <w:rFonts w:hint="eastAsia" w:ascii="宋体" w:hAnsi="宋体"/>
                <w:b w:val="0"/>
                <w:bCs/>
                <w:szCs w:val="21"/>
              </w:rPr>
              <w:t>根据该企业提供的《湖南金帝烟花爆竹制造有限公司泉水工区扩建项目安全设施设计平面布置图》（初步设计方案图）和现场勘查，该企业地处小丘陵地带，该项目周边分布有零散民房及其他烟花爆竹企业（醴陵市楚丰出口烟花鞭炮制造有限公司），该项目工库房的外部距离均符合《烟花爆竹工程设计安全标准》（GB50161-2022）要求。</w:t>
            </w:r>
          </w:p>
        </w:tc>
        <w:tc>
          <w:tcPr>
            <w:tcW w:w="572" w:type="dxa"/>
            <w:vAlign w:val="center"/>
          </w:tcPr>
          <w:p w14:paraId="056451D6">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1E539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restart"/>
            <w:vAlign w:val="center"/>
          </w:tcPr>
          <w:p w14:paraId="5BAB6E8E">
            <w:pPr>
              <w:adjustRightInd w:val="0"/>
              <w:snapToGrid w:val="0"/>
              <w:spacing w:before="24" w:beforeLines="10"/>
              <w:jc w:val="center"/>
              <w:rPr>
                <w:rFonts w:ascii="宋体" w:hAnsi="宋体"/>
                <w:b w:val="0"/>
                <w:bCs/>
                <w:szCs w:val="21"/>
              </w:rPr>
            </w:pPr>
            <w:r>
              <w:rPr>
                <w:rFonts w:hint="eastAsia" w:ascii="宋体" w:hAnsi="宋体"/>
                <w:b w:val="0"/>
                <w:bCs/>
                <w:szCs w:val="21"/>
              </w:rPr>
              <w:t xml:space="preserve">2 </w:t>
            </w:r>
          </w:p>
        </w:tc>
        <w:tc>
          <w:tcPr>
            <w:tcW w:w="518" w:type="dxa"/>
            <w:vMerge w:val="restart"/>
            <w:vAlign w:val="center"/>
          </w:tcPr>
          <w:p w14:paraId="5ABD2A28">
            <w:pPr>
              <w:adjustRightInd w:val="0"/>
              <w:snapToGrid w:val="0"/>
              <w:spacing w:before="24" w:beforeLines="10"/>
              <w:ind w:left="105" w:leftChars="50" w:right="105" w:rightChars="50"/>
              <w:jc w:val="center"/>
              <w:rPr>
                <w:rFonts w:ascii="宋体" w:hAnsi="宋体"/>
                <w:b w:val="0"/>
                <w:bCs/>
                <w:szCs w:val="21"/>
              </w:rPr>
            </w:pPr>
            <w:r>
              <w:rPr>
                <w:rFonts w:hint="eastAsia" w:ascii="宋体" w:hAnsi="宋体"/>
                <w:b w:val="0"/>
                <w:bCs/>
                <w:szCs w:val="21"/>
              </w:rPr>
              <w:t>工艺布置</w:t>
            </w:r>
          </w:p>
        </w:tc>
        <w:tc>
          <w:tcPr>
            <w:tcW w:w="2258" w:type="dxa"/>
            <w:vAlign w:val="center"/>
          </w:tcPr>
          <w:p w14:paraId="260721F1">
            <w:pPr>
              <w:adjustRightInd w:val="0"/>
              <w:snapToGrid w:val="0"/>
              <w:spacing w:before="72" w:beforeLines="30" w:after="48" w:afterLines="20"/>
              <w:rPr>
                <w:rFonts w:ascii="宋体" w:hAnsi="宋体"/>
                <w:b w:val="0"/>
                <w:bCs/>
                <w:szCs w:val="21"/>
              </w:rPr>
            </w:pPr>
            <w:r>
              <w:rPr>
                <w:rFonts w:hint="eastAsia" w:ascii="宋体" w:hAnsi="宋体"/>
                <w:b w:val="0"/>
                <w:bCs/>
                <w:szCs w:val="21"/>
              </w:rPr>
              <w:t>根据产品种类、生产特性,分区布置生产线</w:t>
            </w:r>
          </w:p>
        </w:tc>
        <w:tc>
          <w:tcPr>
            <w:tcW w:w="5260" w:type="dxa"/>
            <w:vAlign w:val="center"/>
          </w:tcPr>
          <w:p w14:paraId="7AADD31E">
            <w:pPr>
              <w:adjustRightInd w:val="0"/>
              <w:snapToGrid w:val="0"/>
              <w:spacing w:before="72" w:beforeLines="30" w:after="48" w:afterLines="20"/>
              <w:rPr>
                <w:rFonts w:ascii="宋体" w:hAnsi="宋体"/>
                <w:b w:val="0"/>
                <w:bCs/>
                <w:szCs w:val="21"/>
              </w:rPr>
            </w:pPr>
            <w:r>
              <w:rPr>
                <w:rFonts w:hint="eastAsia" w:ascii="宋体" w:hAnsi="宋体"/>
                <w:b w:val="0"/>
                <w:bCs/>
                <w:szCs w:val="21"/>
              </w:rPr>
              <w:t>危险品生产区根据生产的品种，生产特性,分小区布置，建立了危险品生产线，1.1、1.3级建筑物，布置合理。</w:t>
            </w:r>
          </w:p>
        </w:tc>
        <w:tc>
          <w:tcPr>
            <w:tcW w:w="572" w:type="dxa"/>
            <w:vAlign w:val="center"/>
          </w:tcPr>
          <w:p w14:paraId="79892B6B">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6BDB0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0897C758">
            <w:pPr>
              <w:adjustRightInd w:val="0"/>
              <w:snapToGrid w:val="0"/>
              <w:spacing w:before="24" w:beforeLines="10"/>
              <w:jc w:val="center"/>
              <w:rPr>
                <w:rFonts w:ascii="宋体" w:hAnsi="宋体"/>
                <w:b w:val="0"/>
                <w:bCs/>
                <w:szCs w:val="21"/>
              </w:rPr>
            </w:pPr>
          </w:p>
        </w:tc>
        <w:tc>
          <w:tcPr>
            <w:tcW w:w="518" w:type="dxa"/>
            <w:vMerge w:val="continue"/>
            <w:vAlign w:val="center"/>
          </w:tcPr>
          <w:p w14:paraId="41C73C28">
            <w:pPr>
              <w:adjustRightInd w:val="0"/>
              <w:snapToGrid w:val="0"/>
              <w:spacing w:before="24" w:beforeLines="10"/>
              <w:ind w:left="105" w:leftChars="50" w:right="105" w:rightChars="50"/>
              <w:jc w:val="center"/>
              <w:rPr>
                <w:rFonts w:ascii="宋体" w:hAnsi="宋体"/>
                <w:b w:val="0"/>
                <w:bCs/>
                <w:szCs w:val="21"/>
              </w:rPr>
            </w:pPr>
          </w:p>
        </w:tc>
        <w:tc>
          <w:tcPr>
            <w:tcW w:w="2258" w:type="dxa"/>
            <w:vAlign w:val="center"/>
          </w:tcPr>
          <w:p w14:paraId="135BA56C">
            <w:pPr>
              <w:adjustRightInd w:val="0"/>
              <w:snapToGrid w:val="0"/>
              <w:spacing w:before="72" w:beforeLines="30" w:after="48" w:afterLines="20"/>
              <w:rPr>
                <w:rFonts w:ascii="宋体" w:hAnsi="宋体"/>
                <w:b w:val="0"/>
                <w:bCs/>
                <w:szCs w:val="21"/>
              </w:rPr>
            </w:pPr>
            <w:r>
              <w:rPr>
                <w:rFonts w:hint="eastAsia" w:ascii="宋体" w:hAnsi="宋体"/>
                <w:b w:val="0"/>
                <w:bCs/>
                <w:szCs w:val="21"/>
              </w:rPr>
              <w:t>工（库）房的生产、储存能力相互适应、配套，并</w:t>
            </w:r>
            <w:r>
              <w:rPr>
                <w:rFonts w:hint="eastAsia"/>
                <w:b w:val="0"/>
                <w:bCs/>
              </w:rPr>
              <w:t>与其生产品种及规模相适应</w:t>
            </w:r>
          </w:p>
        </w:tc>
        <w:tc>
          <w:tcPr>
            <w:tcW w:w="5260" w:type="dxa"/>
            <w:vAlign w:val="center"/>
          </w:tcPr>
          <w:p w14:paraId="3DE5E060">
            <w:pPr>
              <w:adjustRightInd w:val="0"/>
              <w:snapToGrid w:val="0"/>
              <w:spacing w:before="72" w:beforeLines="30" w:after="48" w:afterLines="20"/>
              <w:rPr>
                <w:rFonts w:ascii="宋体" w:hAnsi="宋体"/>
                <w:b w:val="0"/>
                <w:bCs/>
                <w:szCs w:val="21"/>
              </w:rPr>
            </w:pPr>
            <w:r>
              <w:rPr>
                <w:rFonts w:hint="eastAsia" w:ascii="宋体" w:hAnsi="宋体"/>
                <w:b w:val="0"/>
                <w:bCs/>
                <w:szCs w:val="21"/>
              </w:rPr>
              <w:t>该企业工库房的生产、储存能力相互适应、配套，并</w:t>
            </w:r>
            <w:r>
              <w:rPr>
                <w:rFonts w:hint="eastAsia" w:ascii="宋体" w:hAnsi="宋体"/>
                <w:b w:val="0"/>
                <w:bCs/>
              </w:rPr>
              <w:t>与其生产品种及规模相适应</w:t>
            </w:r>
            <w:r>
              <w:rPr>
                <w:rFonts w:hint="eastAsia" w:ascii="宋体" w:hAnsi="宋体"/>
                <w:b w:val="0"/>
                <w:bCs/>
                <w:szCs w:val="21"/>
              </w:rPr>
              <w:t>。</w:t>
            </w:r>
          </w:p>
        </w:tc>
        <w:tc>
          <w:tcPr>
            <w:tcW w:w="572" w:type="dxa"/>
            <w:vAlign w:val="center"/>
          </w:tcPr>
          <w:p w14:paraId="36DD88EF">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06710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4D73806C">
            <w:pPr>
              <w:adjustRightInd w:val="0"/>
              <w:snapToGrid w:val="0"/>
              <w:spacing w:before="24" w:beforeLines="10"/>
              <w:rPr>
                <w:rFonts w:ascii="宋体" w:hAnsi="宋体"/>
                <w:b w:val="0"/>
                <w:bCs/>
                <w:szCs w:val="21"/>
              </w:rPr>
            </w:pPr>
          </w:p>
        </w:tc>
        <w:tc>
          <w:tcPr>
            <w:tcW w:w="518" w:type="dxa"/>
            <w:vMerge w:val="continue"/>
            <w:vAlign w:val="center"/>
          </w:tcPr>
          <w:p w14:paraId="63128DB8">
            <w:pPr>
              <w:adjustRightInd w:val="0"/>
              <w:snapToGrid w:val="0"/>
              <w:spacing w:before="24" w:beforeLines="10"/>
              <w:rPr>
                <w:rFonts w:ascii="宋体" w:hAnsi="宋体"/>
                <w:b w:val="0"/>
                <w:bCs/>
                <w:szCs w:val="21"/>
              </w:rPr>
            </w:pPr>
          </w:p>
        </w:tc>
        <w:tc>
          <w:tcPr>
            <w:tcW w:w="2258" w:type="dxa"/>
            <w:vAlign w:val="center"/>
          </w:tcPr>
          <w:p w14:paraId="59D3A78E">
            <w:pPr>
              <w:adjustRightInd w:val="0"/>
              <w:snapToGrid w:val="0"/>
              <w:spacing w:before="72" w:beforeLines="30" w:after="48" w:afterLines="20"/>
              <w:rPr>
                <w:rFonts w:ascii="宋体" w:hAnsi="宋体"/>
                <w:b w:val="0"/>
                <w:bCs/>
                <w:szCs w:val="21"/>
              </w:rPr>
            </w:pPr>
            <w:r>
              <w:rPr>
                <w:rFonts w:hint="eastAsia" w:ascii="宋体" w:hAnsi="宋体"/>
                <w:b w:val="0"/>
                <w:bCs/>
                <w:szCs w:val="21"/>
              </w:rPr>
              <w:t>核算药量大或危险性大的工（库）房布置位置</w:t>
            </w:r>
          </w:p>
        </w:tc>
        <w:tc>
          <w:tcPr>
            <w:tcW w:w="5260" w:type="dxa"/>
            <w:vAlign w:val="center"/>
          </w:tcPr>
          <w:p w14:paraId="27CFD904">
            <w:pPr>
              <w:adjustRightInd w:val="0"/>
              <w:snapToGrid w:val="0"/>
              <w:spacing w:before="72" w:beforeLines="30" w:after="48" w:afterLines="20"/>
              <w:rPr>
                <w:rFonts w:ascii="宋体" w:hAnsi="宋体"/>
                <w:b w:val="0"/>
                <w:bCs/>
                <w:szCs w:val="21"/>
              </w:rPr>
            </w:pPr>
            <w:r>
              <w:rPr>
                <w:rFonts w:hint="eastAsia" w:ascii="宋体" w:hAnsi="宋体"/>
                <w:b w:val="0"/>
                <w:bCs/>
                <w:szCs w:val="21"/>
              </w:rPr>
              <w:t>核算药量大或危险性大的厂房和仓库，布置在危险品生产区的边缘。</w:t>
            </w:r>
          </w:p>
        </w:tc>
        <w:tc>
          <w:tcPr>
            <w:tcW w:w="572" w:type="dxa"/>
            <w:vAlign w:val="center"/>
          </w:tcPr>
          <w:p w14:paraId="6BC52D8A">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56785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38DD03DF">
            <w:pPr>
              <w:adjustRightInd w:val="0"/>
              <w:snapToGrid w:val="0"/>
              <w:spacing w:before="24" w:beforeLines="10"/>
              <w:rPr>
                <w:rFonts w:ascii="宋体" w:hAnsi="宋体"/>
                <w:b w:val="0"/>
                <w:bCs/>
                <w:szCs w:val="21"/>
              </w:rPr>
            </w:pPr>
          </w:p>
        </w:tc>
        <w:tc>
          <w:tcPr>
            <w:tcW w:w="518" w:type="dxa"/>
            <w:vMerge w:val="continue"/>
            <w:vAlign w:val="center"/>
          </w:tcPr>
          <w:p w14:paraId="11EA448D">
            <w:pPr>
              <w:adjustRightInd w:val="0"/>
              <w:snapToGrid w:val="0"/>
              <w:spacing w:before="24" w:beforeLines="10"/>
              <w:rPr>
                <w:rFonts w:ascii="宋体" w:hAnsi="宋体"/>
                <w:b w:val="0"/>
                <w:bCs/>
                <w:szCs w:val="21"/>
              </w:rPr>
            </w:pPr>
          </w:p>
        </w:tc>
        <w:tc>
          <w:tcPr>
            <w:tcW w:w="2258" w:type="dxa"/>
            <w:vAlign w:val="center"/>
          </w:tcPr>
          <w:p w14:paraId="63549416">
            <w:pPr>
              <w:adjustRightInd w:val="0"/>
              <w:snapToGrid w:val="0"/>
              <w:spacing w:before="72" w:beforeLines="30" w:after="48" w:afterLines="20"/>
              <w:rPr>
                <w:rFonts w:ascii="宋体" w:hAnsi="宋体"/>
                <w:b w:val="0"/>
                <w:bCs/>
                <w:szCs w:val="21"/>
              </w:rPr>
            </w:pPr>
            <w:r>
              <w:rPr>
                <w:rFonts w:hint="eastAsia" w:ascii="宋体" w:hAnsi="宋体"/>
                <w:b w:val="0"/>
                <w:bCs/>
                <w:szCs w:val="21"/>
              </w:rPr>
              <w:t>粉尘和有害气体污染比较大的工房布置位置</w:t>
            </w:r>
          </w:p>
        </w:tc>
        <w:tc>
          <w:tcPr>
            <w:tcW w:w="5260" w:type="dxa"/>
            <w:vAlign w:val="center"/>
          </w:tcPr>
          <w:p w14:paraId="3EC1F90B">
            <w:pPr>
              <w:adjustRightInd w:val="0"/>
              <w:snapToGrid w:val="0"/>
              <w:spacing w:before="72" w:beforeLines="30" w:after="48" w:afterLines="20"/>
              <w:rPr>
                <w:rFonts w:ascii="宋体" w:hAnsi="宋体"/>
                <w:b w:val="0"/>
                <w:bCs/>
                <w:szCs w:val="21"/>
              </w:rPr>
            </w:pPr>
            <w:r>
              <w:rPr>
                <w:rFonts w:hint="eastAsia" w:ascii="宋体" w:hAnsi="宋体"/>
                <w:b w:val="0"/>
                <w:bCs/>
                <w:szCs w:val="21"/>
              </w:rPr>
              <w:t>粉尘污染比较大的药物线布置在厂区的边缘地带</w:t>
            </w:r>
          </w:p>
        </w:tc>
        <w:tc>
          <w:tcPr>
            <w:tcW w:w="572" w:type="dxa"/>
            <w:vAlign w:val="center"/>
          </w:tcPr>
          <w:p w14:paraId="327BE7CC">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r w14:paraId="6B01C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8" w:type="dxa"/>
            <w:vMerge w:val="continue"/>
            <w:vAlign w:val="center"/>
          </w:tcPr>
          <w:p w14:paraId="62B7CDEC">
            <w:pPr>
              <w:adjustRightInd w:val="0"/>
              <w:snapToGrid w:val="0"/>
              <w:spacing w:before="24" w:beforeLines="10"/>
              <w:rPr>
                <w:rFonts w:ascii="宋体" w:hAnsi="宋体"/>
                <w:b w:val="0"/>
                <w:bCs/>
                <w:szCs w:val="21"/>
              </w:rPr>
            </w:pPr>
          </w:p>
        </w:tc>
        <w:tc>
          <w:tcPr>
            <w:tcW w:w="518" w:type="dxa"/>
            <w:vMerge w:val="continue"/>
            <w:vAlign w:val="center"/>
          </w:tcPr>
          <w:p w14:paraId="4063B080">
            <w:pPr>
              <w:adjustRightInd w:val="0"/>
              <w:snapToGrid w:val="0"/>
              <w:spacing w:before="24" w:beforeLines="10"/>
              <w:rPr>
                <w:rFonts w:ascii="宋体" w:hAnsi="宋体"/>
                <w:b w:val="0"/>
                <w:bCs/>
                <w:szCs w:val="21"/>
              </w:rPr>
            </w:pPr>
          </w:p>
        </w:tc>
        <w:tc>
          <w:tcPr>
            <w:tcW w:w="2258" w:type="dxa"/>
            <w:vAlign w:val="center"/>
          </w:tcPr>
          <w:p w14:paraId="4B76E934">
            <w:pPr>
              <w:adjustRightInd w:val="0"/>
              <w:snapToGrid w:val="0"/>
              <w:spacing w:before="72" w:beforeLines="30" w:after="48" w:afterLines="20"/>
              <w:rPr>
                <w:rFonts w:ascii="宋体" w:hAnsi="宋体"/>
                <w:b w:val="0"/>
                <w:bCs/>
                <w:szCs w:val="21"/>
              </w:rPr>
            </w:pPr>
            <w:r>
              <w:rPr>
                <w:rFonts w:hint="eastAsia" w:ascii="宋体" w:hAnsi="宋体"/>
                <w:b w:val="0"/>
                <w:bCs/>
                <w:szCs w:val="21"/>
              </w:rPr>
              <w:t>危险品的运输路线</w:t>
            </w:r>
          </w:p>
        </w:tc>
        <w:tc>
          <w:tcPr>
            <w:tcW w:w="5260" w:type="dxa"/>
            <w:vAlign w:val="center"/>
          </w:tcPr>
          <w:p w14:paraId="2BDD4D67">
            <w:pPr>
              <w:adjustRightInd w:val="0"/>
              <w:snapToGrid w:val="0"/>
              <w:spacing w:before="72" w:beforeLines="30" w:after="48" w:afterLines="20"/>
              <w:rPr>
                <w:rFonts w:ascii="宋体" w:hAnsi="宋体"/>
                <w:b w:val="0"/>
                <w:bCs/>
                <w:szCs w:val="21"/>
              </w:rPr>
            </w:pPr>
            <w:r>
              <w:rPr>
                <w:rFonts w:hint="eastAsia" w:ascii="宋体" w:hAnsi="宋体"/>
                <w:b w:val="0"/>
                <w:bCs/>
                <w:szCs w:val="21"/>
              </w:rPr>
              <w:t>该企业拟设置有专用运输道路，并制订有相关管理措施，运输道路满足生产要求。</w:t>
            </w:r>
          </w:p>
        </w:tc>
        <w:tc>
          <w:tcPr>
            <w:tcW w:w="572" w:type="dxa"/>
            <w:vAlign w:val="center"/>
          </w:tcPr>
          <w:p w14:paraId="63EF3644">
            <w:pPr>
              <w:adjustRightInd w:val="0"/>
              <w:snapToGrid w:val="0"/>
              <w:spacing w:before="72" w:beforeLines="30" w:after="48" w:afterLines="20"/>
              <w:jc w:val="center"/>
              <w:rPr>
                <w:rFonts w:ascii="宋体" w:hAnsi="宋体"/>
                <w:b w:val="0"/>
                <w:bCs/>
                <w:szCs w:val="21"/>
              </w:rPr>
            </w:pPr>
            <w:r>
              <w:rPr>
                <w:rFonts w:hint="eastAsia" w:ascii="宋体" w:hAnsi="宋体"/>
                <w:b w:val="0"/>
                <w:bCs/>
                <w:szCs w:val="21"/>
              </w:rPr>
              <w:t>符合要求</w:t>
            </w:r>
          </w:p>
        </w:tc>
      </w:tr>
    </w:tbl>
    <w:p w14:paraId="3DD61E30">
      <w:pPr>
        <w:pStyle w:val="7"/>
        <w:spacing w:before="120" w:beforeLines="50"/>
        <w:rPr>
          <w:rFonts w:ascii="黑体" w:hAnsi="黑体" w:eastAsia="黑体" w:cs="宋体"/>
          <w:b w:val="0"/>
          <w:szCs w:val="28"/>
        </w:rPr>
      </w:pPr>
      <w:bookmarkStart w:id="487" w:name="_Toc165038815"/>
      <w:r>
        <w:rPr>
          <w:rFonts w:hint="eastAsia" w:ascii="黑体" w:hAnsi="黑体" w:eastAsia="黑体" w:cs="宋体"/>
          <w:b w:val="0"/>
          <w:szCs w:val="28"/>
        </w:rPr>
        <w:t>5.2.</w:t>
      </w:r>
      <w:r>
        <w:rPr>
          <w:rFonts w:ascii="黑体" w:hAnsi="黑体" w:eastAsia="黑体" w:cs="宋体"/>
          <w:b w:val="0"/>
          <w:szCs w:val="28"/>
        </w:rPr>
        <w:t>1</w:t>
      </w:r>
      <w:r>
        <w:rPr>
          <w:rFonts w:hint="eastAsia" w:ascii="黑体" w:hAnsi="黑体" w:eastAsia="黑体" w:cs="宋体"/>
          <w:b w:val="0"/>
          <w:szCs w:val="28"/>
        </w:rPr>
        <w:t>建设项目外部安全</w:t>
      </w:r>
      <w:bookmarkEnd w:id="487"/>
      <w:r>
        <w:rPr>
          <w:rFonts w:hint="eastAsia" w:ascii="黑体" w:hAnsi="黑体" w:eastAsia="黑体" w:cs="宋体"/>
          <w:b w:val="0"/>
          <w:szCs w:val="28"/>
        </w:rPr>
        <w:t>距离评价</w:t>
      </w:r>
    </w:p>
    <w:p w14:paraId="5A50F685">
      <w:pPr>
        <w:adjustRightInd w:val="0"/>
        <w:snapToGrid w:val="0"/>
        <w:spacing w:line="360" w:lineRule="auto"/>
        <w:ind w:firstLine="560" w:firstLineChars="200"/>
        <w:rPr>
          <w:rFonts w:ascii="宋体" w:hAnsi="宋体" w:cs="宋体"/>
          <w:b w:val="0"/>
          <w:sz w:val="28"/>
          <w:szCs w:val="28"/>
        </w:rPr>
      </w:pPr>
      <w:r>
        <w:rPr>
          <w:rFonts w:hint="eastAsia" w:ascii="宋体" w:hAnsi="宋体"/>
          <w:b w:val="0"/>
          <w:sz w:val="28"/>
          <w:szCs w:val="28"/>
          <w:lang w:val="en-GB"/>
        </w:rPr>
        <w:t>根据《湖南金帝烟花爆竹制造有限公司泉水工区扩建项目安全设施设计平面布置图》（初步设计方案图）（由大连市化工设计院有限公司提供），该项目工（库）房的外部距离按不小于国家现行标准《烟花爆竹工程设计安全标准》（GB50161-2022）的外部最小允许距离进行建设（设计）</w:t>
      </w:r>
      <w:r>
        <w:rPr>
          <w:rFonts w:hint="eastAsia" w:ascii="宋体" w:hAnsi="宋体"/>
          <w:b w:val="0"/>
          <w:sz w:val="28"/>
          <w:szCs w:val="28"/>
        </w:rPr>
        <w:t>；</w:t>
      </w:r>
      <w:r>
        <w:rPr>
          <w:rFonts w:hint="eastAsia" w:ascii="宋体" w:hAnsi="宋体"/>
          <w:b w:val="0"/>
          <w:bCs/>
          <w:sz w:val="28"/>
          <w:szCs w:val="28"/>
        </w:rPr>
        <w:t>扩建项目危险建筑物与周围建(构)筑物的外部距离情况见表5.7-2</w:t>
      </w:r>
      <w:r>
        <w:rPr>
          <w:rFonts w:hint="eastAsia" w:ascii="宋体" w:hAnsi="宋体" w:cs="宋体"/>
          <w:b w:val="0"/>
          <w:sz w:val="28"/>
          <w:szCs w:val="28"/>
        </w:rPr>
        <w:t>。</w:t>
      </w:r>
    </w:p>
    <w:p w14:paraId="6F0E3969">
      <w:pPr>
        <w:jc w:val="center"/>
        <w:rPr>
          <w:rFonts w:ascii="黑体" w:hAnsi="黑体" w:eastAsia="黑体"/>
          <w:b w:val="0"/>
          <w:sz w:val="24"/>
        </w:rPr>
      </w:pPr>
      <w:r>
        <w:rPr>
          <w:rFonts w:hint="eastAsia" w:ascii="黑体" w:hAnsi="黑体" w:eastAsia="黑体"/>
          <w:b w:val="0"/>
          <w:sz w:val="24"/>
        </w:rPr>
        <w:t>表5</w:t>
      </w:r>
      <w:r>
        <w:rPr>
          <w:rFonts w:ascii="黑体" w:hAnsi="黑体" w:eastAsia="黑体"/>
          <w:b w:val="0"/>
          <w:sz w:val="24"/>
        </w:rPr>
        <w:t>.</w:t>
      </w:r>
      <w:r>
        <w:rPr>
          <w:rFonts w:hint="eastAsia" w:ascii="黑体" w:hAnsi="黑体" w:eastAsia="黑体"/>
          <w:b w:val="0"/>
          <w:sz w:val="24"/>
        </w:rPr>
        <w:t>7-2  扩建项目危险建筑物与周围建(构)筑物外部距离情况表</w:t>
      </w:r>
    </w:p>
    <w:tbl>
      <w:tblPr>
        <w:tblStyle w:val="88"/>
        <w:tblW w:w="90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671"/>
        <w:gridCol w:w="709"/>
        <w:gridCol w:w="992"/>
        <w:gridCol w:w="2127"/>
        <w:gridCol w:w="992"/>
        <w:gridCol w:w="1291"/>
        <w:gridCol w:w="705"/>
      </w:tblGrid>
      <w:tr w14:paraId="007E89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610" w:type="dxa"/>
            <w:vAlign w:val="center"/>
          </w:tcPr>
          <w:p w14:paraId="0FBD5CF8">
            <w:pPr>
              <w:jc w:val="center"/>
              <w:rPr>
                <w:rFonts w:asciiTheme="minorEastAsia" w:hAnsiTheme="minorEastAsia" w:eastAsiaTheme="minorEastAsia"/>
                <w:szCs w:val="21"/>
              </w:rPr>
            </w:pPr>
            <w:r>
              <w:rPr>
                <w:rFonts w:hint="eastAsia" w:asciiTheme="minorEastAsia" w:hAnsiTheme="minorEastAsia" w:eastAsiaTheme="minorEastAsia"/>
                <w:szCs w:val="21"/>
              </w:rPr>
              <w:t>方</w:t>
            </w:r>
            <w:r>
              <w:rPr>
                <w:rFonts w:asciiTheme="minorEastAsia" w:hAnsiTheme="minorEastAsia" w:eastAsiaTheme="minorEastAsia"/>
                <w:szCs w:val="21"/>
              </w:rPr>
              <w:t>位</w:t>
            </w:r>
          </w:p>
        </w:tc>
        <w:tc>
          <w:tcPr>
            <w:tcW w:w="1671" w:type="dxa"/>
            <w:vAlign w:val="center"/>
          </w:tcPr>
          <w:p w14:paraId="6EA45841">
            <w:pPr>
              <w:jc w:val="center"/>
              <w:rPr>
                <w:rFonts w:asciiTheme="minorEastAsia" w:hAnsiTheme="minorEastAsia" w:eastAsiaTheme="minorEastAsia"/>
                <w:szCs w:val="21"/>
              </w:rPr>
            </w:pPr>
            <w:r>
              <w:rPr>
                <w:rFonts w:hint="eastAsia" w:asciiTheme="minorEastAsia" w:hAnsiTheme="minorEastAsia" w:eastAsiaTheme="minorEastAsia"/>
                <w:szCs w:val="21"/>
              </w:rPr>
              <w:t>建（构）筑物</w:t>
            </w:r>
          </w:p>
          <w:p w14:paraId="31DA9E5D">
            <w:pPr>
              <w:jc w:val="center"/>
              <w:rPr>
                <w:rFonts w:asciiTheme="minorEastAsia" w:hAnsiTheme="minorEastAsia" w:eastAsiaTheme="minorEastAsia"/>
                <w:kern w:val="0"/>
                <w:szCs w:val="21"/>
              </w:rPr>
            </w:pPr>
            <w:r>
              <w:rPr>
                <w:rFonts w:hint="eastAsia" w:asciiTheme="minorEastAsia" w:hAnsiTheme="minorEastAsia" w:eastAsiaTheme="minorEastAsia"/>
                <w:szCs w:val="21"/>
              </w:rPr>
              <w:t>名称</w:t>
            </w:r>
          </w:p>
        </w:tc>
        <w:tc>
          <w:tcPr>
            <w:tcW w:w="709" w:type="dxa"/>
            <w:vAlign w:val="center"/>
          </w:tcPr>
          <w:p w14:paraId="2AFA2D3A">
            <w:pPr>
              <w:jc w:val="center"/>
              <w:rPr>
                <w:rFonts w:asciiTheme="minorEastAsia" w:hAnsiTheme="minorEastAsia" w:eastAsiaTheme="minorEastAsia"/>
                <w:szCs w:val="21"/>
              </w:rPr>
            </w:pPr>
            <w:r>
              <w:rPr>
                <w:rFonts w:hint="eastAsia" w:asciiTheme="minorEastAsia" w:hAnsiTheme="minorEastAsia" w:eastAsiaTheme="minorEastAsia"/>
                <w:szCs w:val="21"/>
              </w:rPr>
              <w:t>危险等级</w:t>
            </w:r>
          </w:p>
        </w:tc>
        <w:tc>
          <w:tcPr>
            <w:tcW w:w="992" w:type="dxa"/>
            <w:vAlign w:val="center"/>
          </w:tcPr>
          <w:p w14:paraId="5AA5E2EF">
            <w:pPr>
              <w:jc w:val="center"/>
              <w:rPr>
                <w:rFonts w:asciiTheme="minorEastAsia" w:hAnsiTheme="minorEastAsia" w:eastAsiaTheme="minorEastAsia"/>
                <w:szCs w:val="21"/>
              </w:rPr>
            </w:pPr>
            <w:r>
              <w:rPr>
                <w:rFonts w:hint="eastAsia" w:asciiTheme="minorEastAsia" w:hAnsiTheme="minorEastAsia" w:eastAsiaTheme="minorEastAsia"/>
                <w:szCs w:val="21"/>
              </w:rPr>
              <w:t>计算药量（kg）</w:t>
            </w:r>
          </w:p>
        </w:tc>
        <w:tc>
          <w:tcPr>
            <w:tcW w:w="2127" w:type="dxa"/>
            <w:vAlign w:val="center"/>
          </w:tcPr>
          <w:p w14:paraId="28FFD500">
            <w:pPr>
              <w:jc w:val="center"/>
              <w:rPr>
                <w:rFonts w:asciiTheme="minorEastAsia" w:hAnsiTheme="minorEastAsia" w:eastAsiaTheme="minorEastAsia"/>
                <w:szCs w:val="21"/>
              </w:rPr>
            </w:pPr>
            <w:r>
              <w:rPr>
                <w:rFonts w:hint="eastAsia" w:asciiTheme="minorEastAsia" w:hAnsiTheme="minorEastAsia" w:eastAsiaTheme="minorEastAsia"/>
                <w:szCs w:val="21"/>
              </w:rPr>
              <w:t>外部项目</w:t>
            </w:r>
          </w:p>
        </w:tc>
        <w:tc>
          <w:tcPr>
            <w:tcW w:w="992" w:type="dxa"/>
            <w:vAlign w:val="center"/>
          </w:tcPr>
          <w:p w14:paraId="799B233C">
            <w:pPr>
              <w:jc w:val="center"/>
              <w:rPr>
                <w:rFonts w:asciiTheme="minorEastAsia" w:hAnsiTheme="minorEastAsia" w:eastAsiaTheme="minorEastAsia"/>
                <w:szCs w:val="21"/>
              </w:rPr>
            </w:pPr>
            <w:r>
              <w:rPr>
                <w:rFonts w:hint="eastAsia" w:asciiTheme="minorEastAsia" w:hAnsiTheme="minorEastAsia" w:eastAsiaTheme="minorEastAsia"/>
                <w:szCs w:val="21"/>
              </w:rPr>
              <w:t>标准</w:t>
            </w:r>
            <w:r>
              <w:rPr>
                <w:rFonts w:asciiTheme="minorEastAsia" w:hAnsiTheme="minorEastAsia" w:eastAsiaTheme="minorEastAsia"/>
                <w:szCs w:val="21"/>
              </w:rPr>
              <w:t>距离</w:t>
            </w:r>
            <w:r>
              <w:rPr>
                <w:rFonts w:hint="eastAsia" w:asciiTheme="minorEastAsia" w:hAnsiTheme="minorEastAsia" w:eastAsiaTheme="minorEastAsia"/>
                <w:szCs w:val="21"/>
              </w:rPr>
              <w:t>（m)</w:t>
            </w:r>
          </w:p>
        </w:tc>
        <w:tc>
          <w:tcPr>
            <w:tcW w:w="1291" w:type="dxa"/>
            <w:vAlign w:val="center"/>
          </w:tcPr>
          <w:p w14:paraId="4FA3A484">
            <w:pPr>
              <w:jc w:val="center"/>
              <w:rPr>
                <w:rFonts w:asciiTheme="minorEastAsia" w:hAnsiTheme="minorEastAsia" w:eastAsiaTheme="minorEastAsia"/>
                <w:szCs w:val="21"/>
              </w:rPr>
            </w:pPr>
            <w:r>
              <w:rPr>
                <w:rFonts w:hint="eastAsia" w:asciiTheme="minorEastAsia" w:hAnsiTheme="minorEastAsia" w:eastAsiaTheme="minorEastAsia"/>
                <w:szCs w:val="21"/>
              </w:rPr>
              <w:t>设计</w:t>
            </w:r>
            <w:r>
              <w:rPr>
                <w:rFonts w:asciiTheme="minorEastAsia" w:hAnsiTheme="minorEastAsia" w:eastAsiaTheme="minorEastAsia"/>
                <w:szCs w:val="21"/>
              </w:rPr>
              <w:t>距离</w:t>
            </w:r>
            <w:r>
              <w:rPr>
                <w:rFonts w:hint="eastAsia" w:asciiTheme="minorEastAsia" w:hAnsiTheme="minorEastAsia" w:eastAsiaTheme="minorEastAsia"/>
                <w:szCs w:val="21"/>
              </w:rPr>
              <w:t>（m)</w:t>
            </w:r>
          </w:p>
        </w:tc>
        <w:tc>
          <w:tcPr>
            <w:tcW w:w="705" w:type="dxa"/>
            <w:vAlign w:val="center"/>
          </w:tcPr>
          <w:p w14:paraId="53EB2F33">
            <w:pPr>
              <w:jc w:val="center"/>
              <w:rPr>
                <w:rFonts w:asciiTheme="minorEastAsia" w:hAnsiTheme="minorEastAsia" w:eastAsiaTheme="minorEastAsia"/>
                <w:szCs w:val="21"/>
              </w:rPr>
            </w:pPr>
            <w:r>
              <w:rPr>
                <w:rFonts w:hint="eastAsia" w:asciiTheme="minorEastAsia" w:hAnsiTheme="minorEastAsia" w:eastAsiaTheme="minorEastAsia"/>
                <w:szCs w:val="21"/>
              </w:rPr>
              <w:t>符合性</w:t>
            </w:r>
          </w:p>
        </w:tc>
      </w:tr>
      <w:tr w14:paraId="0FBFA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Align w:val="center"/>
          </w:tcPr>
          <w:p w14:paraId="117941E3">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东</w:t>
            </w:r>
          </w:p>
        </w:tc>
        <w:tc>
          <w:tcPr>
            <w:tcW w:w="1671" w:type="dxa"/>
            <w:shd w:val="clear" w:color="auto" w:fill="auto"/>
            <w:vAlign w:val="center"/>
          </w:tcPr>
          <w:p w14:paraId="73E14EB8">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32#</w:t>
            </w:r>
            <w:r>
              <w:rPr>
                <w:rFonts w:hint="eastAsia" w:ascii="宋体" w:hAnsi="宋体"/>
                <w:b w:val="0"/>
                <w:bCs/>
                <w:kern w:val="0"/>
                <w:szCs w:val="21"/>
              </w:rPr>
              <w:t>三味球磨/筛选</w:t>
            </w:r>
          </w:p>
        </w:tc>
        <w:tc>
          <w:tcPr>
            <w:tcW w:w="709" w:type="dxa"/>
            <w:shd w:val="clear" w:color="auto" w:fill="auto"/>
            <w:vAlign w:val="center"/>
          </w:tcPr>
          <w:p w14:paraId="2595E976">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032A1270">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00</w:t>
            </w:r>
          </w:p>
        </w:tc>
        <w:tc>
          <w:tcPr>
            <w:tcW w:w="2127" w:type="dxa"/>
            <w:shd w:val="clear" w:color="auto" w:fill="auto"/>
            <w:vAlign w:val="center"/>
          </w:tcPr>
          <w:p w14:paraId="0011F981">
            <w:pPr>
              <w:jc w:val="center"/>
              <w:rPr>
                <w:rFonts w:ascii="宋体" w:hAnsi="宋体"/>
                <w:b w:val="0"/>
                <w:bCs/>
                <w:kern w:val="0"/>
                <w:szCs w:val="21"/>
              </w:rPr>
            </w:pPr>
            <w:r>
              <w:rPr>
                <w:rFonts w:hint="eastAsia" w:ascii="宋体" w:hAnsi="宋体"/>
                <w:b w:val="0"/>
                <w:bCs/>
                <w:kern w:val="0"/>
                <w:szCs w:val="21"/>
              </w:rPr>
              <w:t>自然山岭</w:t>
            </w:r>
          </w:p>
        </w:tc>
        <w:tc>
          <w:tcPr>
            <w:tcW w:w="992" w:type="dxa"/>
            <w:shd w:val="clear" w:color="auto" w:fill="auto"/>
            <w:vAlign w:val="center"/>
          </w:tcPr>
          <w:p w14:paraId="4C9D80CA">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10</w:t>
            </w:r>
          </w:p>
        </w:tc>
        <w:tc>
          <w:tcPr>
            <w:tcW w:w="1291" w:type="dxa"/>
            <w:shd w:val="clear" w:color="auto" w:fill="auto"/>
            <w:vAlign w:val="center"/>
          </w:tcPr>
          <w:p w14:paraId="51629553">
            <w:pPr>
              <w:jc w:val="center"/>
              <w:rPr>
                <w:rFonts w:ascii="宋体" w:hAnsi="宋体"/>
                <w:b w:val="0"/>
                <w:bCs/>
                <w:kern w:val="0"/>
                <w:szCs w:val="21"/>
              </w:rPr>
            </w:pPr>
            <w:r>
              <w:rPr>
                <w:rFonts w:ascii="宋体" w:hAnsi="宋体"/>
                <w:b w:val="0"/>
                <w:bCs/>
                <w:kern w:val="0"/>
                <w:szCs w:val="21"/>
              </w:rPr>
              <w:t>120</w:t>
            </w:r>
            <w:r>
              <w:rPr>
                <w:rFonts w:hint="eastAsia" w:ascii="宋体" w:hAnsi="宋体"/>
                <w:b w:val="0"/>
                <w:bCs/>
                <w:kern w:val="0"/>
                <w:szCs w:val="21"/>
              </w:rPr>
              <w:t>米范围内无任何建（构）筑物</w:t>
            </w:r>
          </w:p>
        </w:tc>
        <w:tc>
          <w:tcPr>
            <w:tcW w:w="705" w:type="dxa"/>
            <w:vAlign w:val="center"/>
          </w:tcPr>
          <w:p w14:paraId="4E077927">
            <w:pPr>
              <w:jc w:val="center"/>
              <w:rPr>
                <w:rFonts w:ascii="宋体" w:hAnsi="宋体"/>
                <w:b w:val="0"/>
                <w:bCs/>
                <w:kern w:val="0"/>
                <w:szCs w:val="21"/>
              </w:rPr>
            </w:pPr>
            <w:r>
              <w:rPr>
                <w:rFonts w:hint="eastAsia" w:ascii="宋体" w:hAnsi="宋体"/>
                <w:b w:val="0"/>
                <w:bCs/>
                <w:kern w:val="0"/>
                <w:szCs w:val="21"/>
              </w:rPr>
              <w:t>符合</w:t>
            </w:r>
          </w:p>
        </w:tc>
      </w:tr>
      <w:tr w14:paraId="71F5F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Align w:val="center"/>
          </w:tcPr>
          <w:p w14:paraId="472341A4">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南</w:t>
            </w:r>
          </w:p>
        </w:tc>
        <w:tc>
          <w:tcPr>
            <w:tcW w:w="1671" w:type="dxa"/>
            <w:shd w:val="clear" w:color="auto" w:fill="auto"/>
            <w:vAlign w:val="center"/>
          </w:tcPr>
          <w:p w14:paraId="2E99F8E3">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4#</w:t>
            </w:r>
            <w:r>
              <w:rPr>
                <w:rFonts w:hint="eastAsia" w:ascii="宋体" w:hAnsi="宋体"/>
                <w:b w:val="0"/>
                <w:bCs/>
                <w:kern w:val="0"/>
                <w:szCs w:val="21"/>
              </w:rPr>
              <w:t>包装中转</w:t>
            </w:r>
          </w:p>
        </w:tc>
        <w:tc>
          <w:tcPr>
            <w:tcW w:w="709" w:type="dxa"/>
            <w:shd w:val="clear" w:color="auto" w:fill="auto"/>
            <w:vAlign w:val="center"/>
          </w:tcPr>
          <w:p w14:paraId="63EDDACE">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36EFEF79">
            <w:pPr>
              <w:jc w:val="center"/>
              <w:rPr>
                <w:rFonts w:ascii="宋体" w:hAnsi="宋体"/>
                <w:b w:val="0"/>
                <w:bCs/>
                <w:kern w:val="0"/>
                <w:szCs w:val="21"/>
              </w:rPr>
            </w:pPr>
            <w:r>
              <w:rPr>
                <w:rFonts w:ascii="宋体" w:hAnsi="宋体"/>
                <w:b w:val="0"/>
                <w:bCs/>
                <w:kern w:val="0"/>
                <w:szCs w:val="21"/>
              </w:rPr>
              <w:t>500</w:t>
            </w:r>
          </w:p>
        </w:tc>
        <w:tc>
          <w:tcPr>
            <w:tcW w:w="2127" w:type="dxa"/>
            <w:shd w:val="clear" w:color="auto" w:fill="auto"/>
            <w:vAlign w:val="center"/>
          </w:tcPr>
          <w:p w14:paraId="2DC2B83E">
            <w:pPr>
              <w:jc w:val="center"/>
              <w:rPr>
                <w:rFonts w:ascii="宋体" w:hAnsi="宋体"/>
                <w:b w:val="0"/>
                <w:bCs/>
                <w:kern w:val="0"/>
                <w:szCs w:val="21"/>
              </w:rPr>
            </w:pPr>
            <w:r>
              <w:rPr>
                <w:rFonts w:hint="eastAsia" w:ascii="宋体" w:hAnsi="宋体"/>
                <w:b w:val="0"/>
                <w:bCs/>
                <w:kern w:val="0"/>
                <w:szCs w:val="21"/>
              </w:rPr>
              <w:t>自然山岭</w:t>
            </w:r>
          </w:p>
        </w:tc>
        <w:tc>
          <w:tcPr>
            <w:tcW w:w="992" w:type="dxa"/>
            <w:shd w:val="clear" w:color="auto" w:fill="auto"/>
            <w:vAlign w:val="center"/>
          </w:tcPr>
          <w:p w14:paraId="222300B6">
            <w:pPr>
              <w:jc w:val="center"/>
              <w:rPr>
                <w:rFonts w:ascii="宋体" w:hAnsi="宋体"/>
                <w:b w:val="0"/>
                <w:bCs/>
                <w:kern w:val="0"/>
                <w:szCs w:val="21"/>
              </w:rPr>
            </w:pPr>
            <w:r>
              <w:rPr>
                <w:rFonts w:ascii="宋体" w:hAnsi="宋体"/>
                <w:b w:val="0"/>
                <w:bCs/>
                <w:kern w:val="0"/>
                <w:szCs w:val="21"/>
              </w:rPr>
              <w:t>140</w:t>
            </w:r>
          </w:p>
        </w:tc>
        <w:tc>
          <w:tcPr>
            <w:tcW w:w="1291" w:type="dxa"/>
            <w:shd w:val="clear" w:color="auto" w:fill="auto"/>
            <w:vAlign w:val="center"/>
          </w:tcPr>
          <w:p w14:paraId="33DF05F5">
            <w:pPr>
              <w:jc w:val="center"/>
              <w:rPr>
                <w:rFonts w:ascii="宋体" w:hAnsi="宋体"/>
                <w:b w:val="0"/>
                <w:bCs/>
                <w:kern w:val="0"/>
                <w:szCs w:val="21"/>
              </w:rPr>
            </w:pPr>
            <w:r>
              <w:rPr>
                <w:rFonts w:ascii="宋体" w:hAnsi="宋体"/>
                <w:b w:val="0"/>
                <w:bCs/>
                <w:kern w:val="0"/>
                <w:szCs w:val="21"/>
              </w:rPr>
              <w:t>210</w:t>
            </w:r>
            <w:r>
              <w:rPr>
                <w:rFonts w:hint="eastAsia" w:ascii="宋体" w:hAnsi="宋体"/>
                <w:b w:val="0"/>
                <w:bCs/>
                <w:kern w:val="0"/>
                <w:szCs w:val="21"/>
              </w:rPr>
              <w:t>米范围内无任何建（构）筑物</w:t>
            </w:r>
          </w:p>
        </w:tc>
        <w:tc>
          <w:tcPr>
            <w:tcW w:w="705" w:type="dxa"/>
            <w:vAlign w:val="center"/>
          </w:tcPr>
          <w:p w14:paraId="0DF4588E">
            <w:pPr>
              <w:jc w:val="center"/>
              <w:rPr>
                <w:rFonts w:ascii="宋体" w:hAnsi="宋体"/>
                <w:b w:val="0"/>
                <w:bCs/>
                <w:kern w:val="0"/>
                <w:szCs w:val="21"/>
              </w:rPr>
            </w:pPr>
            <w:r>
              <w:rPr>
                <w:rFonts w:hint="eastAsia" w:ascii="宋体" w:hAnsi="宋体"/>
                <w:b w:val="0"/>
                <w:bCs/>
                <w:kern w:val="0"/>
                <w:szCs w:val="21"/>
              </w:rPr>
              <w:t>符合</w:t>
            </w:r>
          </w:p>
        </w:tc>
      </w:tr>
      <w:tr w14:paraId="520F0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Merge w:val="restart"/>
            <w:vAlign w:val="center"/>
          </w:tcPr>
          <w:p w14:paraId="04FE8D07">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西</w:t>
            </w:r>
          </w:p>
        </w:tc>
        <w:tc>
          <w:tcPr>
            <w:tcW w:w="1671" w:type="dxa"/>
            <w:shd w:val="clear" w:color="auto" w:fill="auto"/>
            <w:vAlign w:val="center"/>
          </w:tcPr>
          <w:p w14:paraId="34750BC0">
            <w:pPr>
              <w:jc w:val="center"/>
              <w:rPr>
                <w:rFonts w:ascii="宋体" w:hAnsi="宋体"/>
                <w:b w:val="0"/>
                <w:bCs/>
                <w:kern w:val="0"/>
                <w:szCs w:val="21"/>
              </w:rPr>
            </w:pPr>
            <w:r>
              <w:rPr>
                <w:rFonts w:hint="eastAsia" w:ascii="宋体" w:hAnsi="宋体"/>
                <w:b w:val="0"/>
                <w:bCs/>
                <w:kern w:val="0"/>
                <w:szCs w:val="21"/>
              </w:rPr>
              <w:t>6</w:t>
            </w:r>
            <w:r>
              <w:rPr>
                <w:rFonts w:ascii="宋体" w:hAnsi="宋体"/>
                <w:b w:val="0"/>
                <w:bCs/>
                <w:kern w:val="0"/>
                <w:szCs w:val="21"/>
              </w:rPr>
              <w:t>6#</w:t>
            </w:r>
            <w:r>
              <w:rPr>
                <w:rFonts w:hint="eastAsia" w:ascii="宋体" w:hAnsi="宋体"/>
                <w:b w:val="0"/>
                <w:bCs/>
                <w:kern w:val="0"/>
                <w:szCs w:val="21"/>
              </w:rPr>
              <w:t>黑火药库</w:t>
            </w:r>
          </w:p>
        </w:tc>
        <w:tc>
          <w:tcPr>
            <w:tcW w:w="709" w:type="dxa"/>
            <w:shd w:val="clear" w:color="auto" w:fill="auto"/>
            <w:vAlign w:val="center"/>
          </w:tcPr>
          <w:p w14:paraId="0950A629">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76032B76">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500</w:t>
            </w:r>
          </w:p>
        </w:tc>
        <w:tc>
          <w:tcPr>
            <w:tcW w:w="2127" w:type="dxa"/>
            <w:shd w:val="clear" w:color="auto" w:fill="auto"/>
            <w:vAlign w:val="center"/>
          </w:tcPr>
          <w:p w14:paraId="72A75363">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992" w:type="dxa"/>
            <w:shd w:val="clear" w:color="auto" w:fill="auto"/>
            <w:vAlign w:val="center"/>
          </w:tcPr>
          <w:p w14:paraId="1836F12E">
            <w:pPr>
              <w:jc w:val="center"/>
              <w:rPr>
                <w:rFonts w:ascii="宋体" w:hAnsi="宋体"/>
                <w:b w:val="0"/>
                <w:bCs/>
                <w:kern w:val="0"/>
                <w:szCs w:val="21"/>
              </w:rPr>
            </w:pPr>
            <w:r>
              <w:rPr>
                <w:rFonts w:ascii="宋体" w:hAnsi="宋体"/>
                <w:b w:val="0"/>
                <w:bCs/>
                <w:kern w:val="0"/>
                <w:szCs w:val="21"/>
              </w:rPr>
              <w:t>165</w:t>
            </w:r>
          </w:p>
        </w:tc>
        <w:tc>
          <w:tcPr>
            <w:tcW w:w="1291" w:type="dxa"/>
            <w:shd w:val="clear" w:color="auto" w:fill="auto"/>
            <w:vAlign w:val="center"/>
          </w:tcPr>
          <w:p w14:paraId="0ECF4110">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26</w:t>
            </w:r>
          </w:p>
        </w:tc>
        <w:tc>
          <w:tcPr>
            <w:tcW w:w="705" w:type="dxa"/>
            <w:vAlign w:val="center"/>
          </w:tcPr>
          <w:p w14:paraId="3FFFC400">
            <w:pPr>
              <w:jc w:val="center"/>
            </w:pPr>
            <w:r>
              <w:rPr>
                <w:rFonts w:hint="eastAsia" w:ascii="宋体" w:hAnsi="宋体"/>
                <w:b w:val="0"/>
                <w:bCs/>
                <w:kern w:val="0"/>
                <w:szCs w:val="21"/>
              </w:rPr>
              <w:t>符合</w:t>
            </w:r>
          </w:p>
        </w:tc>
      </w:tr>
      <w:tr w14:paraId="0EFE7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Merge w:val="continue"/>
            <w:vAlign w:val="center"/>
          </w:tcPr>
          <w:p w14:paraId="26BB00F8">
            <w:pPr>
              <w:jc w:val="center"/>
              <w:rPr>
                <w:rFonts w:asciiTheme="minorEastAsia" w:hAnsiTheme="minorEastAsia" w:eastAsiaTheme="minorEastAsia"/>
                <w:b w:val="0"/>
                <w:bCs/>
                <w:szCs w:val="21"/>
              </w:rPr>
            </w:pPr>
          </w:p>
        </w:tc>
        <w:tc>
          <w:tcPr>
            <w:tcW w:w="1671" w:type="dxa"/>
            <w:shd w:val="clear" w:color="auto" w:fill="auto"/>
            <w:vAlign w:val="center"/>
          </w:tcPr>
          <w:p w14:paraId="6F20F026">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11#</w:t>
            </w:r>
            <w:r>
              <w:rPr>
                <w:rFonts w:hint="eastAsia" w:ascii="宋体" w:hAnsi="宋体"/>
                <w:b w:val="0"/>
                <w:bCs/>
                <w:kern w:val="0"/>
                <w:szCs w:val="21"/>
              </w:rPr>
              <w:t>黑火药库</w:t>
            </w:r>
          </w:p>
        </w:tc>
        <w:tc>
          <w:tcPr>
            <w:tcW w:w="709" w:type="dxa"/>
            <w:shd w:val="clear" w:color="auto" w:fill="auto"/>
            <w:vAlign w:val="center"/>
          </w:tcPr>
          <w:p w14:paraId="5DA9DBA3">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585BE38A">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000</w:t>
            </w:r>
          </w:p>
        </w:tc>
        <w:tc>
          <w:tcPr>
            <w:tcW w:w="2127" w:type="dxa"/>
            <w:shd w:val="clear" w:color="auto" w:fill="auto"/>
            <w:vAlign w:val="center"/>
          </w:tcPr>
          <w:p w14:paraId="5835117A">
            <w:pPr>
              <w:jc w:val="center"/>
              <w:rPr>
                <w:rFonts w:ascii="宋体" w:hAnsi="宋体"/>
                <w:b w:val="0"/>
                <w:bCs/>
                <w:kern w:val="0"/>
                <w:szCs w:val="21"/>
              </w:rPr>
            </w:pPr>
            <w:r>
              <w:rPr>
                <w:rFonts w:hint="eastAsia" w:ascii="宋体" w:hAnsi="宋体"/>
                <w:b w:val="0"/>
                <w:bCs/>
                <w:kern w:val="0"/>
                <w:szCs w:val="21"/>
              </w:rPr>
              <w:t>沩山镇泉水老人日照中心（无人居住）</w:t>
            </w:r>
          </w:p>
        </w:tc>
        <w:tc>
          <w:tcPr>
            <w:tcW w:w="992" w:type="dxa"/>
            <w:shd w:val="clear" w:color="auto" w:fill="auto"/>
            <w:vAlign w:val="center"/>
          </w:tcPr>
          <w:p w14:paraId="06EC6830">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05</w:t>
            </w:r>
          </w:p>
        </w:tc>
        <w:tc>
          <w:tcPr>
            <w:tcW w:w="1291" w:type="dxa"/>
            <w:shd w:val="clear" w:color="auto" w:fill="auto"/>
            <w:vAlign w:val="center"/>
          </w:tcPr>
          <w:p w14:paraId="3665BE5F">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86</w:t>
            </w:r>
          </w:p>
        </w:tc>
        <w:tc>
          <w:tcPr>
            <w:tcW w:w="705" w:type="dxa"/>
            <w:vAlign w:val="center"/>
          </w:tcPr>
          <w:p w14:paraId="7845208B">
            <w:pPr>
              <w:jc w:val="center"/>
              <w:rPr>
                <w:rFonts w:ascii="宋体" w:hAnsi="宋体"/>
                <w:b w:val="0"/>
                <w:bCs/>
                <w:kern w:val="0"/>
                <w:szCs w:val="21"/>
              </w:rPr>
            </w:pPr>
            <w:r>
              <w:rPr>
                <w:rFonts w:hint="eastAsia" w:ascii="宋体" w:hAnsi="宋体"/>
                <w:b w:val="0"/>
                <w:bCs/>
                <w:kern w:val="0"/>
                <w:szCs w:val="21"/>
              </w:rPr>
              <w:t>符合</w:t>
            </w:r>
          </w:p>
        </w:tc>
      </w:tr>
      <w:tr w14:paraId="70F74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Align w:val="center"/>
          </w:tcPr>
          <w:p w14:paraId="52936B90">
            <w:pPr>
              <w:jc w:val="center"/>
              <w:rPr>
                <w:rFonts w:asciiTheme="minorEastAsia" w:hAnsiTheme="minorEastAsia" w:eastAsiaTheme="minorEastAsia"/>
                <w:b w:val="0"/>
                <w:bCs/>
                <w:szCs w:val="21"/>
              </w:rPr>
            </w:pPr>
            <w:r>
              <w:rPr>
                <w:rFonts w:hint="eastAsia" w:asciiTheme="minorEastAsia" w:hAnsiTheme="minorEastAsia" w:eastAsiaTheme="minorEastAsia"/>
                <w:b w:val="0"/>
                <w:bCs/>
                <w:szCs w:val="21"/>
              </w:rPr>
              <w:t>西南</w:t>
            </w:r>
          </w:p>
        </w:tc>
        <w:tc>
          <w:tcPr>
            <w:tcW w:w="1671" w:type="dxa"/>
            <w:shd w:val="clear" w:color="auto" w:fill="auto"/>
            <w:vAlign w:val="center"/>
          </w:tcPr>
          <w:p w14:paraId="7C926473">
            <w:pPr>
              <w:jc w:val="center"/>
              <w:rPr>
                <w:rFonts w:ascii="宋体" w:hAnsi="宋体"/>
                <w:b w:val="0"/>
                <w:bCs/>
                <w:kern w:val="0"/>
                <w:szCs w:val="21"/>
              </w:rPr>
            </w:pPr>
            <w:r>
              <w:rPr>
                <w:rFonts w:hint="eastAsia" w:ascii="宋体" w:hAnsi="宋体"/>
                <w:b w:val="0"/>
                <w:bCs/>
                <w:kern w:val="0"/>
                <w:szCs w:val="21"/>
              </w:rPr>
              <w:t>6</w:t>
            </w:r>
            <w:r>
              <w:rPr>
                <w:rFonts w:ascii="宋体" w:hAnsi="宋体"/>
                <w:b w:val="0"/>
                <w:bCs/>
                <w:kern w:val="0"/>
                <w:szCs w:val="21"/>
              </w:rPr>
              <w:t>4#</w:t>
            </w:r>
            <w:r>
              <w:rPr>
                <w:rFonts w:hint="eastAsia" w:ascii="宋体" w:hAnsi="宋体"/>
                <w:b w:val="0"/>
                <w:bCs/>
                <w:kern w:val="0"/>
                <w:szCs w:val="21"/>
              </w:rPr>
              <w:t>黑火药库</w:t>
            </w:r>
          </w:p>
        </w:tc>
        <w:tc>
          <w:tcPr>
            <w:tcW w:w="709" w:type="dxa"/>
            <w:shd w:val="clear" w:color="auto" w:fill="auto"/>
            <w:vAlign w:val="center"/>
          </w:tcPr>
          <w:p w14:paraId="17249A9F">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724C8F90">
            <w:pPr>
              <w:jc w:val="center"/>
              <w:rPr>
                <w:rFonts w:ascii="宋体" w:hAnsi="宋体"/>
                <w:b w:val="0"/>
                <w:bCs/>
                <w:kern w:val="0"/>
                <w:szCs w:val="21"/>
              </w:rPr>
            </w:pPr>
            <w:r>
              <w:rPr>
                <w:rFonts w:hint="eastAsia" w:ascii="宋体" w:hAnsi="宋体"/>
                <w:b w:val="0"/>
                <w:bCs/>
                <w:kern w:val="0"/>
                <w:szCs w:val="21"/>
              </w:rPr>
              <w:t>7</w:t>
            </w:r>
            <w:r>
              <w:rPr>
                <w:rFonts w:ascii="宋体" w:hAnsi="宋体"/>
                <w:b w:val="0"/>
                <w:bCs/>
                <w:kern w:val="0"/>
                <w:szCs w:val="21"/>
              </w:rPr>
              <w:t>000</w:t>
            </w:r>
          </w:p>
        </w:tc>
        <w:tc>
          <w:tcPr>
            <w:tcW w:w="2127" w:type="dxa"/>
            <w:shd w:val="clear" w:color="auto" w:fill="auto"/>
            <w:vAlign w:val="center"/>
          </w:tcPr>
          <w:p w14:paraId="7E2C844A">
            <w:pPr>
              <w:rPr>
                <w:rFonts w:ascii="宋体" w:hAnsi="宋体"/>
                <w:b w:val="0"/>
                <w:bCs/>
                <w:kern w:val="0"/>
                <w:szCs w:val="21"/>
              </w:rPr>
            </w:pPr>
            <w:r>
              <w:rPr>
                <w:rFonts w:hint="eastAsia" w:ascii="宋体" w:hAnsi="宋体"/>
                <w:b w:val="0"/>
                <w:bCs/>
                <w:kern w:val="0"/>
                <w:szCs w:val="21"/>
              </w:rPr>
              <w:t>醴陵市楚丰出口烟花鞭炮制造有限公司药物库围墙（企业人数＞5</w:t>
            </w:r>
            <w:r>
              <w:rPr>
                <w:rFonts w:ascii="宋体" w:hAnsi="宋体"/>
                <w:b w:val="0"/>
                <w:bCs/>
                <w:kern w:val="0"/>
                <w:szCs w:val="21"/>
              </w:rPr>
              <w:t>0</w:t>
            </w:r>
            <w:r>
              <w:rPr>
                <w:rFonts w:hint="eastAsia" w:ascii="宋体" w:hAnsi="宋体"/>
                <w:b w:val="0"/>
                <w:bCs/>
                <w:kern w:val="0"/>
                <w:szCs w:val="21"/>
              </w:rPr>
              <w:t>人≤5</w:t>
            </w:r>
            <w:r>
              <w:rPr>
                <w:rFonts w:ascii="宋体" w:hAnsi="宋体"/>
                <w:b w:val="0"/>
                <w:bCs/>
                <w:kern w:val="0"/>
                <w:szCs w:val="21"/>
              </w:rPr>
              <w:t>00</w:t>
            </w:r>
            <w:r>
              <w:rPr>
                <w:rFonts w:hint="eastAsia" w:ascii="宋体" w:hAnsi="宋体"/>
                <w:b w:val="0"/>
                <w:bCs/>
                <w:kern w:val="0"/>
                <w:szCs w:val="21"/>
              </w:rPr>
              <w:t>人）</w:t>
            </w:r>
          </w:p>
        </w:tc>
        <w:tc>
          <w:tcPr>
            <w:tcW w:w="992" w:type="dxa"/>
            <w:shd w:val="clear" w:color="auto" w:fill="auto"/>
            <w:vAlign w:val="center"/>
          </w:tcPr>
          <w:p w14:paraId="0CDC0A30">
            <w:pPr>
              <w:jc w:val="center"/>
              <w:rPr>
                <w:rFonts w:ascii="宋体" w:hAnsi="宋体"/>
                <w:b w:val="0"/>
                <w:bCs/>
                <w:kern w:val="0"/>
                <w:szCs w:val="21"/>
              </w:rPr>
            </w:pPr>
            <w:r>
              <w:rPr>
                <w:rFonts w:ascii="宋体" w:hAnsi="宋体"/>
                <w:b w:val="0"/>
                <w:bCs/>
                <w:kern w:val="0"/>
                <w:szCs w:val="21"/>
              </w:rPr>
              <w:t>360</w:t>
            </w:r>
          </w:p>
        </w:tc>
        <w:tc>
          <w:tcPr>
            <w:tcW w:w="1291" w:type="dxa"/>
            <w:shd w:val="clear" w:color="auto" w:fill="auto"/>
            <w:vAlign w:val="center"/>
          </w:tcPr>
          <w:p w14:paraId="707F9E4A">
            <w:pPr>
              <w:jc w:val="center"/>
              <w:rPr>
                <w:rFonts w:ascii="宋体" w:hAnsi="宋体"/>
                <w:b w:val="0"/>
                <w:bCs/>
                <w:kern w:val="0"/>
                <w:szCs w:val="21"/>
              </w:rPr>
            </w:pPr>
            <w:r>
              <w:rPr>
                <w:rFonts w:hint="eastAsia" w:ascii="宋体" w:hAnsi="宋体"/>
                <w:b w:val="0"/>
                <w:bCs/>
                <w:kern w:val="0"/>
                <w:szCs w:val="21"/>
              </w:rPr>
              <w:t>4</w:t>
            </w:r>
            <w:r>
              <w:rPr>
                <w:rFonts w:ascii="宋体" w:hAnsi="宋体"/>
                <w:b w:val="0"/>
                <w:bCs/>
                <w:kern w:val="0"/>
                <w:szCs w:val="21"/>
              </w:rPr>
              <w:t>39</w:t>
            </w:r>
          </w:p>
        </w:tc>
        <w:tc>
          <w:tcPr>
            <w:tcW w:w="705" w:type="dxa"/>
            <w:vAlign w:val="center"/>
          </w:tcPr>
          <w:p w14:paraId="6AE86854">
            <w:pPr>
              <w:jc w:val="center"/>
              <w:rPr>
                <w:rFonts w:ascii="宋体" w:hAnsi="宋体"/>
                <w:b w:val="0"/>
                <w:bCs/>
                <w:kern w:val="0"/>
                <w:szCs w:val="21"/>
              </w:rPr>
            </w:pPr>
            <w:r>
              <w:rPr>
                <w:rFonts w:hint="eastAsia" w:ascii="宋体" w:hAnsi="宋体"/>
                <w:b w:val="0"/>
                <w:bCs/>
                <w:kern w:val="0"/>
                <w:szCs w:val="21"/>
              </w:rPr>
              <w:t>符合</w:t>
            </w:r>
          </w:p>
        </w:tc>
      </w:tr>
      <w:tr w14:paraId="18598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Merge w:val="restart"/>
            <w:vAlign w:val="center"/>
          </w:tcPr>
          <w:p w14:paraId="59F72D40">
            <w:pPr>
              <w:jc w:val="center"/>
              <w:rPr>
                <w:rFonts w:cs="宋体" w:asciiTheme="minorEastAsia" w:hAnsiTheme="minorEastAsia" w:eastAsiaTheme="minorEastAsia"/>
                <w:b w:val="0"/>
                <w:bCs/>
                <w:szCs w:val="21"/>
              </w:rPr>
            </w:pPr>
            <w:r>
              <w:rPr>
                <w:rFonts w:hint="eastAsia" w:cs="宋体" w:asciiTheme="minorEastAsia" w:hAnsiTheme="minorEastAsia" w:eastAsiaTheme="minorEastAsia"/>
                <w:b w:val="0"/>
                <w:bCs/>
                <w:szCs w:val="21"/>
              </w:rPr>
              <w:t>北</w:t>
            </w:r>
          </w:p>
        </w:tc>
        <w:tc>
          <w:tcPr>
            <w:tcW w:w="1671" w:type="dxa"/>
            <w:shd w:val="clear" w:color="auto" w:fill="auto"/>
            <w:vAlign w:val="center"/>
          </w:tcPr>
          <w:p w14:paraId="7A8FC896">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08#</w:t>
            </w:r>
            <w:r>
              <w:rPr>
                <w:rFonts w:hint="eastAsia" w:ascii="宋体" w:hAnsi="宋体"/>
                <w:b w:val="0"/>
                <w:bCs/>
                <w:kern w:val="0"/>
                <w:szCs w:val="21"/>
              </w:rPr>
              <w:t>黑火药库</w:t>
            </w:r>
          </w:p>
        </w:tc>
        <w:tc>
          <w:tcPr>
            <w:tcW w:w="709" w:type="dxa"/>
            <w:shd w:val="clear" w:color="auto" w:fill="auto"/>
            <w:vAlign w:val="center"/>
          </w:tcPr>
          <w:p w14:paraId="790F289C">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5595EE45">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000</w:t>
            </w:r>
          </w:p>
        </w:tc>
        <w:tc>
          <w:tcPr>
            <w:tcW w:w="2127" w:type="dxa"/>
            <w:shd w:val="clear" w:color="auto" w:fill="auto"/>
            <w:vAlign w:val="center"/>
          </w:tcPr>
          <w:p w14:paraId="73E2A1CF">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992" w:type="dxa"/>
            <w:shd w:val="clear" w:color="auto" w:fill="auto"/>
            <w:vAlign w:val="center"/>
          </w:tcPr>
          <w:p w14:paraId="58666CBF">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20</w:t>
            </w:r>
          </w:p>
        </w:tc>
        <w:tc>
          <w:tcPr>
            <w:tcW w:w="1291" w:type="dxa"/>
            <w:shd w:val="clear" w:color="auto" w:fill="auto"/>
            <w:vAlign w:val="center"/>
          </w:tcPr>
          <w:p w14:paraId="6C66C09D">
            <w:pPr>
              <w:jc w:val="center"/>
              <w:rPr>
                <w:rFonts w:ascii="宋体" w:hAnsi="宋体"/>
                <w:b w:val="0"/>
                <w:bCs/>
                <w:kern w:val="0"/>
                <w:szCs w:val="21"/>
              </w:rPr>
            </w:pPr>
            <w:r>
              <w:rPr>
                <w:rFonts w:hint="eastAsia" w:ascii="宋体" w:hAnsi="宋体"/>
                <w:b w:val="0"/>
                <w:bCs/>
                <w:kern w:val="0"/>
                <w:szCs w:val="21"/>
              </w:rPr>
              <w:t>2</w:t>
            </w:r>
            <w:r>
              <w:rPr>
                <w:rFonts w:ascii="宋体" w:hAnsi="宋体"/>
                <w:b w:val="0"/>
                <w:bCs/>
                <w:kern w:val="0"/>
                <w:szCs w:val="21"/>
              </w:rPr>
              <w:t>79</w:t>
            </w:r>
          </w:p>
        </w:tc>
        <w:tc>
          <w:tcPr>
            <w:tcW w:w="705" w:type="dxa"/>
            <w:vAlign w:val="center"/>
          </w:tcPr>
          <w:p w14:paraId="3CF83016">
            <w:pPr>
              <w:jc w:val="center"/>
            </w:pPr>
            <w:r>
              <w:rPr>
                <w:rFonts w:hint="eastAsia" w:ascii="宋体" w:hAnsi="宋体"/>
                <w:b w:val="0"/>
                <w:bCs/>
                <w:kern w:val="0"/>
                <w:szCs w:val="21"/>
              </w:rPr>
              <w:t>符合</w:t>
            </w:r>
          </w:p>
        </w:tc>
      </w:tr>
      <w:tr w14:paraId="5652F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vMerge w:val="continue"/>
            <w:vAlign w:val="center"/>
          </w:tcPr>
          <w:p w14:paraId="3DE7744C">
            <w:pPr>
              <w:jc w:val="center"/>
              <w:rPr>
                <w:rFonts w:cs="宋体" w:asciiTheme="minorEastAsia" w:hAnsiTheme="minorEastAsia" w:eastAsiaTheme="minorEastAsia"/>
                <w:b w:val="0"/>
                <w:bCs/>
                <w:szCs w:val="21"/>
              </w:rPr>
            </w:pPr>
          </w:p>
        </w:tc>
        <w:tc>
          <w:tcPr>
            <w:tcW w:w="1671" w:type="dxa"/>
            <w:shd w:val="clear" w:color="auto" w:fill="auto"/>
            <w:vAlign w:val="center"/>
          </w:tcPr>
          <w:p w14:paraId="73654CEA">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04#</w:t>
            </w:r>
            <w:r>
              <w:rPr>
                <w:rFonts w:hint="eastAsia" w:ascii="宋体" w:hAnsi="宋体"/>
                <w:b w:val="0"/>
                <w:bCs/>
                <w:kern w:val="0"/>
                <w:szCs w:val="21"/>
              </w:rPr>
              <w:t>包装中转</w:t>
            </w:r>
          </w:p>
        </w:tc>
        <w:tc>
          <w:tcPr>
            <w:tcW w:w="709" w:type="dxa"/>
            <w:shd w:val="clear" w:color="auto" w:fill="auto"/>
            <w:vAlign w:val="center"/>
          </w:tcPr>
          <w:p w14:paraId="1044ADE3">
            <w:pPr>
              <w:widowControl/>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.1</w:t>
            </w:r>
            <w:r>
              <w:rPr>
                <w:rFonts w:ascii="宋体" w:hAnsi="宋体"/>
                <w:b w:val="0"/>
                <w:bCs/>
                <w:kern w:val="0"/>
                <w:szCs w:val="21"/>
                <w:vertAlign w:val="superscript"/>
              </w:rPr>
              <w:t>-2</w:t>
            </w:r>
          </w:p>
        </w:tc>
        <w:tc>
          <w:tcPr>
            <w:tcW w:w="992" w:type="dxa"/>
            <w:shd w:val="clear" w:color="auto" w:fill="auto"/>
            <w:vAlign w:val="center"/>
          </w:tcPr>
          <w:p w14:paraId="35CFA120">
            <w:pPr>
              <w:jc w:val="center"/>
              <w:rPr>
                <w:rFonts w:ascii="宋体" w:hAnsi="宋体"/>
                <w:b w:val="0"/>
                <w:bCs/>
                <w:kern w:val="0"/>
                <w:szCs w:val="21"/>
              </w:rPr>
            </w:pPr>
            <w:r>
              <w:rPr>
                <w:rFonts w:hint="eastAsia" w:ascii="宋体" w:hAnsi="宋体"/>
                <w:b w:val="0"/>
                <w:bCs/>
                <w:kern w:val="0"/>
                <w:szCs w:val="21"/>
              </w:rPr>
              <w:t>5</w:t>
            </w:r>
            <w:r>
              <w:rPr>
                <w:rFonts w:ascii="宋体" w:hAnsi="宋体"/>
                <w:b w:val="0"/>
                <w:bCs/>
                <w:kern w:val="0"/>
                <w:szCs w:val="21"/>
              </w:rPr>
              <w:t>00</w:t>
            </w:r>
          </w:p>
        </w:tc>
        <w:tc>
          <w:tcPr>
            <w:tcW w:w="2127" w:type="dxa"/>
            <w:shd w:val="clear" w:color="auto" w:fill="auto"/>
            <w:vAlign w:val="center"/>
          </w:tcPr>
          <w:p w14:paraId="79652349">
            <w:pPr>
              <w:jc w:val="center"/>
              <w:rPr>
                <w:rFonts w:ascii="宋体" w:hAnsi="宋体"/>
                <w:b w:val="0"/>
                <w:bCs/>
                <w:kern w:val="0"/>
                <w:szCs w:val="21"/>
              </w:rPr>
            </w:pPr>
            <w:r>
              <w:rPr>
                <w:rFonts w:hint="eastAsia" w:ascii="宋体" w:hAnsi="宋体"/>
                <w:b w:val="0"/>
                <w:bCs/>
                <w:kern w:val="0"/>
                <w:szCs w:val="21"/>
              </w:rPr>
              <w:t>民房（1</w:t>
            </w:r>
            <w:r>
              <w:rPr>
                <w:rFonts w:ascii="宋体" w:hAnsi="宋体"/>
                <w:b w:val="0"/>
                <w:bCs/>
                <w:kern w:val="0"/>
                <w:szCs w:val="21"/>
              </w:rPr>
              <w:t>0</w:t>
            </w:r>
            <w:r>
              <w:rPr>
                <w:rFonts w:hint="eastAsia" w:ascii="宋体" w:hAnsi="宋体"/>
                <w:b w:val="0"/>
                <w:bCs/>
                <w:kern w:val="0"/>
                <w:szCs w:val="21"/>
              </w:rPr>
              <w:t>户以内）</w:t>
            </w:r>
          </w:p>
        </w:tc>
        <w:tc>
          <w:tcPr>
            <w:tcW w:w="992" w:type="dxa"/>
            <w:shd w:val="clear" w:color="auto" w:fill="auto"/>
            <w:vAlign w:val="center"/>
          </w:tcPr>
          <w:p w14:paraId="38079F7B">
            <w:pPr>
              <w:jc w:val="center"/>
              <w:rPr>
                <w:rFonts w:ascii="宋体" w:hAnsi="宋体"/>
                <w:b w:val="0"/>
                <w:bCs/>
                <w:kern w:val="0"/>
                <w:szCs w:val="21"/>
              </w:rPr>
            </w:pPr>
            <w:r>
              <w:rPr>
                <w:rFonts w:hint="eastAsia" w:ascii="宋体" w:hAnsi="宋体"/>
                <w:b w:val="0"/>
                <w:bCs/>
                <w:kern w:val="0"/>
                <w:szCs w:val="21"/>
              </w:rPr>
              <w:t>1</w:t>
            </w:r>
            <w:r>
              <w:rPr>
                <w:rFonts w:ascii="宋体" w:hAnsi="宋体"/>
                <w:b w:val="0"/>
                <w:bCs/>
                <w:kern w:val="0"/>
                <w:szCs w:val="21"/>
              </w:rPr>
              <w:t>40</w:t>
            </w:r>
          </w:p>
        </w:tc>
        <w:tc>
          <w:tcPr>
            <w:tcW w:w="1291" w:type="dxa"/>
            <w:shd w:val="clear" w:color="auto" w:fill="auto"/>
            <w:vAlign w:val="center"/>
          </w:tcPr>
          <w:p w14:paraId="177E042F">
            <w:pPr>
              <w:jc w:val="center"/>
              <w:rPr>
                <w:rFonts w:ascii="宋体" w:hAnsi="宋体"/>
                <w:b w:val="0"/>
                <w:bCs/>
                <w:kern w:val="0"/>
                <w:szCs w:val="21"/>
              </w:rPr>
            </w:pPr>
            <w:r>
              <w:rPr>
                <w:rFonts w:hint="eastAsia" w:ascii="宋体" w:hAnsi="宋体"/>
                <w:b w:val="0"/>
                <w:bCs/>
                <w:kern w:val="0"/>
                <w:szCs w:val="21"/>
              </w:rPr>
              <w:t>3</w:t>
            </w:r>
            <w:r>
              <w:rPr>
                <w:rFonts w:ascii="宋体" w:hAnsi="宋体"/>
                <w:b w:val="0"/>
                <w:bCs/>
                <w:kern w:val="0"/>
                <w:szCs w:val="21"/>
              </w:rPr>
              <w:t>27</w:t>
            </w:r>
          </w:p>
        </w:tc>
        <w:tc>
          <w:tcPr>
            <w:tcW w:w="705" w:type="dxa"/>
            <w:vAlign w:val="center"/>
          </w:tcPr>
          <w:p w14:paraId="58733206">
            <w:pPr>
              <w:jc w:val="center"/>
            </w:pPr>
            <w:r>
              <w:rPr>
                <w:rFonts w:hint="eastAsia" w:ascii="宋体" w:hAnsi="宋体"/>
                <w:b w:val="0"/>
                <w:bCs/>
                <w:kern w:val="0"/>
                <w:szCs w:val="21"/>
              </w:rPr>
              <w:t>符合</w:t>
            </w:r>
          </w:p>
        </w:tc>
      </w:tr>
      <w:tr w14:paraId="3F0C2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97" w:type="dxa"/>
            <w:gridSpan w:val="8"/>
            <w:vAlign w:val="center"/>
          </w:tcPr>
          <w:p w14:paraId="48DF7159">
            <w:pPr>
              <w:jc w:val="left"/>
              <w:rPr>
                <w:rFonts w:ascii="宋体" w:hAnsi="宋体"/>
                <w:b w:val="0"/>
                <w:bCs/>
                <w:kern w:val="0"/>
                <w:szCs w:val="21"/>
              </w:rPr>
            </w:pPr>
            <w:r>
              <w:rPr>
                <w:rFonts w:hint="eastAsia" w:ascii="宋体" w:hAnsi="宋体"/>
                <w:b w:val="0"/>
                <w:bCs/>
                <w:kern w:val="0"/>
                <w:szCs w:val="21"/>
              </w:rPr>
              <w:t>备注：计算药量为中间值时，外部安全标准距离采用线性插入法确定。</w:t>
            </w:r>
          </w:p>
        </w:tc>
      </w:tr>
    </w:tbl>
    <w:p w14:paraId="51716B3A">
      <w:pPr>
        <w:pStyle w:val="7"/>
        <w:spacing w:before="120" w:beforeLines="50"/>
        <w:rPr>
          <w:rFonts w:ascii="黑体" w:hAnsi="黑体" w:eastAsia="黑体" w:cs="宋体"/>
          <w:b w:val="0"/>
          <w:szCs w:val="28"/>
        </w:rPr>
      </w:pPr>
      <w:bookmarkStart w:id="488" w:name="_Toc165038817"/>
      <w:r>
        <w:rPr>
          <w:rFonts w:hint="eastAsia" w:ascii="黑体" w:hAnsi="黑体" w:eastAsia="黑体" w:cs="宋体"/>
          <w:b w:val="0"/>
          <w:szCs w:val="28"/>
        </w:rPr>
        <w:t>5.</w:t>
      </w:r>
      <w:r>
        <w:rPr>
          <w:rFonts w:ascii="黑体" w:hAnsi="黑体" w:eastAsia="黑体" w:cs="宋体"/>
          <w:b w:val="0"/>
          <w:szCs w:val="28"/>
        </w:rPr>
        <w:t>2</w:t>
      </w:r>
      <w:r>
        <w:rPr>
          <w:rFonts w:hint="eastAsia" w:ascii="黑体" w:hAnsi="黑体" w:eastAsia="黑体" w:cs="宋体"/>
          <w:b w:val="0"/>
          <w:szCs w:val="28"/>
        </w:rPr>
        <w:t>.</w:t>
      </w:r>
      <w:r>
        <w:rPr>
          <w:rFonts w:ascii="黑体" w:hAnsi="黑体" w:eastAsia="黑体" w:cs="宋体"/>
          <w:b w:val="0"/>
          <w:szCs w:val="28"/>
        </w:rPr>
        <w:t>2</w:t>
      </w:r>
      <w:r>
        <w:rPr>
          <w:rFonts w:hint="eastAsia" w:ascii="黑体" w:hAnsi="黑体" w:eastAsia="黑体" w:cs="宋体"/>
          <w:b w:val="0"/>
          <w:szCs w:val="28"/>
        </w:rPr>
        <w:t>建设项目内部安全距离评价</w:t>
      </w:r>
      <w:bookmarkEnd w:id="488"/>
    </w:p>
    <w:p w14:paraId="072B7933">
      <w:pPr>
        <w:spacing w:line="360" w:lineRule="auto"/>
        <w:ind w:firstLine="560" w:firstLineChars="200"/>
        <w:rPr>
          <w:rFonts w:ascii="黑体" w:hAnsi="宋体" w:eastAsia="黑体"/>
          <w:b w:val="0"/>
          <w:sz w:val="24"/>
        </w:rPr>
      </w:pPr>
      <w:r>
        <w:rPr>
          <w:rFonts w:hint="eastAsia" w:ascii="宋体" w:hAnsi="宋体"/>
          <w:b w:val="0"/>
          <w:sz w:val="28"/>
          <w:szCs w:val="28"/>
        </w:rPr>
        <w:t>本次评价组根据《湖南金帝烟花爆竹制造有限公司泉水工区扩建项目安全设施设计平面布置图》（初步设计方案图）（由大连市化工设计院有限公司提供），</w:t>
      </w:r>
      <w:r>
        <w:rPr>
          <w:rFonts w:hint="eastAsia" w:ascii="宋体" w:hAnsi="宋体"/>
          <w:b w:val="0"/>
          <w:sz w:val="28"/>
          <w:szCs w:val="28"/>
          <w:lang w:val="en-GB"/>
        </w:rPr>
        <w:t>该项目工（库）房的内部距离按不小于《烟花爆竹工程设计安全标准》（GB50161-2022）规定进行建设（设计）</w:t>
      </w:r>
      <w:r>
        <w:rPr>
          <w:rFonts w:hint="eastAsia" w:ascii="宋体" w:hAnsi="宋体"/>
          <w:b w:val="0"/>
          <w:sz w:val="28"/>
          <w:szCs w:val="28"/>
        </w:rPr>
        <w:t>；</w:t>
      </w:r>
      <w:r>
        <w:rPr>
          <w:rFonts w:hint="eastAsia" w:ascii="宋体" w:hAnsi="宋体"/>
          <w:b w:val="0"/>
          <w:bCs/>
          <w:sz w:val="28"/>
          <w:szCs w:val="28"/>
        </w:rPr>
        <w:t>泉水工区扩建项目危险建筑物之间的内部距离情况见表5.7-</w:t>
      </w:r>
      <w:r>
        <w:rPr>
          <w:rFonts w:ascii="宋体" w:hAnsi="宋体"/>
          <w:b w:val="0"/>
          <w:bCs/>
          <w:sz w:val="28"/>
          <w:szCs w:val="28"/>
        </w:rPr>
        <w:t>3</w:t>
      </w:r>
      <w:r>
        <w:rPr>
          <w:rFonts w:ascii="宋体" w:hAnsi="宋体"/>
          <w:b w:val="0"/>
          <w:sz w:val="28"/>
          <w:szCs w:val="28"/>
        </w:rPr>
        <w:t>。</w:t>
      </w:r>
    </w:p>
    <w:p w14:paraId="29D546F0">
      <w:pPr>
        <w:widowControl/>
        <w:jc w:val="center"/>
        <w:rPr>
          <w:rFonts w:ascii="黑体" w:hAnsi="黑体" w:eastAsia="黑体"/>
          <w:b w:val="0"/>
          <w:bCs/>
          <w:sz w:val="24"/>
        </w:rPr>
      </w:pPr>
      <w:r>
        <w:rPr>
          <w:rFonts w:hint="eastAsia" w:ascii="黑体" w:hAnsi="宋体" w:eastAsia="黑体"/>
          <w:b w:val="0"/>
          <w:sz w:val="24"/>
        </w:rPr>
        <w:t>表5.7-</w:t>
      </w:r>
      <w:r>
        <w:rPr>
          <w:rFonts w:ascii="黑体" w:hAnsi="宋体" w:eastAsia="黑体"/>
          <w:b w:val="0"/>
          <w:sz w:val="24"/>
        </w:rPr>
        <w:t>3</w:t>
      </w:r>
      <w:r>
        <w:rPr>
          <w:rFonts w:hint="eastAsia" w:ascii="黑体" w:hAnsi="宋体" w:eastAsia="黑体"/>
          <w:b w:val="0"/>
          <w:sz w:val="24"/>
        </w:rPr>
        <w:t xml:space="preserve"> </w:t>
      </w:r>
      <w:r>
        <w:rPr>
          <w:rFonts w:hint="eastAsia" w:ascii="黑体" w:hAnsi="黑体" w:eastAsia="黑体"/>
          <w:b w:val="0"/>
          <w:bCs/>
          <w:sz w:val="24"/>
        </w:rPr>
        <w:t>建设项目危险性建（构）筑物之间内部距离平面布置图设计情况表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95"/>
        <w:gridCol w:w="639"/>
        <w:gridCol w:w="901"/>
        <w:gridCol w:w="2167"/>
        <w:gridCol w:w="643"/>
        <w:gridCol w:w="644"/>
        <w:gridCol w:w="644"/>
        <w:gridCol w:w="675"/>
        <w:gridCol w:w="1476"/>
      </w:tblGrid>
      <w:tr w14:paraId="1D194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811" w:type="pct"/>
            <w:shd w:val="clear" w:color="auto" w:fill="auto"/>
            <w:vAlign w:val="center"/>
          </w:tcPr>
          <w:p w14:paraId="760F1B8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建（构）筑物</w:t>
            </w:r>
          </w:p>
          <w:p w14:paraId="3C9F3E8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名称</w:t>
            </w:r>
          </w:p>
        </w:tc>
        <w:tc>
          <w:tcPr>
            <w:tcW w:w="350" w:type="pct"/>
            <w:shd w:val="clear" w:color="auto" w:fill="auto"/>
            <w:vAlign w:val="center"/>
          </w:tcPr>
          <w:p w14:paraId="442E243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危险等级</w:t>
            </w:r>
          </w:p>
        </w:tc>
        <w:tc>
          <w:tcPr>
            <w:tcW w:w="491" w:type="pct"/>
            <w:shd w:val="clear" w:color="auto" w:fill="auto"/>
            <w:vAlign w:val="center"/>
          </w:tcPr>
          <w:p w14:paraId="392F6EA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计算药量(㎏)</w:t>
            </w:r>
          </w:p>
        </w:tc>
        <w:tc>
          <w:tcPr>
            <w:tcW w:w="1173" w:type="pct"/>
            <w:vAlign w:val="center"/>
          </w:tcPr>
          <w:p w14:paraId="6BB3CF8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相邻建筑物名称</w:t>
            </w:r>
          </w:p>
        </w:tc>
        <w:tc>
          <w:tcPr>
            <w:tcW w:w="352" w:type="pct"/>
            <w:vAlign w:val="center"/>
          </w:tcPr>
          <w:p w14:paraId="6C2C90D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标准距离(m)</w:t>
            </w:r>
          </w:p>
        </w:tc>
        <w:tc>
          <w:tcPr>
            <w:tcW w:w="352" w:type="pct"/>
            <w:vAlign w:val="center"/>
          </w:tcPr>
          <w:p w14:paraId="04BD16B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设计距离(m)</w:t>
            </w:r>
          </w:p>
        </w:tc>
        <w:tc>
          <w:tcPr>
            <w:tcW w:w="352" w:type="pct"/>
            <w:vAlign w:val="center"/>
          </w:tcPr>
          <w:p w14:paraId="651D548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防护措施</w:t>
            </w:r>
          </w:p>
        </w:tc>
        <w:tc>
          <w:tcPr>
            <w:tcW w:w="369" w:type="pct"/>
            <w:vAlign w:val="center"/>
          </w:tcPr>
          <w:p w14:paraId="313FB38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符合性</w:t>
            </w:r>
          </w:p>
        </w:tc>
        <w:tc>
          <w:tcPr>
            <w:tcW w:w="746" w:type="pct"/>
            <w:vAlign w:val="center"/>
          </w:tcPr>
          <w:p w14:paraId="73D713A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Cs w:val="21"/>
              </w:rPr>
            </w:pPr>
            <w:r>
              <w:rPr>
                <w:rFonts w:hint="eastAsia" w:ascii="宋体" w:hAnsi="宋体" w:cs="宋体"/>
                <w:szCs w:val="21"/>
              </w:rPr>
              <w:t>标准依据</w:t>
            </w:r>
          </w:p>
        </w:tc>
      </w:tr>
      <w:tr w14:paraId="5C7A8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EABCB5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w:t>
            </w:r>
            <w:r>
              <w:rPr>
                <w:rFonts w:hint="eastAsia" w:ascii="宋体" w:hAnsi="宋体" w:cs="Arial"/>
                <w:b w:val="0"/>
                <w:bCs/>
                <w:szCs w:val="21"/>
              </w:rPr>
              <w:t>硝酸钾粉碎</w:t>
            </w:r>
          </w:p>
        </w:tc>
        <w:tc>
          <w:tcPr>
            <w:tcW w:w="350" w:type="pct"/>
            <w:shd w:val="clear" w:color="auto" w:fill="auto"/>
            <w:vAlign w:val="center"/>
          </w:tcPr>
          <w:p w14:paraId="4FA4E0B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034D75C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4DABBD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cs="Arial"/>
                <w:b w:val="0"/>
                <w:bCs/>
                <w:szCs w:val="21"/>
              </w:rPr>
              <w:t>8#</w:t>
            </w:r>
            <w:r>
              <w:rPr>
                <w:rFonts w:hint="eastAsia" w:ascii="宋体" w:hAnsi="宋体" w:cs="Arial"/>
                <w:b w:val="0"/>
                <w:bCs/>
                <w:szCs w:val="21"/>
              </w:rPr>
              <w:t>硝酸钾库</w:t>
            </w:r>
          </w:p>
          <w:p w14:paraId="5088A41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（甲类、</w:t>
            </w:r>
            <w:r>
              <w:rPr>
                <w:rFonts w:ascii="宋体" w:hAnsi="宋体" w:cs="Arial"/>
                <w:b w:val="0"/>
                <w:bCs/>
                <w:szCs w:val="21"/>
              </w:rPr>
              <w:t>30000kg</w:t>
            </w:r>
            <w:r>
              <w:rPr>
                <w:rFonts w:hint="eastAsia" w:ascii="宋体" w:hAnsi="宋体" w:cs="Arial"/>
                <w:b w:val="0"/>
                <w:bCs/>
                <w:szCs w:val="21"/>
              </w:rPr>
              <w:t>）</w:t>
            </w:r>
          </w:p>
        </w:tc>
        <w:tc>
          <w:tcPr>
            <w:tcW w:w="352" w:type="pct"/>
            <w:shd w:val="clear" w:color="auto" w:fill="auto"/>
            <w:vAlign w:val="center"/>
          </w:tcPr>
          <w:p w14:paraId="250C9ED0">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ascii="宋体" w:hAnsi="宋体" w:cs="宋体"/>
                <w:b w:val="0"/>
                <w:bCs/>
                <w:szCs w:val="21"/>
              </w:rPr>
              <w:t>20</w:t>
            </w:r>
          </w:p>
        </w:tc>
        <w:tc>
          <w:tcPr>
            <w:tcW w:w="352" w:type="pct"/>
            <w:shd w:val="clear" w:color="auto" w:fill="auto"/>
            <w:vAlign w:val="center"/>
          </w:tcPr>
          <w:p w14:paraId="703566D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4</w:t>
            </w:r>
          </w:p>
        </w:tc>
        <w:tc>
          <w:tcPr>
            <w:tcW w:w="352" w:type="pct"/>
            <w:vAlign w:val="center"/>
          </w:tcPr>
          <w:p w14:paraId="4BB6C7F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shd w:val="clear" w:color="auto" w:fill="auto"/>
            <w:vAlign w:val="center"/>
          </w:tcPr>
          <w:p w14:paraId="3E22B07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53D9901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6AE0D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3A0664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w:t>
            </w:r>
            <w:r>
              <w:rPr>
                <w:rFonts w:hint="eastAsia" w:ascii="宋体" w:hAnsi="宋体" w:cs="Arial"/>
                <w:b w:val="0"/>
                <w:bCs/>
                <w:szCs w:val="21"/>
              </w:rPr>
              <w:t>硝酸钾粉碎中转</w:t>
            </w:r>
          </w:p>
        </w:tc>
        <w:tc>
          <w:tcPr>
            <w:tcW w:w="350" w:type="pct"/>
            <w:shd w:val="clear" w:color="auto" w:fill="auto"/>
            <w:vAlign w:val="center"/>
          </w:tcPr>
          <w:p w14:paraId="1B80434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22A0D47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w:t>
            </w:r>
          </w:p>
        </w:tc>
        <w:tc>
          <w:tcPr>
            <w:tcW w:w="1173" w:type="pct"/>
            <w:shd w:val="clear" w:color="auto" w:fill="auto"/>
            <w:vAlign w:val="center"/>
          </w:tcPr>
          <w:p w14:paraId="0F0336B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hint="eastAsia" w:ascii="宋体" w:hAnsi="宋体"/>
                <w:b w:val="0"/>
                <w:bCs/>
                <w:spacing w:val="-4"/>
                <w:szCs w:val="21"/>
              </w:rPr>
              <w:t>木炭库</w:t>
            </w:r>
          </w:p>
          <w:p w14:paraId="0955E1E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（丙类、2</w:t>
            </w:r>
            <w:r>
              <w:rPr>
                <w:rFonts w:ascii="宋体" w:hAnsi="宋体"/>
                <w:b w:val="0"/>
                <w:bCs/>
                <w:spacing w:val="-4"/>
                <w:szCs w:val="21"/>
              </w:rPr>
              <w:t>0000kg</w:t>
            </w:r>
            <w:r>
              <w:rPr>
                <w:rFonts w:hint="eastAsia" w:ascii="宋体" w:hAnsi="宋体"/>
                <w:b w:val="0"/>
                <w:bCs/>
                <w:spacing w:val="-4"/>
                <w:szCs w:val="21"/>
              </w:rPr>
              <w:t>）</w:t>
            </w:r>
          </w:p>
        </w:tc>
        <w:tc>
          <w:tcPr>
            <w:tcW w:w="352" w:type="pct"/>
            <w:shd w:val="clear" w:color="auto" w:fill="auto"/>
            <w:vAlign w:val="center"/>
          </w:tcPr>
          <w:p w14:paraId="3EC7CD82">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52" w:type="pct"/>
            <w:shd w:val="clear" w:color="auto" w:fill="auto"/>
            <w:vAlign w:val="center"/>
          </w:tcPr>
          <w:p w14:paraId="1223BA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7FB135D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vAlign w:val="center"/>
          </w:tcPr>
          <w:p w14:paraId="4C6C1BF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6A7A24C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3D850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FE24E2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4#</w:t>
            </w:r>
            <w:r>
              <w:rPr>
                <w:rFonts w:hint="eastAsia" w:ascii="宋体" w:hAnsi="宋体" w:cs="Arial"/>
                <w:b w:val="0"/>
                <w:bCs/>
                <w:szCs w:val="21"/>
              </w:rPr>
              <w:t>二味球磨</w:t>
            </w:r>
          </w:p>
        </w:tc>
        <w:tc>
          <w:tcPr>
            <w:tcW w:w="350" w:type="pct"/>
            <w:shd w:val="clear" w:color="auto" w:fill="auto"/>
            <w:vAlign w:val="center"/>
          </w:tcPr>
          <w:p w14:paraId="37DC2FC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15213BA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6F98FF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w:t>
            </w:r>
            <w:r>
              <w:rPr>
                <w:rFonts w:hint="eastAsia" w:ascii="宋体" w:hAnsi="宋体"/>
                <w:b w:val="0"/>
                <w:bCs/>
                <w:spacing w:val="-4"/>
                <w:szCs w:val="21"/>
              </w:rPr>
              <w:t>木炭库</w:t>
            </w:r>
          </w:p>
          <w:p w14:paraId="1F15CA7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（丙类、2</w:t>
            </w:r>
            <w:r>
              <w:rPr>
                <w:rFonts w:ascii="宋体" w:hAnsi="宋体"/>
                <w:b w:val="0"/>
                <w:bCs/>
                <w:spacing w:val="-4"/>
                <w:szCs w:val="21"/>
              </w:rPr>
              <w:t>0000kg</w:t>
            </w:r>
            <w:r>
              <w:rPr>
                <w:rFonts w:hint="eastAsia" w:ascii="宋体" w:hAnsi="宋体"/>
                <w:b w:val="0"/>
                <w:bCs/>
                <w:spacing w:val="-4"/>
                <w:szCs w:val="21"/>
              </w:rPr>
              <w:t>）</w:t>
            </w:r>
          </w:p>
        </w:tc>
        <w:tc>
          <w:tcPr>
            <w:tcW w:w="352" w:type="pct"/>
            <w:shd w:val="clear" w:color="auto" w:fill="auto"/>
            <w:vAlign w:val="center"/>
          </w:tcPr>
          <w:p w14:paraId="2204B369">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52" w:type="pct"/>
            <w:shd w:val="clear" w:color="auto" w:fill="auto"/>
            <w:vAlign w:val="center"/>
          </w:tcPr>
          <w:p w14:paraId="296392D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52" w:type="pct"/>
            <w:vAlign w:val="center"/>
          </w:tcPr>
          <w:p w14:paraId="6C0632A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shd w:val="clear" w:color="auto" w:fill="auto"/>
            <w:vAlign w:val="center"/>
          </w:tcPr>
          <w:p w14:paraId="44D3037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6E39E14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673B0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3C4E5D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6#</w:t>
            </w:r>
            <w:r>
              <w:rPr>
                <w:rFonts w:hint="eastAsia" w:ascii="宋体" w:hAnsi="宋体" w:cs="Arial"/>
                <w:b w:val="0"/>
                <w:bCs/>
                <w:szCs w:val="21"/>
              </w:rPr>
              <w:t>二味球磨</w:t>
            </w:r>
          </w:p>
        </w:tc>
        <w:tc>
          <w:tcPr>
            <w:tcW w:w="350" w:type="pct"/>
            <w:shd w:val="clear" w:color="auto" w:fill="auto"/>
            <w:vAlign w:val="center"/>
          </w:tcPr>
          <w:p w14:paraId="23B3282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2B1823F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5829166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4#</w:t>
            </w:r>
            <w:r>
              <w:rPr>
                <w:rFonts w:hint="eastAsia" w:ascii="宋体" w:hAnsi="宋体"/>
                <w:b w:val="0"/>
                <w:bCs/>
                <w:spacing w:val="-4"/>
                <w:szCs w:val="21"/>
              </w:rPr>
              <w:t>二味球磨</w:t>
            </w:r>
          </w:p>
          <w:p w14:paraId="3B4DF69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52" w:type="pct"/>
            <w:shd w:val="clear" w:color="auto" w:fill="auto"/>
            <w:vAlign w:val="center"/>
          </w:tcPr>
          <w:p w14:paraId="38F9D207">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52" w:type="pct"/>
            <w:shd w:val="clear" w:color="auto" w:fill="auto"/>
            <w:vAlign w:val="center"/>
          </w:tcPr>
          <w:p w14:paraId="62FB21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52" w:type="pct"/>
            <w:vAlign w:val="center"/>
          </w:tcPr>
          <w:p w14:paraId="574E4A5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shd w:val="clear" w:color="auto" w:fill="auto"/>
            <w:vAlign w:val="center"/>
          </w:tcPr>
          <w:p w14:paraId="7187A50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7BD2F62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45CE9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E92C3B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7#</w:t>
            </w:r>
            <w:r>
              <w:rPr>
                <w:rFonts w:hint="eastAsia" w:ascii="宋体" w:hAnsi="宋体" w:cs="Arial"/>
                <w:b w:val="0"/>
                <w:bCs/>
                <w:szCs w:val="21"/>
              </w:rPr>
              <w:t>二味中转</w:t>
            </w:r>
          </w:p>
        </w:tc>
        <w:tc>
          <w:tcPr>
            <w:tcW w:w="350" w:type="pct"/>
            <w:shd w:val="clear" w:color="auto" w:fill="auto"/>
            <w:vAlign w:val="center"/>
          </w:tcPr>
          <w:p w14:paraId="3F6A778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727762A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173" w:type="pct"/>
            <w:shd w:val="clear" w:color="auto" w:fill="auto"/>
            <w:vAlign w:val="center"/>
          </w:tcPr>
          <w:p w14:paraId="6910BC3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16#</w:t>
            </w:r>
            <w:r>
              <w:rPr>
                <w:rFonts w:hint="eastAsia" w:ascii="宋体" w:hAnsi="宋体"/>
                <w:b w:val="0"/>
                <w:bCs/>
                <w:spacing w:val="-4"/>
                <w:szCs w:val="21"/>
              </w:rPr>
              <w:t>二味球磨</w:t>
            </w:r>
          </w:p>
          <w:p w14:paraId="42118D7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66D790E">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0</w:t>
            </w:r>
          </w:p>
        </w:tc>
        <w:tc>
          <w:tcPr>
            <w:tcW w:w="352" w:type="pct"/>
            <w:shd w:val="clear" w:color="auto" w:fill="auto"/>
            <w:vAlign w:val="center"/>
          </w:tcPr>
          <w:p w14:paraId="20C9F1F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7E546F7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shd w:val="clear" w:color="auto" w:fill="auto"/>
            <w:vAlign w:val="center"/>
          </w:tcPr>
          <w:p w14:paraId="08440C4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3598E67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.2.8</w:t>
            </w:r>
            <w:r>
              <w:rPr>
                <w:rFonts w:hint="eastAsia" w:ascii="宋体" w:hAnsi="宋体" w:cs="宋体"/>
                <w:b w:val="0"/>
                <w:bCs/>
                <w:szCs w:val="21"/>
              </w:rPr>
              <w:t>条</w:t>
            </w:r>
          </w:p>
        </w:tc>
      </w:tr>
      <w:tr w14:paraId="684CC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27D26C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8#</w:t>
            </w:r>
            <w:r>
              <w:rPr>
                <w:rFonts w:hint="eastAsia" w:ascii="宋体" w:hAnsi="宋体" w:cs="Arial"/>
                <w:b w:val="0"/>
                <w:bCs/>
                <w:szCs w:val="21"/>
              </w:rPr>
              <w:t>危废暂存间</w:t>
            </w:r>
          </w:p>
        </w:tc>
        <w:tc>
          <w:tcPr>
            <w:tcW w:w="350" w:type="pct"/>
            <w:shd w:val="clear" w:color="auto" w:fill="auto"/>
            <w:vAlign w:val="center"/>
          </w:tcPr>
          <w:p w14:paraId="3645234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567B1E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w:t>
            </w:r>
          </w:p>
        </w:tc>
        <w:tc>
          <w:tcPr>
            <w:tcW w:w="1173" w:type="pct"/>
            <w:shd w:val="clear" w:color="auto" w:fill="auto"/>
            <w:vAlign w:val="center"/>
          </w:tcPr>
          <w:p w14:paraId="4621244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17#</w:t>
            </w:r>
            <w:r>
              <w:rPr>
                <w:rFonts w:hint="eastAsia" w:ascii="宋体" w:hAnsi="宋体"/>
                <w:b w:val="0"/>
                <w:bCs/>
                <w:spacing w:val="-4"/>
                <w:szCs w:val="21"/>
              </w:rPr>
              <w:t>二味中转</w:t>
            </w:r>
          </w:p>
          <w:p w14:paraId="007A134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w:t>
            </w:r>
            <w:r>
              <w:rPr>
                <w:rFonts w:ascii="宋体" w:hAnsi="宋体"/>
                <w:b w:val="0"/>
                <w:bCs/>
                <w:spacing w:val="-4"/>
                <w:szCs w:val="21"/>
              </w:rPr>
              <w:t>1000kg</w:t>
            </w:r>
            <w:r>
              <w:rPr>
                <w:rFonts w:hint="eastAsia" w:ascii="宋体" w:hAnsi="宋体"/>
                <w:b w:val="0"/>
                <w:bCs/>
                <w:spacing w:val="-4"/>
                <w:szCs w:val="21"/>
              </w:rPr>
              <w:t>）</w:t>
            </w:r>
          </w:p>
        </w:tc>
        <w:tc>
          <w:tcPr>
            <w:tcW w:w="352" w:type="pct"/>
            <w:shd w:val="clear" w:color="auto" w:fill="auto"/>
            <w:vAlign w:val="center"/>
          </w:tcPr>
          <w:p w14:paraId="6641A5CA">
            <w:pPr>
              <w:keepNext w:val="0"/>
              <w:keepLines w:val="0"/>
              <w:pageBreakBefore w:val="0"/>
              <w:widowControl/>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2</w:t>
            </w:r>
            <w:r>
              <w:rPr>
                <w:rFonts w:ascii="宋体" w:hAnsi="宋体" w:cs="宋体"/>
                <w:b w:val="0"/>
                <w:bCs/>
                <w:szCs w:val="21"/>
              </w:rPr>
              <w:t>5</w:t>
            </w:r>
          </w:p>
        </w:tc>
        <w:tc>
          <w:tcPr>
            <w:tcW w:w="352" w:type="pct"/>
            <w:shd w:val="clear" w:color="auto" w:fill="auto"/>
            <w:vAlign w:val="center"/>
          </w:tcPr>
          <w:p w14:paraId="7F8215E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6</w:t>
            </w:r>
          </w:p>
        </w:tc>
        <w:tc>
          <w:tcPr>
            <w:tcW w:w="352" w:type="pct"/>
            <w:vAlign w:val="center"/>
          </w:tcPr>
          <w:p w14:paraId="3C8FAE0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双有</w:t>
            </w:r>
          </w:p>
        </w:tc>
        <w:tc>
          <w:tcPr>
            <w:tcW w:w="369" w:type="pct"/>
            <w:shd w:val="clear" w:color="auto" w:fill="auto"/>
            <w:vAlign w:val="center"/>
          </w:tcPr>
          <w:p w14:paraId="6F139A9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5E1F0D4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、表5</w:t>
            </w:r>
            <w:r>
              <w:rPr>
                <w:rFonts w:ascii="宋体" w:hAnsi="宋体" w:cs="宋体"/>
                <w:b w:val="0"/>
                <w:bCs/>
                <w:szCs w:val="21"/>
              </w:rPr>
              <w:t>.2.3</w:t>
            </w:r>
          </w:p>
        </w:tc>
      </w:tr>
      <w:tr w14:paraId="2614C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43B7A1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r>
              <w:rPr>
                <w:rFonts w:hint="eastAsia" w:ascii="宋体" w:hAnsi="宋体"/>
                <w:b w:val="0"/>
                <w:bCs/>
              </w:rPr>
              <w:t>1</w:t>
            </w:r>
            <w:r>
              <w:rPr>
                <w:rFonts w:ascii="宋体" w:hAnsi="宋体"/>
                <w:b w:val="0"/>
                <w:bCs/>
              </w:rPr>
              <w:t>9#</w:t>
            </w:r>
            <w:r>
              <w:rPr>
                <w:rFonts w:hint="eastAsia" w:ascii="宋体" w:hAnsi="宋体"/>
                <w:b w:val="0"/>
                <w:bCs/>
              </w:rPr>
              <w:t>原材料中转</w:t>
            </w:r>
          </w:p>
        </w:tc>
        <w:tc>
          <w:tcPr>
            <w:tcW w:w="350" w:type="pct"/>
            <w:shd w:val="clear" w:color="auto" w:fill="auto"/>
            <w:vAlign w:val="center"/>
          </w:tcPr>
          <w:p w14:paraId="58C6A16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572A2A2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1173" w:type="pct"/>
            <w:shd w:val="clear" w:color="auto" w:fill="auto"/>
            <w:vAlign w:val="center"/>
          </w:tcPr>
          <w:p w14:paraId="07A1110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0#</w:t>
            </w:r>
            <w:r>
              <w:rPr>
                <w:rFonts w:hint="eastAsia" w:ascii="宋体" w:hAnsi="宋体"/>
                <w:b w:val="0"/>
                <w:bCs/>
                <w:spacing w:val="-4"/>
                <w:szCs w:val="21"/>
              </w:rPr>
              <w:t>电控室</w:t>
            </w:r>
          </w:p>
        </w:tc>
        <w:tc>
          <w:tcPr>
            <w:tcW w:w="352" w:type="pct"/>
            <w:shd w:val="clear" w:color="auto" w:fill="auto"/>
            <w:vAlign w:val="center"/>
          </w:tcPr>
          <w:p w14:paraId="4917567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1F5C148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52" w:type="pct"/>
            <w:vAlign w:val="center"/>
          </w:tcPr>
          <w:p w14:paraId="2A8C52F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shd w:val="clear" w:color="auto" w:fill="auto"/>
            <w:vAlign w:val="center"/>
          </w:tcPr>
          <w:p w14:paraId="645791F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shd w:val="clear" w:color="auto" w:fill="auto"/>
            <w:vAlign w:val="center"/>
          </w:tcPr>
          <w:p w14:paraId="0E8882F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.2.8</w:t>
            </w:r>
            <w:r>
              <w:rPr>
                <w:rFonts w:hint="eastAsia" w:ascii="宋体" w:hAnsi="宋体" w:cs="宋体"/>
                <w:b w:val="0"/>
                <w:bCs/>
                <w:szCs w:val="21"/>
              </w:rPr>
              <w:t>条</w:t>
            </w:r>
          </w:p>
        </w:tc>
      </w:tr>
      <w:tr w14:paraId="3E564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0649570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1#</w:t>
            </w:r>
            <w:r>
              <w:rPr>
                <w:rFonts w:hint="eastAsia"/>
                <w:b w:val="0"/>
                <w:bCs/>
              </w:rPr>
              <w:t>回收粉中转</w:t>
            </w:r>
          </w:p>
        </w:tc>
        <w:tc>
          <w:tcPr>
            <w:tcW w:w="350" w:type="pct"/>
            <w:vMerge w:val="restart"/>
            <w:shd w:val="clear" w:color="auto" w:fill="auto"/>
            <w:vAlign w:val="center"/>
          </w:tcPr>
          <w:p w14:paraId="469D909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25C20A1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200AD90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0#</w:t>
            </w:r>
            <w:r>
              <w:rPr>
                <w:rFonts w:hint="eastAsia" w:ascii="宋体" w:hAnsi="宋体"/>
                <w:b w:val="0"/>
                <w:bCs/>
                <w:spacing w:val="-4"/>
                <w:szCs w:val="21"/>
              </w:rPr>
              <w:t>电控室</w:t>
            </w:r>
          </w:p>
        </w:tc>
        <w:tc>
          <w:tcPr>
            <w:tcW w:w="352" w:type="pct"/>
            <w:shd w:val="clear" w:color="auto" w:fill="auto"/>
            <w:vAlign w:val="center"/>
          </w:tcPr>
          <w:p w14:paraId="5B34708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5CDD17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52" w:type="pct"/>
            <w:vAlign w:val="center"/>
          </w:tcPr>
          <w:p w14:paraId="43E9CE0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shd w:val="clear" w:color="auto" w:fill="auto"/>
            <w:vAlign w:val="center"/>
          </w:tcPr>
          <w:p w14:paraId="7B9279F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3D5D461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B72C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10291A8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13EAFC4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38DC8D0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001B149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2#</w:t>
            </w:r>
            <w:r>
              <w:rPr>
                <w:rFonts w:hint="eastAsia" w:ascii="宋体" w:hAnsi="宋体"/>
                <w:b w:val="0"/>
                <w:bCs/>
                <w:spacing w:val="-4"/>
                <w:szCs w:val="21"/>
              </w:rPr>
              <w:t>气泵间</w:t>
            </w:r>
          </w:p>
        </w:tc>
        <w:tc>
          <w:tcPr>
            <w:tcW w:w="352" w:type="pct"/>
            <w:shd w:val="clear" w:color="auto" w:fill="auto"/>
            <w:vAlign w:val="center"/>
          </w:tcPr>
          <w:p w14:paraId="29F1D6E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DCDFA9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52" w:type="pct"/>
            <w:vAlign w:val="center"/>
          </w:tcPr>
          <w:p w14:paraId="221259B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shd w:val="clear" w:color="auto" w:fill="auto"/>
            <w:vAlign w:val="center"/>
          </w:tcPr>
          <w:p w14:paraId="35081DB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1369C33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9817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5DA9405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r>
              <w:rPr>
                <w:rFonts w:hint="eastAsia" w:ascii="宋体" w:hAnsi="宋体"/>
                <w:b w:val="0"/>
                <w:bCs/>
              </w:rPr>
              <w:t>2</w:t>
            </w:r>
            <w:r>
              <w:rPr>
                <w:rFonts w:ascii="宋体" w:hAnsi="宋体"/>
                <w:b w:val="0"/>
                <w:bCs/>
              </w:rPr>
              <w:t>3#</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50" w:type="pct"/>
            <w:vMerge w:val="restart"/>
            <w:shd w:val="clear" w:color="auto" w:fill="auto"/>
            <w:vAlign w:val="center"/>
          </w:tcPr>
          <w:p w14:paraId="41171C3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2EA1F0B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159CD06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1#</w:t>
            </w:r>
            <w:r>
              <w:rPr>
                <w:rFonts w:hint="eastAsia" w:ascii="宋体" w:hAnsi="宋体"/>
                <w:b w:val="0"/>
                <w:bCs/>
                <w:spacing w:val="-4"/>
                <w:szCs w:val="21"/>
              </w:rPr>
              <w:t>回收粉中转</w:t>
            </w:r>
          </w:p>
          <w:p w14:paraId="3BF31E0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52" w:type="pct"/>
            <w:shd w:val="clear" w:color="auto" w:fill="auto"/>
            <w:vAlign w:val="center"/>
          </w:tcPr>
          <w:p w14:paraId="78D32DD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8922EE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1</w:t>
            </w:r>
          </w:p>
        </w:tc>
        <w:tc>
          <w:tcPr>
            <w:tcW w:w="352" w:type="pct"/>
            <w:vAlign w:val="center"/>
          </w:tcPr>
          <w:p w14:paraId="7B1F1F5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shd w:val="clear" w:color="auto" w:fill="auto"/>
            <w:vAlign w:val="center"/>
          </w:tcPr>
          <w:p w14:paraId="74019C3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7CD243D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B0A4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67C8B97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p>
        </w:tc>
        <w:tc>
          <w:tcPr>
            <w:tcW w:w="350" w:type="pct"/>
            <w:vMerge w:val="continue"/>
            <w:shd w:val="clear" w:color="auto" w:fill="auto"/>
            <w:vAlign w:val="center"/>
          </w:tcPr>
          <w:p w14:paraId="1A7F4E2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20E57AF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1EAC39C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4#</w:t>
            </w:r>
            <w:r>
              <w:rPr>
                <w:rFonts w:hint="eastAsia" w:ascii="宋体" w:hAnsi="宋体"/>
                <w:b w:val="0"/>
                <w:bCs/>
                <w:spacing w:val="-4"/>
                <w:szCs w:val="21"/>
              </w:rPr>
              <w:t>空板车间</w:t>
            </w:r>
          </w:p>
        </w:tc>
        <w:tc>
          <w:tcPr>
            <w:tcW w:w="352" w:type="pct"/>
            <w:shd w:val="clear" w:color="auto" w:fill="auto"/>
            <w:vAlign w:val="center"/>
          </w:tcPr>
          <w:p w14:paraId="5031DA3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238D560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4</w:t>
            </w:r>
          </w:p>
        </w:tc>
        <w:tc>
          <w:tcPr>
            <w:tcW w:w="352" w:type="pct"/>
            <w:vAlign w:val="center"/>
          </w:tcPr>
          <w:p w14:paraId="002A59E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shd w:val="clear" w:color="auto" w:fill="auto"/>
            <w:vAlign w:val="center"/>
          </w:tcPr>
          <w:p w14:paraId="73C6F8E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shd w:val="clear" w:color="auto" w:fill="auto"/>
            <w:vAlign w:val="center"/>
          </w:tcPr>
          <w:p w14:paraId="3348CDC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7492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2362E53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r>
              <w:rPr>
                <w:rFonts w:hint="eastAsia" w:ascii="宋体" w:hAnsi="宋体"/>
                <w:b w:val="0"/>
                <w:bCs/>
              </w:rPr>
              <w:t>2</w:t>
            </w:r>
            <w:r>
              <w:rPr>
                <w:rFonts w:ascii="宋体" w:hAnsi="宋体"/>
                <w:b w:val="0"/>
                <w:bCs/>
              </w:rPr>
              <w:t>5#</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50" w:type="pct"/>
            <w:vMerge w:val="restart"/>
            <w:shd w:val="clear" w:color="auto" w:fill="auto"/>
            <w:vAlign w:val="center"/>
          </w:tcPr>
          <w:p w14:paraId="24000BD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30D29B3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1A9A10C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rPr>
              <w:t>2</w:t>
            </w:r>
            <w:r>
              <w:rPr>
                <w:rFonts w:ascii="宋体" w:hAnsi="宋体"/>
                <w:b w:val="0"/>
                <w:bCs/>
              </w:rPr>
              <w:t>3#</w:t>
            </w:r>
            <w:r>
              <w:rPr>
                <w:rFonts w:hint="eastAsia" w:ascii="宋体" w:hAnsi="宋体"/>
                <w:b w:val="0"/>
                <w:bCs/>
              </w:rPr>
              <w:t>自动混合</w:t>
            </w:r>
            <w:r>
              <w:rPr>
                <w:rFonts w:ascii="宋体" w:hAnsi="宋体"/>
                <w:b w:val="0"/>
                <w:bCs/>
              </w:rPr>
              <w:t>/</w:t>
            </w:r>
            <w:r>
              <w:rPr>
                <w:rFonts w:hint="eastAsia" w:ascii="宋体" w:hAnsi="宋体"/>
                <w:b w:val="0"/>
                <w:bCs/>
              </w:rPr>
              <w:t>上潮/装模制片</w:t>
            </w: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2381B2A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41AF71C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04</w:t>
            </w:r>
          </w:p>
        </w:tc>
        <w:tc>
          <w:tcPr>
            <w:tcW w:w="352" w:type="pct"/>
            <w:vAlign w:val="center"/>
          </w:tcPr>
          <w:p w14:paraId="02ACD99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C23C70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43971D3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FEE9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6C92E08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p>
        </w:tc>
        <w:tc>
          <w:tcPr>
            <w:tcW w:w="350" w:type="pct"/>
            <w:vMerge w:val="continue"/>
            <w:shd w:val="clear" w:color="auto" w:fill="auto"/>
            <w:vAlign w:val="center"/>
          </w:tcPr>
          <w:p w14:paraId="59BC786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2E63EDD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4AA85CE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4#</w:t>
            </w:r>
            <w:r>
              <w:rPr>
                <w:rFonts w:hint="eastAsia" w:ascii="宋体" w:hAnsi="宋体"/>
                <w:b w:val="0"/>
                <w:bCs/>
                <w:spacing w:val="-4"/>
                <w:szCs w:val="21"/>
              </w:rPr>
              <w:t>空板车间</w:t>
            </w:r>
          </w:p>
        </w:tc>
        <w:tc>
          <w:tcPr>
            <w:tcW w:w="352" w:type="pct"/>
            <w:shd w:val="clear" w:color="auto" w:fill="auto"/>
            <w:vAlign w:val="center"/>
          </w:tcPr>
          <w:p w14:paraId="3801A15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3196D3F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7</w:t>
            </w:r>
            <w:r>
              <w:rPr>
                <w:rFonts w:ascii="宋体" w:hAnsi="宋体"/>
                <w:b w:val="0"/>
                <w:bCs/>
                <w:spacing w:val="-4"/>
                <w:kern w:val="0"/>
                <w:szCs w:val="21"/>
              </w:rPr>
              <w:t>1</w:t>
            </w:r>
          </w:p>
        </w:tc>
        <w:tc>
          <w:tcPr>
            <w:tcW w:w="352" w:type="pct"/>
            <w:vAlign w:val="center"/>
          </w:tcPr>
          <w:p w14:paraId="024E199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937DF6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F81C1A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DE40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2F46094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7#</w:t>
            </w:r>
            <w:r>
              <w:rPr>
                <w:rFonts w:hint="eastAsia" w:ascii="宋体" w:hAnsi="宋体" w:cs="Arial"/>
                <w:b w:val="0"/>
                <w:bCs/>
                <w:szCs w:val="21"/>
              </w:rPr>
              <w:t>制片中转</w:t>
            </w:r>
          </w:p>
        </w:tc>
        <w:tc>
          <w:tcPr>
            <w:tcW w:w="350" w:type="pct"/>
            <w:vMerge w:val="restart"/>
            <w:shd w:val="clear" w:color="auto" w:fill="auto"/>
            <w:vAlign w:val="center"/>
          </w:tcPr>
          <w:p w14:paraId="2CDDCD2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5414BA3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A37E64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6#</w:t>
            </w:r>
            <w:r>
              <w:rPr>
                <w:rFonts w:hint="eastAsia" w:ascii="宋体" w:hAnsi="宋体"/>
                <w:b w:val="0"/>
                <w:bCs/>
                <w:spacing w:val="-4"/>
                <w:szCs w:val="21"/>
              </w:rPr>
              <w:t>空板车间</w:t>
            </w:r>
          </w:p>
        </w:tc>
        <w:tc>
          <w:tcPr>
            <w:tcW w:w="352" w:type="pct"/>
            <w:shd w:val="clear" w:color="auto" w:fill="auto"/>
            <w:vAlign w:val="center"/>
          </w:tcPr>
          <w:p w14:paraId="0D89408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657C562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4</w:t>
            </w:r>
          </w:p>
        </w:tc>
        <w:tc>
          <w:tcPr>
            <w:tcW w:w="352" w:type="pct"/>
            <w:vAlign w:val="center"/>
          </w:tcPr>
          <w:p w14:paraId="6E00EB7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456B01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7CAD42A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5B43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5073523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highlight w:val="yellow"/>
              </w:rPr>
            </w:pPr>
          </w:p>
        </w:tc>
        <w:tc>
          <w:tcPr>
            <w:tcW w:w="350" w:type="pct"/>
            <w:vMerge w:val="continue"/>
            <w:shd w:val="clear" w:color="auto" w:fill="auto"/>
            <w:vAlign w:val="center"/>
          </w:tcPr>
          <w:p w14:paraId="7326355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highlight w:val="yellow"/>
              </w:rPr>
            </w:pPr>
          </w:p>
        </w:tc>
        <w:tc>
          <w:tcPr>
            <w:tcW w:w="491" w:type="pct"/>
            <w:vMerge w:val="continue"/>
            <w:shd w:val="clear" w:color="auto" w:fill="auto"/>
            <w:vAlign w:val="center"/>
          </w:tcPr>
          <w:p w14:paraId="1BDA16C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highlight w:val="yellow"/>
              </w:rPr>
            </w:pPr>
          </w:p>
        </w:tc>
        <w:tc>
          <w:tcPr>
            <w:tcW w:w="1173" w:type="pct"/>
            <w:shd w:val="clear" w:color="auto" w:fill="auto"/>
            <w:vAlign w:val="center"/>
          </w:tcPr>
          <w:p w14:paraId="18A818E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8#</w:t>
            </w:r>
            <w:r>
              <w:rPr>
                <w:rFonts w:hint="eastAsia" w:ascii="宋体" w:hAnsi="宋体"/>
                <w:b w:val="0"/>
                <w:bCs/>
                <w:spacing w:val="-4"/>
                <w:szCs w:val="21"/>
              </w:rPr>
              <w:t>制片中转</w:t>
            </w:r>
          </w:p>
          <w:p w14:paraId="03D0E6A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002D9B7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70B1F54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52" w:type="pct"/>
            <w:vAlign w:val="center"/>
          </w:tcPr>
          <w:p w14:paraId="761C795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D67FC4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945615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9F22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F07B0A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8#</w:t>
            </w:r>
            <w:r>
              <w:rPr>
                <w:rFonts w:hint="eastAsia" w:ascii="宋体" w:hAnsi="宋体" w:cs="Arial"/>
                <w:b w:val="0"/>
                <w:bCs/>
                <w:szCs w:val="21"/>
              </w:rPr>
              <w:t>制片中转</w:t>
            </w:r>
          </w:p>
        </w:tc>
        <w:tc>
          <w:tcPr>
            <w:tcW w:w="350" w:type="pct"/>
            <w:shd w:val="clear" w:color="auto" w:fill="auto"/>
            <w:vAlign w:val="center"/>
          </w:tcPr>
          <w:p w14:paraId="6510545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E80D35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6F3897D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9#</w:t>
            </w:r>
            <w:r>
              <w:rPr>
                <w:rFonts w:hint="eastAsia" w:ascii="宋体" w:hAnsi="宋体"/>
                <w:b w:val="0"/>
                <w:bCs/>
                <w:spacing w:val="-4"/>
                <w:szCs w:val="21"/>
              </w:rPr>
              <w:t>片子中转</w:t>
            </w:r>
          </w:p>
          <w:p w14:paraId="692691EF">
            <w:pPr>
              <w:keepNext w:val="0"/>
              <w:keepLines w:val="0"/>
              <w:pageBreakBefore w:val="0"/>
              <w:kinsoku/>
              <w:wordWrap/>
              <w:overflowPunct/>
              <w:topLinePunct w:val="0"/>
              <w:autoSpaceDE/>
              <w:autoSpaceDN/>
              <w:bidi w:val="0"/>
              <w:adjustRightInd/>
              <w:snapToGrid/>
              <w:spacing w:line="280" w:lineRule="exact"/>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07B974E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70C5F3F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5</w:t>
            </w:r>
          </w:p>
        </w:tc>
        <w:tc>
          <w:tcPr>
            <w:tcW w:w="352" w:type="pct"/>
            <w:vAlign w:val="center"/>
          </w:tcPr>
          <w:p w14:paraId="752E34B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8A8F11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435405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7F4C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AA82E2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9#</w:t>
            </w:r>
            <w:r>
              <w:rPr>
                <w:rFonts w:hint="eastAsia" w:ascii="宋体" w:hAnsi="宋体" w:cs="Arial"/>
                <w:b w:val="0"/>
                <w:bCs/>
                <w:szCs w:val="21"/>
              </w:rPr>
              <w:t>片子中转</w:t>
            </w:r>
          </w:p>
        </w:tc>
        <w:tc>
          <w:tcPr>
            <w:tcW w:w="350" w:type="pct"/>
            <w:shd w:val="clear" w:color="auto" w:fill="auto"/>
            <w:vAlign w:val="center"/>
          </w:tcPr>
          <w:p w14:paraId="21006BE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83985C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41CD972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0#</w:t>
            </w:r>
            <w:r>
              <w:rPr>
                <w:rFonts w:hint="eastAsia" w:ascii="宋体" w:hAnsi="宋体"/>
                <w:b w:val="0"/>
                <w:bCs/>
                <w:spacing w:val="-4"/>
                <w:szCs w:val="21"/>
              </w:rPr>
              <w:t>电控室</w:t>
            </w:r>
          </w:p>
        </w:tc>
        <w:tc>
          <w:tcPr>
            <w:tcW w:w="352" w:type="pct"/>
            <w:shd w:val="clear" w:color="auto" w:fill="auto"/>
            <w:vAlign w:val="center"/>
          </w:tcPr>
          <w:p w14:paraId="072CA30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567771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vAlign w:val="center"/>
          </w:tcPr>
          <w:p w14:paraId="3F45594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27FA84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566691D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8628C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59D1AD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1#</w:t>
            </w:r>
            <w:r>
              <w:rPr>
                <w:rFonts w:hint="eastAsia" w:ascii="宋体" w:hAnsi="宋体" w:cs="Arial"/>
                <w:b w:val="0"/>
                <w:bCs/>
                <w:szCs w:val="21"/>
              </w:rPr>
              <w:t>压药</w:t>
            </w:r>
          </w:p>
        </w:tc>
        <w:tc>
          <w:tcPr>
            <w:tcW w:w="350" w:type="pct"/>
            <w:shd w:val="clear" w:color="auto" w:fill="auto"/>
            <w:vAlign w:val="center"/>
          </w:tcPr>
          <w:p w14:paraId="371BF3F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66B0B3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139B326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2</w:t>
            </w:r>
            <w:r>
              <w:rPr>
                <w:rFonts w:ascii="宋体" w:hAnsi="宋体"/>
                <w:b w:val="0"/>
                <w:bCs/>
                <w:spacing w:val="-4"/>
                <w:szCs w:val="21"/>
              </w:rPr>
              <w:t>9#</w:t>
            </w:r>
            <w:r>
              <w:rPr>
                <w:rFonts w:hint="eastAsia" w:ascii="宋体" w:hAnsi="宋体"/>
                <w:b w:val="0"/>
                <w:bCs/>
                <w:spacing w:val="-4"/>
                <w:szCs w:val="21"/>
              </w:rPr>
              <w:t>片子中转</w:t>
            </w:r>
          </w:p>
          <w:p w14:paraId="43EA3E76">
            <w:pPr>
              <w:keepNext w:val="0"/>
              <w:keepLines w:val="0"/>
              <w:pageBreakBefore w:val="0"/>
              <w:kinsoku/>
              <w:wordWrap/>
              <w:overflowPunct/>
              <w:topLinePunct w:val="0"/>
              <w:autoSpaceDE/>
              <w:autoSpaceDN/>
              <w:bidi w:val="0"/>
              <w:adjustRightInd/>
              <w:snapToGrid/>
              <w:spacing w:line="280" w:lineRule="exact"/>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0C6B1DE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04678D2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6</w:t>
            </w:r>
          </w:p>
        </w:tc>
        <w:tc>
          <w:tcPr>
            <w:tcW w:w="352" w:type="pct"/>
            <w:vAlign w:val="center"/>
          </w:tcPr>
          <w:p w14:paraId="139FB1C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074864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150EB6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C5D4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7BDA70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w:t>
            </w:r>
            <w:r>
              <w:rPr>
                <w:rFonts w:hint="eastAsia" w:ascii="宋体" w:hAnsi="宋体" w:cs="Arial"/>
                <w:b w:val="0"/>
                <w:bCs/>
                <w:szCs w:val="21"/>
              </w:rPr>
              <w:t>凉片</w:t>
            </w:r>
          </w:p>
        </w:tc>
        <w:tc>
          <w:tcPr>
            <w:tcW w:w="350" w:type="pct"/>
            <w:shd w:val="clear" w:color="auto" w:fill="auto"/>
            <w:vAlign w:val="center"/>
          </w:tcPr>
          <w:p w14:paraId="21BD306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1F7959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173" w:type="pct"/>
            <w:shd w:val="clear" w:color="auto" w:fill="auto"/>
            <w:vAlign w:val="center"/>
          </w:tcPr>
          <w:p w14:paraId="4233CE4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31#</w:t>
            </w:r>
            <w:r>
              <w:rPr>
                <w:rFonts w:hint="eastAsia" w:ascii="宋体" w:hAnsi="宋体"/>
                <w:b w:val="0"/>
                <w:bCs/>
                <w:spacing w:val="-4"/>
                <w:szCs w:val="21"/>
              </w:rPr>
              <w:t>压药</w:t>
            </w:r>
          </w:p>
          <w:p w14:paraId="587E3C35">
            <w:pPr>
              <w:keepNext w:val="0"/>
              <w:keepLines w:val="0"/>
              <w:pageBreakBefore w:val="0"/>
              <w:kinsoku/>
              <w:wordWrap/>
              <w:overflowPunct/>
              <w:topLinePunct w:val="0"/>
              <w:autoSpaceDE/>
              <w:autoSpaceDN/>
              <w:bidi w:val="0"/>
              <w:adjustRightInd/>
              <w:snapToGrid/>
              <w:spacing w:line="280" w:lineRule="exact"/>
              <w:jc w:val="cente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7DD8AE1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7C9BBDA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52" w:type="pct"/>
            <w:vAlign w:val="center"/>
          </w:tcPr>
          <w:p w14:paraId="7DC8E33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1EC1FD4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31DE16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F017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224B4A7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6#</w:t>
            </w:r>
            <w:r>
              <w:rPr>
                <w:rFonts w:hint="eastAsia" w:ascii="宋体" w:hAnsi="宋体" w:cs="Arial"/>
                <w:b w:val="0"/>
                <w:bCs/>
                <w:szCs w:val="21"/>
              </w:rPr>
              <w:t>凉片</w:t>
            </w:r>
          </w:p>
        </w:tc>
        <w:tc>
          <w:tcPr>
            <w:tcW w:w="350" w:type="pct"/>
            <w:vMerge w:val="restart"/>
            <w:shd w:val="clear" w:color="auto" w:fill="auto"/>
            <w:vAlign w:val="center"/>
          </w:tcPr>
          <w:p w14:paraId="3D74C45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439C58C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173" w:type="pct"/>
            <w:shd w:val="clear" w:color="auto" w:fill="auto"/>
            <w:vAlign w:val="center"/>
          </w:tcPr>
          <w:p w14:paraId="6005AB3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5#</w:t>
            </w:r>
            <w:r>
              <w:rPr>
                <w:rFonts w:hint="eastAsia" w:ascii="宋体" w:hAnsi="宋体"/>
                <w:b w:val="0"/>
                <w:bCs/>
                <w:spacing w:val="-4"/>
                <w:szCs w:val="21"/>
              </w:rPr>
              <w:t>凉片</w:t>
            </w:r>
          </w:p>
          <w:p w14:paraId="54866BA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00kg</w:t>
            </w:r>
            <w:r>
              <w:rPr>
                <w:rFonts w:hint="eastAsia" w:ascii="宋体" w:hAnsi="宋体"/>
                <w:b w:val="0"/>
                <w:bCs/>
                <w:spacing w:val="-4"/>
                <w:szCs w:val="21"/>
              </w:rPr>
              <w:t>）</w:t>
            </w:r>
          </w:p>
        </w:tc>
        <w:tc>
          <w:tcPr>
            <w:tcW w:w="352" w:type="pct"/>
            <w:shd w:val="clear" w:color="auto" w:fill="auto"/>
            <w:vAlign w:val="center"/>
          </w:tcPr>
          <w:p w14:paraId="43DC6CC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7A463EA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73DF3CA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626A95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243C0E6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6E2F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669B6B8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73786D8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6E0EFEA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504C3D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7#</w:t>
            </w:r>
            <w:r>
              <w:rPr>
                <w:rFonts w:hint="eastAsia" w:ascii="宋体" w:hAnsi="宋体"/>
                <w:b w:val="0"/>
                <w:bCs/>
                <w:spacing w:val="-4"/>
                <w:szCs w:val="21"/>
              </w:rPr>
              <w:t>凉片中转</w:t>
            </w:r>
          </w:p>
          <w:p w14:paraId="17DDB36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0kg</w:t>
            </w:r>
            <w:r>
              <w:rPr>
                <w:rFonts w:hint="eastAsia" w:ascii="宋体" w:hAnsi="宋体"/>
                <w:b w:val="0"/>
                <w:bCs/>
                <w:spacing w:val="-4"/>
                <w:szCs w:val="21"/>
              </w:rPr>
              <w:t>）</w:t>
            </w:r>
          </w:p>
        </w:tc>
        <w:tc>
          <w:tcPr>
            <w:tcW w:w="352" w:type="pct"/>
            <w:shd w:val="clear" w:color="auto" w:fill="auto"/>
            <w:vAlign w:val="center"/>
          </w:tcPr>
          <w:p w14:paraId="2F38355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1A63D41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52" w:type="pct"/>
            <w:vAlign w:val="center"/>
          </w:tcPr>
          <w:p w14:paraId="02CBCBF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F5BE41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34A5D1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2D6B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D2B7F8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7#</w:t>
            </w:r>
            <w:r>
              <w:rPr>
                <w:rFonts w:hint="eastAsia" w:ascii="宋体" w:hAnsi="宋体" w:cs="Arial"/>
                <w:b w:val="0"/>
                <w:bCs/>
                <w:szCs w:val="21"/>
              </w:rPr>
              <w:t>凉片中转</w:t>
            </w:r>
          </w:p>
        </w:tc>
        <w:tc>
          <w:tcPr>
            <w:tcW w:w="350" w:type="pct"/>
            <w:shd w:val="clear" w:color="auto" w:fill="auto"/>
            <w:vAlign w:val="center"/>
          </w:tcPr>
          <w:p w14:paraId="48C89DD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35CDAC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2C413C8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8#</w:t>
            </w:r>
            <w:r>
              <w:rPr>
                <w:rFonts w:hint="eastAsia" w:ascii="宋体" w:hAnsi="宋体"/>
                <w:b w:val="0"/>
                <w:bCs/>
                <w:spacing w:val="-4"/>
                <w:szCs w:val="21"/>
              </w:rPr>
              <w:t>电控室</w:t>
            </w:r>
          </w:p>
        </w:tc>
        <w:tc>
          <w:tcPr>
            <w:tcW w:w="352" w:type="pct"/>
            <w:shd w:val="clear" w:color="auto" w:fill="auto"/>
            <w:vAlign w:val="center"/>
          </w:tcPr>
          <w:p w14:paraId="5DBB46F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749ED96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vAlign w:val="center"/>
          </w:tcPr>
          <w:p w14:paraId="0D075CE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E83AF9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4CF4B529">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AB9F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6221F10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9#</w:t>
            </w:r>
            <w:r>
              <w:rPr>
                <w:rFonts w:hint="eastAsia" w:ascii="宋体" w:hAnsi="宋体" w:cs="Arial"/>
                <w:b w:val="0"/>
                <w:bCs/>
                <w:szCs w:val="21"/>
              </w:rPr>
              <w:t>造粒</w:t>
            </w:r>
          </w:p>
        </w:tc>
        <w:tc>
          <w:tcPr>
            <w:tcW w:w="350" w:type="pct"/>
            <w:vMerge w:val="restart"/>
            <w:shd w:val="clear" w:color="auto" w:fill="auto"/>
            <w:vAlign w:val="center"/>
          </w:tcPr>
          <w:p w14:paraId="4B27990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4927012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7863296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8#</w:t>
            </w:r>
            <w:r>
              <w:rPr>
                <w:rFonts w:hint="eastAsia" w:ascii="宋体" w:hAnsi="宋体"/>
                <w:b w:val="0"/>
                <w:bCs/>
                <w:spacing w:val="-4"/>
                <w:szCs w:val="21"/>
              </w:rPr>
              <w:t>电控室</w:t>
            </w:r>
          </w:p>
        </w:tc>
        <w:tc>
          <w:tcPr>
            <w:tcW w:w="352" w:type="pct"/>
            <w:shd w:val="clear" w:color="auto" w:fill="auto"/>
            <w:vAlign w:val="center"/>
          </w:tcPr>
          <w:p w14:paraId="0F391DA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1D336E9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52" w:type="pct"/>
            <w:vAlign w:val="center"/>
          </w:tcPr>
          <w:p w14:paraId="5926E91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4C97E8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10728E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CEC5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1AF5DFF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659F0BF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219A1DF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307D579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17#</w:t>
            </w:r>
            <w:r>
              <w:rPr>
                <w:rFonts w:hint="eastAsia" w:ascii="宋体" w:hAnsi="宋体"/>
                <w:b w:val="0"/>
                <w:bCs/>
                <w:spacing w:val="-4"/>
                <w:szCs w:val="21"/>
              </w:rPr>
              <w:t>高位水池</w:t>
            </w:r>
          </w:p>
        </w:tc>
        <w:tc>
          <w:tcPr>
            <w:tcW w:w="352" w:type="pct"/>
            <w:shd w:val="clear" w:color="auto" w:fill="auto"/>
            <w:vAlign w:val="center"/>
          </w:tcPr>
          <w:p w14:paraId="539700A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52" w:type="pct"/>
            <w:shd w:val="clear" w:color="auto" w:fill="auto"/>
            <w:vAlign w:val="center"/>
          </w:tcPr>
          <w:p w14:paraId="630189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7</w:t>
            </w:r>
          </w:p>
        </w:tc>
        <w:tc>
          <w:tcPr>
            <w:tcW w:w="352" w:type="pct"/>
            <w:vAlign w:val="center"/>
          </w:tcPr>
          <w:p w14:paraId="4D0F28C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99B33F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224E83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中第5</w:t>
            </w:r>
            <w:r>
              <w:rPr>
                <w:rFonts w:ascii="宋体" w:hAnsi="宋体" w:cs="宋体"/>
                <w:b w:val="0"/>
                <w:bCs/>
                <w:szCs w:val="21"/>
              </w:rPr>
              <w:t>.2.7</w:t>
            </w:r>
            <w:r>
              <w:rPr>
                <w:rFonts w:hint="eastAsia" w:ascii="宋体" w:hAnsi="宋体" w:cs="宋体"/>
                <w:b w:val="0"/>
                <w:bCs/>
                <w:szCs w:val="21"/>
              </w:rPr>
              <w:t>条</w:t>
            </w:r>
          </w:p>
        </w:tc>
      </w:tr>
      <w:tr w14:paraId="101EA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2C7AB0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1#</w:t>
            </w:r>
            <w:r>
              <w:rPr>
                <w:rFonts w:hint="eastAsia" w:ascii="宋体" w:hAnsi="宋体" w:cs="Arial"/>
                <w:b w:val="0"/>
                <w:bCs/>
                <w:szCs w:val="21"/>
              </w:rPr>
              <w:t>造粒中转</w:t>
            </w:r>
          </w:p>
        </w:tc>
        <w:tc>
          <w:tcPr>
            <w:tcW w:w="350" w:type="pct"/>
            <w:shd w:val="clear" w:color="auto" w:fill="auto"/>
            <w:vAlign w:val="center"/>
          </w:tcPr>
          <w:p w14:paraId="60F831D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C9D9F5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5F76F7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3</w:t>
            </w:r>
            <w:r>
              <w:rPr>
                <w:rFonts w:ascii="宋体" w:hAnsi="宋体"/>
                <w:b w:val="0"/>
                <w:bCs/>
                <w:spacing w:val="-4"/>
                <w:szCs w:val="21"/>
              </w:rPr>
              <w:t>9#</w:t>
            </w:r>
            <w:r>
              <w:rPr>
                <w:rFonts w:hint="eastAsia" w:ascii="宋体" w:hAnsi="宋体"/>
                <w:b w:val="0"/>
                <w:bCs/>
                <w:spacing w:val="-4"/>
                <w:szCs w:val="21"/>
              </w:rPr>
              <w:t>造粒</w:t>
            </w:r>
          </w:p>
          <w:p w14:paraId="707C7A1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级、8</w:t>
            </w:r>
            <w:r>
              <w:rPr>
                <w:rFonts w:ascii="宋体" w:hAnsi="宋体"/>
                <w:b w:val="0"/>
                <w:bCs/>
                <w:spacing w:val="-4"/>
                <w:szCs w:val="21"/>
              </w:rPr>
              <w:t>0kg</w:t>
            </w:r>
            <w:r>
              <w:rPr>
                <w:rFonts w:hint="eastAsia" w:ascii="宋体" w:hAnsi="宋体"/>
                <w:b w:val="0"/>
                <w:bCs/>
                <w:spacing w:val="-4"/>
                <w:szCs w:val="21"/>
              </w:rPr>
              <w:t>）</w:t>
            </w:r>
          </w:p>
        </w:tc>
        <w:tc>
          <w:tcPr>
            <w:tcW w:w="352" w:type="pct"/>
            <w:shd w:val="clear" w:color="auto" w:fill="auto"/>
            <w:vAlign w:val="center"/>
          </w:tcPr>
          <w:p w14:paraId="72652F0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2ECA1BD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6</w:t>
            </w:r>
          </w:p>
        </w:tc>
        <w:tc>
          <w:tcPr>
            <w:tcW w:w="352" w:type="pct"/>
            <w:vAlign w:val="center"/>
          </w:tcPr>
          <w:p w14:paraId="1A9B3AD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02DDA6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A2031A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8278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0278DD1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2#</w:t>
            </w:r>
            <w:r>
              <w:rPr>
                <w:rFonts w:hint="eastAsia" w:ascii="宋体" w:hAnsi="宋体" w:cs="Arial"/>
                <w:b w:val="0"/>
                <w:bCs/>
                <w:szCs w:val="21"/>
              </w:rPr>
              <w:t>造粒中转</w:t>
            </w:r>
          </w:p>
        </w:tc>
        <w:tc>
          <w:tcPr>
            <w:tcW w:w="350" w:type="pct"/>
            <w:shd w:val="clear" w:color="auto" w:fill="auto"/>
            <w:vAlign w:val="center"/>
          </w:tcPr>
          <w:p w14:paraId="71C58CC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2B6593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6889F9F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1#</w:t>
            </w:r>
            <w:r>
              <w:rPr>
                <w:rFonts w:hint="eastAsia" w:ascii="宋体" w:hAnsi="宋体"/>
                <w:b w:val="0"/>
                <w:bCs/>
                <w:spacing w:val="-4"/>
                <w:szCs w:val="21"/>
              </w:rPr>
              <w:t>造粒中转</w:t>
            </w:r>
          </w:p>
          <w:p w14:paraId="1048125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7F351C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C94A9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52" w:type="pct"/>
            <w:vAlign w:val="center"/>
          </w:tcPr>
          <w:p w14:paraId="3E3F9F5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9D04F2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37796BC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2C85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EF68F9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3#</w:t>
            </w:r>
            <w:r>
              <w:rPr>
                <w:rFonts w:hint="eastAsia" w:ascii="宋体" w:hAnsi="宋体" w:cs="Arial"/>
                <w:b w:val="0"/>
                <w:bCs/>
                <w:szCs w:val="21"/>
              </w:rPr>
              <w:t>抛光</w:t>
            </w:r>
          </w:p>
        </w:tc>
        <w:tc>
          <w:tcPr>
            <w:tcW w:w="350" w:type="pct"/>
            <w:shd w:val="clear" w:color="auto" w:fill="auto"/>
            <w:vAlign w:val="center"/>
          </w:tcPr>
          <w:p w14:paraId="43EFF6E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7DF4A8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173" w:type="pct"/>
            <w:shd w:val="clear" w:color="auto" w:fill="auto"/>
            <w:vAlign w:val="center"/>
          </w:tcPr>
          <w:p w14:paraId="7C3B75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2#</w:t>
            </w:r>
            <w:r>
              <w:rPr>
                <w:rFonts w:hint="eastAsia" w:ascii="宋体" w:hAnsi="宋体"/>
                <w:b w:val="0"/>
                <w:bCs/>
                <w:spacing w:val="-4"/>
                <w:szCs w:val="21"/>
              </w:rPr>
              <w:t>造粒中转</w:t>
            </w:r>
          </w:p>
          <w:p w14:paraId="1015135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1393DFB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2AFAA45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8</w:t>
            </w:r>
          </w:p>
        </w:tc>
        <w:tc>
          <w:tcPr>
            <w:tcW w:w="352" w:type="pct"/>
            <w:vAlign w:val="center"/>
          </w:tcPr>
          <w:p w14:paraId="6C80235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AD8396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tcPr>
          <w:p w14:paraId="241F609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09A8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9FD993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4#</w:t>
            </w:r>
            <w:r>
              <w:rPr>
                <w:rFonts w:hint="eastAsia" w:ascii="宋体" w:hAnsi="宋体" w:cs="Arial"/>
                <w:b w:val="0"/>
                <w:bCs/>
                <w:szCs w:val="21"/>
              </w:rPr>
              <w:t>抛光</w:t>
            </w:r>
          </w:p>
        </w:tc>
        <w:tc>
          <w:tcPr>
            <w:tcW w:w="350" w:type="pct"/>
            <w:shd w:val="clear" w:color="auto" w:fill="auto"/>
            <w:vAlign w:val="center"/>
          </w:tcPr>
          <w:p w14:paraId="50ECCCE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77E34B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173" w:type="pct"/>
            <w:shd w:val="clear" w:color="auto" w:fill="auto"/>
            <w:vAlign w:val="center"/>
          </w:tcPr>
          <w:p w14:paraId="2FB8B55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3#</w:t>
            </w:r>
            <w:r>
              <w:rPr>
                <w:rFonts w:hint="eastAsia" w:ascii="宋体" w:hAnsi="宋体"/>
                <w:b w:val="0"/>
                <w:bCs/>
                <w:spacing w:val="-4"/>
                <w:szCs w:val="21"/>
              </w:rPr>
              <w:t>抛光</w:t>
            </w:r>
          </w:p>
          <w:p w14:paraId="5C12475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52" w:type="pct"/>
            <w:shd w:val="clear" w:color="auto" w:fill="auto"/>
            <w:vAlign w:val="center"/>
          </w:tcPr>
          <w:p w14:paraId="4447A1E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52" w:type="pct"/>
            <w:shd w:val="clear" w:color="auto" w:fill="auto"/>
            <w:vAlign w:val="center"/>
          </w:tcPr>
          <w:p w14:paraId="0B1C12B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52" w:type="pct"/>
            <w:vAlign w:val="center"/>
          </w:tcPr>
          <w:p w14:paraId="4F059AA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50A61F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1A5D192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FB05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4340579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5#</w:t>
            </w:r>
            <w:r>
              <w:rPr>
                <w:rFonts w:hint="eastAsia" w:ascii="宋体" w:hAnsi="宋体" w:cs="Arial"/>
                <w:b w:val="0"/>
                <w:bCs/>
                <w:szCs w:val="21"/>
              </w:rPr>
              <w:t>抛光</w:t>
            </w:r>
          </w:p>
        </w:tc>
        <w:tc>
          <w:tcPr>
            <w:tcW w:w="350" w:type="pct"/>
            <w:vMerge w:val="restart"/>
            <w:shd w:val="clear" w:color="auto" w:fill="auto"/>
            <w:vAlign w:val="center"/>
          </w:tcPr>
          <w:p w14:paraId="166CDC9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6957CD5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173" w:type="pct"/>
            <w:shd w:val="clear" w:color="auto" w:fill="auto"/>
            <w:vAlign w:val="center"/>
          </w:tcPr>
          <w:p w14:paraId="686D9B2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4#</w:t>
            </w:r>
            <w:r>
              <w:rPr>
                <w:rFonts w:hint="eastAsia" w:ascii="宋体" w:hAnsi="宋体"/>
                <w:b w:val="0"/>
                <w:bCs/>
                <w:spacing w:val="-4"/>
                <w:szCs w:val="21"/>
              </w:rPr>
              <w:t>抛光</w:t>
            </w:r>
          </w:p>
          <w:p w14:paraId="4FE646D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52" w:type="pct"/>
            <w:shd w:val="clear" w:color="auto" w:fill="auto"/>
            <w:vAlign w:val="center"/>
          </w:tcPr>
          <w:p w14:paraId="503882D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52" w:type="pct"/>
            <w:shd w:val="clear" w:color="auto" w:fill="auto"/>
            <w:vAlign w:val="center"/>
          </w:tcPr>
          <w:p w14:paraId="230153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52" w:type="pct"/>
            <w:vAlign w:val="center"/>
          </w:tcPr>
          <w:p w14:paraId="04EECD9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853033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03AFF0A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D7DF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7A2F6CE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0871B2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0CD06DD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3311844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6#</w:t>
            </w:r>
            <w:r>
              <w:rPr>
                <w:rFonts w:hint="eastAsia" w:ascii="宋体" w:hAnsi="宋体"/>
                <w:b w:val="0"/>
                <w:bCs/>
                <w:spacing w:val="-4"/>
                <w:szCs w:val="21"/>
              </w:rPr>
              <w:t>电控室</w:t>
            </w:r>
          </w:p>
        </w:tc>
        <w:tc>
          <w:tcPr>
            <w:tcW w:w="352" w:type="pct"/>
            <w:shd w:val="clear" w:color="auto" w:fill="auto"/>
            <w:vAlign w:val="center"/>
          </w:tcPr>
          <w:p w14:paraId="420B743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52" w:type="pct"/>
            <w:shd w:val="clear" w:color="auto" w:fill="auto"/>
            <w:vAlign w:val="center"/>
          </w:tcPr>
          <w:p w14:paraId="4C769AE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7D2174D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78C760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3298082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A8FB5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4F20A7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7#</w:t>
            </w:r>
            <w:r>
              <w:rPr>
                <w:rFonts w:hint="eastAsia" w:ascii="宋体" w:hAnsi="宋体" w:cs="Arial"/>
                <w:b w:val="0"/>
                <w:bCs/>
                <w:szCs w:val="21"/>
              </w:rPr>
              <w:t>抛光中转</w:t>
            </w:r>
          </w:p>
        </w:tc>
        <w:tc>
          <w:tcPr>
            <w:tcW w:w="350" w:type="pct"/>
            <w:shd w:val="clear" w:color="auto" w:fill="auto"/>
            <w:vAlign w:val="center"/>
          </w:tcPr>
          <w:p w14:paraId="4488A42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90EC1C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562D36C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8#</w:t>
            </w:r>
            <w:r>
              <w:rPr>
                <w:rFonts w:hint="eastAsia" w:ascii="宋体" w:hAnsi="宋体"/>
                <w:b w:val="0"/>
                <w:bCs/>
                <w:spacing w:val="-4"/>
                <w:szCs w:val="21"/>
              </w:rPr>
              <w:t>抛光中转</w:t>
            </w:r>
          </w:p>
          <w:p w14:paraId="1F9A51D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7E41B89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A5411E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0</w:t>
            </w:r>
          </w:p>
        </w:tc>
        <w:tc>
          <w:tcPr>
            <w:tcW w:w="352" w:type="pct"/>
            <w:vAlign w:val="center"/>
          </w:tcPr>
          <w:p w14:paraId="463FFE5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00E5D7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6224D86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41EE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6420C6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8#</w:t>
            </w:r>
            <w:r>
              <w:rPr>
                <w:rFonts w:hint="eastAsia" w:ascii="宋体" w:hAnsi="宋体" w:cs="Arial"/>
                <w:b w:val="0"/>
                <w:bCs/>
                <w:szCs w:val="21"/>
              </w:rPr>
              <w:t>抛光中转</w:t>
            </w:r>
          </w:p>
        </w:tc>
        <w:tc>
          <w:tcPr>
            <w:tcW w:w="350" w:type="pct"/>
            <w:shd w:val="clear" w:color="auto" w:fill="auto"/>
            <w:vAlign w:val="center"/>
          </w:tcPr>
          <w:p w14:paraId="1EE288B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3A377E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613C6F5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4</w:t>
            </w:r>
            <w:r>
              <w:rPr>
                <w:rFonts w:ascii="宋体" w:hAnsi="宋体"/>
                <w:b w:val="0"/>
                <w:bCs/>
                <w:spacing w:val="-4"/>
                <w:szCs w:val="21"/>
              </w:rPr>
              <w:t>9#</w:t>
            </w:r>
            <w:r>
              <w:rPr>
                <w:rFonts w:hint="eastAsia" w:ascii="宋体" w:hAnsi="宋体"/>
                <w:b w:val="0"/>
                <w:bCs/>
                <w:spacing w:val="-4"/>
                <w:szCs w:val="21"/>
              </w:rPr>
              <w:t>抛光中转</w:t>
            </w:r>
          </w:p>
          <w:p w14:paraId="6688A8A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23BA3FF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B35D7C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9</w:t>
            </w:r>
          </w:p>
        </w:tc>
        <w:tc>
          <w:tcPr>
            <w:tcW w:w="352" w:type="pct"/>
            <w:vAlign w:val="center"/>
          </w:tcPr>
          <w:p w14:paraId="1BA2D0D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032BE1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tcPr>
          <w:p w14:paraId="45B461F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2D6F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203B419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9#</w:t>
            </w:r>
            <w:r>
              <w:rPr>
                <w:rFonts w:hint="eastAsia" w:ascii="宋体" w:hAnsi="宋体" w:cs="Arial"/>
                <w:b w:val="0"/>
                <w:bCs/>
                <w:szCs w:val="21"/>
              </w:rPr>
              <w:t>抛光中转</w:t>
            </w:r>
          </w:p>
        </w:tc>
        <w:tc>
          <w:tcPr>
            <w:tcW w:w="350" w:type="pct"/>
            <w:vMerge w:val="restart"/>
            <w:shd w:val="clear" w:color="auto" w:fill="auto"/>
            <w:vAlign w:val="center"/>
          </w:tcPr>
          <w:p w14:paraId="1C4F360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25D7DED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658DB2F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0#</w:t>
            </w:r>
            <w:r>
              <w:rPr>
                <w:rFonts w:hint="eastAsia" w:ascii="宋体" w:hAnsi="宋体"/>
                <w:b w:val="0"/>
                <w:bCs/>
                <w:spacing w:val="-4"/>
                <w:szCs w:val="21"/>
              </w:rPr>
              <w:t>电控室</w:t>
            </w:r>
          </w:p>
        </w:tc>
        <w:tc>
          <w:tcPr>
            <w:tcW w:w="352" w:type="pct"/>
            <w:shd w:val="clear" w:color="auto" w:fill="auto"/>
            <w:vAlign w:val="center"/>
          </w:tcPr>
          <w:p w14:paraId="08171F5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7A1A519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52" w:type="pct"/>
            <w:vAlign w:val="center"/>
          </w:tcPr>
          <w:p w14:paraId="5EB96A9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A3B278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1A69405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6582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1BF86F1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24C9711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5F041C4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3BBDADF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51#</w:t>
            </w:r>
            <w:r>
              <w:rPr>
                <w:rFonts w:hint="eastAsia" w:ascii="宋体" w:hAnsi="宋体"/>
                <w:b w:val="0"/>
                <w:bCs/>
                <w:spacing w:val="-4"/>
                <w:szCs w:val="21"/>
              </w:rPr>
              <w:t>筛选</w:t>
            </w:r>
          </w:p>
          <w:p w14:paraId="76C8360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79CD54B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53847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6</w:t>
            </w:r>
          </w:p>
        </w:tc>
        <w:tc>
          <w:tcPr>
            <w:tcW w:w="352" w:type="pct"/>
            <w:vAlign w:val="center"/>
          </w:tcPr>
          <w:p w14:paraId="6B1FA54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8156A5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289C7C4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745F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4F6521A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1#</w:t>
            </w:r>
            <w:r>
              <w:rPr>
                <w:rFonts w:hint="eastAsia" w:ascii="宋体" w:hAnsi="宋体" w:cs="Arial"/>
                <w:b w:val="0"/>
                <w:bCs/>
                <w:szCs w:val="21"/>
              </w:rPr>
              <w:t>筛选</w:t>
            </w:r>
          </w:p>
        </w:tc>
        <w:tc>
          <w:tcPr>
            <w:tcW w:w="350" w:type="pct"/>
            <w:vMerge w:val="restart"/>
            <w:shd w:val="clear" w:color="auto" w:fill="auto"/>
            <w:vAlign w:val="center"/>
          </w:tcPr>
          <w:p w14:paraId="75C84FD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20AAEA7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57F142C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52#</w:t>
            </w:r>
            <w:r>
              <w:rPr>
                <w:rFonts w:hint="eastAsia" w:ascii="宋体" w:hAnsi="宋体"/>
                <w:b w:val="0"/>
                <w:bCs/>
                <w:spacing w:val="-4"/>
                <w:szCs w:val="21"/>
              </w:rPr>
              <w:t>筛选中转</w:t>
            </w:r>
          </w:p>
          <w:p w14:paraId="5D9B8F9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3DFFEF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344967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52" w:type="pct"/>
            <w:vAlign w:val="center"/>
          </w:tcPr>
          <w:p w14:paraId="694DBD3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661646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41550FA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D0E6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518AFA5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5BB2BEB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734C180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494377D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119#</w:t>
            </w:r>
            <w:r>
              <w:rPr>
                <w:rFonts w:hint="eastAsia" w:ascii="宋体" w:hAnsi="宋体"/>
                <w:b w:val="0"/>
                <w:bCs/>
                <w:spacing w:val="-4"/>
                <w:szCs w:val="21"/>
              </w:rPr>
              <w:t>包装中转</w:t>
            </w:r>
          </w:p>
          <w:p w14:paraId="3C58B00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166806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445879D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1</w:t>
            </w:r>
          </w:p>
        </w:tc>
        <w:tc>
          <w:tcPr>
            <w:tcW w:w="352" w:type="pct"/>
            <w:vAlign w:val="center"/>
          </w:tcPr>
          <w:p w14:paraId="1146C3B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2CFD79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5A8EA2F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BB57A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CC9B64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2#</w:t>
            </w:r>
            <w:r>
              <w:rPr>
                <w:rFonts w:hint="eastAsia" w:ascii="宋体" w:hAnsi="宋体" w:cs="Arial"/>
                <w:b w:val="0"/>
                <w:bCs/>
                <w:szCs w:val="21"/>
              </w:rPr>
              <w:t>筛选中转</w:t>
            </w:r>
          </w:p>
        </w:tc>
        <w:tc>
          <w:tcPr>
            <w:tcW w:w="350" w:type="pct"/>
            <w:shd w:val="clear" w:color="auto" w:fill="auto"/>
            <w:vAlign w:val="center"/>
          </w:tcPr>
          <w:p w14:paraId="0162ABF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16C0B5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68FB853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53#</w:t>
            </w:r>
            <w:r>
              <w:rPr>
                <w:rFonts w:hint="eastAsia" w:ascii="宋体" w:hAnsi="宋体"/>
                <w:b w:val="0"/>
                <w:bCs/>
                <w:spacing w:val="-4"/>
                <w:szCs w:val="21"/>
              </w:rPr>
              <w:t>包装</w:t>
            </w:r>
          </w:p>
          <w:p w14:paraId="14332D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0A62BE9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93744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6</w:t>
            </w:r>
          </w:p>
        </w:tc>
        <w:tc>
          <w:tcPr>
            <w:tcW w:w="352" w:type="pct"/>
            <w:vAlign w:val="center"/>
          </w:tcPr>
          <w:p w14:paraId="28596BC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987E86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tcPr>
          <w:p w14:paraId="3DEB01E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2F909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C180AD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3#</w:t>
            </w:r>
            <w:r>
              <w:rPr>
                <w:rFonts w:hint="eastAsia" w:ascii="宋体" w:hAnsi="宋体" w:cs="Arial"/>
                <w:b w:val="0"/>
                <w:bCs/>
                <w:szCs w:val="21"/>
              </w:rPr>
              <w:t>包装</w:t>
            </w:r>
          </w:p>
        </w:tc>
        <w:tc>
          <w:tcPr>
            <w:tcW w:w="350" w:type="pct"/>
            <w:shd w:val="clear" w:color="auto" w:fill="auto"/>
            <w:vAlign w:val="center"/>
          </w:tcPr>
          <w:p w14:paraId="41654DF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66E12C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27D2CEF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54#</w:t>
            </w:r>
            <w:r>
              <w:rPr>
                <w:rFonts w:hint="eastAsia" w:ascii="宋体" w:hAnsi="宋体"/>
                <w:b w:val="0"/>
                <w:bCs/>
                <w:spacing w:val="-4"/>
                <w:szCs w:val="21"/>
              </w:rPr>
              <w:t>包装中转</w:t>
            </w:r>
          </w:p>
          <w:p w14:paraId="5D5A5A1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6E3F942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1822730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52" w:type="pct"/>
            <w:vAlign w:val="center"/>
          </w:tcPr>
          <w:p w14:paraId="7CA4BB6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6B7082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46C1C6E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9E64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6DC1B5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4#</w:t>
            </w:r>
            <w:r>
              <w:rPr>
                <w:rFonts w:hint="eastAsia" w:ascii="宋体" w:hAnsi="宋体" w:cs="Arial"/>
                <w:b w:val="0"/>
                <w:bCs/>
                <w:szCs w:val="21"/>
              </w:rPr>
              <w:t>包装中转</w:t>
            </w:r>
          </w:p>
        </w:tc>
        <w:tc>
          <w:tcPr>
            <w:tcW w:w="350" w:type="pct"/>
            <w:shd w:val="clear" w:color="auto" w:fill="auto"/>
            <w:vAlign w:val="center"/>
          </w:tcPr>
          <w:p w14:paraId="7511FBF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DFB723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4259993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5#</w:t>
            </w:r>
            <w:r>
              <w:rPr>
                <w:rFonts w:hint="eastAsia" w:ascii="宋体" w:hAnsi="宋体"/>
                <w:b w:val="0"/>
                <w:bCs/>
                <w:spacing w:val="-4"/>
                <w:szCs w:val="21"/>
              </w:rPr>
              <w:t>包装材料间</w:t>
            </w:r>
          </w:p>
        </w:tc>
        <w:tc>
          <w:tcPr>
            <w:tcW w:w="352" w:type="pct"/>
            <w:shd w:val="clear" w:color="auto" w:fill="auto"/>
            <w:vAlign w:val="center"/>
          </w:tcPr>
          <w:p w14:paraId="0256FE9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E7292A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8</w:t>
            </w:r>
          </w:p>
        </w:tc>
        <w:tc>
          <w:tcPr>
            <w:tcW w:w="352" w:type="pct"/>
            <w:vAlign w:val="center"/>
          </w:tcPr>
          <w:p w14:paraId="6C7093F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5E95B4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tcPr>
          <w:p w14:paraId="545F5FA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5E8F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418363A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7#</w:t>
            </w:r>
            <w:r>
              <w:rPr>
                <w:rFonts w:hint="eastAsia" w:ascii="宋体" w:hAnsi="宋体" w:cs="Arial"/>
                <w:b w:val="0"/>
                <w:bCs/>
                <w:szCs w:val="21"/>
              </w:rPr>
              <w:t>黑火药库</w:t>
            </w:r>
          </w:p>
        </w:tc>
        <w:tc>
          <w:tcPr>
            <w:tcW w:w="350" w:type="pct"/>
            <w:vMerge w:val="restart"/>
            <w:shd w:val="clear" w:color="auto" w:fill="auto"/>
            <w:vAlign w:val="center"/>
          </w:tcPr>
          <w:p w14:paraId="6893911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0032879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173" w:type="pct"/>
            <w:shd w:val="clear" w:color="auto" w:fill="auto"/>
            <w:vAlign w:val="center"/>
          </w:tcPr>
          <w:p w14:paraId="2D874F1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6#</w:t>
            </w:r>
            <w:r>
              <w:rPr>
                <w:rFonts w:hint="eastAsia" w:ascii="宋体" w:hAnsi="宋体"/>
                <w:b w:val="0"/>
                <w:bCs/>
                <w:spacing w:val="-4"/>
                <w:szCs w:val="21"/>
              </w:rPr>
              <w:t>值班室</w:t>
            </w:r>
          </w:p>
        </w:tc>
        <w:tc>
          <w:tcPr>
            <w:tcW w:w="352" w:type="pct"/>
            <w:shd w:val="clear" w:color="auto" w:fill="auto"/>
            <w:vAlign w:val="center"/>
          </w:tcPr>
          <w:p w14:paraId="3AF3076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52" w:type="pct"/>
            <w:shd w:val="clear" w:color="auto" w:fill="auto"/>
            <w:vAlign w:val="center"/>
          </w:tcPr>
          <w:p w14:paraId="186F793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6</w:t>
            </w:r>
          </w:p>
        </w:tc>
        <w:tc>
          <w:tcPr>
            <w:tcW w:w="352" w:type="pct"/>
            <w:vAlign w:val="center"/>
          </w:tcPr>
          <w:p w14:paraId="078A36C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单有</w:t>
            </w:r>
          </w:p>
        </w:tc>
        <w:tc>
          <w:tcPr>
            <w:tcW w:w="369" w:type="pct"/>
            <w:vAlign w:val="center"/>
          </w:tcPr>
          <w:p w14:paraId="5C645D89">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1654A8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.3.6-2</w:t>
            </w:r>
          </w:p>
        </w:tc>
      </w:tr>
      <w:tr w14:paraId="739C3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064862C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2202671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513A1F1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3DC8B77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5</w:t>
            </w:r>
            <w:r>
              <w:rPr>
                <w:rFonts w:ascii="宋体" w:hAnsi="宋体"/>
                <w:b w:val="0"/>
                <w:bCs/>
                <w:spacing w:val="-4"/>
                <w:szCs w:val="21"/>
              </w:rPr>
              <w:t>8#</w:t>
            </w:r>
            <w:r>
              <w:rPr>
                <w:rFonts w:hint="eastAsia" w:ascii="宋体" w:hAnsi="宋体"/>
                <w:b w:val="0"/>
                <w:bCs/>
                <w:spacing w:val="-4"/>
                <w:szCs w:val="21"/>
              </w:rPr>
              <w:t>黑火药库</w:t>
            </w:r>
          </w:p>
          <w:p w14:paraId="5833037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级、2</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81968D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41D6D95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6A5BC58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DB5A25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C2286D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2AD7B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A954F7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8#</w:t>
            </w:r>
            <w:r>
              <w:rPr>
                <w:rFonts w:hint="eastAsia" w:ascii="宋体" w:hAnsi="宋体" w:cs="Arial"/>
                <w:b w:val="0"/>
                <w:bCs/>
                <w:szCs w:val="21"/>
              </w:rPr>
              <w:t>黑火药库</w:t>
            </w:r>
          </w:p>
        </w:tc>
        <w:tc>
          <w:tcPr>
            <w:tcW w:w="350" w:type="pct"/>
            <w:shd w:val="clear" w:color="auto" w:fill="auto"/>
            <w:vAlign w:val="center"/>
          </w:tcPr>
          <w:p w14:paraId="5D171FF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B31167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500</w:t>
            </w:r>
          </w:p>
        </w:tc>
        <w:tc>
          <w:tcPr>
            <w:tcW w:w="1173" w:type="pct"/>
            <w:shd w:val="clear" w:color="auto" w:fill="auto"/>
            <w:vAlign w:val="center"/>
          </w:tcPr>
          <w:p w14:paraId="0538FDF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59#</w:t>
            </w:r>
            <w:r>
              <w:rPr>
                <w:rFonts w:hint="eastAsia" w:ascii="宋体" w:hAnsi="宋体"/>
                <w:b w:val="0"/>
                <w:bCs/>
                <w:spacing w:val="-4"/>
                <w:szCs w:val="21"/>
              </w:rPr>
              <w:t>黑火药库</w:t>
            </w:r>
          </w:p>
          <w:p w14:paraId="767317C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4000kg</w:t>
            </w:r>
            <w:r>
              <w:rPr>
                <w:rFonts w:hint="eastAsia" w:ascii="宋体" w:hAnsi="宋体"/>
                <w:b w:val="0"/>
                <w:bCs/>
                <w:spacing w:val="-4"/>
                <w:szCs w:val="21"/>
              </w:rPr>
              <w:t>）</w:t>
            </w:r>
          </w:p>
        </w:tc>
        <w:tc>
          <w:tcPr>
            <w:tcW w:w="352" w:type="pct"/>
            <w:shd w:val="clear" w:color="auto" w:fill="auto"/>
            <w:vAlign w:val="center"/>
          </w:tcPr>
          <w:p w14:paraId="38636E6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24</w:t>
            </w:r>
          </w:p>
        </w:tc>
        <w:tc>
          <w:tcPr>
            <w:tcW w:w="352" w:type="pct"/>
            <w:shd w:val="clear" w:color="auto" w:fill="auto"/>
            <w:vAlign w:val="center"/>
          </w:tcPr>
          <w:p w14:paraId="59903CA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0D74234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B79DBE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4CF695A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0BB7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141E2B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9#</w:t>
            </w:r>
            <w:r>
              <w:rPr>
                <w:rFonts w:hint="eastAsia" w:ascii="宋体" w:hAnsi="宋体" w:cs="Arial"/>
                <w:b w:val="0"/>
                <w:bCs/>
                <w:szCs w:val="21"/>
              </w:rPr>
              <w:t>黑火药库</w:t>
            </w:r>
          </w:p>
        </w:tc>
        <w:tc>
          <w:tcPr>
            <w:tcW w:w="350" w:type="pct"/>
            <w:shd w:val="clear" w:color="auto" w:fill="auto"/>
            <w:vAlign w:val="center"/>
          </w:tcPr>
          <w:p w14:paraId="47A2601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B4C35C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4</w:t>
            </w:r>
            <w:r>
              <w:rPr>
                <w:rFonts w:ascii="宋体" w:hAnsi="宋体" w:cs="Arial"/>
                <w:b w:val="0"/>
                <w:bCs/>
                <w:szCs w:val="21"/>
              </w:rPr>
              <w:t>000</w:t>
            </w:r>
          </w:p>
        </w:tc>
        <w:tc>
          <w:tcPr>
            <w:tcW w:w="1173" w:type="pct"/>
            <w:shd w:val="clear" w:color="auto" w:fill="auto"/>
            <w:vAlign w:val="center"/>
          </w:tcPr>
          <w:p w14:paraId="75B7153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60#</w:t>
            </w:r>
            <w:r>
              <w:rPr>
                <w:rFonts w:hint="eastAsia" w:ascii="宋体" w:hAnsi="宋体"/>
                <w:b w:val="0"/>
                <w:bCs/>
                <w:spacing w:val="-4"/>
                <w:szCs w:val="21"/>
              </w:rPr>
              <w:t>黑火药库</w:t>
            </w:r>
          </w:p>
          <w:p w14:paraId="0BB4B7B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3500kg</w:t>
            </w:r>
            <w:r>
              <w:rPr>
                <w:rFonts w:hint="eastAsia" w:ascii="宋体" w:hAnsi="宋体"/>
                <w:b w:val="0"/>
                <w:bCs/>
                <w:spacing w:val="-4"/>
                <w:szCs w:val="21"/>
              </w:rPr>
              <w:t>）</w:t>
            </w:r>
          </w:p>
        </w:tc>
        <w:tc>
          <w:tcPr>
            <w:tcW w:w="352" w:type="pct"/>
            <w:shd w:val="clear" w:color="auto" w:fill="auto"/>
            <w:vAlign w:val="center"/>
          </w:tcPr>
          <w:p w14:paraId="2EF9BDA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24</w:t>
            </w:r>
          </w:p>
        </w:tc>
        <w:tc>
          <w:tcPr>
            <w:tcW w:w="352" w:type="pct"/>
            <w:shd w:val="clear" w:color="auto" w:fill="auto"/>
            <w:vAlign w:val="center"/>
          </w:tcPr>
          <w:p w14:paraId="3DEE84E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52" w:type="pct"/>
            <w:vAlign w:val="center"/>
          </w:tcPr>
          <w:p w14:paraId="026D000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AA63D1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683936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3227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33D09C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w:t>
            </w:r>
            <w:r>
              <w:rPr>
                <w:rFonts w:hint="eastAsia" w:ascii="宋体" w:hAnsi="宋体" w:cs="Arial"/>
                <w:b w:val="0"/>
                <w:bCs/>
                <w:szCs w:val="21"/>
              </w:rPr>
              <w:t>黑火药库</w:t>
            </w:r>
          </w:p>
        </w:tc>
        <w:tc>
          <w:tcPr>
            <w:tcW w:w="350" w:type="pct"/>
            <w:shd w:val="clear" w:color="auto" w:fill="auto"/>
            <w:vAlign w:val="center"/>
          </w:tcPr>
          <w:p w14:paraId="07AC589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9CEFE6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1173" w:type="pct"/>
            <w:shd w:val="clear" w:color="auto" w:fill="auto"/>
            <w:vAlign w:val="center"/>
          </w:tcPr>
          <w:p w14:paraId="1502B10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61#</w:t>
            </w:r>
            <w:r>
              <w:rPr>
                <w:rFonts w:hint="eastAsia" w:ascii="宋体" w:hAnsi="宋体"/>
                <w:b w:val="0"/>
                <w:bCs/>
                <w:spacing w:val="-4"/>
                <w:szCs w:val="21"/>
              </w:rPr>
              <w:t>黑火药库</w:t>
            </w:r>
          </w:p>
          <w:p w14:paraId="234F0E7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6000kg</w:t>
            </w:r>
            <w:r>
              <w:rPr>
                <w:rFonts w:hint="eastAsia" w:ascii="宋体" w:hAnsi="宋体"/>
                <w:b w:val="0"/>
                <w:bCs/>
                <w:spacing w:val="-4"/>
                <w:szCs w:val="21"/>
              </w:rPr>
              <w:t>）</w:t>
            </w:r>
          </w:p>
        </w:tc>
        <w:tc>
          <w:tcPr>
            <w:tcW w:w="352" w:type="pct"/>
            <w:shd w:val="clear" w:color="auto" w:fill="auto"/>
            <w:vAlign w:val="center"/>
          </w:tcPr>
          <w:p w14:paraId="2AEB0E2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27</w:t>
            </w:r>
          </w:p>
        </w:tc>
        <w:tc>
          <w:tcPr>
            <w:tcW w:w="352" w:type="pct"/>
            <w:shd w:val="clear" w:color="auto" w:fill="auto"/>
            <w:vAlign w:val="center"/>
          </w:tcPr>
          <w:p w14:paraId="1689B71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52" w:type="pct"/>
            <w:vAlign w:val="center"/>
          </w:tcPr>
          <w:p w14:paraId="3C42DD6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C349AA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91DB12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35AAC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B467D5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1#</w:t>
            </w:r>
            <w:r>
              <w:rPr>
                <w:rFonts w:hint="eastAsia" w:ascii="宋体" w:hAnsi="宋体" w:cs="Arial"/>
                <w:b w:val="0"/>
                <w:bCs/>
                <w:szCs w:val="21"/>
              </w:rPr>
              <w:t>黑火药库</w:t>
            </w:r>
          </w:p>
        </w:tc>
        <w:tc>
          <w:tcPr>
            <w:tcW w:w="350" w:type="pct"/>
            <w:shd w:val="clear" w:color="auto" w:fill="auto"/>
            <w:vAlign w:val="center"/>
          </w:tcPr>
          <w:p w14:paraId="7A4351B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03A1BA0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000</w:t>
            </w:r>
          </w:p>
        </w:tc>
        <w:tc>
          <w:tcPr>
            <w:tcW w:w="1173" w:type="pct"/>
            <w:shd w:val="clear" w:color="auto" w:fill="auto"/>
            <w:vAlign w:val="center"/>
          </w:tcPr>
          <w:p w14:paraId="6E6AB0B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62#</w:t>
            </w:r>
            <w:r>
              <w:rPr>
                <w:rFonts w:hint="eastAsia" w:ascii="宋体" w:hAnsi="宋体"/>
                <w:b w:val="0"/>
                <w:bCs/>
                <w:spacing w:val="-4"/>
                <w:szCs w:val="21"/>
              </w:rPr>
              <w:t>黑火药库</w:t>
            </w:r>
          </w:p>
          <w:p w14:paraId="0E0AB80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3500kg</w:t>
            </w:r>
            <w:r>
              <w:rPr>
                <w:rFonts w:hint="eastAsia" w:ascii="宋体" w:hAnsi="宋体"/>
                <w:b w:val="0"/>
                <w:bCs/>
                <w:spacing w:val="-4"/>
                <w:szCs w:val="21"/>
              </w:rPr>
              <w:t>）</w:t>
            </w:r>
          </w:p>
        </w:tc>
        <w:tc>
          <w:tcPr>
            <w:tcW w:w="352" w:type="pct"/>
            <w:shd w:val="clear" w:color="auto" w:fill="auto"/>
            <w:vAlign w:val="center"/>
          </w:tcPr>
          <w:p w14:paraId="4C4279B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27</w:t>
            </w:r>
          </w:p>
        </w:tc>
        <w:tc>
          <w:tcPr>
            <w:tcW w:w="352" w:type="pct"/>
            <w:shd w:val="clear" w:color="auto" w:fill="auto"/>
            <w:vAlign w:val="center"/>
          </w:tcPr>
          <w:p w14:paraId="2D457DB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52" w:type="pct"/>
            <w:vAlign w:val="center"/>
          </w:tcPr>
          <w:p w14:paraId="5DF57DF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DEE89C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3288CB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548C8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3B1B25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2#</w:t>
            </w:r>
            <w:r>
              <w:rPr>
                <w:rFonts w:hint="eastAsia" w:ascii="宋体" w:hAnsi="宋体" w:cs="Arial"/>
                <w:b w:val="0"/>
                <w:bCs/>
                <w:szCs w:val="21"/>
              </w:rPr>
              <w:t>黑火药库</w:t>
            </w:r>
          </w:p>
        </w:tc>
        <w:tc>
          <w:tcPr>
            <w:tcW w:w="350" w:type="pct"/>
            <w:shd w:val="clear" w:color="auto" w:fill="auto"/>
            <w:vAlign w:val="center"/>
          </w:tcPr>
          <w:p w14:paraId="03134BE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652F14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500</w:t>
            </w:r>
          </w:p>
        </w:tc>
        <w:tc>
          <w:tcPr>
            <w:tcW w:w="1173" w:type="pct"/>
            <w:shd w:val="clear" w:color="auto" w:fill="auto"/>
            <w:vAlign w:val="center"/>
          </w:tcPr>
          <w:p w14:paraId="06FDD70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63#</w:t>
            </w:r>
            <w:r>
              <w:rPr>
                <w:rFonts w:hint="eastAsia" w:ascii="宋体" w:hAnsi="宋体"/>
                <w:b w:val="0"/>
                <w:bCs/>
                <w:spacing w:val="-4"/>
                <w:szCs w:val="21"/>
              </w:rPr>
              <w:t>黑火药库</w:t>
            </w:r>
          </w:p>
          <w:p w14:paraId="5330046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7000kg</w:t>
            </w:r>
            <w:r>
              <w:rPr>
                <w:rFonts w:hint="eastAsia" w:ascii="宋体" w:hAnsi="宋体"/>
                <w:b w:val="0"/>
                <w:bCs/>
                <w:spacing w:val="-4"/>
                <w:szCs w:val="21"/>
              </w:rPr>
              <w:t>）</w:t>
            </w:r>
          </w:p>
        </w:tc>
        <w:tc>
          <w:tcPr>
            <w:tcW w:w="352" w:type="pct"/>
            <w:shd w:val="clear" w:color="auto" w:fill="auto"/>
            <w:vAlign w:val="center"/>
          </w:tcPr>
          <w:p w14:paraId="7425FF3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27</w:t>
            </w:r>
          </w:p>
        </w:tc>
        <w:tc>
          <w:tcPr>
            <w:tcW w:w="352" w:type="pct"/>
            <w:shd w:val="clear" w:color="auto" w:fill="auto"/>
            <w:vAlign w:val="center"/>
          </w:tcPr>
          <w:p w14:paraId="70BBECD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52" w:type="pct"/>
            <w:vAlign w:val="center"/>
          </w:tcPr>
          <w:p w14:paraId="7479DFA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284F02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0FD680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19595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EBB2B7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3#</w:t>
            </w:r>
            <w:r>
              <w:rPr>
                <w:rFonts w:hint="eastAsia" w:ascii="宋体" w:hAnsi="宋体" w:cs="Arial"/>
                <w:b w:val="0"/>
                <w:bCs/>
                <w:szCs w:val="21"/>
              </w:rPr>
              <w:t>黑火药库</w:t>
            </w:r>
          </w:p>
        </w:tc>
        <w:tc>
          <w:tcPr>
            <w:tcW w:w="350" w:type="pct"/>
            <w:shd w:val="clear" w:color="auto" w:fill="auto"/>
            <w:vAlign w:val="center"/>
          </w:tcPr>
          <w:p w14:paraId="5D7EA3D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E60000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1173" w:type="pct"/>
            <w:shd w:val="clear" w:color="auto" w:fill="auto"/>
            <w:vAlign w:val="center"/>
          </w:tcPr>
          <w:p w14:paraId="23EE5B6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64#</w:t>
            </w:r>
            <w:r>
              <w:rPr>
                <w:rFonts w:hint="eastAsia" w:ascii="宋体" w:hAnsi="宋体"/>
                <w:b w:val="0"/>
                <w:bCs/>
                <w:spacing w:val="-4"/>
                <w:szCs w:val="21"/>
              </w:rPr>
              <w:t>黑火药库</w:t>
            </w:r>
          </w:p>
          <w:p w14:paraId="0A36054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7000kg</w:t>
            </w:r>
            <w:r>
              <w:rPr>
                <w:rFonts w:hint="eastAsia" w:ascii="宋体" w:hAnsi="宋体"/>
                <w:b w:val="0"/>
                <w:bCs/>
                <w:spacing w:val="-4"/>
                <w:szCs w:val="21"/>
              </w:rPr>
              <w:t>）</w:t>
            </w:r>
          </w:p>
        </w:tc>
        <w:tc>
          <w:tcPr>
            <w:tcW w:w="352" w:type="pct"/>
            <w:shd w:val="clear" w:color="auto" w:fill="auto"/>
            <w:vAlign w:val="center"/>
          </w:tcPr>
          <w:p w14:paraId="5574E30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52" w:type="pct"/>
            <w:shd w:val="clear" w:color="auto" w:fill="auto"/>
            <w:vAlign w:val="center"/>
          </w:tcPr>
          <w:p w14:paraId="0036A83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52" w:type="pct"/>
            <w:vAlign w:val="center"/>
          </w:tcPr>
          <w:p w14:paraId="4BE0E91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E5A719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3EC4A77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54B63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2BEE34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4#</w:t>
            </w:r>
            <w:r>
              <w:rPr>
                <w:rFonts w:hint="eastAsia" w:ascii="宋体" w:hAnsi="宋体" w:cs="Arial"/>
                <w:b w:val="0"/>
                <w:bCs/>
                <w:szCs w:val="21"/>
              </w:rPr>
              <w:t>黑火药库</w:t>
            </w:r>
          </w:p>
        </w:tc>
        <w:tc>
          <w:tcPr>
            <w:tcW w:w="350" w:type="pct"/>
            <w:shd w:val="clear" w:color="auto" w:fill="auto"/>
            <w:vAlign w:val="center"/>
          </w:tcPr>
          <w:p w14:paraId="4021C80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B04697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000</w:t>
            </w:r>
          </w:p>
        </w:tc>
        <w:tc>
          <w:tcPr>
            <w:tcW w:w="1173" w:type="pct"/>
            <w:shd w:val="clear" w:color="auto" w:fill="auto"/>
            <w:vAlign w:val="center"/>
          </w:tcPr>
          <w:p w14:paraId="234F1D2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65#</w:t>
            </w:r>
            <w:r>
              <w:rPr>
                <w:rFonts w:hint="eastAsia" w:ascii="宋体" w:hAnsi="宋体"/>
                <w:b w:val="0"/>
                <w:bCs/>
                <w:spacing w:val="-4"/>
                <w:szCs w:val="21"/>
              </w:rPr>
              <w:t>黑火药库</w:t>
            </w:r>
          </w:p>
          <w:p w14:paraId="2D1D2A4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52" w:type="pct"/>
            <w:shd w:val="clear" w:color="auto" w:fill="auto"/>
            <w:vAlign w:val="center"/>
          </w:tcPr>
          <w:p w14:paraId="52EB642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27</w:t>
            </w:r>
          </w:p>
        </w:tc>
        <w:tc>
          <w:tcPr>
            <w:tcW w:w="352" w:type="pct"/>
            <w:shd w:val="clear" w:color="auto" w:fill="auto"/>
            <w:vAlign w:val="center"/>
          </w:tcPr>
          <w:p w14:paraId="2B6DB96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52" w:type="pct"/>
            <w:vAlign w:val="center"/>
          </w:tcPr>
          <w:p w14:paraId="2B6F909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20A022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502BA6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56A72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DC3A23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5#</w:t>
            </w:r>
            <w:r>
              <w:rPr>
                <w:rFonts w:hint="eastAsia" w:ascii="宋体" w:hAnsi="宋体" w:cs="Arial"/>
                <w:b w:val="0"/>
                <w:bCs/>
                <w:szCs w:val="21"/>
              </w:rPr>
              <w:t>黑火药库</w:t>
            </w:r>
          </w:p>
        </w:tc>
        <w:tc>
          <w:tcPr>
            <w:tcW w:w="350" w:type="pct"/>
            <w:shd w:val="clear" w:color="auto" w:fill="auto"/>
            <w:vAlign w:val="center"/>
          </w:tcPr>
          <w:p w14:paraId="0532F45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0ED592A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173" w:type="pct"/>
            <w:shd w:val="clear" w:color="auto" w:fill="auto"/>
            <w:vAlign w:val="center"/>
          </w:tcPr>
          <w:p w14:paraId="326764E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66#</w:t>
            </w:r>
            <w:r>
              <w:rPr>
                <w:rFonts w:hint="eastAsia" w:ascii="宋体" w:hAnsi="宋体"/>
                <w:b w:val="0"/>
                <w:bCs/>
                <w:spacing w:val="-4"/>
                <w:szCs w:val="21"/>
              </w:rPr>
              <w:t>黑火药库</w:t>
            </w:r>
          </w:p>
          <w:p w14:paraId="4397157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1500kg</w:t>
            </w:r>
            <w:r>
              <w:rPr>
                <w:rFonts w:hint="eastAsia" w:ascii="宋体" w:hAnsi="宋体"/>
                <w:b w:val="0"/>
                <w:bCs/>
                <w:spacing w:val="-4"/>
                <w:szCs w:val="21"/>
              </w:rPr>
              <w:t>）</w:t>
            </w:r>
          </w:p>
        </w:tc>
        <w:tc>
          <w:tcPr>
            <w:tcW w:w="352" w:type="pct"/>
            <w:shd w:val="clear" w:color="auto" w:fill="auto"/>
            <w:vAlign w:val="center"/>
          </w:tcPr>
          <w:p w14:paraId="162023E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6A0DC69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2</w:t>
            </w:r>
          </w:p>
        </w:tc>
        <w:tc>
          <w:tcPr>
            <w:tcW w:w="352" w:type="pct"/>
            <w:vAlign w:val="center"/>
          </w:tcPr>
          <w:p w14:paraId="2D890DE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DE7892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6863B8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46878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5762E6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8#</w:t>
            </w:r>
            <w:r>
              <w:rPr>
                <w:rFonts w:hint="eastAsia" w:ascii="宋体" w:hAnsi="宋体" w:cs="Arial"/>
                <w:b w:val="0"/>
                <w:bCs/>
                <w:szCs w:val="21"/>
              </w:rPr>
              <w:t>回收粉中转</w:t>
            </w:r>
          </w:p>
        </w:tc>
        <w:tc>
          <w:tcPr>
            <w:tcW w:w="350" w:type="pct"/>
            <w:shd w:val="clear" w:color="auto" w:fill="auto"/>
            <w:vAlign w:val="center"/>
          </w:tcPr>
          <w:p w14:paraId="01DEB64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803969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1CB5D03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6</w:t>
            </w:r>
            <w:r>
              <w:rPr>
                <w:rFonts w:ascii="宋体" w:hAnsi="宋体"/>
                <w:b w:val="0"/>
                <w:bCs/>
                <w:spacing w:val="-4"/>
                <w:szCs w:val="21"/>
              </w:rPr>
              <w:t>9#</w:t>
            </w:r>
            <w:r>
              <w:rPr>
                <w:rFonts w:hint="eastAsia" w:ascii="宋体" w:hAnsi="宋体"/>
                <w:b w:val="0"/>
                <w:bCs/>
                <w:spacing w:val="-4"/>
                <w:szCs w:val="21"/>
              </w:rPr>
              <w:t>原材料中转</w:t>
            </w:r>
          </w:p>
          <w:p w14:paraId="0600B96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级、1</w:t>
            </w:r>
            <w:r>
              <w:rPr>
                <w:rFonts w:ascii="宋体" w:hAnsi="宋体"/>
                <w:b w:val="0"/>
                <w:bCs/>
                <w:spacing w:val="-4"/>
                <w:szCs w:val="21"/>
              </w:rPr>
              <w:t>000/</w:t>
            </w:r>
            <w:r>
              <w:rPr>
                <w:rFonts w:hint="eastAsia" w:ascii="宋体" w:hAnsi="宋体"/>
                <w:b w:val="0"/>
                <w:bCs/>
                <w:spacing w:val="-4"/>
                <w:szCs w:val="21"/>
              </w:rPr>
              <w:t>间）</w:t>
            </w:r>
          </w:p>
        </w:tc>
        <w:tc>
          <w:tcPr>
            <w:tcW w:w="352" w:type="pct"/>
            <w:shd w:val="clear" w:color="auto" w:fill="auto"/>
            <w:vAlign w:val="center"/>
          </w:tcPr>
          <w:p w14:paraId="64D5507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25</w:t>
            </w:r>
          </w:p>
        </w:tc>
        <w:tc>
          <w:tcPr>
            <w:tcW w:w="352" w:type="pct"/>
            <w:shd w:val="clear" w:color="auto" w:fill="auto"/>
            <w:vAlign w:val="center"/>
          </w:tcPr>
          <w:p w14:paraId="667D2AA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52" w:type="pct"/>
            <w:vAlign w:val="center"/>
          </w:tcPr>
          <w:p w14:paraId="6ADAAD7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单有</w:t>
            </w:r>
          </w:p>
        </w:tc>
        <w:tc>
          <w:tcPr>
            <w:tcW w:w="369" w:type="pct"/>
            <w:vAlign w:val="center"/>
          </w:tcPr>
          <w:p w14:paraId="623ED6F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FCAEA3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r>
              <w:rPr>
                <w:rFonts w:hint="eastAsia" w:ascii="宋体" w:hAnsi="宋体" w:cs="宋体"/>
                <w:b w:val="0"/>
                <w:bCs/>
                <w:szCs w:val="21"/>
              </w:rPr>
              <w:t>、表5</w:t>
            </w:r>
            <w:r>
              <w:rPr>
                <w:rFonts w:ascii="宋体" w:hAnsi="宋体" w:cs="宋体"/>
                <w:b w:val="0"/>
                <w:bCs/>
                <w:szCs w:val="21"/>
              </w:rPr>
              <w:t>.2.8</w:t>
            </w:r>
          </w:p>
        </w:tc>
      </w:tr>
      <w:tr w14:paraId="63DEC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74BC83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6</w:t>
            </w:r>
            <w:r>
              <w:rPr>
                <w:rFonts w:ascii="宋体" w:hAnsi="宋体" w:cs="Arial"/>
                <w:b w:val="0"/>
                <w:bCs/>
                <w:szCs w:val="21"/>
              </w:rPr>
              <w:t>9#</w:t>
            </w:r>
            <w:r>
              <w:rPr>
                <w:rFonts w:hint="eastAsia" w:ascii="宋体" w:hAnsi="宋体" w:cs="Arial"/>
                <w:b w:val="0"/>
                <w:bCs/>
                <w:szCs w:val="21"/>
              </w:rPr>
              <w:t>原材料中转</w:t>
            </w:r>
          </w:p>
        </w:tc>
        <w:tc>
          <w:tcPr>
            <w:tcW w:w="350" w:type="pct"/>
            <w:shd w:val="clear" w:color="auto" w:fill="auto"/>
            <w:vAlign w:val="center"/>
          </w:tcPr>
          <w:p w14:paraId="114C7F0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3EB13CD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r>
              <w:rPr>
                <w:rFonts w:hint="eastAsia" w:ascii="宋体" w:hAnsi="宋体" w:cs="Arial"/>
                <w:b w:val="0"/>
                <w:bCs/>
                <w:szCs w:val="21"/>
              </w:rPr>
              <w:t>间</w:t>
            </w:r>
          </w:p>
        </w:tc>
        <w:tc>
          <w:tcPr>
            <w:tcW w:w="1173" w:type="pct"/>
            <w:shd w:val="clear" w:color="auto" w:fill="auto"/>
            <w:vAlign w:val="center"/>
          </w:tcPr>
          <w:p w14:paraId="3077675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0#</w:t>
            </w:r>
            <w:r>
              <w:rPr>
                <w:rFonts w:hint="eastAsia" w:ascii="宋体" w:hAnsi="宋体"/>
                <w:b w:val="0"/>
                <w:bCs/>
                <w:spacing w:val="-4"/>
                <w:szCs w:val="21"/>
              </w:rPr>
              <w:t>电控室</w:t>
            </w:r>
          </w:p>
        </w:tc>
        <w:tc>
          <w:tcPr>
            <w:tcW w:w="352" w:type="pct"/>
            <w:shd w:val="clear" w:color="auto" w:fill="auto"/>
            <w:vAlign w:val="center"/>
          </w:tcPr>
          <w:p w14:paraId="6FC40B4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shd w:val="clear" w:color="auto" w:fill="auto"/>
            <w:vAlign w:val="center"/>
          </w:tcPr>
          <w:p w14:paraId="4EF2B0F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6</w:t>
            </w:r>
          </w:p>
        </w:tc>
        <w:tc>
          <w:tcPr>
            <w:tcW w:w="352" w:type="pct"/>
            <w:vAlign w:val="center"/>
          </w:tcPr>
          <w:p w14:paraId="4F7BB07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w:t>
            </w:r>
          </w:p>
        </w:tc>
        <w:tc>
          <w:tcPr>
            <w:tcW w:w="369" w:type="pct"/>
            <w:vAlign w:val="center"/>
          </w:tcPr>
          <w:p w14:paraId="572EDDE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C0340E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p>
        </w:tc>
      </w:tr>
      <w:tr w14:paraId="3D0D4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739675B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b w:val="0"/>
                <w:bCs/>
              </w:rPr>
              <w:t>71#</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50" w:type="pct"/>
            <w:vMerge w:val="restart"/>
            <w:shd w:val="clear" w:color="auto" w:fill="auto"/>
            <w:vAlign w:val="center"/>
          </w:tcPr>
          <w:p w14:paraId="6E2F157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1F577FB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7ACBC20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6</w:t>
            </w:r>
            <w:r>
              <w:rPr>
                <w:rFonts w:ascii="宋体" w:hAnsi="宋体"/>
                <w:b w:val="0"/>
                <w:bCs/>
                <w:spacing w:val="-4"/>
                <w:szCs w:val="21"/>
              </w:rPr>
              <w:t>9#</w:t>
            </w:r>
            <w:r>
              <w:rPr>
                <w:rFonts w:hint="eastAsia" w:ascii="宋体" w:hAnsi="宋体"/>
                <w:b w:val="0"/>
                <w:bCs/>
                <w:spacing w:val="-4"/>
                <w:szCs w:val="21"/>
              </w:rPr>
              <w:t>原材料中转</w:t>
            </w:r>
          </w:p>
          <w:p w14:paraId="75DFA75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w:t>
            </w:r>
            <w:r>
              <w:rPr>
                <w:rFonts w:hint="eastAsia" w:ascii="宋体" w:hAnsi="宋体"/>
                <w:b w:val="0"/>
                <w:bCs/>
                <w:spacing w:val="-4"/>
                <w:szCs w:val="21"/>
              </w:rPr>
              <w:t>级、1</w:t>
            </w:r>
            <w:r>
              <w:rPr>
                <w:rFonts w:ascii="宋体" w:hAnsi="宋体"/>
                <w:b w:val="0"/>
                <w:bCs/>
                <w:spacing w:val="-4"/>
                <w:szCs w:val="21"/>
              </w:rPr>
              <w:t>000/</w:t>
            </w:r>
            <w:r>
              <w:rPr>
                <w:rFonts w:hint="eastAsia" w:ascii="宋体" w:hAnsi="宋体"/>
                <w:b w:val="0"/>
                <w:bCs/>
                <w:spacing w:val="-4"/>
                <w:szCs w:val="21"/>
              </w:rPr>
              <w:t>间）</w:t>
            </w:r>
          </w:p>
        </w:tc>
        <w:tc>
          <w:tcPr>
            <w:tcW w:w="352" w:type="pct"/>
            <w:shd w:val="clear" w:color="auto" w:fill="auto"/>
            <w:vAlign w:val="center"/>
          </w:tcPr>
          <w:p w14:paraId="202386F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shd w:val="clear" w:color="auto" w:fill="auto"/>
            <w:vAlign w:val="center"/>
          </w:tcPr>
          <w:p w14:paraId="0DFD0A1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7</w:t>
            </w:r>
            <w:r>
              <w:rPr>
                <w:rFonts w:ascii="宋体" w:hAnsi="宋体"/>
                <w:b w:val="0"/>
                <w:bCs/>
                <w:spacing w:val="-4"/>
                <w:kern w:val="0"/>
                <w:szCs w:val="21"/>
              </w:rPr>
              <w:t>1</w:t>
            </w:r>
          </w:p>
        </w:tc>
        <w:tc>
          <w:tcPr>
            <w:tcW w:w="352" w:type="pct"/>
            <w:vAlign w:val="center"/>
          </w:tcPr>
          <w:p w14:paraId="3F79113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2295297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4F63A71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r>
              <w:rPr>
                <w:rFonts w:hint="eastAsia" w:ascii="宋体" w:hAnsi="宋体" w:cs="宋体"/>
                <w:b w:val="0"/>
                <w:bCs/>
                <w:szCs w:val="21"/>
              </w:rPr>
              <w:t>、表5</w:t>
            </w:r>
            <w:r>
              <w:rPr>
                <w:rFonts w:ascii="宋体" w:hAnsi="宋体" w:cs="宋体"/>
                <w:b w:val="0"/>
                <w:bCs/>
                <w:szCs w:val="21"/>
              </w:rPr>
              <w:t>.2.8</w:t>
            </w:r>
          </w:p>
        </w:tc>
      </w:tr>
      <w:tr w14:paraId="61B1F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408DC4D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p>
        </w:tc>
        <w:tc>
          <w:tcPr>
            <w:tcW w:w="350" w:type="pct"/>
            <w:vMerge w:val="continue"/>
            <w:shd w:val="clear" w:color="auto" w:fill="auto"/>
            <w:vAlign w:val="center"/>
          </w:tcPr>
          <w:p w14:paraId="19C53E9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3EFF73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68F5989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2#</w:t>
            </w:r>
            <w:r>
              <w:rPr>
                <w:rFonts w:hint="eastAsia" w:ascii="宋体" w:hAnsi="宋体"/>
                <w:b w:val="0"/>
                <w:bCs/>
                <w:spacing w:val="-4"/>
                <w:szCs w:val="21"/>
              </w:rPr>
              <w:t>空板车间</w:t>
            </w:r>
          </w:p>
        </w:tc>
        <w:tc>
          <w:tcPr>
            <w:tcW w:w="352" w:type="pct"/>
            <w:shd w:val="clear" w:color="auto" w:fill="auto"/>
            <w:vAlign w:val="center"/>
          </w:tcPr>
          <w:p w14:paraId="30EBF57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18</w:t>
            </w:r>
          </w:p>
        </w:tc>
        <w:tc>
          <w:tcPr>
            <w:tcW w:w="352" w:type="pct"/>
            <w:shd w:val="clear" w:color="auto" w:fill="auto"/>
            <w:vAlign w:val="center"/>
          </w:tcPr>
          <w:p w14:paraId="6734551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2</w:t>
            </w:r>
          </w:p>
        </w:tc>
        <w:tc>
          <w:tcPr>
            <w:tcW w:w="352" w:type="pct"/>
            <w:vAlign w:val="center"/>
          </w:tcPr>
          <w:p w14:paraId="5DB1D13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单有</w:t>
            </w:r>
          </w:p>
        </w:tc>
        <w:tc>
          <w:tcPr>
            <w:tcW w:w="369" w:type="pct"/>
            <w:vAlign w:val="center"/>
          </w:tcPr>
          <w:p w14:paraId="09B3EDB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6B465C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3AD5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03BAE54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p>
        </w:tc>
        <w:tc>
          <w:tcPr>
            <w:tcW w:w="350" w:type="pct"/>
            <w:vMerge w:val="continue"/>
            <w:shd w:val="clear" w:color="auto" w:fill="auto"/>
            <w:vAlign w:val="center"/>
          </w:tcPr>
          <w:p w14:paraId="33F99E7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0A42243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2674F12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b w:val="0"/>
                <w:bCs/>
              </w:rPr>
              <w:t>73#</w:t>
            </w:r>
            <w:r>
              <w:rPr>
                <w:rFonts w:hint="eastAsia" w:ascii="宋体" w:hAnsi="宋体"/>
                <w:b w:val="0"/>
                <w:bCs/>
              </w:rPr>
              <w:t>自动混合</w:t>
            </w:r>
            <w:r>
              <w:rPr>
                <w:rFonts w:ascii="宋体" w:hAnsi="宋体"/>
                <w:b w:val="0"/>
                <w:bCs/>
              </w:rPr>
              <w:t>/</w:t>
            </w:r>
            <w:r>
              <w:rPr>
                <w:rFonts w:hint="eastAsia" w:ascii="宋体" w:hAnsi="宋体"/>
                <w:b w:val="0"/>
                <w:bCs/>
              </w:rPr>
              <w:t>上潮/装模制片</w:t>
            </w: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6F55545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12</w:t>
            </w:r>
          </w:p>
        </w:tc>
        <w:tc>
          <w:tcPr>
            <w:tcW w:w="352" w:type="pct"/>
            <w:shd w:val="clear" w:color="auto" w:fill="auto"/>
            <w:vAlign w:val="center"/>
          </w:tcPr>
          <w:p w14:paraId="379082C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4</w:t>
            </w:r>
          </w:p>
        </w:tc>
        <w:tc>
          <w:tcPr>
            <w:tcW w:w="352" w:type="pct"/>
            <w:vAlign w:val="center"/>
          </w:tcPr>
          <w:p w14:paraId="3DF55CD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8F864F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C458FE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7F9B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3BE7A27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b w:val="0"/>
                <w:bCs/>
              </w:rPr>
              <w:t>73#</w:t>
            </w:r>
            <w:r>
              <w:rPr>
                <w:rFonts w:hint="eastAsia" w:ascii="宋体" w:hAnsi="宋体"/>
                <w:b w:val="0"/>
                <w:bCs/>
              </w:rPr>
              <w:t>自动混合</w:t>
            </w:r>
            <w:r>
              <w:rPr>
                <w:rFonts w:ascii="宋体" w:hAnsi="宋体"/>
                <w:b w:val="0"/>
                <w:bCs/>
              </w:rPr>
              <w:t>/</w:t>
            </w:r>
            <w:r>
              <w:rPr>
                <w:rFonts w:hint="eastAsia" w:ascii="宋体" w:hAnsi="宋体"/>
                <w:b w:val="0"/>
                <w:bCs/>
              </w:rPr>
              <w:t>上潮/装模制片</w:t>
            </w:r>
          </w:p>
        </w:tc>
        <w:tc>
          <w:tcPr>
            <w:tcW w:w="350" w:type="pct"/>
            <w:vMerge w:val="restart"/>
            <w:shd w:val="clear" w:color="auto" w:fill="auto"/>
            <w:vAlign w:val="center"/>
          </w:tcPr>
          <w:p w14:paraId="40502DE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5EFD069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2BF3111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2#</w:t>
            </w:r>
            <w:r>
              <w:rPr>
                <w:rFonts w:hint="eastAsia" w:ascii="宋体" w:hAnsi="宋体"/>
                <w:b w:val="0"/>
                <w:bCs/>
                <w:spacing w:val="-4"/>
                <w:szCs w:val="21"/>
              </w:rPr>
              <w:t>空板车间</w:t>
            </w:r>
          </w:p>
        </w:tc>
        <w:tc>
          <w:tcPr>
            <w:tcW w:w="352" w:type="pct"/>
            <w:shd w:val="clear" w:color="auto" w:fill="auto"/>
            <w:vAlign w:val="center"/>
          </w:tcPr>
          <w:p w14:paraId="26E2B23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8</w:t>
            </w:r>
          </w:p>
        </w:tc>
        <w:tc>
          <w:tcPr>
            <w:tcW w:w="352" w:type="pct"/>
            <w:shd w:val="clear" w:color="auto" w:fill="auto"/>
            <w:vAlign w:val="center"/>
          </w:tcPr>
          <w:p w14:paraId="61DA9C5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3</w:t>
            </w:r>
          </w:p>
        </w:tc>
        <w:tc>
          <w:tcPr>
            <w:tcW w:w="352" w:type="pct"/>
            <w:vAlign w:val="center"/>
          </w:tcPr>
          <w:p w14:paraId="1AAC018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单有</w:t>
            </w:r>
          </w:p>
        </w:tc>
        <w:tc>
          <w:tcPr>
            <w:tcW w:w="369" w:type="pct"/>
            <w:vAlign w:val="center"/>
          </w:tcPr>
          <w:p w14:paraId="53C38F0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052EA7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21AA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2232E3E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rPr>
            </w:pPr>
          </w:p>
        </w:tc>
        <w:tc>
          <w:tcPr>
            <w:tcW w:w="350" w:type="pct"/>
            <w:vMerge w:val="continue"/>
            <w:shd w:val="clear" w:color="auto" w:fill="auto"/>
            <w:vAlign w:val="center"/>
          </w:tcPr>
          <w:p w14:paraId="155D78B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3DEE05D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6F62C36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4#</w:t>
            </w:r>
            <w:r>
              <w:rPr>
                <w:rFonts w:hint="eastAsia" w:ascii="宋体" w:hAnsi="宋体"/>
                <w:b w:val="0"/>
                <w:bCs/>
                <w:spacing w:val="-4"/>
                <w:szCs w:val="21"/>
              </w:rPr>
              <w:t>气泵间</w:t>
            </w:r>
          </w:p>
        </w:tc>
        <w:tc>
          <w:tcPr>
            <w:tcW w:w="352" w:type="pct"/>
            <w:shd w:val="clear" w:color="auto" w:fill="auto"/>
            <w:vAlign w:val="center"/>
          </w:tcPr>
          <w:p w14:paraId="3AEF060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12</w:t>
            </w:r>
          </w:p>
        </w:tc>
        <w:tc>
          <w:tcPr>
            <w:tcW w:w="352" w:type="pct"/>
            <w:shd w:val="clear" w:color="auto" w:fill="auto"/>
            <w:vAlign w:val="center"/>
          </w:tcPr>
          <w:p w14:paraId="7EC742F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5</w:t>
            </w:r>
          </w:p>
        </w:tc>
        <w:tc>
          <w:tcPr>
            <w:tcW w:w="352" w:type="pct"/>
            <w:vAlign w:val="center"/>
          </w:tcPr>
          <w:p w14:paraId="3D61B4D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8632FC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02E0FA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9342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3B45B8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6#</w:t>
            </w:r>
            <w:r>
              <w:rPr>
                <w:rFonts w:hint="eastAsia" w:ascii="宋体" w:hAnsi="宋体" w:cs="Arial"/>
                <w:b w:val="0"/>
                <w:bCs/>
                <w:szCs w:val="21"/>
              </w:rPr>
              <w:t>制片中转</w:t>
            </w:r>
          </w:p>
        </w:tc>
        <w:tc>
          <w:tcPr>
            <w:tcW w:w="350" w:type="pct"/>
            <w:shd w:val="clear" w:color="auto" w:fill="auto"/>
            <w:vAlign w:val="center"/>
          </w:tcPr>
          <w:p w14:paraId="092885E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2A53D9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48399C4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5#</w:t>
            </w:r>
            <w:r>
              <w:rPr>
                <w:rFonts w:hint="eastAsia" w:ascii="宋体" w:hAnsi="宋体"/>
                <w:b w:val="0"/>
                <w:bCs/>
                <w:spacing w:val="-4"/>
                <w:szCs w:val="21"/>
              </w:rPr>
              <w:t>空板车间</w:t>
            </w:r>
          </w:p>
        </w:tc>
        <w:tc>
          <w:tcPr>
            <w:tcW w:w="352" w:type="pct"/>
            <w:shd w:val="clear" w:color="auto" w:fill="auto"/>
            <w:vAlign w:val="center"/>
          </w:tcPr>
          <w:p w14:paraId="652E484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B98CEB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1</w:t>
            </w:r>
          </w:p>
        </w:tc>
        <w:tc>
          <w:tcPr>
            <w:tcW w:w="352" w:type="pct"/>
            <w:vAlign w:val="center"/>
          </w:tcPr>
          <w:p w14:paraId="703F68B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BA2438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2B063BE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466B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0E65BC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7#</w:t>
            </w:r>
            <w:r>
              <w:rPr>
                <w:rFonts w:hint="eastAsia" w:ascii="宋体" w:hAnsi="宋体" w:cs="Arial"/>
                <w:b w:val="0"/>
                <w:bCs/>
                <w:szCs w:val="21"/>
              </w:rPr>
              <w:t>制片中转</w:t>
            </w:r>
          </w:p>
        </w:tc>
        <w:tc>
          <w:tcPr>
            <w:tcW w:w="350" w:type="pct"/>
            <w:shd w:val="clear" w:color="auto" w:fill="auto"/>
            <w:vAlign w:val="center"/>
          </w:tcPr>
          <w:p w14:paraId="305C99E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B88B88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771C518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6#</w:t>
            </w:r>
            <w:r>
              <w:rPr>
                <w:rFonts w:hint="eastAsia" w:ascii="宋体" w:hAnsi="宋体"/>
                <w:b w:val="0"/>
                <w:bCs/>
                <w:spacing w:val="-4"/>
                <w:szCs w:val="21"/>
              </w:rPr>
              <w:t>制片中转</w:t>
            </w:r>
          </w:p>
          <w:p w14:paraId="146FDE3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52" w:type="pct"/>
            <w:shd w:val="clear" w:color="auto" w:fill="auto"/>
            <w:vAlign w:val="center"/>
          </w:tcPr>
          <w:p w14:paraId="22ADA74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7AF7DFF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0</w:t>
            </w:r>
          </w:p>
        </w:tc>
        <w:tc>
          <w:tcPr>
            <w:tcW w:w="352" w:type="pct"/>
            <w:vAlign w:val="center"/>
          </w:tcPr>
          <w:p w14:paraId="1258841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8CF389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70BB16C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6C53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02E5635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7</w:t>
            </w:r>
            <w:r>
              <w:rPr>
                <w:rFonts w:ascii="宋体" w:hAnsi="宋体" w:cs="Arial"/>
                <w:b w:val="0"/>
                <w:bCs/>
                <w:szCs w:val="21"/>
              </w:rPr>
              <w:t>8#</w:t>
            </w:r>
            <w:r>
              <w:rPr>
                <w:rFonts w:hint="eastAsia" w:ascii="宋体" w:hAnsi="宋体" w:cs="Arial"/>
                <w:b w:val="0"/>
                <w:bCs/>
                <w:szCs w:val="21"/>
              </w:rPr>
              <w:t>片子中转</w:t>
            </w:r>
          </w:p>
        </w:tc>
        <w:tc>
          <w:tcPr>
            <w:tcW w:w="350" w:type="pct"/>
            <w:shd w:val="clear" w:color="auto" w:fill="auto"/>
            <w:vAlign w:val="center"/>
          </w:tcPr>
          <w:p w14:paraId="352011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A43145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6A6FB4F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7</w:t>
            </w:r>
            <w:r>
              <w:rPr>
                <w:rFonts w:ascii="宋体" w:hAnsi="宋体"/>
                <w:b w:val="0"/>
                <w:bCs/>
                <w:spacing w:val="-4"/>
                <w:szCs w:val="21"/>
              </w:rPr>
              <w:t>7#</w:t>
            </w:r>
            <w:r>
              <w:rPr>
                <w:rFonts w:hint="eastAsia" w:ascii="宋体" w:hAnsi="宋体"/>
                <w:b w:val="0"/>
                <w:bCs/>
                <w:spacing w:val="-4"/>
                <w:szCs w:val="21"/>
              </w:rPr>
              <w:t>制片中转</w:t>
            </w:r>
          </w:p>
          <w:p w14:paraId="5A7DD7B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级、5</w:t>
            </w:r>
            <w:r>
              <w:rPr>
                <w:rFonts w:ascii="宋体" w:hAnsi="宋体"/>
                <w:b w:val="0"/>
                <w:bCs/>
                <w:spacing w:val="-4"/>
                <w:szCs w:val="21"/>
              </w:rPr>
              <w:t>00kg</w:t>
            </w:r>
            <w:r>
              <w:rPr>
                <w:rFonts w:hint="eastAsia" w:ascii="宋体" w:hAnsi="宋体"/>
                <w:b w:val="0"/>
                <w:bCs/>
                <w:spacing w:val="-4"/>
                <w:szCs w:val="21"/>
              </w:rPr>
              <w:t>）</w:t>
            </w:r>
          </w:p>
        </w:tc>
        <w:tc>
          <w:tcPr>
            <w:tcW w:w="352" w:type="pct"/>
            <w:shd w:val="clear" w:color="auto" w:fill="auto"/>
            <w:vAlign w:val="center"/>
          </w:tcPr>
          <w:p w14:paraId="28C8A67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4A65B0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52" w:type="pct"/>
            <w:vAlign w:val="center"/>
          </w:tcPr>
          <w:p w14:paraId="6CFDE4F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344D88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332968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8E34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68EFBD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r>
              <w:rPr>
                <w:rFonts w:hint="eastAsia" w:ascii="宋体" w:hAnsi="宋体" w:cs="Arial"/>
                <w:b w:val="0"/>
                <w:bCs/>
                <w:szCs w:val="21"/>
              </w:rPr>
              <w:t>压药</w:t>
            </w:r>
          </w:p>
        </w:tc>
        <w:tc>
          <w:tcPr>
            <w:tcW w:w="350" w:type="pct"/>
            <w:shd w:val="clear" w:color="auto" w:fill="auto"/>
            <w:vAlign w:val="center"/>
          </w:tcPr>
          <w:p w14:paraId="665F715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68B1BF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p>
        </w:tc>
        <w:tc>
          <w:tcPr>
            <w:tcW w:w="1173" w:type="pct"/>
            <w:shd w:val="clear" w:color="auto" w:fill="auto"/>
            <w:vAlign w:val="center"/>
          </w:tcPr>
          <w:p w14:paraId="51BC05D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78#</w:t>
            </w:r>
            <w:r>
              <w:rPr>
                <w:rFonts w:hint="eastAsia" w:ascii="宋体" w:hAnsi="宋体"/>
                <w:b w:val="0"/>
                <w:bCs/>
                <w:spacing w:val="-4"/>
                <w:szCs w:val="21"/>
              </w:rPr>
              <w:t>片字中转</w:t>
            </w:r>
          </w:p>
          <w:p w14:paraId="35396E9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77553E8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12</w:t>
            </w:r>
          </w:p>
        </w:tc>
        <w:tc>
          <w:tcPr>
            <w:tcW w:w="352" w:type="pct"/>
            <w:shd w:val="clear" w:color="auto" w:fill="auto"/>
            <w:vAlign w:val="center"/>
          </w:tcPr>
          <w:p w14:paraId="1C4C6B1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3AB4B45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177FBF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3095A8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44AB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167694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3#</w:t>
            </w:r>
            <w:r>
              <w:rPr>
                <w:rFonts w:hint="eastAsia" w:ascii="宋体" w:hAnsi="宋体" w:cs="Arial"/>
                <w:b w:val="0"/>
                <w:bCs/>
                <w:szCs w:val="21"/>
              </w:rPr>
              <w:t>凉片</w:t>
            </w:r>
          </w:p>
        </w:tc>
        <w:tc>
          <w:tcPr>
            <w:tcW w:w="350" w:type="pct"/>
            <w:shd w:val="clear" w:color="auto" w:fill="auto"/>
            <w:vAlign w:val="center"/>
          </w:tcPr>
          <w:p w14:paraId="473F28A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D086B2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173" w:type="pct"/>
            <w:shd w:val="clear" w:color="auto" w:fill="auto"/>
            <w:vAlign w:val="center"/>
          </w:tcPr>
          <w:p w14:paraId="2703D67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8</w:t>
            </w:r>
            <w:r>
              <w:rPr>
                <w:rFonts w:ascii="宋体" w:hAnsi="宋体"/>
                <w:b w:val="0"/>
                <w:bCs/>
                <w:spacing w:val="-4"/>
                <w:szCs w:val="21"/>
              </w:rPr>
              <w:t>0#</w:t>
            </w:r>
            <w:r>
              <w:rPr>
                <w:rFonts w:hint="eastAsia" w:ascii="宋体" w:hAnsi="宋体"/>
                <w:b w:val="0"/>
                <w:bCs/>
                <w:spacing w:val="-4"/>
                <w:szCs w:val="21"/>
              </w:rPr>
              <w:t>压药</w:t>
            </w:r>
          </w:p>
          <w:p w14:paraId="5947738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120kg</w:t>
            </w:r>
            <w:r>
              <w:rPr>
                <w:rFonts w:hint="eastAsia" w:ascii="宋体" w:hAnsi="宋体"/>
                <w:b w:val="0"/>
                <w:bCs/>
                <w:spacing w:val="-4"/>
                <w:szCs w:val="21"/>
              </w:rPr>
              <w:t>）</w:t>
            </w:r>
          </w:p>
        </w:tc>
        <w:tc>
          <w:tcPr>
            <w:tcW w:w="352" w:type="pct"/>
            <w:shd w:val="clear" w:color="auto" w:fill="auto"/>
            <w:vAlign w:val="center"/>
          </w:tcPr>
          <w:p w14:paraId="2527521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70850C9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6</w:t>
            </w:r>
          </w:p>
        </w:tc>
        <w:tc>
          <w:tcPr>
            <w:tcW w:w="352" w:type="pct"/>
            <w:vAlign w:val="center"/>
          </w:tcPr>
          <w:p w14:paraId="3B415E6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55CEF24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7F31605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ADD9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05165C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4#</w:t>
            </w:r>
            <w:r>
              <w:rPr>
                <w:rFonts w:hint="eastAsia" w:ascii="宋体" w:hAnsi="宋体" w:cs="Arial"/>
                <w:b w:val="0"/>
                <w:bCs/>
                <w:szCs w:val="21"/>
              </w:rPr>
              <w:t>凉片</w:t>
            </w:r>
          </w:p>
        </w:tc>
        <w:tc>
          <w:tcPr>
            <w:tcW w:w="350" w:type="pct"/>
            <w:shd w:val="clear" w:color="auto" w:fill="auto"/>
            <w:vAlign w:val="center"/>
          </w:tcPr>
          <w:p w14:paraId="2DB94DF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8F0E70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00</w:t>
            </w:r>
          </w:p>
        </w:tc>
        <w:tc>
          <w:tcPr>
            <w:tcW w:w="1173" w:type="pct"/>
            <w:shd w:val="clear" w:color="auto" w:fill="auto"/>
            <w:vAlign w:val="center"/>
          </w:tcPr>
          <w:p w14:paraId="0CDCD44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83#</w:t>
            </w:r>
            <w:r>
              <w:rPr>
                <w:rFonts w:hint="eastAsia" w:ascii="宋体" w:hAnsi="宋体"/>
                <w:b w:val="0"/>
                <w:bCs/>
                <w:spacing w:val="-4"/>
                <w:szCs w:val="21"/>
              </w:rPr>
              <w:t>凉片</w:t>
            </w:r>
          </w:p>
          <w:p w14:paraId="0EC7CF7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800kg</w:t>
            </w:r>
            <w:r>
              <w:rPr>
                <w:rFonts w:hint="eastAsia" w:ascii="宋体" w:hAnsi="宋体"/>
                <w:b w:val="0"/>
                <w:bCs/>
                <w:spacing w:val="-4"/>
                <w:szCs w:val="21"/>
              </w:rPr>
              <w:t>）</w:t>
            </w:r>
          </w:p>
        </w:tc>
        <w:tc>
          <w:tcPr>
            <w:tcW w:w="352" w:type="pct"/>
            <w:shd w:val="clear" w:color="auto" w:fill="auto"/>
            <w:vAlign w:val="center"/>
          </w:tcPr>
          <w:p w14:paraId="226E691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00C14F1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9</w:t>
            </w:r>
          </w:p>
        </w:tc>
        <w:tc>
          <w:tcPr>
            <w:tcW w:w="352" w:type="pct"/>
            <w:vAlign w:val="center"/>
          </w:tcPr>
          <w:p w14:paraId="1303519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15DBE7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04617BF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E271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3000C4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5#</w:t>
            </w:r>
            <w:r>
              <w:rPr>
                <w:rFonts w:hint="eastAsia" w:ascii="宋体" w:hAnsi="宋体" w:cs="Arial"/>
                <w:b w:val="0"/>
                <w:bCs/>
                <w:szCs w:val="21"/>
              </w:rPr>
              <w:t>凉片中转</w:t>
            </w:r>
          </w:p>
        </w:tc>
        <w:tc>
          <w:tcPr>
            <w:tcW w:w="350" w:type="pct"/>
            <w:shd w:val="clear" w:color="auto" w:fill="auto"/>
            <w:vAlign w:val="center"/>
          </w:tcPr>
          <w:p w14:paraId="03E3855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A7F1F0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09D5B01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84#</w:t>
            </w:r>
            <w:r>
              <w:rPr>
                <w:rFonts w:hint="eastAsia" w:ascii="宋体" w:hAnsi="宋体"/>
                <w:b w:val="0"/>
                <w:bCs/>
                <w:spacing w:val="-4"/>
                <w:szCs w:val="21"/>
              </w:rPr>
              <w:t>凉片</w:t>
            </w:r>
          </w:p>
          <w:p w14:paraId="65D097A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800kg</w:t>
            </w:r>
            <w:r>
              <w:rPr>
                <w:rFonts w:hint="eastAsia" w:ascii="宋体" w:hAnsi="宋体"/>
                <w:b w:val="0"/>
                <w:bCs/>
                <w:spacing w:val="-4"/>
                <w:szCs w:val="21"/>
              </w:rPr>
              <w:t>）</w:t>
            </w:r>
          </w:p>
        </w:tc>
        <w:tc>
          <w:tcPr>
            <w:tcW w:w="352" w:type="pct"/>
            <w:shd w:val="clear" w:color="auto" w:fill="auto"/>
            <w:vAlign w:val="center"/>
          </w:tcPr>
          <w:p w14:paraId="0E56B7D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9</w:t>
            </w:r>
          </w:p>
        </w:tc>
        <w:tc>
          <w:tcPr>
            <w:tcW w:w="352" w:type="pct"/>
            <w:shd w:val="clear" w:color="auto" w:fill="auto"/>
            <w:vAlign w:val="center"/>
          </w:tcPr>
          <w:p w14:paraId="2FD7623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74E07B4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2E71B3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70B78D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E90D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C7C9A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7#</w:t>
            </w:r>
            <w:r>
              <w:rPr>
                <w:rFonts w:hint="eastAsia" w:ascii="宋体" w:hAnsi="宋体" w:cs="Arial"/>
                <w:b w:val="0"/>
                <w:bCs/>
                <w:szCs w:val="21"/>
              </w:rPr>
              <w:t>造粒</w:t>
            </w:r>
          </w:p>
        </w:tc>
        <w:tc>
          <w:tcPr>
            <w:tcW w:w="350" w:type="pct"/>
            <w:shd w:val="clear" w:color="auto" w:fill="auto"/>
            <w:vAlign w:val="center"/>
          </w:tcPr>
          <w:p w14:paraId="0336E41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BDA1C6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29807C8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85#</w:t>
            </w:r>
            <w:r>
              <w:rPr>
                <w:rFonts w:hint="eastAsia" w:ascii="宋体" w:hAnsi="宋体"/>
                <w:b w:val="0"/>
                <w:bCs/>
                <w:spacing w:val="-4"/>
                <w:szCs w:val="21"/>
              </w:rPr>
              <w:t>凉片中转</w:t>
            </w:r>
          </w:p>
          <w:p w14:paraId="4136212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54A3CF4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2B52DFE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2563B0D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C8372A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9D369D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80A3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6CB116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9#</w:t>
            </w:r>
            <w:r>
              <w:rPr>
                <w:rFonts w:hint="eastAsia" w:ascii="宋体" w:hAnsi="宋体" w:cs="Arial"/>
                <w:b w:val="0"/>
                <w:bCs/>
                <w:szCs w:val="21"/>
              </w:rPr>
              <w:t>造粒中转</w:t>
            </w:r>
          </w:p>
        </w:tc>
        <w:tc>
          <w:tcPr>
            <w:tcW w:w="350" w:type="pct"/>
            <w:shd w:val="clear" w:color="auto" w:fill="auto"/>
            <w:vAlign w:val="center"/>
          </w:tcPr>
          <w:p w14:paraId="27668D8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450655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B4C604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87#</w:t>
            </w:r>
            <w:r>
              <w:rPr>
                <w:rFonts w:hint="eastAsia" w:ascii="宋体" w:hAnsi="宋体"/>
                <w:b w:val="0"/>
                <w:bCs/>
                <w:spacing w:val="-4"/>
                <w:szCs w:val="21"/>
              </w:rPr>
              <w:t>造粒</w:t>
            </w:r>
          </w:p>
          <w:p w14:paraId="7C17051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1A2B607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D2124C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2</w:t>
            </w:r>
          </w:p>
        </w:tc>
        <w:tc>
          <w:tcPr>
            <w:tcW w:w="352" w:type="pct"/>
            <w:vAlign w:val="center"/>
          </w:tcPr>
          <w:p w14:paraId="4B8CB4D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0019D8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9060C1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ABFA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BF18F7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0#</w:t>
            </w:r>
            <w:r>
              <w:rPr>
                <w:rFonts w:hint="eastAsia" w:ascii="宋体" w:hAnsi="宋体" w:cs="Arial"/>
                <w:b w:val="0"/>
                <w:bCs/>
                <w:szCs w:val="21"/>
              </w:rPr>
              <w:t>造粒中转</w:t>
            </w:r>
          </w:p>
        </w:tc>
        <w:tc>
          <w:tcPr>
            <w:tcW w:w="350" w:type="pct"/>
            <w:shd w:val="clear" w:color="auto" w:fill="auto"/>
            <w:vAlign w:val="center"/>
          </w:tcPr>
          <w:p w14:paraId="0D1A296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FB2B4A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45C91D8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89#</w:t>
            </w:r>
            <w:r>
              <w:rPr>
                <w:rFonts w:hint="eastAsia" w:ascii="宋体" w:hAnsi="宋体"/>
                <w:b w:val="0"/>
                <w:bCs/>
                <w:spacing w:val="-4"/>
                <w:szCs w:val="21"/>
              </w:rPr>
              <w:t>造粒中转</w:t>
            </w:r>
          </w:p>
          <w:p w14:paraId="4F7F442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606639C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16</w:t>
            </w:r>
          </w:p>
        </w:tc>
        <w:tc>
          <w:tcPr>
            <w:tcW w:w="352" w:type="pct"/>
            <w:shd w:val="clear" w:color="auto" w:fill="auto"/>
            <w:vAlign w:val="center"/>
          </w:tcPr>
          <w:p w14:paraId="4CC438B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52" w:type="pct"/>
            <w:vAlign w:val="center"/>
          </w:tcPr>
          <w:p w14:paraId="1EC012F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9A3F20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18808A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7F03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35EBC35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1#</w:t>
            </w:r>
            <w:r>
              <w:rPr>
                <w:rFonts w:hint="eastAsia" w:ascii="宋体" w:hAnsi="宋体" w:cs="Arial"/>
                <w:b w:val="0"/>
                <w:bCs/>
                <w:szCs w:val="21"/>
              </w:rPr>
              <w:t>造粒中转</w:t>
            </w:r>
          </w:p>
        </w:tc>
        <w:tc>
          <w:tcPr>
            <w:tcW w:w="350" w:type="pct"/>
            <w:vMerge w:val="restart"/>
            <w:shd w:val="clear" w:color="auto" w:fill="auto"/>
            <w:vAlign w:val="center"/>
          </w:tcPr>
          <w:p w14:paraId="30B0A0F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031AFEF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DB4132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90#</w:t>
            </w:r>
            <w:r>
              <w:rPr>
                <w:rFonts w:hint="eastAsia" w:ascii="宋体" w:hAnsi="宋体"/>
                <w:b w:val="0"/>
                <w:bCs/>
                <w:spacing w:val="-4"/>
                <w:szCs w:val="21"/>
              </w:rPr>
              <w:t>造粒中转</w:t>
            </w:r>
          </w:p>
          <w:p w14:paraId="404FE60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5438C57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16</w:t>
            </w:r>
          </w:p>
        </w:tc>
        <w:tc>
          <w:tcPr>
            <w:tcW w:w="352" w:type="pct"/>
            <w:shd w:val="clear" w:color="auto" w:fill="auto"/>
            <w:vAlign w:val="center"/>
          </w:tcPr>
          <w:p w14:paraId="20FBD95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8</w:t>
            </w:r>
          </w:p>
        </w:tc>
        <w:tc>
          <w:tcPr>
            <w:tcW w:w="352" w:type="pct"/>
            <w:vAlign w:val="center"/>
          </w:tcPr>
          <w:p w14:paraId="78CDD58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B850CE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0A4D061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192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651100B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585576A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61B5960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0E4A18B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3#</w:t>
            </w:r>
            <w:r>
              <w:rPr>
                <w:rFonts w:hint="eastAsia" w:ascii="宋体" w:hAnsi="宋体"/>
                <w:b w:val="0"/>
                <w:bCs/>
                <w:spacing w:val="-4"/>
                <w:szCs w:val="21"/>
              </w:rPr>
              <w:t>电控室</w:t>
            </w:r>
          </w:p>
        </w:tc>
        <w:tc>
          <w:tcPr>
            <w:tcW w:w="352" w:type="pct"/>
            <w:shd w:val="clear" w:color="auto" w:fill="auto"/>
            <w:vAlign w:val="center"/>
          </w:tcPr>
          <w:p w14:paraId="4BA3BDF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63BC56A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8</w:t>
            </w:r>
          </w:p>
        </w:tc>
        <w:tc>
          <w:tcPr>
            <w:tcW w:w="352" w:type="pct"/>
            <w:vAlign w:val="center"/>
          </w:tcPr>
          <w:p w14:paraId="4B54D99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112BA9E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320EF8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6B97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F52895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4#</w:t>
            </w:r>
            <w:r>
              <w:rPr>
                <w:rFonts w:hint="eastAsia" w:ascii="宋体" w:hAnsi="宋体" w:cs="Arial"/>
                <w:b w:val="0"/>
                <w:bCs/>
                <w:szCs w:val="21"/>
              </w:rPr>
              <w:t>抛光</w:t>
            </w:r>
          </w:p>
        </w:tc>
        <w:tc>
          <w:tcPr>
            <w:tcW w:w="350" w:type="pct"/>
            <w:shd w:val="clear" w:color="auto" w:fill="auto"/>
            <w:vAlign w:val="center"/>
          </w:tcPr>
          <w:p w14:paraId="2C6C396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EE414D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cs="Arial"/>
                <w:b w:val="0"/>
                <w:bCs/>
                <w:szCs w:val="21"/>
              </w:rPr>
              <w:t>250</w:t>
            </w:r>
          </w:p>
        </w:tc>
        <w:tc>
          <w:tcPr>
            <w:tcW w:w="1173" w:type="pct"/>
            <w:shd w:val="clear" w:color="auto" w:fill="auto"/>
            <w:vAlign w:val="center"/>
          </w:tcPr>
          <w:p w14:paraId="1F005AD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5#</w:t>
            </w:r>
            <w:r>
              <w:rPr>
                <w:rFonts w:hint="eastAsia" w:ascii="宋体" w:hAnsi="宋体"/>
                <w:b w:val="0"/>
                <w:bCs/>
                <w:spacing w:val="-4"/>
                <w:szCs w:val="21"/>
              </w:rPr>
              <w:t>抛光</w:t>
            </w:r>
          </w:p>
          <w:p w14:paraId="6BA8CE2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52" w:type="pct"/>
            <w:shd w:val="clear" w:color="auto" w:fill="auto"/>
            <w:vAlign w:val="center"/>
          </w:tcPr>
          <w:p w14:paraId="45FA94C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52" w:type="pct"/>
            <w:shd w:val="clear" w:color="auto" w:fill="auto"/>
            <w:vAlign w:val="center"/>
          </w:tcPr>
          <w:p w14:paraId="392A56A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284B45F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AC90EB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E47775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FB39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549E04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5#</w:t>
            </w:r>
            <w:r>
              <w:rPr>
                <w:rFonts w:hint="eastAsia" w:ascii="宋体" w:hAnsi="宋体" w:cs="Arial"/>
                <w:b w:val="0"/>
                <w:bCs/>
                <w:szCs w:val="21"/>
              </w:rPr>
              <w:t>抛光</w:t>
            </w:r>
          </w:p>
        </w:tc>
        <w:tc>
          <w:tcPr>
            <w:tcW w:w="350" w:type="pct"/>
            <w:shd w:val="clear" w:color="auto" w:fill="auto"/>
            <w:vAlign w:val="center"/>
          </w:tcPr>
          <w:p w14:paraId="1E2E670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534345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173" w:type="pct"/>
            <w:shd w:val="clear" w:color="auto" w:fill="auto"/>
            <w:vAlign w:val="center"/>
          </w:tcPr>
          <w:p w14:paraId="6EC8C68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6#</w:t>
            </w:r>
            <w:r>
              <w:rPr>
                <w:rFonts w:hint="eastAsia" w:ascii="宋体" w:hAnsi="宋体"/>
                <w:b w:val="0"/>
                <w:bCs/>
                <w:spacing w:val="-4"/>
                <w:szCs w:val="21"/>
              </w:rPr>
              <w:t>抛光</w:t>
            </w:r>
          </w:p>
          <w:p w14:paraId="2775B3B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250kg</w:t>
            </w:r>
            <w:r>
              <w:rPr>
                <w:rFonts w:hint="eastAsia" w:ascii="宋体" w:hAnsi="宋体"/>
                <w:b w:val="0"/>
                <w:bCs/>
                <w:spacing w:val="-4"/>
                <w:szCs w:val="21"/>
              </w:rPr>
              <w:t>）</w:t>
            </w:r>
          </w:p>
        </w:tc>
        <w:tc>
          <w:tcPr>
            <w:tcW w:w="352" w:type="pct"/>
            <w:shd w:val="clear" w:color="auto" w:fill="auto"/>
            <w:vAlign w:val="center"/>
          </w:tcPr>
          <w:p w14:paraId="697C38A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3</w:t>
            </w:r>
          </w:p>
        </w:tc>
        <w:tc>
          <w:tcPr>
            <w:tcW w:w="352" w:type="pct"/>
            <w:shd w:val="clear" w:color="auto" w:fill="auto"/>
            <w:vAlign w:val="center"/>
          </w:tcPr>
          <w:p w14:paraId="5D95B82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1</w:t>
            </w:r>
          </w:p>
        </w:tc>
        <w:tc>
          <w:tcPr>
            <w:tcW w:w="352" w:type="pct"/>
            <w:vAlign w:val="center"/>
          </w:tcPr>
          <w:p w14:paraId="53C6A2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652563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FC33AC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AC29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9040A9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6#</w:t>
            </w:r>
            <w:r>
              <w:rPr>
                <w:rFonts w:hint="eastAsia" w:ascii="宋体" w:hAnsi="宋体" w:cs="Arial"/>
                <w:b w:val="0"/>
                <w:bCs/>
                <w:szCs w:val="21"/>
              </w:rPr>
              <w:t>抛光</w:t>
            </w:r>
          </w:p>
        </w:tc>
        <w:tc>
          <w:tcPr>
            <w:tcW w:w="350" w:type="pct"/>
            <w:shd w:val="clear" w:color="auto" w:fill="auto"/>
            <w:vAlign w:val="center"/>
          </w:tcPr>
          <w:p w14:paraId="3B18645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1CED4C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50</w:t>
            </w:r>
          </w:p>
        </w:tc>
        <w:tc>
          <w:tcPr>
            <w:tcW w:w="1173" w:type="pct"/>
            <w:shd w:val="clear" w:color="auto" w:fill="auto"/>
            <w:vAlign w:val="center"/>
          </w:tcPr>
          <w:p w14:paraId="66C6528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7#</w:t>
            </w:r>
            <w:r>
              <w:rPr>
                <w:rFonts w:hint="eastAsia" w:ascii="宋体" w:hAnsi="宋体"/>
                <w:b w:val="0"/>
                <w:bCs/>
                <w:spacing w:val="-4"/>
                <w:szCs w:val="21"/>
              </w:rPr>
              <w:t>抛光中转</w:t>
            </w:r>
          </w:p>
          <w:p w14:paraId="6157E1C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037D4AA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78A523A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3</w:t>
            </w:r>
          </w:p>
        </w:tc>
        <w:tc>
          <w:tcPr>
            <w:tcW w:w="352" w:type="pct"/>
            <w:vAlign w:val="center"/>
          </w:tcPr>
          <w:p w14:paraId="7255D91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27556E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A932A1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A198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60977F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7#</w:t>
            </w:r>
            <w:r>
              <w:rPr>
                <w:rFonts w:hint="eastAsia" w:ascii="宋体" w:hAnsi="宋体" w:cs="Arial"/>
                <w:b w:val="0"/>
                <w:bCs/>
                <w:szCs w:val="21"/>
              </w:rPr>
              <w:t>抛光中转</w:t>
            </w:r>
          </w:p>
        </w:tc>
        <w:tc>
          <w:tcPr>
            <w:tcW w:w="350" w:type="pct"/>
            <w:shd w:val="clear" w:color="auto" w:fill="auto"/>
            <w:vAlign w:val="center"/>
          </w:tcPr>
          <w:p w14:paraId="144D5E7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72C984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04DA880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8#</w:t>
            </w:r>
            <w:r>
              <w:rPr>
                <w:rFonts w:hint="eastAsia" w:ascii="宋体" w:hAnsi="宋体"/>
                <w:b w:val="0"/>
                <w:bCs/>
                <w:spacing w:val="-4"/>
                <w:szCs w:val="21"/>
              </w:rPr>
              <w:t>抛光中转</w:t>
            </w:r>
          </w:p>
          <w:p w14:paraId="4EA048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76079B6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1CE1601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0D2F0EB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154789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00A236B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2797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FEB35A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8#</w:t>
            </w:r>
            <w:r>
              <w:rPr>
                <w:rFonts w:hint="eastAsia" w:ascii="宋体" w:hAnsi="宋体" w:cs="Arial"/>
                <w:b w:val="0"/>
                <w:bCs/>
                <w:szCs w:val="21"/>
              </w:rPr>
              <w:t>抛光中转</w:t>
            </w:r>
          </w:p>
        </w:tc>
        <w:tc>
          <w:tcPr>
            <w:tcW w:w="350" w:type="pct"/>
            <w:shd w:val="clear" w:color="auto" w:fill="auto"/>
            <w:vAlign w:val="center"/>
          </w:tcPr>
          <w:p w14:paraId="2D75E13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E4DF8F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053CFA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9</w:t>
            </w:r>
            <w:r>
              <w:rPr>
                <w:rFonts w:ascii="宋体" w:hAnsi="宋体"/>
                <w:b w:val="0"/>
                <w:bCs/>
                <w:spacing w:val="-4"/>
                <w:szCs w:val="21"/>
              </w:rPr>
              <w:t>9#</w:t>
            </w:r>
            <w:r>
              <w:rPr>
                <w:rFonts w:hint="eastAsia" w:ascii="宋体" w:hAnsi="宋体"/>
                <w:b w:val="0"/>
                <w:bCs/>
                <w:spacing w:val="-4"/>
                <w:szCs w:val="21"/>
              </w:rPr>
              <w:t>抛光中转</w:t>
            </w:r>
          </w:p>
          <w:p w14:paraId="1A510F0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2BB757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C950BF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5CFA2C5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4833B35">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983059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9431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38D8EC5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9</w:t>
            </w:r>
            <w:r>
              <w:rPr>
                <w:rFonts w:ascii="宋体" w:hAnsi="宋体" w:cs="Arial"/>
                <w:b w:val="0"/>
                <w:bCs/>
                <w:szCs w:val="21"/>
              </w:rPr>
              <w:t>9#</w:t>
            </w:r>
            <w:r>
              <w:rPr>
                <w:rFonts w:hint="eastAsia" w:ascii="宋体" w:hAnsi="宋体" w:cs="Arial"/>
                <w:b w:val="0"/>
                <w:bCs/>
                <w:szCs w:val="21"/>
              </w:rPr>
              <w:t>抛光中转</w:t>
            </w:r>
          </w:p>
        </w:tc>
        <w:tc>
          <w:tcPr>
            <w:tcW w:w="350" w:type="pct"/>
            <w:vMerge w:val="restart"/>
            <w:shd w:val="clear" w:color="auto" w:fill="auto"/>
            <w:vAlign w:val="center"/>
          </w:tcPr>
          <w:p w14:paraId="74F07FE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4968A6A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4ECD27F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00#</w:t>
            </w:r>
            <w:r>
              <w:rPr>
                <w:rFonts w:hint="eastAsia" w:ascii="宋体" w:hAnsi="宋体"/>
                <w:b w:val="0"/>
                <w:bCs/>
                <w:spacing w:val="-4"/>
                <w:szCs w:val="21"/>
              </w:rPr>
              <w:t>电控室</w:t>
            </w:r>
          </w:p>
        </w:tc>
        <w:tc>
          <w:tcPr>
            <w:tcW w:w="352" w:type="pct"/>
            <w:shd w:val="clear" w:color="auto" w:fill="auto"/>
            <w:vAlign w:val="center"/>
          </w:tcPr>
          <w:p w14:paraId="2F82C80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4741AA0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3D25EDA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31AB7D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30CB33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06A4F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1DAAF94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43292C8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1D9DD87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4B86012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101#</w:t>
            </w:r>
            <w:r>
              <w:rPr>
                <w:rFonts w:hint="eastAsia" w:ascii="宋体" w:hAnsi="宋体"/>
                <w:b w:val="0"/>
                <w:bCs/>
                <w:spacing w:val="-4"/>
                <w:szCs w:val="21"/>
              </w:rPr>
              <w:t>筛选</w:t>
            </w:r>
          </w:p>
          <w:p w14:paraId="6EE730A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3642375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2551886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7</w:t>
            </w:r>
          </w:p>
        </w:tc>
        <w:tc>
          <w:tcPr>
            <w:tcW w:w="352" w:type="pct"/>
            <w:vAlign w:val="center"/>
          </w:tcPr>
          <w:p w14:paraId="43EBA18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1A183E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C4DFB0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B66E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026A940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01#</w:t>
            </w:r>
            <w:r>
              <w:rPr>
                <w:rFonts w:hint="eastAsia" w:ascii="宋体" w:hAnsi="宋体" w:cs="Arial"/>
                <w:b w:val="0"/>
                <w:bCs/>
                <w:szCs w:val="21"/>
              </w:rPr>
              <w:t>筛选</w:t>
            </w:r>
          </w:p>
        </w:tc>
        <w:tc>
          <w:tcPr>
            <w:tcW w:w="350" w:type="pct"/>
            <w:shd w:val="clear" w:color="auto" w:fill="auto"/>
            <w:vAlign w:val="center"/>
          </w:tcPr>
          <w:p w14:paraId="4DBD8FE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C4790E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608FC16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102#</w:t>
            </w:r>
            <w:r>
              <w:rPr>
                <w:rFonts w:hint="eastAsia" w:ascii="宋体" w:hAnsi="宋体"/>
                <w:b w:val="0"/>
                <w:bCs/>
                <w:spacing w:val="-4"/>
                <w:szCs w:val="21"/>
              </w:rPr>
              <w:t>筛选中转</w:t>
            </w:r>
          </w:p>
          <w:p w14:paraId="05FC005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2FA4B9C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D76FFE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52" w:type="pct"/>
            <w:vAlign w:val="center"/>
          </w:tcPr>
          <w:p w14:paraId="3943EBC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DB9073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E576FC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E9ED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508787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02#</w:t>
            </w:r>
            <w:r>
              <w:rPr>
                <w:rFonts w:hint="eastAsia" w:ascii="宋体" w:hAnsi="宋体" w:cs="Arial"/>
                <w:b w:val="0"/>
                <w:bCs/>
                <w:szCs w:val="21"/>
              </w:rPr>
              <w:t>筛选中转</w:t>
            </w:r>
          </w:p>
        </w:tc>
        <w:tc>
          <w:tcPr>
            <w:tcW w:w="350" w:type="pct"/>
            <w:shd w:val="clear" w:color="auto" w:fill="auto"/>
            <w:vAlign w:val="center"/>
          </w:tcPr>
          <w:p w14:paraId="6102280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AC744D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9A8452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103#</w:t>
            </w:r>
            <w:r>
              <w:rPr>
                <w:rFonts w:hint="eastAsia" w:ascii="宋体" w:hAnsi="宋体"/>
                <w:b w:val="0"/>
                <w:bCs/>
                <w:spacing w:val="-4"/>
                <w:szCs w:val="21"/>
              </w:rPr>
              <w:t>包装</w:t>
            </w:r>
          </w:p>
          <w:p w14:paraId="077164E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243897D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2A259CC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7FFC1BF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5C9A9E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2486B37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1D85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0DD0CD0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03#</w:t>
            </w:r>
            <w:r>
              <w:rPr>
                <w:rFonts w:hint="eastAsia" w:ascii="宋体" w:hAnsi="宋体" w:cs="Arial"/>
                <w:b w:val="0"/>
                <w:bCs/>
                <w:szCs w:val="21"/>
              </w:rPr>
              <w:t>包装</w:t>
            </w:r>
          </w:p>
        </w:tc>
        <w:tc>
          <w:tcPr>
            <w:tcW w:w="350" w:type="pct"/>
            <w:shd w:val="clear" w:color="auto" w:fill="auto"/>
            <w:vAlign w:val="center"/>
          </w:tcPr>
          <w:p w14:paraId="1E56F6D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09475EE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ascii="宋体" w:hAnsi="宋体" w:cs="Arial"/>
                <w:b w:val="0"/>
                <w:bCs/>
                <w:szCs w:val="21"/>
              </w:rPr>
              <w:t>80</w:t>
            </w:r>
          </w:p>
        </w:tc>
        <w:tc>
          <w:tcPr>
            <w:tcW w:w="1173" w:type="pct"/>
            <w:shd w:val="clear" w:color="auto" w:fill="auto"/>
            <w:vAlign w:val="center"/>
          </w:tcPr>
          <w:p w14:paraId="1210BFD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ascii="宋体" w:hAnsi="宋体"/>
                <w:b w:val="0"/>
                <w:bCs/>
                <w:spacing w:val="-4"/>
                <w:szCs w:val="21"/>
              </w:rPr>
              <w:t>104#</w:t>
            </w:r>
            <w:r>
              <w:rPr>
                <w:rFonts w:hint="eastAsia" w:ascii="宋体" w:hAnsi="宋体"/>
                <w:b w:val="0"/>
                <w:bCs/>
                <w:spacing w:val="-4"/>
                <w:szCs w:val="21"/>
              </w:rPr>
              <w:t>包装中转</w:t>
            </w:r>
          </w:p>
          <w:p w14:paraId="279CD24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463CD87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27486CA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52" w:type="pct"/>
            <w:vAlign w:val="center"/>
          </w:tcPr>
          <w:p w14:paraId="207CF0F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4356409">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F4B9678">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D623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7328197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04#</w:t>
            </w:r>
            <w:r>
              <w:rPr>
                <w:rFonts w:hint="eastAsia" w:ascii="宋体" w:hAnsi="宋体" w:cs="Arial"/>
                <w:b w:val="0"/>
                <w:bCs/>
                <w:szCs w:val="21"/>
              </w:rPr>
              <w:t>包装中转</w:t>
            </w:r>
          </w:p>
        </w:tc>
        <w:tc>
          <w:tcPr>
            <w:tcW w:w="350" w:type="pct"/>
            <w:shd w:val="clear" w:color="auto" w:fill="auto"/>
            <w:vAlign w:val="center"/>
          </w:tcPr>
          <w:p w14:paraId="6464F8B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0A6574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586F0D9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05#</w:t>
            </w:r>
            <w:r>
              <w:rPr>
                <w:rFonts w:hint="eastAsia" w:ascii="宋体" w:hAnsi="宋体"/>
                <w:b w:val="0"/>
                <w:bCs/>
                <w:spacing w:val="-4"/>
                <w:szCs w:val="21"/>
              </w:rPr>
              <w:t>包装材料间</w:t>
            </w:r>
          </w:p>
        </w:tc>
        <w:tc>
          <w:tcPr>
            <w:tcW w:w="352" w:type="pct"/>
            <w:shd w:val="clear" w:color="auto" w:fill="auto"/>
            <w:vAlign w:val="center"/>
          </w:tcPr>
          <w:p w14:paraId="376A438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2ADB02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5C4B38F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CD4EDB7">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1FB066B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A5B2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B17E16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07#</w:t>
            </w:r>
            <w:r>
              <w:rPr>
                <w:rFonts w:hint="eastAsia" w:ascii="宋体" w:hAnsi="宋体" w:cs="Arial"/>
                <w:b w:val="0"/>
                <w:bCs/>
                <w:szCs w:val="21"/>
              </w:rPr>
              <w:t>黑火药库</w:t>
            </w:r>
          </w:p>
        </w:tc>
        <w:tc>
          <w:tcPr>
            <w:tcW w:w="350" w:type="pct"/>
            <w:shd w:val="clear" w:color="auto" w:fill="auto"/>
            <w:vAlign w:val="center"/>
          </w:tcPr>
          <w:p w14:paraId="6E302C4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91F682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400</w:t>
            </w:r>
          </w:p>
        </w:tc>
        <w:tc>
          <w:tcPr>
            <w:tcW w:w="1173" w:type="pct"/>
            <w:shd w:val="clear" w:color="auto" w:fill="auto"/>
            <w:vAlign w:val="center"/>
          </w:tcPr>
          <w:p w14:paraId="54EC4BC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08#</w:t>
            </w:r>
            <w:r>
              <w:rPr>
                <w:rFonts w:hint="eastAsia" w:ascii="宋体" w:hAnsi="宋体"/>
                <w:b w:val="0"/>
                <w:bCs/>
                <w:spacing w:val="-4"/>
                <w:szCs w:val="21"/>
              </w:rPr>
              <w:t>黑火药库</w:t>
            </w:r>
          </w:p>
          <w:p w14:paraId="0825064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5000kg</w:t>
            </w:r>
            <w:r>
              <w:rPr>
                <w:rFonts w:hint="eastAsia" w:ascii="宋体" w:hAnsi="宋体"/>
                <w:b w:val="0"/>
                <w:bCs/>
                <w:spacing w:val="-4"/>
                <w:szCs w:val="21"/>
              </w:rPr>
              <w:t>）</w:t>
            </w:r>
          </w:p>
        </w:tc>
        <w:tc>
          <w:tcPr>
            <w:tcW w:w="352" w:type="pct"/>
            <w:shd w:val="clear" w:color="auto" w:fill="auto"/>
            <w:vAlign w:val="center"/>
          </w:tcPr>
          <w:p w14:paraId="0F6F004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52" w:type="pct"/>
            <w:shd w:val="clear" w:color="auto" w:fill="auto"/>
            <w:vAlign w:val="center"/>
          </w:tcPr>
          <w:p w14:paraId="306B656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0</w:t>
            </w:r>
          </w:p>
        </w:tc>
        <w:tc>
          <w:tcPr>
            <w:tcW w:w="352" w:type="pct"/>
            <w:vAlign w:val="center"/>
          </w:tcPr>
          <w:p w14:paraId="231D518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6CD2AE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77F342E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2104A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5D7999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08#</w:t>
            </w:r>
            <w:r>
              <w:rPr>
                <w:rFonts w:hint="eastAsia" w:ascii="宋体" w:hAnsi="宋体" w:cs="Arial"/>
                <w:b w:val="0"/>
                <w:bCs/>
                <w:szCs w:val="21"/>
              </w:rPr>
              <w:t>黑火药库</w:t>
            </w:r>
          </w:p>
        </w:tc>
        <w:tc>
          <w:tcPr>
            <w:tcW w:w="350" w:type="pct"/>
            <w:shd w:val="clear" w:color="auto" w:fill="auto"/>
            <w:vAlign w:val="center"/>
          </w:tcPr>
          <w:p w14:paraId="5B2C8AC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6D5BCDA">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000</w:t>
            </w:r>
          </w:p>
        </w:tc>
        <w:tc>
          <w:tcPr>
            <w:tcW w:w="1173" w:type="pct"/>
            <w:shd w:val="clear" w:color="auto" w:fill="auto"/>
            <w:vAlign w:val="center"/>
          </w:tcPr>
          <w:p w14:paraId="60BAE3F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09#</w:t>
            </w:r>
            <w:r>
              <w:rPr>
                <w:rFonts w:hint="eastAsia" w:ascii="宋体" w:hAnsi="宋体"/>
                <w:b w:val="0"/>
                <w:bCs/>
                <w:spacing w:val="-4"/>
                <w:szCs w:val="21"/>
              </w:rPr>
              <w:t>黑火药库</w:t>
            </w:r>
          </w:p>
          <w:p w14:paraId="7CC9573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52" w:type="pct"/>
            <w:shd w:val="clear" w:color="auto" w:fill="auto"/>
            <w:vAlign w:val="center"/>
          </w:tcPr>
          <w:p w14:paraId="5323F84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52" w:type="pct"/>
            <w:shd w:val="clear" w:color="auto" w:fill="auto"/>
            <w:vAlign w:val="center"/>
          </w:tcPr>
          <w:p w14:paraId="25F89C3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4D8E2E2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28D097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57B0499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92F5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BA473B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09#</w:t>
            </w:r>
            <w:r>
              <w:rPr>
                <w:rFonts w:hint="eastAsia" w:ascii="宋体" w:hAnsi="宋体" w:cs="Arial"/>
                <w:b w:val="0"/>
                <w:bCs/>
                <w:szCs w:val="21"/>
              </w:rPr>
              <w:t>黑火药库</w:t>
            </w:r>
          </w:p>
        </w:tc>
        <w:tc>
          <w:tcPr>
            <w:tcW w:w="350" w:type="pct"/>
            <w:shd w:val="clear" w:color="auto" w:fill="auto"/>
            <w:vAlign w:val="center"/>
          </w:tcPr>
          <w:p w14:paraId="7EF952A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DE4E2E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173" w:type="pct"/>
            <w:shd w:val="clear" w:color="auto" w:fill="auto"/>
            <w:vAlign w:val="center"/>
          </w:tcPr>
          <w:p w14:paraId="10E28D8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10#</w:t>
            </w:r>
            <w:r>
              <w:rPr>
                <w:rFonts w:hint="eastAsia" w:ascii="宋体" w:hAnsi="宋体"/>
                <w:b w:val="0"/>
                <w:bCs/>
                <w:spacing w:val="-4"/>
                <w:szCs w:val="21"/>
              </w:rPr>
              <w:t>黑火药库</w:t>
            </w:r>
          </w:p>
          <w:p w14:paraId="5E5BDE9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52" w:type="pct"/>
            <w:shd w:val="clear" w:color="auto" w:fill="auto"/>
            <w:vAlign w:val="center"/>
          </w:tcPr>
          <w:p w14:paraId="057808D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68F74DA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1</w:t>
            </w:r>
          </w:p>
        </w:tc>
        <w:tc>
          <w:tcPr>
            <w:tcW w:w="352" w:type="pct"/>
            <w:vAlign w:val="center"/>
          </w:tcPr>
          <w:p w14:paraId="726C13E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744833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5A6BEB51">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58FD8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92A0BE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10#</w:t>
            </w:r>
            <w:r>
              <w:rPr>
                <w:rFonts w:hint="eastAsia" w:ascii="宋体" w:hAnsi="宋体" w:cs="Arial"/>
                <w:b w:val="0"/>
                <w:bCs/>
                <w:szCs w:val="21"/>
              </w:rPr>
              <w:t>黑火药库</w:t>
            </w:r>
          </w:p>
        </w:tc>
        <w:tc>
          <w:tcPr>
            <w:tcW w:w="350" w:type="pct"/>
            <w:shd w:val="clear" w:color="auto" w:fill="auto"/>
            <w:vAlign w:val="center"/>
          </w:tcPr>
          <w:p w14:paraId="4D180E43">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EE7FCA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173" w:type="pct"/>
            <w:shd w:val="clear" w:color="auto" w:fill="auto"/>
            <w:vAlign w:val="center"/>
          </w:tcPr>
          <w:p w14:paraId="14D4641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11#</w:t>
            </w:r>
            <w:r>
              <w:rPr>
                <w:rFonts w:hint="eastAsia" w:ascii="宋体" w:hAnsi="宋体"/>
                <w:b w:val="0"/>
                <w:bCs/>
                <w:spacing w:val="-4"/>
                <w:szCs w:val="21"/>
              </w:rPr>
              <w:t>黑火药库</w:t>
            </w:r>
          </w:p>
          <w:p w14:paraId="3311976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52" w:type="pct"/>
            <w:shd w:val="clear" w:color="auto" w:fill="auto"/>
            <w:vAlign w:val="center"/>
          </w:tcPr>
          <w:p w14:paraId="44E9653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48DBD36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344AF98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B529BD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B312FA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39B4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1BE28D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11#</w:t>
            </w:r>
            <w:r>
              <w:rPr>
                <w:rFonts w:hint="eastAsia" w:ascii="宋体" w:hAnsi="宋体" w:cs="Arial"/>
                <w:b w:val="0"/>
                <w:bCs/>
                <w:szCs w:val="21"/>
              </w:rPr>
              <w:t>黑火药库</w:t>
            </w:r>
          </w:p>
        </w:tc>
        <w:tc>
          <w:tcPr>
            <w:tcW w:w="350" w:type="pct"/>
            <w:shd w:val="clear" w:color="auto" w:fill="auto"/>
            <w:vAlign w:val="center"/>
          </w:tcPr>
          <w:p w14:paraId="47310AE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F7C417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173" w:type="pct"/>
            <w:shd w:val="clear" w:color="auto" w:fill="auto"/>
            <w:vAlign w:val="center"/>
          </w:tcPr>
          <w:p w14:paraId="1CE8749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12#</w:t>
            </w:r>
            <w:r>
              <w:rPr>
                <w:rFonts w:hint="eastAsia" w:ascii="宋体" w:hAnsi="宋体"/>
                <w:b w:val="0"/>
                <w:bCs/>
                <w:spacing w:val="-4"/>
                <w:szCs w:val="21"/>
              </w:rPr>
              <w:t>黑火药库</w:t>
            </w:r>
          </w:p>
          <w:p w14:paraId="1CCE3A4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3000kg</w:t>
            </w:r>
            <w:r>
              <w:rPr>
                <w:rFonts w:hint="eastAsia" w:ascii="宋体" w:hAnsi="宋体"/>
                <w:b w:val="0"/>
                <w:bCs/>
                <w:spacing w:val="-4"/>
                <w:szCs w:val="21"/>
              </w:rPr>
              <w:t>）</w:t>
            </w:r>
          </w:p>
        </w:tc>
        <w:tc>
          <w:tcPr>
            <w:tcW w:w="352" w:type="pct"/>
            <w:shd w:val="clear" w:color="auto" w:fill="auto"/>
            <w:vAlign w:val="center"/>
          </w:tcPr>
          <w:p w14:paraId="2E9D57D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shd w:val="clear" w:color="auto" w:fill="auto"/>
            <w:vAlign w:val="center"/>
          </w:tcPr>
          <w:p w14:paraId="654045A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6DBCCA0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E9EFE0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348529A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694D6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72EB62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12#</w:t>
            </w:r>
            <w:r>
              <w:rPr>
                <w:rFonts w:hint="eastAsia" w:ascii="宋体" w:hAnsi="宋体" w:cs="Arial"/>
                <w:b w:val="0"/>
                <w:bCs/>
                <w:szCs w:val="21"/>
              </w:rPr>
              <w:t>黑火药库</w:t>
            </w:r>
          </w:p>
        </w:tc>
        <w:tc>
          <w:tcPr>
            <w:tcW w:w="350" w:type="pct"/>
            <w:shd w:val="clear" w:color="auto" w:fill="auto"/>
            <w:vAlign w:val="center"/>
          </w:tcPr>
          <w:p w14:paraId="460E00E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224593D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3</w:t>
            </w:r>
            <w:r>
              <w:rPr>
                <w:rFonts w:ascii="宋体" w:hAnsi="宋体" w:cs="Arial"/>
                <w:b w:val="0"/>
                <w:bCs/>
                <w:szCs w:val="21"/>
              </w:rPr>
              <w:t>000</w:t>
            </w:r>
          </w:p>
        </w:tc>
        <w:tc>
          <w:tcPr>
            <w:tcW w:w="1173" w:type="pct"/>
            <w:shd w:val="clear" w:color="auto" w:fill="auto"/>
            <w:vAlign w:val="center"/>
          </w:tcPr>
          <w:p w14:paraId="62460EA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13#</w:t>
            </w:r>
            <w:r>
              <w:rPr>
                <w:rFonts w:hint="eastAsia" w:ascii="宋体" w:hAnsi="宋体"/>
                <w:b w:val="0"/>
                <w:bCs/>
                <w:spacing w:val="-4"/>
                <w:szCs w:val="21"/>
              </w:rPr>
              <w:t>黑火药库</w:t>
            </w:r>
          </w:p>
          <w:p w14:paraId="34ACEB3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2000kg</w:t>
            </w:r>
            <w:r>
              <w:rPr>
                <w:rFonts w:hint="eastAsia" w:ascii="宋体" w:hAnsi="宋体"/>
                <w:b w:val="0"/>
                <w:bCs/>
                <w:spacing w:val="-4"/>
                <w:szCs w:val="21"/>
              </w:rPr>
              <w:t>）</w:t>
            </w:r>
          </w:p>
        </w:tc>
        <w:tc>
          <w:tcPr>
            <w:tcW w:w="352" w:type="pct"/>
            <w:shd w:val="clear" w:color="auto" w:fill="auto"/>
            <w:vAlign w:val="center"/>
          </w:tcPr>
          <w:p w14:paraId="68C79E6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20</w:t>
            </w:r>
          </w:p>
        </w:tc>
        <w:tc>
          <w:tcPr>
            <w:tcW w:w="352" w:type="pct"/>
            <w:shd w:val="clear" w:color="auto" w:fill="auto"/>
            <w:vAlign w:val="center"/>
          </w:tcPr>
          <w:p w14:paraId="4D159D7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0</w:t>
            </w:r>
          </w:p>
        </w:tc>
        <w:tc>
          <w:tcPr>
            <w:tcW w:w="352" w:type="pct"/>
            <w:vAlign w:val="center"/>
          </w:tcPr>
          <w:p w14:paraId="51464D8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1118D41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08E2C7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.3.3</w:t>
            </w:r>
          </w:p>
        </w:tc>
      </w:tr>
      <w:tr w14:paraId="7AB24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8F384A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13#</w:t>
            </w:r>
            <w:r>
              <w:rPr>
                <w:rFonts w:hint="eastAsia" w:ascii="宋体" w:hAnsi="宋体" w:cs="Arial"/>
                <w:b w:val="0"/>
                <w:bCs/>
                <w:szCs w:val="21"/>
              </w:rPr>
              <w:t>黑火药库</w:t>
            </w:r>
          </w:p>
        </w:tc>
        <w:tc>
          <w:tcPr>
            <w:tcW w:w="350" w:type="pct"/>
            <w:shd w:val="clear" w:color="auto" w:fill="auto"/>
            <w:vAlign w:val="center"/>
          </w:tcPr>
          <w:p w14:paraId="1135FC2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5F18129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000</w:t>
            </w:r>
          </w:p>
        </w:tc>
        <w:tc>
          <w:tcPr>
            <w:tcW w:w="1173" w:type="pct"/>
            <w:shd w:val="clear" w:color="auto" w:fill="auto"/>
            <w:vAlign w:val="center"/>
          </w:tcPr>
          <w:p w14:paraId="398D958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14#</w:t>
            </w:r>
            <w:r>
              <w:rPr>
                <w:rFonts w:hint="eastAsia" w:ascii="宋体" w:hAnsi="宋体"/>
                <w:b w:val="0"/>
                <w:bCs/>
                <w:spacing w:val="-4"/>
                <w:szCs w:val="21"/>
              </w:rPr>
              <w:t>值班室</w:t>
            </w:r>
          </w:p>
        </w:tc>
        <w:tc>
          <w:tcPr>
            <w:tcW w:w="352" w:type="pct"/>
            <w:shd w:val="clear" w:color="auto" w:fill="auto"/>
            <w:vAlign w:val="center"/>
          </w:tcPr>
          <w:p w14:paraId="07AD324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6</w:t>
            </w:r>
            <w:r>
              <w:rPr>
                <w:rFonts w:ascii="宋体" w:hAnsi="宋体"/>
                <w:b w:val="0"/>
                <w:bCs/>
                <w:spacing w:val="-4"/>
                <w:kern w:val="0"/>
                <w:szCs w:val="21"/>
              </w:rPr>
              <w:t>4</w:t>
            </w:r>
          </w:p>
        </w:tc>
        <w:tc>
          <w:tcPr>
            <w:tcW w:w="352" w:type="pct"/>
            <w:shd w:val="clear" w:color="auto" w:fill="auto"/>
            <w:vAlign w:val="center"/>
          </w:tcPr>
          <w:p w14:paraId="1A6DD0E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15</w:t>
            </w:r>
          </w:p>
        </w:tc>
        <w:tc>
          <w:tcPr>
            <w:tcW w:w="352" w:type="pct"/>
            <w:vAlign w:val="center"/>
          </w:tcPr>
          <w:p w14:paraId="01F3762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4094A6D">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23792CA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.3.6-2</w:t>
            </w:r>
          </w:p>
        </w:tc>
      </w:tr>
      <w:tr w14:paraId="264F1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5A06C4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19#</w:t>
            </w:r>
            <w:r>
              <w:rPr>
                <w:rFonts w:hint="eastAsia" w:ascii="宋体" w:hAnsi="宋体" w:cs="Arial"/>
                <w:b w:val="0"/>
                <w:bCs/>
                <w:szCs w:val="21"/>
              </w:rPr>
              <w:t>包装中转</w:t>
            </w:r>
          </w:p>
        </w:tc>
        <w:tc>
          <w:tcPr>
            <w:tcW w:w="350" w:type="pct"/>
            <w:shd w:val="clear" w:color="auto" w:fill="auto"/>
            <w:vAlign w:val="center"/>
          </w:tcPr>
          <w:p w14:paraId="166732B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0117C8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09E3566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33#</w:t>
            </w:r>
            <w:r>
              <w:rPr>
                <w:rFonts w:hint="eastAsia" w:ascii="宋体" w:hAnsi="宋体"/>
                <w:b w:val="0"/>
                <w:bCs/>
                <w:spacing w:val="-4"/>
                <w:szCs w:val="21"/>
              </w:rPr>
              <w:t>包装材料间/更衣室</w:t>
            </w:r>
          </w:p>
        </w:tc>
        <w:tc>
          <w:tcPr>
            <w:tcW w:w="352" w:type="pct"/>
            <w:shd w:val="clear" w:color="auto" w:fill="auto"/>
            <w:vAlign w:val="center"/>
          </w:tcPr>
          <w:p w14:paraId="7175B3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4</w:t>
            </w:r>
          </w:p>
        </w:tc>
        <w:tc>
          <w:tcPr>
            <w:tcW w:w="352" w:type="pct"/>
            <w:shd w:val="clear" w:color="auto" w:fill="auto"/>
            <w:vAlign w:val="center"/>
          </w:tcPr>
          <w:p w14:paraId="4B718E4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3</w:t>
            </w:r>
          </w:p>
        </w:tc>
        <w:tc>
          <w:tcPr>
            <w:tcW w:w="352" w:type="pct"/>
            <w:vAlign w:val="center"/>
          </w:tcPr>
          <w:p w14:paraId="5E6B20D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单有</w:t>
            </w:r>
          </w:p>
        </w:tc>
        <w:tc>
          <w:tcPr>
            <w:tcW w:w="369" w:type="pct"/>
            <w:vAlign w:val="center"/>
          </w:tcPr>
          <w:p w14:paraId="4ED8A28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67E0635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8B77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4410C06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20#</w:t>
            </w:r>
            <w:r>
              <w:rPr>
                <w:rFonts w:hint="eastAsia" w:ascii="宋体" w:hAnsi="宋体" w:cs="Arial"/>
                <w:b w:val="0"/>
                <w:bCs/>
                <w:szCs w:val="21"/>
              </w:rPr>
              <w:t>包装中转</w:t>
            </w:r>
          </w:p>
        </w:tc>
        <w:tc>
          <w:tcPr>
            <w:tcW w:w="350" w:type="pct"/>
            <w:shd w:val="clear" w:color="auto" w:fill="auto"/>
            <w:vAlign w:val="center"/>
          </w:tcPr>
          <w:p w14:paraId="51B2511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0DE9EA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377838D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19#</w:t>
            </w:r>
            <w:r>
              <w:rPr>
                <w:rFonts w:hint="eastAsia" w:ascii="宋体" w:hAnsi="宋体"/>
                <w:b w:val="0"/>
                <w:bCs/>
                <w:spacing w:val="-4"/>
                <w:szCs w:val="21"/>
              </w:rPr>
              <w:t>包装中转</w:t>
            </w:r>
          </w:p>
          <w:p w14:paraId="1A296C5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422E367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01EBA26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47C163D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611F171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0C5360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1F2A7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26E263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21#</w:t>
            </w:r>
            <w:r>
              <w:rPr>
                <w:rFonts w:hint="eastAsia" w:ascii="宋体" w:hAnsi="宋体" w:cs="Arial"/>
                <w:b w:val="0"/>
                <w:bCs/>
                <w:szCs w:val="21"/>
              </w:rPr>
              <w:t>包装中转</w:t>
            </w:r>
          </w:p>
        </w:tc>
        <w:tc>
          <w:tcPr>
            <w:tcW w:w="350" w:type="pct"/>
            <w:shd w:val="clear" w:color="auto" w:fill="auto"/>
            <w:vAlign w:val="center"/>
          </w:tcPr>
          <w:p w14:paraId="76BD88E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6039D17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25264FE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20#</w:t>
            </w:r>
            <w:r>
              <w:rPr>
                <w:rFonts w:hint="eastAsia" w:ascii="宋体" w:hAnsi="宋体"/>
                <w:b w:val="0"/>
                <w:bCs/>
                <w:spacing w:val="-4"/>
                <w:szCs w:val="21"/>
              </w:rPr>
              <w:t>包装中转</w:t>
            </w:r>
          </w:p>
          <w:p w14:paraId="49D3F9D4">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64241A9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581D3E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7</w:t>
            </w:r>
          </w:p>
        </w:tc>
        <w:tc>
          <w:tcPr>
            <w:tcW w:w="352" w:type="pct"/>
            <w:vAlign w:val="center"/>
          </w:tcPr>
          <w:p w14:paraId="74F70CF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4B9E92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2B3158D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49FA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3A1A4A5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22#</w:t>
            </w:r>
            <w:r>
              <w:rPr>
                <w:rFonts w:hint="eastAsia" w:ascii="宋体" w:hAnsi="宋体" w:cs="Arial"/>
                <w:b w:val="0"/>
                <w:bCs/>
                <w:szCs w:val="21"/>
              </w:rPr>
              <w:t>包装</w:t>
            </w:r>
          </w:p>
        </w:tc>
        <w:tc>
          <w:tcPr>
            <w:tcW w:w="350" w:type="pct"/>
            <w:vMerge w:val="restart"/>
            <w:shd w:val="clear" w:color="auto" w:fill="auto"/>
            <w:vAlign w:val="center"/>
          </w:tcPr>
          <w:p w14:paraId="1DA1CED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638981B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8</w:t>
            </w:r>
            <w:r>
              <w:rPr>
                <w:rFonts w:ascii="宋体" w:hAnsi="宋体" w:cs="Arial"/>
                <w:b w:val="0"/>
                <w:bCs/>
                <w:szCs w:val="21"/>
              </w:rPr>
              <w:t>0</w:t>
            </w:r>
          </w:p>
        </w:tc>
        <w:tc>
          <w:tcPr>
            <w:tcW w:w="1173" w:type="pct"/>
            <w:shd w:val="clear" w:color="auto" w:fill="auto"/>
            <w:vAlign w:val="center"/>
          </w:tcPr>
          <w:p w14:paraId="2D41773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21#</w:t>
            </w:r>
            <w:r>
              <w:rPr>
                <w:rFonts w:hint="eastAsia" w:ascii="宋体" w:hAnsi="宋体"/>
                <w:b w:val="0"/>
                <w:bCs/>
                <w:spacing w:val="-4"/>
                <w:szCs w:val="21"/>
              </w:rPr>
              <w:t>包装中转</w:t>
            </w:r>
          </w:p>
          <w:p w14:paraId="43871B8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3137B36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40EA5A7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799CB40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BB48BD4">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2864F88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62B30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3CAEAF4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1486E3E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15E1D5B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13D1455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23#</w:t>
            </w:r>
            <w:r>
              <w:rPr>
                <w:rFonts w:hint="eastAsia" w:ascii="宋体" w:hAnsi="宋体"/>
                <w:b w:val="0"/>
                <w:bCs/>
                <w:spacing w:val="-4"/>
                <w:szCs w:val="21"/>
              </w:rPr>
              <w:t>工具间</w:t>
            </w:r>
          </w:p>
        </w:tc>
        <w:tc>
          <w:tcPr>
            <w:tcW w:w="352" w:type="pct"/>
            <w:shd w:val="clear" w:color="auto" w:fill="auto"/>
            <w:vAlign w:val="center"/>
          </w:tcPr>
          <w:p w14:paraId="5E5E15B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5A73D1A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3</w:t>
            </w:r>
          </w:p>
        </w:tc>
        <w:tc>
          <w:tcPr>
            <w:tcW w:w="352" w:type="pct"/>
            <w:vAlign w:val="center"/>
          </w:tcPr>
          <w:p w14:paraId="283F4BD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1F4D2BD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6E98459A">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35BE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restart"/>
            <w:shd w:val="clear" w:color="auto" w:fill="auto"/>
            <w:vAlign w:val="center"/>
          </w:tcPr>
          <w:p w14:paraId="08D3CC1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24#</w:t>
            </w:r>
            <w:r>
              <w:rPr>
                <w:rFonts w:hint="eastAsia" w:ascii="宋体" w:hAnsi="宋体" w:cs="Arial"/>
                <w:b w:val="0"/>
                <w:bCs/>
                <w:szCs w:val="21"/>
              </w:rPr>
              <w:t>筛选中转</w:t>
            </w:r>
          </w:p>
        </w:tc>
        <w:tc>
          <w:tcPr>
            <w:tcW w:w="350" w:type="pct"/>
            <w:vMerge w:val="restart"/>
            <w:shd w:val="clear" w:color="auto" w:fill="auto"/>
            <w:vAlign w:val="center"/>
          </w:tcPr>
          <w:p w14:paraId="404A125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vMerge w:val="restart"/>
            <w:shd w:val="clear" w:color="auto" w:fill="auto"/>
            <w:vAlign w:val="center"/>
          </w:tcPr>
          <w:p w14:paraId="74AF1222">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7B57A3D3">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22#</w:t>
            </w:r>
            <w:r>
              <w:rPr>
                <w:rFonts w:hint="eastAsia" w:ascii="宋体" w:hAnsi="宋体"/>
                <w:b w:val="0"/>
                <w:bCs/>
                <w:spacing w:val="-4"/>
                <w:szCs w:val="21"/>
              </w:rPr>
              <w:t>包装</w:t>
            </w:r>
          </w:p>
          <w:p w14:paraId="6C34D10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80kg</w:t>
            </w:r>
            <w:r>
              <w:rPr>
                <w:rFonts w:hint="eastAsia" w:ascii="宋体" w:hAnsi="宋体"/>
                <w:b w:val="0"/>
                <w:bCs/>
                <w:spacing w:val="-4"/>
                <w:szCs w:val="21"/>
              </w:rPr>
              <w:t>）</w:t>
            </w:r>
          </w:p>
        </w:tc>
        <w:tc>
          <w:tcPr>
            <w:tcW w:w="352" w:type="pct"/>
            <w:shd w:val="clear" w:color="auto" w:fill="auto"/>
            <w:vAlign w:val="center"/>
          </w:tcPr>
          <w:p w14:paraId="41450C9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11008B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3</w:t>
            </w:r>
            <w:r>
              <w:rPr>
                <w:rFonts w:ascii="宋体" w:hAnsi="宋体"/>
                <w:b w:val="0"/>
                <w:bCs/>
                <w:spacing w:val="-4"/>
                <w:kern w:val="0"/>
                <w:szCs w:val="21"/>
              </w:rPr>
              <w:t>9</w:t>
            </w:r>
          </w:p>
        </w:tc>
        <w:tc>
          <w:tcPr>
            <w:tcW w:w="352" w:type="pct"/>
            <w:vAlign w:val="center"/>
          </w:tcPr>
          <w:p w14:paraId="5CFEBDA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3BEE5F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3D89325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5D16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vMerge w:val="continue"/>
            <w:shd w:val="clear" w:color="auto" w:fill="auto"/>
            <w:vAlign w:val="center"/>
          </w:tcPr>
          <w:p w14:paraId="0854155B">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350" w:type="pct"/>
            <w:vMerge w:val="continue"/>
            <w:shd w:val="clear" w:color="auto" w:fill="auto"/>
            <w:vAlign w:val="center"/>
          </w:tcPr>
          <w:p w14:paraId="1CC4052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491" w:type="pct"/>
            <w:vMerge w:val="continue"/>
            <w:shd w:val="clear" w:color="auto" w:fill="auto"/>
            <w:vAlign w:val="center"/>
          </w:tcPr>
          <w:p w14:paraId="27073CE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p>
        </w:tc>
        <w:tc>
          <w:tcPr>
            <w:tcW w:w="1173" w:type="pct"/>
            <w:shd w:val="clear" w:color="auto" w:fill="auto"/>
            <w:vAlign w:val="center"/>
          </w:tcPr>
          <w:p w14:paraId="5BB8548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23#</w:t>
            </w:r>
            <w:r>
              <w:rPr>
                <w:rFonts w:hint="eastAsia" w:ascii="宋体" w:hAnsi="宋体"/>
                <w:b w:val="0"/>
                <w:bCs/>
                <w:spacing w:val="-4"/>
                <w:szCs w:val="21"/>
              </w:rPr>
              <w:t>工具间</w:t>
            </w:r>
          </w:p>
        </w:tc>
        <w:tc>
          <w:tcPr>
            <w:tcW w:w="352" w:type="pct"/>
            <w:shd w:val="clear" w:color="auto" w:fill="auto"/>
            <w:vAlign w:val="center"/>
          </w:tcPr>
          <w:p w14:paraId="49901E2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38E2A1B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3</w:t>
            </w:r>
          </w:p>
        </w:tc>
        <w:tc>
          <w:tcPr>
            <w:tcW w:w="352" w:type="pct"/>
            <w:vAlign w:val="center"/>
          </w:tcPr>
          <w:p w14:paraId="69624BC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7B0320B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420BB2A6">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20EC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DB3A8D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25#</w:t>
            </w:r>
            <w:r>
              <w:rPr>
                <w:rFonts w:hint="eastAsia" w:ascii="宋体" w:hAnsi="宋体" w:cs="Arial"/>
                <w:b w:val="0"/>
                <w:bCs/>
                <w:szCs w:val="21"/>
              </w:rPr>
              <w:t>筛选中转</w:t>
            </w:r>
          </w:p>
        </w:tc>
        <w:tc>
          <w:tcPr>
            <w:tcW w:w="350" w:type="pct"/>
            <w:shd w:val="clear" w:color="auto" w:fill="auto"/>
            <w:vAlign w:val="center"/>
          </w:tcPr>
          <w:p w14:paraId="5060F7E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3314254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5</w:t>
            </w:r>
            <w:r>
              <w:rPr>
                <w:rFonts w:ascii="宋体" w:hAnsi="宋体" w:cs="Arial"/>
                <w:b w:val="0"/>
                <w:bCs/>
                <w:szCs w:val="21"/>
              </w:rPr>
              <w:t>00</w:t>
            </w:r>
          </w:p>
        </w:tc>
        <w:tc>
          <w:tcPr>
            <w:tcW w:w="1173" w:type="pct"/>
            <w:shd w:val="clear" w:color="auto" w:fill="auto"/>
            <w:vAlign w:val="center"/>
          </w:tcPr>
          <w:p w14:paraId="26E7CB8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24#</w:t>
            </w:r>
            <w:r>
              <w:rPr>
                <w:rFonts w:hint="eastAsia" w:ascii="宋体" w:hAnsi="宋体"/>
                <w:b w:val="0"/>
                <w:bCs/>
                <w:spacing w:val="-4"/>
                <w:szCs w:val="21"/>
              </w:rPr>
              <w:t>筛选中转</w:t>
            </w:r>
          </w:p>
          <w:p w14:paraId="2577914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770CE9BE">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6</w:t>
            </w:r>
          </w:p>
        </w:tc>
        <w:tc>
          <w:tcPr>
            <w:tcW w:w="352" w:type="pct"/>
            <w:shd w:val="clear" w:color="auto" w:fill="auto"/>
            <w:vAlign w:val="center"/>
          </w:tcPr>
          <w:p w14:paraId="45700A8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8</w:t>
            </w:r>
          </w:p>
        </w:tc>
        <w:tc>
          <w:tcPr>
            <w:tcW w:w="352" w:type="pct"/>
            <w:vAlign w:val="center"/>
          </w:tcPr>
          <w:p w14:paraId="76506AC0">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61C512C">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762BD8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362E1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3D44A016">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26#</w:t>
            </w:r>
            <w:r>
              <w:rPr>
                <w:rFonts w:hint="eastAsia" w:ascii="宋体" w:hAnsi="宋体" w:cs="Arial"/>
                <w:b w:val="0"/>
                <w:bCs/>
                <w:szCs w:val="21"/>
              </w:rPr>
              <w:t>硝酸钾中转</w:t>
            </w:r>
          </w:p>
        </w:tc>
        <w:tc>
          <w:tcPr>
            <w:tcW w:w="350" w:type="pct"/>
            <w:shd w:val="clear" w:color="auto" w:fill="auto"/>
            <w:vAlign w:val="center"/>
          </w:tcPr>
          <w:p w14:paraId="0CBE53C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w:t>
            </w:r>
          </w:p>
        </w:tc>
        <w:tc>
          <w:tcPr>
            <w:tcW w:w="491" w:type="pct"/>
            <w:shd w:val="clear" w:color="auto" w:fill="auto"/>
            <w:vAlign w:val="center"/>
          </w:tcPr>
          <w:p w14:paraId="7CA075FE">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000</w:t>
            </w:r>
          </w:p>
        </w:tc>
        <w:tc>
          <w:tcPr>
            <w:tcW w:w="1173" w:type="pct"/>
            <w:shd w:val="clear" w:color="auto" w:fill="auto"/>
            <w:vAlign w:val="center"/>
          </w:tcPr>
          <w:p w14:paraId="32DB91C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25#</w:t>
            </w:r>
            <w:r>
              <w:rPr>
                <w:rFonts w:hint="eastAsia" w:ascii="宋体" w:hAnsi="宋体"/>
                <w:b w:val="0"/>
                <w:bCs/>
                <w:spacing w:val="-4"/>
                <w:szCs w:val="21"/>
              </w:rPr>
              <w:t>筛选中转</w:t>
            </w:r>
          </w:p>
          <w:p w14:paraId="2C74468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500kg</w:t>
            </w:r>
            <w:r>
              <w:rPr>
                <w:rFonts w:hint="eastAsia" w:ascii="宋体" w:hAnsi="宋体"/>
                <w:b w:val="0"/>
                <w:bCs/>
                <w:spacing w:val="-4"/>
                <w:szCs w:val="21"/>
              </w:rPr>
              <w:t>）</w:t>
            </w:r>
          </w:p>
        </w:tc>
        <w:tc>
          <w:tcPr>
            <w:tcW w:w="352" w:type="pct"/>
            <w:shd w:val="clear" w:color="auto" w:fill="auto"/>
            <w:vAlign w:val="center"/>
          </w:tcPr>
          <w:p w14:paraId="03C35F1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shd w:val="clear" w:color="auto" w:fill="auto"/>
            <w:vAlign w:val="center"/>
          </w:tcPr>
          <w:p w14:paraId="79240DA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2</w:t>
            </w:r>
            <w:r>
              <w:rPr>
                <w:rFonts w:ascii="宋体" w:hAnsi="宋体"/>
                <w:b w:val="0"/>
                <w:bCs/>
                <w:spacing w:val="-4"/>
                <w:kern w:val="0"/>
                <w:szCs w:val="21"/>
              </w:rPr>
              <w:t>5</w:t>
            </w:r>
          </w:p>
        </w:tc>
        <w:tc>
          <w:tcPr>
            <w:tcW w:w="352" w:type="pct"/>
            <w:vAlign w:val="center"/>
          </w:tcPr>
          <w:p w14:paraId="772DD6FA">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49D1DF2">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0A92A0C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、表5</w:t>
            </w:r>
            <w:r>
              <w:rPr>
                <w:rFonts w:ascii="宋体" w:hAnsi="宋体" w:cs="宋体"/>
                <w:b w:val="0"/>
                <w:bCs/>
                <w:szCs w:val="21"/>
              </w:rPr>
              <w:t>.2.3</w:t>
            </w:r>
          </w:p>
        </w:tc>
      </w:tr>
      <w:tr w14:paraId="4960C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2113E028">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29#</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50" w:type="pct"/>
            <w:shd w:val="clear" w:color="auto" w:fill="auto"/>
            <w:vAlign w:val="center"/>
          </w:tcPr>
          <w:p w14:paraId="128B3527">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0182CBC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173" w:type="pct"/>
            <w:shd w:val="clear" w:color="auto" w:fill="auto"/>
            <w:vAlign w:val="center"/>
          </w:tcPr>
          <w:p w14:paraId="11CF292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28#</w:t>
            </w:r>
            <w:r>
              <w:rPr>
                <w:rFonts w:hint="eastAsia" w:ascii="宋体" w:hAnsi="宋体"/>
                <w:b w:val="0"/>
                <w:bCs/>
                <w:spacing w:val="-4"/>
                <w:szCs w:val="21"/>
              </w:rPr>
              <w:t>电控室</w:t>
            </w:r>
          </w:p>
        </w:tc>
        <w:tc>
          <w:tcPr>
            <w:tcW w:w="352" w:type="pct"/>
            <w:shd w:val="clear" w:color="auto" w:fill="auto"/>
            <w:vAlign w:val="center"/>
          </w:tcPr>
          <w:p w14:paraId="536B14B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4E076BE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5</w:t>
            </w:r>
          </w:p>
        </w:tc>
        <w:tc>
          <w:tcPr>
            <w:tcW w:w="352" w:type="pct"/>
            <w:vAlign w:val="center"/>
          </w:tcPr>
          <w:p w14:paraId="0DC2E817">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94E812B">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符合</w:t>
            </w:r>
          </w:p>
        </w:tc>
        <w:tc>
          <w:tcPr>
            <w:tcW w:w="746" w:type="pct"/>
            <w:vAlign w:val="center"/>
          </w:tcPr>
          <w:p w14:paraId="23BDF4B0">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41AE9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1FFB9D14">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30#</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50" w:type="pct"/>
            <w:shd w:val="clear" w:color="auto" w:fill="auto"/>
            <w:vAlign w:val="center"/>
          </w:tcPr>
          <w:p w14:paraId="12C5B9CC">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46757D0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173" w:type="pct"/>
            <w:shd w:val="clear" w:color="auto" w:fill="auto"/>
            <w:vAlign w:val="center"/>
          </w:tcPr>
          <w:p w14:paraId="244B79E6">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29#</w:t>
            </w:r>
            <w:r>
              <w:rPr>
                <w:rFonts w:hint="eastAsia" w:ascii="宋体" w:hAnsi="宋体"/>
                <w:b w:val="0"/>
                <w:bCs/>
                <w:spacing w:val="-4"/>
                <w:szCs w:val="21"/>
              </w:rPr>
              <w:t>三味球磨/筛选</w:t>
            </w:r>
          </w:p>
          <w:p w14:paraId="7E90310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52" w:type="pct"/>
            <w:shd w:val="clear" w:color="auto" w:fill="auto"/>
            <w:vAlign w:val="center"/>
          </w:tcPr>
          <w:p w14:paraId="7CB62738">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ascii="宋体" w:hAnsi="宋体"/>
                <w:b w:val="0"/>
                <w:bCs/>
                <w:spacing w:val="-4"/>
                <w:kern w:val="0"/>
                <w:szCs w:val="21"/>
              </w:rPr>
              <w:t>12</w:t>
            </w:r>
          </w:p>
        </w:tc>
        <w:tc>
          <w:tcPr>
            <w:tcW w:w="352" w:type="pct"/>
            <w:shd w:val="clear" w:color="auto" w:fill="auto"/>
            <w:vAlign w:val="center"/>
          </w:tcPr>
          <w:p w14:paraId="730B806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4</w:t>
            </w:r>
            <w:r>
              <w:rPr>
                <w:rFonts w:ascii="宋体" w:hAnsi="宋体"/>
                <w:b w:val="0"/>
                <w:bCs/>
                <w:spacing w:val="-4"/>
                <w:kern w:val="0"/>
                <w:szCs w:val="21"/>
              </w:rPr>
              <w:t>9</w:t>
            </w:r>
          </w:p>
        </w:tc>
        <w:tc>
          <w:tcPr>
            <w:tcW w:w="352" w:type="pct"/>
            <w:vAlign w:val="center"/>
          </w:tcPr>
          <w:p w14:paraId="1B4A19B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04C9EFD5">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cs="宋体"/>
                <w:b w:val="0"/>
                <w:bCs/>
                <w:szCs w:val="21"/>
              </w:rPr>
              <w:t>符合</w:t>
            </w:r>
          </w:p>
        </w:tc>
        <w:tc>
          <w:tcPr>
            <w:tcW w:w="746" w:type="pct"/>
            <w:vAlign w:val="center"/>
          </w:tcPr>
          <w:p w14:paraId="52026A23">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27AE0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62DF0615">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31#</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50" w:type="pct"/>
            <w:shd w:val="clear" w:color="auto" w:fill="auto"/>
            <w:vAlign w:val="center"/>
          </w:tcPr>
          <w:p w14:paraId="20F947FF">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164BB87D">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173" w:type="pct"/>
            <w:shd w:val="clear" w:color="auto" w:fill="auto"/>
            <w:vAlign w:val="center"/>
          </w:tcPr>
          <w:p w14:paraId="71F14562">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30#</w:t>
            </w:r>
            <w:r>
              <w:rPr>
                <w:rFonts w:hint="eastAsia" w:ascii="宋体" w:hAnsi="宋体"/>
                <w:b w:val="0"/>
                <w:bCs/>
                <w:spacing w:val="-4"/>
                <w:szCs w:val="21"/>
              </w:rPr>
              <w:t>三味球磨/筛选</w:t>
            </w:r>
          </w:p>
          <w:p w14:paraId="4FFFC6B9">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52" w:type="pct"/>
            <w:shd w:val="clear" w:color="auto" w:fill="auto"/>
            <w:vAlign w:val="center"/>
          </w:tcPr>
          <w:p w14:paraId="2277867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5E6D71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8</w:t>
            </w:r>
          </w:p>
        </w:tc>
        <w:tc>
          <w:tcPr>
            <w:tcW w:w="352" w:type="pct"/>
            <w:vAlign w:val="center"/>
          </w:tcPr>
          <w:p w14:paraId="27B0836D">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39AEAF6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符合</w:t>
            </w:r>
          </w:p>
        </w:tc>
        <w:tc>
          <w:tcPr>
            <w:tcW w:w="746" w:type="pct"/>
            <w:vAlign w:val="center"/>
          </w:tcPr>
          <w:p w14:paraId="7D8D100F">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55A01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shd w:val="clear" w:color="auto" w:fill="auto"/>
            <w:vAlign w:val="center"/>
          </w:tcPr>
          <w:p w14:paraId="5B6A6DB0">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32#</w:t>
            </w:r>
            <w:r>
              <w:rPr>
                <w:rFonts w:hint="eastAsia" w:ascii="宋体" w:hAnsi="宋体" w:cs="Arial"/>
                <w:b w:val="0"/>
                <w:bCs/>
                <w:szCs w:val="21"/>
              </w:rPr>
              <w:t>三味球磨</w:t>
            </w:r>
            <w:r>
              <w:rPr>
                <w:rFonts w:ascii="宋体" w:hAnsi="宋体" w:cs="Arial"/>
                <w:b w:val="0"/>
                <w:bCs/>
                <w:szCs w:val="21"/>
              </w:rPr>
              <w:t>/</w:t>
            </w:r>
            <w:r>
              <w:rPr>
                <w:rFonts w:hint="eastAsia" w:ascii="宋体" w:hAnsi="宋体" w:cs="Arial"/>
                <w:b w:val="0"/>
                <w:bCs/>
                <w:szCs w:val="21"/>
              </w:rPr>
              <w:t>筛选</w:t>
            </w:r>
          </w:p>
        </w:tc>
        <w:tc>
          <w:tcPr>
            <w:tcW w:w="350" w:type="pct"/>
            <w:shd w:val="clear" w:color="auto" w:fill="auto"/>
            <w:vAlign w:val="center"/>
          </w:tcPr>
          <w:p w14:paraId="1CFED999">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1</w:t>
            </w:r>
            <w:r>
              <w:rPr>
                <w:rFonts w:ascii="宋体" w:hAnsi="宋体" w:cs="Arial"/>
                <w:b w:val="0"/>
                <w:bCs/>
                <w:szCs w:val="21"/>
              </w:rPr>
              <w:t>.1</w:t>
            </w:r>
            <w:r>
              <w:rPr>
                <w:rFonts w:ascii="宋体" w:hAnsi="宋体" w:cs="Arial"/>
                <w:b w:val="0"/>
                <w:bCs/>
                <w:szCs w:val="21"/>
                <w:vertAlign w:val="superscript"/>
              </w:rPr>
              <w:t>-2</w:t>
            </w:r>
          </w:p>
        </w:tc>
        <w:tc>
          <w:tcPr>
            <w:tcW w:w="491" w:type="pct"/>
            <w:shd w:val="clear" w:color="auto" w:fill="auto"/>
            <w:vAlign w:val="center"/>
          </w:tcPr>
          <w:p w14:paraId="77EE8231">
            <w:pPr>
              <w:keepNext w:val="0"/>
              <w:keepLines w:val="0"/>
              <w:pageBreakBefore w:val="0"/>
              <w:kinsoku/>
              <w:wordWrap/>
              <w:overflowPunct/>
              <w:topLinePunct w:val="0"/>
              <w:autoSpaceDE/>
              <w:autoSpaceDN/>
              <w:bidi w:val="0"/>
              <w:adjustRightInd/>
              <w:snapToGrid/>
              <w:spacing w:line="280" w:lineRule="exact"/>
              <w:jc w:val="center"/>
              <w:rPr>
                <w:rFonts w:ascii="宋体" w:hAnsi="宋体" w:cs="Arial"/>
                <w:b w:val="0"/>
                <w:bCs/>
                <w:szCs w:val="21"/>
              </w:rPr>
            </w:pPr>
            <w:r>
              <w:rPr>
                <w:rFonts w:hint="eastAsia" w:ascii="宋体" w:hAnsi="宋体" w:cs="Arial"/>
                <w:b w:val="0"/>
                <w:bCs/>
                <w:szCs w:val="21"/>
              </w:rPr>
              <w:t>2</w:t>
            </w:r>
            <w:r>
              <w:rPr>
                <w:rFonts w:ascii="宋体" w:hAnsi="宋体" w:cs="Arial"/>
                <w:b w:val="0"/>
                <w:bCs/>
                <w:szCs w:val="21"/>
              </w:rPr>
              <w:t>00</w:t>
            </w:r>
          </w:p>
        </w:tc>
        <w:tc>
          <w:tcPr>
            <w:tcW w:w="1173" w:type="pct"/>
            <w:shd w:val="clear" w:color="auto" w:fill="auto"/>
            <w:vAlign w:val="center"/>
          </w:tcPr>
          <w:p w14:paraId="14059A2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31#</w:t>
            </w:r>
            <w:r>
              <w:rPr>
                <w:rFonts w:hint="eastAsia" w:ascii="宋体" w:hAnsi="宋体"/>
                <w:b w:val="0"/>
                <w:bCs/>
                <w:spacing w:val="-4"/>
                <w:szCs w:val="21"/>
              </w:rPr>
              <w:t>三味球磨/筛选</w:t>
            </w:r>
          </w:p>
          <w:p w14:paraId="35F853F1">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szCs w:val="21"/>
              </w:rPr>
            </w:pPr>
            <w:r>
              <w:rPr>
                <w:rFonts w:hint="eastAsia" w:ascii="宋体" w:hAnsi="宋体"/>
                <w:b w:val="0"/>
                <w:bCs/>
                <w:spacing w:val="-4"/>
                <w:szCs w:val="21"/>
              </w:rPr>
              <w:t>（1</w:t>
            </w:r>
            <w:r>
              <w:rPr>
                <w:rFonts w:ascii="宋体" w:hAnsi="宋体"/>
                <w:b w:val="0"/>
                <w:bCs/>
                <w:spacing w:val="-4"/>
                <w:szCs w:val="21"/>
              </w:rPr>
              <w:t>.1</w:t>
            </w:r>
            <w:r>
              <w:rPr>
                <w:rFonts w:ascii="宋体" w:hAnsi="宋体"/>
                <w:b w:val="0"/>
                <w:bCs/>
                <w:spacing w:val="-4"/>
                <w:szCs w:val="21"/>
                <w:vertAlign w:val="superscript"/>
              </w:rPr>
              <w:t>-2</w:t>
            </w:r>
            <w:r>
              <w:rPr>
                <w:rFonts w:hint="eastAsia" w:ascii="宋体" w:hAnsi="宋体"/>
                <w:b w:val="0"/>
                <w:bCs/>
                <w:spacing w:val="-4"/>
                <w:szCs w:val="21"/>
              </w:rPr>
              <w:t>级、</w:t>
            </w:r>
            <w:r>
              <w:rPr>
                <w:rFonts w:ascii="宋体" w:hAnsi="宋体"/>
                <w:b w:val="0"/>
                <w:bCs/>
                <w:spacing w:val="-4"/>
                <w:szCs w:val="21"/>
              </w:rPr>
              <w:t>200kg</w:t>
            </w:r>
            <w:r>
              <w:rPr>
                <w:rFonts w:hint="eastAsia" w:ascii="宋体" w:hAnsi="宋体"/>
                <w:b w:val="0"/>
                <w:bCs/>
                <w:spacing w:val="-4"/>
                <w:szCs w:val="21"/>
              </w:rPr>
              <w:t>）</w:t>
            </w:r>
          </w:p>
        </w:tc>
        <w:tc>
          <w:tcPr>
            <w:tcW w:w="352" w:type="pct"/>
            <w:shd w:val="clear" w:color="auto" w:fill="auto"/>
            <w:vAlign w:val="center"/>
          </w:tcPr>
          <w:p w14:paraId="12B902BF">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pacing w:val="-4"/>
                <w:kern w:val="0"/>
                <w:szCs w:val="21"/>
              </w:rPr>
            </w:pPr>
            <w:r>
              <w:rPr>
                <w:rFonts w:hint="eastAsia" w:ascii="宋体" w:hAnsi="宋体"/>
                <w:b w:val="0"/>
                <w:bCs/>
                <w:spacing w:val="-4"/>
                <w:kern w:val="0"/>
                <w:szCs w:val="21"/>
              </w:rPr>
              <w:t>1</w:t>
            </w:r>
            <w:r>
              <w:rPr>
                <w:rFonts w:ascii="宋体" w:hAnsi="宋体"/>
                <w:b w:val="0"/>
                <w:bCs/>
                <w:spacing w:val="-4"/>
                <w:kern w:val="0"/>
                <w:szCs w:val="21"/>
              </w:rPr>
              <w:t>2</w:t>
            </w:r>
          </w:p>
        </w:tc>
        <w:tc>
          <w:tcPr>
            <w:tcW w:w="352" w:type="pct"/>
            <w:shd w:val="clear" w:color="auto" w:fill="auto"/>
            <w:vAlign w:val="center"/>
          </w:tcPr>
          <w:p w14:paraId="5EAB03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b w:val="0"/>
                <w:bCs/>
                <w:spacing w:val="-4"/>
                <w:kern w:val="0"/>
                <w:szCs w:val="21"/>
              </w:rPr>
            </w:pPr>
            <w:r>
              <w:rPr>
                <w:rFonts w:hint="eastAsia" w:ascii="宋体" w:hAnsi="宋体"/>
                <w:b w:val="0"/>
                <w:bCs/>
                <w:spacing w:val="-4"/>
                <w:kern w:val="0"/>
                <w:szCs w:val="21"/>
              </w:rPr>
              <w:t>5</w:t>
            </w:r>
            <w:r>
              <w:rPr>
                <w:rFonts w:ascii="宋体" w:hAnsi="宋体"/>
                <w:b w:val="0"/>
                <w:bCs/>
                <w:spacing w:val="-4"/>
                <w:kern w:val="0"/>
                <w:szCs w:val="21"/>
              </w:rPr>
              <w:t>9</w:t>
            </w:r>
          </w:p>
        </w:tc>
        <w:tc>
          <w:tcPr>
            <w:tcW w:w="352" w:type="pct"/>
            <w:vAlign w:val="center"/>
          </w:tcPr>
          <w:p w14:paraId="61BA9BBC">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双有</w:t>
            </w:r>
          </w:p>
        </w:tc>
        <w:tc>
          <w:tcPr>
            <w:tcW w:w="369" w:type="pct"/>
            <w:vAlign w:val="center"/>
          </w:tcPr>
          <w:p w14:paraId="4EF558BB">
            <w:pPr>
              <w:keepNext w:val="0"/>
              <w:keepLines w:val="0"/>
              <w:pageBreakBefore w:val="0"/>
              <w:kinsoku/>
              <w:wordWrap/>
              <w:overflowPunct/>
              <w:topLinePunct w:val="0"/>
              <w:autoSpaceDE/>
              <w:autoSpaceDN/>
              <w:bidi w:val="0"/>
              <w:adjustRightInd/>
              <w:snapToGrid/>
              <w:spacing w:line="280" w:lineRule="exact"/>
              <w:jc w:val="center"/>
              <w:rPr>
                <w:rFonts w:ascii="宋体" w:hAnsi="宋体"/>
                <w:b w:val="0"/>
                <w:bCs/>
                <w:szCs w:val="21"/>
              </w:rPr>
            </w:pPr>
            <w:r>
              <w:rPr>
                <w:rFonts w:hint="eastAsia" w:ascii="宋体" w:hAnsi="宋体"/>
                <w:b w:val="0"/>
                <w:bCs/>
                <w:szCs w:val="21"/>
              </w:rPr>
              <w:t>符合</w:t>
            </w:r>
          </w:p>
        </w:tc>
        <w:tc>
          <w:tcPr>
            <w:tcW w:w="746" w:type="pct"/>
            <w:vAlign w:val="center"/>
          </w:tcPr>
          <w:p w14:paraId="3559EB2E">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b w:val="0"/>
                <w:bCs/>
                <w:szCs w:val="21"/>
              </w:rPr>
            </w:pPr>
            <w:r>
              <w:rPr>
                <w:rFonts w:hint="eastAsia" w:ascii="宋体" w:hAnsi="宋体" w:cs="宋体"/>
                <w:b w:val="0"/>
                <w:bCs/>
                <w:szCs w:val="21"/>
              </w:rPr>
              <w:t>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.2.3</w:t>
            </w:r>
          </w:p>
        </w:tc>
      </w:tr>
      <w:tr w14:paraId="74F805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9"/>
          </w:tcPr>
          <w:p w14:paraId="79A34703">
            <w:pPr>
              <w:keepNext w:val="0"/>
              <w:keepLines w:val="0"/>
              <w:pageBreakBefore w:val="0"/>
              <w:kinsoku/>
              <w:wordWrap/>
              <w:overflowPunct/>
              <w:topLinePunct w:val="0"/>
              <w:autoSpaceDE/>
              <w:autoSpaceDN/>
              <w:bidi w:val="0"/>
              <w:adjustRightInd/>
              <w:snapToGrid/>
              <w:spacing w:line="280" w:lineRule="exact"/>
              <w:ind w:firstLine="420" w:firstLineChars="200"/>
              <w:rPr>
                <w:rFonts w:ascii="宋体" w:hAnsi="宋体" w:cs="宋体"/>
                <w:b w:val="0"/>
                <w:bCs/>
                <w:szCs w:val="21"/>
              </w:rPr>
            </w:pPr>
            <w:r>
              <w:rPr>
                <w:rFonts w:hint="eastAsia" w:ascii="宋体" w:hAnsi="宋体" w:cs="宋体"/>
                <w:b w:val="0"/>
                <w:bCs/>
                <w:szCs w:val="21"/>
              </w:rPr>
              <w:t>备注：表中1</w:t>
            </w:r>
            <w:r>
              <w:rPr>
                <w:rFonts w:ascii="宋体" w:hAnsi="宋体" w:cs="宋体"/>
                <w:b w:val="0"/>
                <w:bCs/>
                <w:szCs w:val="21"/>
              </w:rPr>
              <w:t>7#</w:t>
            </w:r>
            <w:r>
              <w:rPr>
                <w:rFonts w:hint="eastAsia" w:ascii="宋体" w:hAnsi="宋体" w:cs="宋体"/>
                <w:b w:val="0"/>
                <w:bCs/>
                <w:szCs w:val="21"/>
              </w:rPr>
              <w:t>二味中转（1</w:t>
            </w:r>
            <w:r>
              <w:rPr>
                <w:rFonts w:ascii="宋体" w:hAnsi="宋体" w:cs="宋体"/>
                <w:b w:val="0"/>
                <w:bCs/>
                <w:szCs w:val="21"/>
              </w:rPr>
              <w:t>.3</w:t>
            </w:r>
            <w:r>
              <w:rPr>
                <w:rFonts w:hint="eastAsia" w:ascii="宋体" w:hAnsi="宋体" w:cs="宋体"/>
                <w:b w:val="0"/>
                <w:bCs/>
                <w:szCs w:val="21"/>
              </w:rPr>
              <w:t>级、1</w:t>
            </w:r>
            <w:r>
              <w:rPr>
                <w:rFonts w:ascii="宋体" w:hAnsi="宋体" w:cs="宋体"/>
                <w:b w:val="0"/>
                <w:bCs/>
                <w:szCs w:val="21"/>
              </w:rPr>
              <w:t>000kg</w:t>
            </w:r>
            <w:r>
              <w:rPr>
                <w:rFonts w:hint="eastAsia" w:ascii="宋体" w:hAnsi="宋体" w:cs="宋体"/>
                <w:b w:val="0"/>
                <w:bCs/>
                <w:szCs w:val="21"/>
              </w:rPr>
              <w:t>）与1</w:t>
            </w:r>
            <w:r>
              <w:rPr>
                <w:rFonts w:ascii="宋体" w:hAnsi="宋体" w:cs="宋体"/>
                <w:b w:val="0"/>
                <w:bCs/>
                <w:szCs w:val="21"/>
              </w:rPr>
              <w:t>6#</w:t>
            </w:r>
            <w:r>
              <w:rPr>
                <w:rFonts w:hint="eastAsia" w:ascii="宋体" w:hAnsi="宋体" w:cs="宋体"/>
                <w:b w:val="0"/>
                <w:bCs/>
                <w:szCs w:val="21"/>
              </w:rPr>
              <w:t>二味球磨（1</w:t>
            </w:r>
            <w:r>
              <w:rPr>
                <w:rFonts w:ascii="宋体" w:hAnsi="宋体" w:cs="宋体"/>
                <w:b w:val="0"/>
                <w:bCs/>
                <w:szCs w:val="21"/>
              </w:rPr>
              <w:t>.3</w:t>
            </w:r>
            <w:r>
              <w:rPr>
                <w:rFonts w:hint="eastAsia" w:ascii="宋体" w:hAnsi="宋体" w:cs="宋体"/>
                <w:b w:val="0"/>
                <w:bCs/>
                <w:szCs w:val="21"/>
              </w:rPr>
              <w:t>级、5</w:t>
            </w:r>
            <w:r>
              <w:rPr>
                <w:rFonts w:ascii="宋体" w:hAnsi="宋体" w:cs="宋体"/>
                <w:b w:val="0"/>
                <w:bCs/>
                <w:szCs w:val="21"/>
              </w:rPr>
              <w:t>00kg</w:t>
            </w:r>
            <w:r>
              <w:rPr>
                <w:rFonts w:hint="eastAsia" w:ascii="宋体" w:hAnsi="宋体" w:cs="宋体"/>
                <w:b w:val="0"/>
                <w:bCs/>
                <w:szCs w:val="21"/>
              </w:rPr>
              <w:t>），1</w:t>
            </w:r>
            <w:r>
              <w:rPr>
                <w:rFonts w:ascii="宋体" w:hAnsi="宋体" w:cs="宋体"/>
                <w:b w:val="0"/>
                <w:bCs/>
                <w:szCs w:val="21"/>
              </w:rPr>
              <w:t>9#</w:t>
            </w:r>
            <w:r>
              <w:rPr>
                <w:rFonts w:hint="eastAsia" w:ascii="宋体" w:hAnsi="宋体" w:cs="宋体"/>
                <w:b w:val="0"/>
                <w:bCs/>
                <w:szCs w:val="21"/>
              </w:rPr>
              <w:t>原材料中转（1</w:t>
            </w:r>
            <w:r>
              <w:rPr>
                <w:rFonts w:ascii="宋体" w:hAnsi="宋体" w:cs="宋体"/>
                <w:b w:val="0"/>
                <w:bCs/>
                <w:szCs w:val="21"/>
              </w:rPr>
              <w:t>.3</w:t>
            </w:r>
            <w:r>
              <w:rPr>
                <w:rFonts w:hint="eastAsia" w:ascii="宋体" w:hAnsi="宋体" w:cs="宋体"/>
                <w:b w:val="0"/>
                <w:bCs/>
                <w:szCs w:val="21"/>
              </w:rPr>
              <w:t>级、1</w:t>
            </w:r>
            <w:r>
              <w:rPr>
                <w:rFonts w:ascii="宋体" w:hAnsi="宋体" w:cs="宋体"/>
                <w:b w:val="0"/>
                <w:bCs/>
                <w:szCs w:val="21"/>
              </w:rPr>
              <w:t>000kg/</w:t>
            </w:r>
            <w:r>
              <w:rPr>
                <w:rFonts w:hint="eastAsia" w:ascii="宋体" w:hAnsi="宋体" w:cs="宋体"/>
                <w:b w:val="0"/>
                <w:bCs/>
                <w:szCs w:val="21"/>
              </w:rPr>
              <w:t>间）与2</w:t>
            </w:r>
            <w:r>
              <w:rPr>
                <w:rFonts w:ascii="宋体" w:hAnsi="宋体" w:cs="宋体"/>
                <w:b w:val="0"/>
                <w:bCs/>
                <w:szCs w:val="21"/>
              </w:rPr>
              <w:t>0#</w:t>
            </w:r>
            <w:r>
              <w:rPr>
                <w:rFonts w:hint="eastAsia" w:ascii="宋体" w:hAnsi="宋体" w:cs="宋体"/>
                <w:b w:val="0"/>
                <w:bCs/>
                <w:szCs w:val="21"/>
              </w:rPr>
              <w:t>电控室之间均设置防护屏障，故内部安全标准距离按G</w:t>
            </w:r>
            <w:r>
              <w:rPr>
                <w:rFonts w:ascii="宋体" w:hAnsi="宋体" w:cs="宋体"/>
                <w:b w:val="0"/>
                <w:bCs/>
                <w:szCs w:val="21"/>
              </w:rPr>
              <w:t>B50161-2022</w:t>
            </w:r>
            <w:r>
              <w:rPr>
                <w:rFonts w:hint="eastAsia" w:ascii="宋体" w:hAnsi="宋体" w:cs="宋体"/>
                <w:b w:val="0"/>
                <w:bCs/>
                <w:szCs w:val="21"/>
              </w:rPr>
              <w:t>中表5</w:t>
            </w:r>
            <w:r>
              <w:rPr>
                <w:rFonts w:ascii="宋体" w:hAnsi="宋体" w:cs="宋体"/>
                <w:b w:val="0"/>
                <w:bCs/>
                <w:szCs w:val="21"/>
              </w:rPr>
              <w:t>.2.8</w:t>
            </w:r>
            <w:r>
              <w:rPr>
                <w:rFonts w:hint="eastAsia" w:ascii="宋体" w:hAnsi="宋体" w:cs="宋体"/>
                <w:b w:val="0"/>
                <w:bCs/>
                <w:szCs w:val="21"/>
              </w:rPr>
              <w:t>所规定值的8</w:t>
            </w:r>
            <w:r>
              <w:rPr>
                <w:rFonts w:ascii="宋体" w:hAnsi="宋体" w:cs="宋体"/>
                <w:b w:val="0"/>
                <w:bCs/>
                <w:szCs w:val="21"/>
              </w:rPr>
              <w:t>0%</w:t>
            </w:r>
            <w:r>
              <w:rPr>
                <w:rFonts w:hint="eastAsia" w:ascii="宋体" w:hAnsi="宋体" w:cs="宋体"/>
                <w:b w:val="0"/>
                <w:bCs/>
                <w:szCs w:val="21"/>
              </w:rPr>
              <w:t>，且不小于1</w:t>
            </w:r>
            <w:r>
              <w:rPr>
                <w:rFonts w:ascii="宋体" w:hAnsi="宋体" w:cs="宋体"/>
                <w:b w:val="0"/>
                <w:bCs/>
                <w:szCs w:val="21"/>
              </w:rPr>
              <w:t>2</w:t>
            </w:r>
            <w:r>
              <w:rPr>
                <w:rFonts w:hint="eastAsia" w:ascii="宋体" w:hAnsi="宋体" w:cs="宋体"/>
                <w:b w:val="0"/>
                <w:bCs/>
                <w:szCs w:val="21"/>
              </w:rPr>
              <w:t>m。</w:t>
            </w:r>
          </w:p>
          <w:p w14:paraId="07E846FD">
            <w:pPr>
              <w:keepNext w:val="0"/>
              <w:keepLines w:val="0"/>
              <w:pageBreakBefore w:val="0"/>
              <w:kinsoku/>
              <w:wordWrap/>
              <w:overflowPunct/>
              <w:topLinePunct w:val="0"/>
              <w:autoSpaceDE/>
              <w:autoSpaceDN/>
              <w:bidi w:val="0"/>
              <w:adjustRightInd/>
              <w:snapToGrid/>
              <w:spacing w:line="280" w:lineRule="exact"/>
              <w:ind w:firstLine="420" w:firstLineChars="200"/>
            </w:pPr>
            <w:r>
              <w:rPr>
                <w:rFonts w:hint="eastAsia" w:ascii="宋体" w:hAnsi="宋体" w:cs="宋体"/>
                <w:b w:val="0"/>
                <w:bCs/>
                <w:szCs w:val="21"/>
              </w:rPr>
              <w:t>因此判定上述工房内部设计距离均符合G</w:t>
            </w:r>
            <w:r>
              <w:rPr>
                <w:rFonts w:ascii="宋体" w:hAnsi="宋体" w:cs="宋体"/>
                <w:b w:val="0"/>
                <w:bCs/>
                <w:szCs w:val="21"/>
              </w:rPr>
              <w:t>B50161-2022</w:t>
            </w:r>
            <w:r>
              <w:rPr>
                <w:rFonts w:hint="eastAsia" w:ascii="宋体" w:hAnsi="宋体" w:cs="宋体"/>
                <w:b w:val="0"/>
                <w:bCs/>
                <w:szCs w:val="21"/>
              </w:rPr>
              <w:t>所规定要求。</w:t>
            </w:r>
          </w:p>
        </w:tc>
      </w:tr>
    </w:tbl>
    <w:p w14:paraId="6A0AAFF2">
      <w:pPr>
        <w:keepNext/>
        <w:keepLines/>
        <w:spacing w:before="240" w:beforeLines="100" w:line="360" w:lineRule="auto"/>
        <w:outlineLvl w:val="1"/>
        <w:rPr>
          <w:rFonts w:ascii="黑体" w:hAnsi="宋体" w:eastAsia="黑体"/>
          <w:b w:val="0"/>
          <w:bCs/>
          <w:snapToGrid w:val="0"/>
          <w:sz w:val="30"/>
          <w:szCs w:val="30"/>
        </w:rPr>
      </w:pPr>
      <w:bookmarkStart w:id="489" w:name="_Toc221454631"/>
      <w:bookmarkStart w:id="490" w:name="_Toc235352281"/>
      <w:bookmarkStart w:id="491" w:name="_Toc235865640"/>
      <w:bookmarkStart w:id="492" w:name="_Toc211769702"/>
      <w:bookmarkStart w:id="493" w:name="_Toc235352377"/>
      <w:bookmarkStart w:id="494" w:name="_Toc235862398"/>
      <w:bookmarkStart w:id="495" w:name="_Toc364346101"/>
      <w:bookmarkStart w:id="496" w:name="_Toc235865729"/>
      <w:bookmarkStart w:id="497" w:name="_Toc239191519"/>
      <w:r>
        <w:rPr>
          <w:rFonts w:hint="eastAsia" w:ascii="黑体" w:hAnsi="宋体" w:eastAsia="黑体"/>
          <w:b w:val="0"/>
          <w:bCs/>
          <w:snapToGrid w:val="0"/>
          <w:sz w:val="30"/>
          <w:szCs w:val="30"/>
        </w:rPr>
        <w:t>5.</w:t>
      </w:r>
      <w:bookmarkEnd w:id="489"/>
      <w:bookmarkEnd w:id="490"/>
      <w:bookmarkEnd w:id="491"/>
      <w:bookmarkEnd w:id="492"/>
      <w:bookmarkEnd w:id="493"/>
      <w:bookmarkEnd w:id="494"/>
      <w:bookmarkEnd w:id="495"/>
      <w:bookmarkEnd w:id="496"/>
      <w:r>
        <w:rPr>
          <w:rFonts w:ascii="黑体" w:hAnsi="宋体" w:eastAsia="黑体"/>
          <w:b w:val="0"/>
          <w:bCs/>
          <w:snapToGrid w:val="0"/>
          <w:sz w:val="30"/>
          <w:szCs w:val="30"/>
        </w:rPr>
        <w:t>3</w:t>
      </w:r>
      <w:r>
        <w:rPr>
          <w:rFonts w:hint="eastAsia" w:ascii="黑体" w:hAnsi="宋体" w:eastAsia="黑体"/>
          <w:b w:val="0"/>
          <w:bCs/>
          <w:snapToGrid w:val="0"/>
          <w:sz w:val="30"/>
          <w:szCs w:val="30"/>
        </w:rPr>
        <w:t>安全设施及公用工程单元</w:t>
      </w:r>
      <w:bookmarkEnd w:id="497"/>
    </w:p>
    <w:p w14:paraId="370CCCA1">
      <w:pPr>
        <w:pStyle w:val="7"/>
        <w:rPr>
          <w:rFonts w:ascii="黑体" w:hAnsi="黑体" w:eastAsia="黑体" w:cs="宋体"/>
          <w:b w:val="0"/>
          <w:szCs w:val="28"/>
        </w:rPr>
      </w:pPr>
      <w:bookmarkStart w:id="498" w:name="_Toc165038821"/>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.1</w:t>
      </w:r>
      <w:bookmarkEnd w:id="498"/>
      <w:r>
        <w:rPr>
          <w:rFonts w:hint="eastAsia" w:ascii="黑体" w:hAnsi="黑体" w:eastAsia="黑体" w:cs="宋体"/>
          <w:b w:val="0"/>
          <w:szCs w:val="28"/>
        </w:rPr>
        <w:t>消防安全设施</w:t>
      </w:r>
    </w:p>
    <w:p w14:paraId="0112FDAE">
      <w:pPr>
        <w:spacing w:line="360" w:lineRule="auto"/>
        <w:ind w:firstLine="560" w:firstLineChars="200"/>
        <w:rPr>
          <w:rFonts w:ascii="宋体" w:hAnsi="宋体"/>
          <w:b w:val="0"/>
          <w:bCs/>
          <w:sz w:val="28"/>
          <w:szCs w:val="28"/>
        </w:rPr>
      </w:pPr>
      <w:r>
        <w:rPr>
          <w:rFonts w:hint="eastAsia" w:ascii="宋体" w:hAnsi="宋体"/>
          <w:b w:val="0"/>
          <w:bCs/>
          <w:sz w:val="28"/>
          <w:szCs w:val="28"/>
        </w:rPr>
        <w:t>该项目消防给水采用厂区内新设置的</w:t>
      </w:r>
      <w:r>
        <w:rPr>
          <w:rFonts w:ascii="宋体" w:hAnsi="宋体"/>
          <w:b w:val="0"/>
          <w:bCs/>
          <w:sz w:val="28"/>
          <w:szCs w:val="28"/>
        </w:rPr>
        <w:t>2</w:t>
      </w:r>
      <w:r>
        <w:rPr>
          <w:rFonts w:hint="eastAsia" w:ascii="宋体" w:hAnsi="宋体"/>
          <w:b w:val="0"/>
          <w:bCs/>
          <w:sz w:val="28"/>
          <w:szCs w:val="28"/>
        </w:rPr>
        <w:t>座高位消防水池蓄水（有效容积</w:t>
      </w:r>
      <w:r>
        <w:rPr>
          <w:rFonts w:ascii="宋体" w:hAnsi="宋体"/>
          <w:b w:val="0"/>
          <w:bCs/>
          <w:sz w:val="28"/>
          <w:szCs w:val="28"/>
        </w:rPr>
        <w:t>400m</w:t>
      </w:r>
      <w:r>
        <w:rPr>
          <w:rFonts w:ascii="宋体" w:hAnsi="宋体"/>
          <w:b w:val="0"/>
          <w:bCs/>
          <w:sz w:val="28"/>
          <w:szCs w:val="28"/>
          <w:vertAlign w:val="superscript"/>
        </w:rPr>
        <w:t>3</w:t>
      </w:r>
      <w:r>
        <w:rPr>
          <w:rFonts w:hint="eastAsia" w:ascii="宋体" w:hAnsi="宋体"/>
          <w:b w:val="0"/>
          <w:bCs/>
          <w:sz w:val="28"/>
          <w:szCs w:val="28"/>
        </w:rPr>
        <w:t>），该企业的室外消防水量25L/S，灭火时间3小时，一次性消防用水量=25×3.6×3=270m</w:t>
      </w:r>
      <w:r>
        <w:rPr>
          <w:rFonts w:hint="eastAsia" w:ascii="宋体" w:hAnsi="宋体"/>
          <w:b w:val="0"/>
          <w:bCs/>
          <w:sz w:val="28"/>
          <w:szCs w:val="28"/>
          <w:vertAlign w:val="superscript"/>
        </w:rPr>
        <w:t>3</w:t>
      </w:r>
      <w:r>
        <w:rPr>
          <w:rFonts w:hint="eastAsia" w:ascii="宋体" w:hAnsi="宋体"/>
          <w:b w:val="0"/>
          <w:bCs/>
          <w:sz w:val="28"/>
          <w:szCs w:val="28"/>
        </w:rPr>
        <w:t>，能满足火灾初期使用。补充水采用井水和厂区内水塘供水，用水泵送到高位水池，同时为消防管网提供不间断水源。</w:t>
      </w:r>
      <w:r>
        <w:rPr>
          <w:rFonts w:hint="eastAsia" w:ascii="宋体" w:hAnsi="宋体"/>
          <w:b w:val="0"/>
          <w:sz w:val="28"/>
          <w:szCs w:val="28"/>
          <w:lang w:val="en-GB"/>
        </w:rPr>
        <w:t>黑火药生产线、黑火药库区的消防用水通过厂区预埋的管网连接于厂区内的消火栓出水，利用消防水带、消防水枪达到消防的目的</w:t>
      </w:r>
      <w:r>
        <w:rPr>
          <w:rFonts w:hint="eastAsia" w:ascii="宋体" w:hAnsi="宋体"/>
          <w:b w:val="0"/>
          <w:bCs/>
          <w:sz w:val="28"/>
          <w:szCs w:val="28"/>
        </w:rPr>
        <w:t>。</w:t>
      </w:r>
      <w:r>
        <w:rPr>
          <w:rFonts w:hint="eastAsia" w:ascii="宋体" w:hAnsi="宋体"/>
          <w:b w:val="0"/>
          <w:sz w:val="28"/>
          <w:szCs w:val="28"/>
          <w:lang w:val="en-GB"/>
        </w:rPr>
        <w:t>设置的消火栓距黑火药生产线最远处距离均不超过150m。黑火药库区采用厂区管网进行消防供水，满足消防要求</w:t>
      </w:r>
      <w:r>
        <w:rPr>
          <w:rFonts w:hint="eastAsia" w:ascii="宋体" w:hAnsi="宋体"/>
          <w:b w:val="0"/>
          <w:bCs/>
          <w:sz w:val="28"/>
          <w:szCs w:val="28"/>
        </w:rPr>
        <w:t>。</w:t>
      </w:r>
    </w:p>
    <w:p w14:paraId="509AB0BC">
      <w:pPr>
        <w:widowControl/>
        <w:spacing w:line="360" w:lineRule="auto"/>
        <w:ind w:firstLine="560" w:firstLineChars="200"/>
        <w:rPr>
          <w:rFonts w:ascii="宋体" w:hAnsi="宋体" w:cs="宋体"/>
          <w:b w:val="0"/>
          <w:bCs/>
          <w:spacing w:val="10"/>
          <w:kern w:val="24"/>
          <w:sz w:val="28"/>
          <w:szCs w:val="28"/>
        </w:rPr>
      </w:pPr>
      <w:r>
        <w:rPr>
          <w:rFonts w:hint="eastAsia" w:ascii="宋体" w:hAnsi="宋体"/>
          <w:b w:val="0"/>
          <w:sz w:val="28"/>
          <w:szCs w:val="28"/>
        </w:rPr>
        <w:t>黑火药生产线、黑火药库区消防给水设施保护范围不大于150m，项目配备消防水泵以及消防水带、消防水枪、灭火器等。消防水源和消防设施、设备能够满足消防需要，立足于在火灾初期及时扑救</w:t>
      </w:r>
      <w:r>
        <w:rPr>
          <w:rFonts w:hint="eastAsia" w:ascii="宋体" w:hAnsi="宋体" w:cs="宋体"/>
          <w:b w:val="0"/>
          <w:bCs/>
          <w:spacing w:val="-6"/>
          <w:sz w:val="28"/>
          <w:szCs w:val="28"/>
        </w:rPr>
        <w:t>。</w:t>
      </w:r>
    </w:p>
    <w:p w14:paraId="597B02CC">
      <w:pPr>
        <w:pStyle w:val="7"/>
        <w:rPr>
          <w:rFonts w:ascii="黑体" w:hAnsi="黑体" w:eastAsia="黑体" w:cs="宋体"/>
          <w:b w:val="0"/>
          <w:szCs w:val="28"/>
        </w:rPr>
      </w:pPr>
      <w:bookmarkStart w:id="499" w:name="_Toc165038822"/>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.2</w:t>
      </w:r>
      <w:bookmarkEnd w:id="499"/>
      <w:r>
        <w:rPr>
          <w:rFonts w:hint="eastAsia" w:ascii="黑体" w:hAnsi="黑体" w:eastAsia="黑体" w:cs="宋体"/>
          <w:b w:val="0"/>
          <w:szCs w:val="28"/>
        </w:rPr>
        <w:t>防雷、防静电设施</w:t>
      </w:r>
    </w:p>
    <w:p w14:paraId="5F2743FE">
      <w:pPr>
        <w:spacing w:line="360" w:lineRule="auto"/>
        <w:ind w:firstLine="560" w:firstLineChars="200"/>
        <w:jc w:val="left"/>
        <w:rPr>
          <w:rFonts w:ascii="宋体" w:hAnsi="宋体"/>
          <w:b w:val="0"/>
          <w:bCs/>
          <w:sz w:val="28"/>
          <w:szCs w:val="28"/>
          <w:lang w:val="en-GB"/>
        </w:rPr>
      </w:pPr>
      <w:r>
        <w:rPr>
          <w:rFonts w:hint="eastAsia" w:ascii="宋体" w:hAnsi="宋体"/>
          <w:b w:val="0"/>
          <w:bCs/>
          <w:sz w:val="28"/>
          <w:szCs w:val="28"/>
        </w:rPr>
        <w:t>该项目</w:t>
      </w:r>
      <w:r>
        <w:rPr>
          <w:rFonts w:hint="eastAsia" w:ascii="宋体" w:hAnsi="宋体"/>
          <w:b w:val="0"/>
          <w:bCs/>
          <w:sz w:val="28"/>
          <w:szCs w:val="28"/>
          <w:lang w:val="en-GB"/>
        </w:rPr>
        <w:t>本次</w:t>
      </w:r>
      <w:r>
        <w:rPr>
          <w:rFonts w:hint="eastAsia" w:ascii="宋体" w:hAnsi="宋体"/>
          <w:b w:val="0"/>
          <w:bCs/>
          <w:sz w:val="28"/>
          <w:szCs w:val="28"/>
        </w:rPr>
        <w:t>新建</w:t>
      </w:r>
      <w:r>
        <w:rPr>
          <w:rFonts w:hint="eastAsia" w:ascii="宋体" w:hAnsi="宋体"/>
          <w:b w:val="0"/>
          <w:bCs/>
          <w:sz w:val="28"/>
          <w:szCs w:val="28"/>
          <w:lang w:val="en-GB"/>
        </w:rPr>
        <w:t>工</w:t>
      </w:r>
      <w:r>
        <w:rPr>
          <w:rFonts w:hint="eastAsia" w:ascii="宋体" w:hAnsi="宋体"/>
          <w:b w:val="0"/>
          <w:bCs/>
          <w:sz w:val="28"/>
          <w:szCs w:val="28"/>
        </w:rPr>
        <w:t>库</w:t>
      </w:r>
      <w:r>
        <w:rPr>
          <w:rFonts w:hint="eastAsia" w:ascii="宋体" w:hAnsi="宋体"/>
          <w:b w:val="0"/>
          <w:bCs/>
          <w:sz w:val="28"/>
          <w:szCs w:val="28"/>
          <w:lang w:val="en-GB"/>
        </w:rPr>
        <w:t>房拟依据标准根据不同的防雷类别采取相应的防雷措施，防雷装置</w:t>
      </w:r>
      <w:r>
        <w:rPr>
          <w:rFonts w:hint="eastAsia" w:ascii="宋体" w:hAnsi="宋体"/>
          <w:b w:val="0"/>
          <w:bCs/>
          <w:sz w:val="28"/>
          <w:szCs w:val="28"/>
        </w:rPr>
        <w:t>拟</w:t>
      </w:r>
      <w:r>
        <w:rPr>
          <w:rFonts w:hint="eastAsia" w:ascii="宋体" w:hAnsi="宋体"/>
          <w:b w:val="0"/>
          <w:bCs/>
          <w:sz w:val="28"/>
          <w:szCs w:val="28"/>
          <w:lang w:val="en-GB"/>
        </w:rPr>
        <w:t>委托有</w:t>
      </w:r>
      <w:r>
        <w:rPr>
          <w:rFonts w:hint="eastAsia" w:ascii="宋体" w:hAnsi="宋体"/>
          <w:b w:val="0"/>
          <w:bCs/>
          <w:sz w:val="28"/>
          <w:szCs w:val="28"/>
        </w:rPr>
        <w:t>相关</w:t>
      </w:r>
      <w:r>
        <w:rPr>
          <w:rFonts w:hint="eastAsia" w:ascii="宋体" w:hAnsi="宋体"/>
          <w:b w:val="0"/>
          <w:bCs/>
          <w:sz w:val="28"/>
          <w:szCs w:val="28"/>
          <w:lang w:val="en-GB"/>
        </w:rPr>
        <w:t>资质的单位进行设计、安装和检测。</w:t>
      </w:r>
    </w:p>
    <w:p w14:paraId="00685918">
      <w:pPr>
        <w:spacing w:line="360" w:lineRule="auto"/>
        <w:ind w:firstLine="560" w:firstLineChars="200"/>
        <w:rPr>
          <w:rFonts w:ascii="宋体" w:hAnsi="宋体"/>
          <w:b w:val="0"/>
          <w:bCs/>
          <w:sz w:val="28"/>
          <w:szCs w:val="28"/>
        </w:rPr>
      </w:pPr>
      <w:r>
        <w:rPr>
          <w:rFonts w:hint="eastAsia" w:ascii="宋体" w:hAnsi="宋体"/>
          <w:b w:val="0"/>
          <w:bCs/>
          <w:sz w:val="28"/>
          <w:szCs w:val="28"/>
        </w:rPr>
        <w:t>该项目拟在新建危险性工库房的出入口安装导静电装置，</w:t>
      </w:r>
      <w:r>
        <w:rPr>
          <w:rFonts w:ascii="宋体" w:hAnsi="宋体"/>
          <w:b w:val="0"/>
          <w:bCs/>
          <w:sz w:val="28"/>
          <w:szCs w:val="28"/>
        </w:rPr>
        <w:t>1.1</w:t>
      </w:r>
      <w:r>
        <w:rPr>
          <w:rFonts w:hint="eastAsia" w:ascii="宋体" w:hAnsi="宋体"/>
          <w:b w:val="0"/>
          <w:bCs/>
          <w:sz w:val="28"/>
          <w:szCs w:val="28"/>
        </w:rPr>
        <w:t>级工房拟采用导静电地面、工作台面，防静电工作台面拟采用铺设防静电橡胶板方式，防静电地面拟采用环氧树脂（或聚氨酯）自流平涂料地面，自流平涂料面下方应设静电接地网（带），或防静电地面采用铺设防静电橡胶板方式。</w:t>
      </w:r>
    </w:p>
    <w:p w14:paraId="3E2E9DD3">
      <w:pPr>
        <w:pStyle w:val="7"/>
        <w:rPr>
          <w:rFonts w:ascii="黑体" w:hAnsi="黑体" w:eastAsia="黑体" w:cs="宋体"/>
          <w:b w:val="0"/>
          <w:szCs w:val="28"/>
        </w:rPr>
      </w:pPr>
      <w:bookmarkStart w:id="500" w:name="_Toc165038823"/>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.3</w:t>
      </w:r>
      <w:bookmarkEnd w:id="500"/>
      <w:r>
        <w:rPr>
          <w:rFonts w:hint="eastAsia" w:ascii="黑体" w:hAnsi="黑体" w:eastAsia="黑体" w:cs="宋体"/>
          <w:b w:val="0"/>
          <w:szCs w:val="28"/>
        </w:rPr>
        <w:t>安全疏散通道</w:t>
      </w:r>
    </w:p>
    <w:p w14:paraId="1D6972A9">
      <w:pPr>
        <w:spacing w:line="360" w:lineRule="auto"/>
        <w:ind w:firstLine="560" w:firstLineChars="200"/>
        <w:rPr>
          <w:rFonts w:ascii="宋体" w:hAnsi="宋体" w:cs="宋体"/>
          <w:b w:val="0"/>
          <w:bCs/>
          <w:spacing w:val="10"/>
          <w:kern w:val="24"/>
          <w:sz w:val="28"/>
          <w:szCs w:val="28"/>
        </w:rPr>
      </w:pPr>
      <w:r>
        <w:rPr>
          <w:rFonts w:hint="eastAsia"/>
          <w:b w:val="0"/>
          <w:bCs/>
          <w:sz w:val="28"/>
          <w:szCs w:val="28"/>
        </w:rPr>
        <w:t>该项目拟建</w:t>
      </w:r>
      <w:r>
        <w:rPr>
          <w:rFonts w:hint="eastAsia"/>
          <w:b w:val="0"/>
          <w:bCs/>
          <w:sz w:val="28"/>
          <w:szCs w:val="28"/>
          <w:lang w:val="en-GB"/>
        </w:rPr>
        <w:t>主、</w:t>
      </w:r>
      <w:r>
        <w:rPr>
          <w:rFonts w:hint="eastAsia"/>
          <w:b w:val="0"/>
          <w:bCs/>
          <w:sz w:val="28"/>
          <w:szCs w:val="28"/>
        </w:rPr>
        <w:t>次</w:t>
      </w:r>
      <w:r>
        <w:rPr>
          <w:rFonts w:hint="eastAsia"/>
          <w:b w:val="0"/>
          <w:bCs/>
          <w:sz w:val="28"/>
          <w:szCs w:val="28"/>
          <w:lang w:val="en-GB"/>
        </w:rPr>
        <w:t>道路</w:t>
      </w:r>
      <w:r>
        <w:rPr>
          <w:rFonts w:hint="eastAsia"/>
          <w:b w:val="0"/>
          <w:bCs/>
          <w:sz w:val="28"/>
          <w:szCs w:val="28"/>
        </w:rPr>
        <w:t>，</w:t>
      </w:r>
      <w:r>
        <w:rPr>
          <w:rFonts w:hint="eastAsia"/>
          <w:b w:val="0"/>
          <w:bCs/>
          <w:sz w:val="28"/>
          <w:szCs w:val="28"/>
          <w:lang w:val="en-GB"/>
        </w:rPr>
        <w:t>厂内主次道路宽度、纵坡</w:t>
      </w:r>
      <w:r>
        <w:rPr>
          <w:rFonts w:hint="eastAsia"/>
          <w:b w:val="0"/>
          <w:bCs/>
          <w:sz w:val="28"/>
          <w:szCs w:val="28"/>
        </w:rPr>
        <w:t>应</w:t>
      </w:r>
      <w:r>
        <w:rPr>
          <w:rFonts w:hint="eastAsia"/>
          <w:b w:val="0"/>
          <w:bCs/>
          <w:sz w:val="28"/>
          <w:szCs w:val="28"/>
          <w:lang w:val="en-GB"/>
        </w:rPr>
        <w:t>符合疏散要求，工房（库房）内通道、外开门宽度</w:t>
      </w:r>
      <w:r>
        <w:rPr>
          <w:rFonts w:hint="eastAsia"/>
          <w:b w:val="0"/>
          <w:bCs/>
          <w:sz w:val="28"/>
          <w:szCs w:val="28"/>
        </w:rPr>
        <w:t>应</w:t>
      </w:r>
      <w:r>
        <w:rPr>
          <w:rFonts w:hint="eastAsia"/>
          <w:b w:val="0"/>
          <w:bCs/>
          <w:sz w:val="28"/>
          <w:szCs w:val="28"/>
          <w:lang w:val="en-GB"/>
        </w:rPr>
        <w:t>达标、畅通无阻，</w:t>
      </w:r>
      <w:r>
        <w:rPr>
          <w:rFonts w:hint="eastAsia"/>
          <w:b w:val="0"/>
          <w:bCs/>
          <w:sz w:val="28"/>
          <w:szCs w:val="28"/>
        </w:rPr>
        <w:t>并</w:t>
      </w:r>
      <w:r>
        <w:rPr>
          <w:rFonts w:hint="eastAsia"/>
          <w:b w:val="0"/>
          <w:bCs/>
          <w:sz w:val="28"/>
          <w:szCs w:val="28"/>
          <w:lang w:val="en-GB"/>
        </w:rPr>
        <w:t>满足人员安全疏散要求</w:t>
      </w:r>
      <w:r>
        <w:rPr>
          <w:rFonts w:hint="eastAsia" w:ascii="宋体" w:hAnsi="宋体" w:cs="宋体"/>
          <w:b w:val="0"/>
          <w:bCs/>
          <w:spacing w:val="10"/>
          <w:kern w:val="24"/>
          <w:sz w:val="28"/>
          <w:szCs w:val="28"/>
        </w:rPr>
        <w:t>。</w:t>
      </w:r>
    </w:p>
    <w:p w14:paraId="7160786F">
      <w:pPr>
        <w:pStyle w:val="7"/>
        <w:rPr>
          <w:rFonts w:ascii="黑体" w:hAnsi="黑体" w:eastAsia="黑体" w:cs="宋体"/>
          <w:b w:val="0"/>
          <w:szCs w:val="28"/>
        </w:rPr>
      </w:pPr>
      <w:bookmarkStart w:id="501" w:name="_Toc165038824"/>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.4</w:t>
      </w:r>
      <w:bookmarkEnd w:id="501"/>
      <w:r>
        <w:rPr>
          <w:rFonts w:hint="eastAsia" w:ascii="黑体" w:hAnsi="黑体" w:eastAsia="黑体" w:cs="宋体"/>
          <w:b w:val="0"/>
          <w:szCs w:val="28"/>
        </w:rPr>
        <w:t>风险预警与防控系统</w:t>
      </w:r>
    </w:p>
    <w:p w14:paraId="1CF93FA0">
      <w:pPr>
        <w:spacing w:line="360" w:lineRule="auto"/>
        <w:ind w:firstLine="560" w:firstLineChars="200"/>
        <w:rPr>
          <w:rFonts w:cs="宋体" w:asciiTheme="minorEastAsia" w:hAnsiTheme="minorEastAsia" w:eastAsiaTheme="minorEastAsia"/>
          <w:b w:val="0"/>
          <w:bCs/>
          <w:sz w:val="28"/>
          <w:szCs w:val="28"/>
        </w:rPr>
      </w:pPr>
      <w:bookmarkStart w:id="502" w:name="_Toc165038825"/>
      <w:r>
        <w:rPr>
          <w:rFonts w:hint="eastAsia" w:cs="宋体" w:asciiTheme="minorEastAsia" w:hAnsiTheme="minorEastAsia" w:eastAsiaTheme="minorEastAsia"/>
          <w:b w:val="0"/>
          <w:bCs/>
          <w:sz w:val="28"/>
          <w:szCs w:val="28"/>
        </w:rPr>
        <w:t>1.烟花爆竹行业风险监测预警系统是一种运用现代信息技术、数据处理与分析技术、传感器网络、智能监控设备等工具，针对烟花爆竹领域潜在风险因素进行实时监测、识别、评估与预警的综合性管理系统；主要包括视频监控系统、智能感知系统以及视频智能分析报警系统；组成该系统的主要设备有：摄像头、硬盘录像机、显示器、智能音箱、智能人体静电释放器、温湿度采集、视频智能分析主机等。</w:t>
      </w:r>
    </w:p>
    <w:p w14:paraId="210A95FF">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2.风险检测预警系统应实现的基本功能</w:t>
      </w:r>
    </w:p>
    <w:p w14:paraId="2E292C4F">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超员生产行为识别上传。</w:t>
      </w:r>
    </w:p>
    <w:p w14:paraId="7C958FEA">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静电释放管控信息识别上传。</w:t>
      </w:r>
    </w:p>
    <w:p w14:paraId="10BEED36">
      <w:pPr>
        <w:numPr>
          <w:ilvl w:val="0"/>
          <w:numId w:val="19"/>
        </w:numPr>
        <w:spacing w:line="360" w:lineRule="auto"/>
        <w:ind w:left="0" w:firstLine="536" w:firstLineChars="200"/>
        <w:rPr>
          <w:rFonts w:cs="宋体" w:asciiTheme="minorEastAsia" w:hAnsiTheme="minorEastAsia" w:eastAsiaTheme="minorEastAsia"/>
          <w:b w:val="0"/>
          <w:bCs/>
          <w:spacing w:val="-6"/>
          <w:sz w:val="28"/>
          <w:szCs w:val="28"/>
        </w:rPr>
      </w:pPr>
      <w:r>
        <w:rPr>
          <w:rFonts w:hint="eastAsia" w:cs="宋体" w:asciiTheme="minorEastAsia" w:hAnsiTheme="minorEastAsia" w:eastAsiaTheme="minorEastAsia"/>
          <w:b w:val="0"/>
          <w:bCs/>
          <w:spacing w:val="-6"/>
          <w:sz w:val="28"/>
          <w:szCs w:val="28"/>
        </w:rPr>
        <w:t>入侵行为（机械进入、有药库房非法入侵等）行为识别上传。</w:t>
      </w:r>
    </w:p>
    <w:p w14:paraId="079EE4FF">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自动语音提醒。</w:t>
      </w:r>
    </w:p>
    <w:p w14:paraId="75C3BCD6">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远程监管喊话。</w:t>
      </w:r>
    </w:p>
    <w:p w14:paraId="71305267">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温度、湿度采集上传。</w:t>
      </w:r>
    </w:p>
    <w:p w14:paraId="65D63293">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违反停产指令作业行为识别上传。</w:t>
      </w:r>
    </w:p>
    <w:p w14:paraId="655F26AA">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实时监控视频上传、在线回放。</w:t>
      </w:r>
    </w:p>
    <w:p w14:paraId="0E5B2BDE">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涉药机械设备运行状态监控。</w:t>
      </w:r>
    </w:p>
    <w:p w14:paraId="5AAE8A89">
      <w:pPr>
        <w:numPr>
          <w:ilvl w:val="0"/>
          <w:numId w:val="19"/>
        </w:numPr>
        <w:spacing w:line="360" w:lineRule="auto"/>
        <w:ind w:left="0"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生产区出入口应实现人员识别、收集功能。</w:t>
      </w:r>
    </w:p>
    <w:p w14:paraId="75058E05">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随着科学技术的不断更新发展，应不断完善风险监测预警系统的功能，支持和鼓励创新，应用新技术新手段，开发应用新功能，如：超温（超高温、超低温）作业识别上传，监控值守人员脱岗识别上传、人体综合电阻检测上传、改变作业流程识别上传、不良操作行为识别上传、超时长作业识别上传、擅自移动摄像头行为识别上传、擅自关闭预警系统识别上传、特种作业岗位人员识别及报警功能等。</w:t>
      </w:r>
    </w:p>
    <w:p w14:paraId="7126575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风险监测预警系统的技术参数应当符合《关于2021年度烟花爆竹生产企业安全风险监测预警系统基本功能和相关要求的函》（2021年8月13日）、《烟花爆竹工程设计安全标准》（GB50161-2022）、《烟花爆竹安全生产风险监测预警技术规范》（AQ4101-2026）、《视频安防监控系统技术要求》（GA/T367-2001）等国家标准、行业标准的相关规定。</w:t>
      </w:r>
    </w:p>
    <w:p w14:paraId="66F28D3C">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5.为记录现场语音情况，宜选用具有录音功能的摄像头；摄像头安装部位和数量应按如下规定确定：</w:t>
      </w:r>
    </w:p>
    <w:p w14:paraId="022119C8">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w:t>
      </w:r>
      <w:r>
        <w:rPr>
          <w:rFonts w:hint="eastAsia" w:cs="宋体" w:asciiTheme="minorEastAsia" w:hAnsiTheme="minorEastAsia" w:eastAsiaTheme="minorEastAsia"/>
          <w:b w:val="0"/>
          <w:bCs/>
          <w:spacing w:val="-10"/>
          <w:sz w:val="28"/>
          <w:szCs w:val="28"/>
        </w:rPr>
        <w:t>1.1</w:t>
      </w:r>
      <w:r>
        <w:rPr>
          <w:rFonts w:hint="eastAsia" w:cs="宋体" w:asciiTheme="minorEastAsia" w:hAnsiTheme="minorEastAsia" w:eastAsiaTheme="minorEastAsia"/>
          <w:b w:val="0"/>
          <w:bCs/>
          <w:spacing w:val="-10"/>
          <w:sz w:val="28"/>
          <w:szCs w:val="28"/>
          <w:vertAlign w:val="superscript"/>
        </w:rPr>
        <w:t>-1</w:t>
      </w:r>
      <w:r>
        <w:rPr>
          <w:rFonts w:hint="eastAsia" w:cs="宋体" w:asciiTheme="minorEastAsia" w:hAnsiTheme="minorEastAsia" w:eastAsiaTheme="minorEastAsia"/>
          <w:b w:val="0"/>
          <w:bCs/>
          <w:spacing w:val="-10"/>
          <w:sz w:val="28"/>
          <w:szCs w:val="28"/>
        </w:rPr>
        <w:t>级操作间每栋应安装不少于1个摄像头，1栋1间型的1.1</w:t>
      </w:r>
      <w:r>
        <w:rPr>
          <w:rFonts w:hint="eastAsia" w:cs="宋体" w:asciiTheme="minorEastAsia" w:hAnsiTheme="minorEastAsia" w:eastAsiaTheme="minorEastAsia"/>
          <w:b w:val="0"/>
          <w:bCs/>
          <w:spacing w:val="-10"/>
          <w:sz w:val="28"/>
          <w:szCs w:val="28"/>
          <w:vertAlign w:val="superscript"/>
        </w:rPr>
        <w:t>-2</w:t>
      </w:r>
      <w:r>
        <w:rPr>
          <w:rFonts w:hint="eastAsia" w:cs="宋体" w:asciiTheme="minorEastAsia" w:hAnsiTheme="minorEastAsia" w:eastAsiaTheme="minorEastAsia"/>
          <w:b w:val="0"/>
          <w:bCs/>
          <w:spacing w:val="-10"/>
          <w:sz w:val="28"/>
          <w:szCs w:val="28"/>
        </w:rPr>
        <w:t>级操作</w:t>
      </w:r>
      <w:r>
        <w:rPr>
          <w:rFonts w:hint="eastAsia" w:cs="宋体" w:asciiTheme="minorEastAsia" w:hAnsiTheme="minorEastAsia" w:eastAsiaTheme="minorEastAsia"/>
          <w:b w:val="0"/>
          <w:bCs/>
          <w:sz w:val="28"/>
          <w:szCs w:val="28"/>
        </w:rPr>
        <w:t>间每栋应安装不少于1个摄像头，1栋2间型的1.1</w:t>
      </w:r>
      <w:r>
        <w:rPr>
          <w:rFonts w:hint="eastAsia" w:cs="宋体" w:asciiTheme="minorEastAsia" w:hAnsiTheme="minorEastAsia" w:eastAsiaTheme="minorEastAsia"/>
          <w:b w:val="0"/>
          <w:bCs/>
          <w:sz w:val="28"/>
          <w:szCs w:val="28"/>
          <w:vertAlign w:val="superscript"/>
        </w:rPr>
        <w:t>-2</w:t>
      </w:r>
      <w:r>
        <w:rPr>
          <w:rFonts w:hint="eastAsia" w:cs="宋体" w:asciiTheme="minorEastAsia" w:hAnsiTheme="minorEastAsia" w:eastAsiaTheme="minorEastAsia"/>
          <w:b w:val="0"/>
          <w:bCs/>
          <w:sz w:val="28"/>
          <w:szCs w:val="28"/>
        </w:rPr>
        <w:t>级操作间应安装不少于2个摄像头，确保其操作区域在视频监控范围内；</w:t>
      </w:r>
    </w:p>
    <w:p w14:paraId="4AE6BF1C">
      <w:pPr>
        <w:numPr>
          <w:ilvl w:val="0"/>
          <w:numId w:val="20"/>
        </w:num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黑火药库区每栋库房应安装不少于1个摄像头，确保每栋库房的出入口在视频监控范围内；</w:t>
      </w:r>
    </w:p>
    <w:p w14:paraId="113E6A85">
      <w:pPr>
        <w:numPr>
          <w:ilvl w:val="0"/>
          <w:numId w:val="20"/>
        </w:num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黑火药库区应在关键部位安装防入侵摄像头；</w:t>
      </w:r>
    </w:p>
    <w:p w14:paraId="22893687">
      <w:pPr>
        <w:numPr>
          <w:ilvl w:val="0"/>
          <w:numId w:val="20"/>
        </w:num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1.1级造粒中转、制片中转、筛选中转、半成品中转间每栋应安装不少于1个摄像头，确保每栋工房的出入口在视频监控范围内；</w:t>
      </w:r>
    </w:p>
    <w:p w14:paraId="04FD9417">
      <w:pPr>
        <w:numPr>
          <w:ilvl w:val="0"/>
          <w:numId w:val="20"/>
        </w:num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涉药机械工房人员操作区域、机械区域、抗爆区域出入口均应安装摄像头，监控机械运行状况及人员操作和出入情况：</w:t>
      </w:r>
    </w:p>
    <w:p w14:paraId="0F26EEEE">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1）1.3级生产车间内至少应安装不少于1个摄像头，确保操作区域在视频监控范围内；</w:t>
      </w:r>
    </w:p>
    <w:p w14:paraId="63A8D94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2）原材料间每栋应安装不少于1个摄像头，确保其区域在视频监控范围内；</w:t>
      </w:r>
    </w:p>
    <w:p w14:paraId="5FA386A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3）专用药物运输道路上应安装多个摄像头，确保整个药物运输道路在视频监控范围内；</w:t>
      </w:r>
    </w:p>
    <w:p w14:paraId="1F72828D">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4</w:t>
      </w:r>
      <w:r>
        <w:rPr>
          <w:rFonts w:hint="eastAsia" w:cs="宋体" w:asciiTheme="minorEastAsia" w:hAnsiTheme="minorEastAsia" w:eastAsiaTheme="minorEastAsia"/>
          <w:b w:val="0"/>
          <w:bCs/>
          <w:sz w:val="28"/>
          <w:szCs w:val="28"/>
        </w:rPr>
        <w:t>）1.1级生产线通道上应安装多个摄像头，确保整个通道在视频监控范围内；</w:t>
      </w:r>
    </w:p>
    <w:p w14:paraId="07071DB0">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5</w:t>
      </w:r>
      <w:r>
        <w:rPr>
          <w:rFonts w:hint="eastAsia" w:cs="宋体" w:asciiTheme="minorEastAsia" w:hAnsiTheme="minorEastAsia" w:eastAsiaTheme="minorEastAsia"/>
          <w:b w:val="0"/>
          <w:bCs/>
          <w:sz w:val="28"/>
          <w:szCs w:val="28"/>
        </w:rPr>
        <w:t>）厂区出入口、库区出入口、生产区域重要路口，分别应安装不少于1个摄像头，确保其区域在视频监控范围内；</w:t>
      </w:r>
    </w:p>
    <w:p w14:paraId="370AA0D6">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6</w:t>
      </w:r>
      <w:r>
        <w:rPr>
          <w:rFonts w:hint="eastAsia" w:cs="宋体" w:asciiTheme="minorEastAsia" w:hAnsiTheme="minorEastAsia" w:eastAsiaTheme="minorEastAsia"/>
          <w:b w:val="0"/>
          <w:bCs/>
          <w:sz w:val="28"/>
          <w:szCs w:val="28"/>
        </w:rPr>
        <w:t>）涉药机械的控制室应安装摄像头，确保职工控制机械的操作行为在视频监控范围内；</w:t>
      </w:r>
    </w:p>
    <w:p w14:paraId="2DC8F88D">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7</w:t>
      </w:r>
      <w:r>
        <w:rPr>
          <w:rFonts w:hint="eastAsia" w:cs="宋体" w:asciiTheme="minorEastAsia" w:hAnsiTheme="minorEastAsia" w:eastAsiaTheme="minorEastAsia"/>
          <w:b w:val="0"/>
          <w:bCs/>
          <w:sz w:val="28"/>
          <w:szCs w:val="28"/>
        </w:rPr>
        <w:t>）企业应设置与企业规模相匹配的风险监测预警控制室，且应安装不少于1个摄像头，确保控制室中的机柜、显示屏、人员值守区域在视频监控范围内；</w:t>
      </w:r>
    </w:p>
    <w:p w14:paraId="11F405A7">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8</w:t>
      </w:r>
      <w:r>
        <w:rPr>
          <w:rFonts w:hint="eastAsia" w:cs="宋体" w:asciiTheme="minorEastAsia" w:hAnsiTheme="minorEastAsia" w:eastAsiaTheme="minorEastAsia"/>
          <w:b w:val="0"/>
          <w:bCs/>
          <w:sz w:val="28"/>
          <w:szCs w:val="28"/>
        </w:rPr>
        <w:t>）其他操作工房、中转工房等危险作业场所，应根据实际情况确定摄像头安装数量，确保人员出入等情况在视频监控范围内。</w:t>
      </w:r>
    </w:p>
    <w:p w14:paraId="598995A2">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6.风险监测预警系统的施工应严格遵守《视频安防监控系统技术要求》（GA/T367-2001）、《安全防范工程技术标准》（GB50348-2018）的相关规定。为提高稳定性、可靠性、安全性、耐用性，应做好如下防范措施：</w:t>
      </w:r>
    </w:p>
    <w:p w14:paraId="0E3E4A03">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（1）应按如下要求做好防雷措施：</w:t>
      </w:r>
    </w:p>
    <w:p w14:paraId="06AA069F">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1）监控机房引入的电源应采取三级配电二级保护的措施。</w:t>
      </w:r>
    </w:p>
    <w:p w14:paraId="43CCB7B6">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2）机房内的视频智能分析主机、硬盘录像机、光纤收发器等设备应使用电源防雷插座。</w:t>
      </w:r>
    </w:p>
    <w:p w14:paraId="1FB0929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3）各分叉箱体处均应安装电涌保护器以泄放机房至分线盒处线路的雷电感应电流。</w:t>
      </w:r>
    </w:p>
    <w:p w14:paraId="53F38929">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4）机房内所有设备应进行等电位连接。</w:t>
      </w:r>
    </w:p>
    <w:p w14:paraId="40E1C47C">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5）机房处应设置接地地网，且接地阻值不大于4Ω，接地导线应选用截面积大于16平方毫米的铜芯线。</w:t>
      </w:r>
    </w:p>
    <w:p w14:paraId="303B93AD">
      <w:pPr>
        <w:spacing w:line="360" w:lineRule="auto"/>
        <w:ind w:firstLine="536"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pacing w:val="-6"/>
          <w:sz w:val="28"/>
          <w:szCs w:val="28"/>
        </w:rPr>
        <w:t>6）架空铺设的光纤，加强芯在光纤分叉箱体处及机房处均应做接地处理。</w:t>
      </w:r>
    </w:p>
    <w:p w14:paraId="789D2A63">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7）室外摄像头、分叉箱体的金属立杆应深埋处理，尽量降低接地电阻。</w:t>
      </w:r>
    </w:p>
    <w:p w14:paraId="4070104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8）前端及机房的防雷接地，宜共用厂区防感应雷地网，以提高接地的可靠性。</w:t>
      </w:r>
    </w:p>
    <w:p w14:paraId="262E2906">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9）风险监测预警系统的防雷系统，宜由专业人员设计安装，应按要求定期进行专业检测。</w:t>
      </w:r>
    </w:p>
    <w:p w14:paraId="53E896DB">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（2）应按如下要求做好防爆措施：</w:t>
      </w:r>
    </w:p>
    <w:p w14:paraId="1CF03AEF">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1）安装在工房内或粉尘场所电气设备的防爆等级应符合《烟花爆竹工程设计安全标准》（GB50161-2022）第12.2节的规定。</w:t>
      </w:r>
    </w:p>
    <w:p w14:paraId="4711A177">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2）电气线路的选型与安装应符合《烟花爆竹工程设计安全标准》（GB50161-2022）第12.3节的规定，使其符合防爆要求。</w:t>
      </w:r>
    </w:p>
    <w:p w14:paraId="0A6C266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（3）工程施工应特别注意如下要求：</w:t>
      </w:r>
    </w:p>
    <w:p w14:paraId="72090A09">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1）前端摄像机和录像机之间应采用有线连接，严禁使用无线、微波等无线连接方式；前端摄像机宜安装在危险工房外，必须安装在工房内的，应做好防爆、绝缘、防雷、接地、防火等措施。</w:t>
      </w:r>
    </w:p>
    <w:p w14:paraId="5FD3015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摄像头应根据实际距离，选择适合的焦距，确保图像清晰，比例适宜，摄像头的安装应对准关键部位（如操作间必须对准人员操作区域等），在选择安装位置时应综合考虑顺光逆光等多种影响图像质量的因素，确保图像质量清晰。</w:t>
      </w:r>
    </w:p>
    <w:p w14:paraId="3CE6589E">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3）摄像头不应采用POE供电，主电源应采用集中供电方式。</w:t>
      </w:r>
    </w:p>
    <w:p w14:paraId="6BE27738">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4）220V 电源线不应敷设在1.1级工房墙体上；电源线不应与光纤、网线共用同一套管。</w:t>
      </w:r>
    </w:p>
    <w:p w14:paraId="6A0486AB">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7.企业应做好风险监测预警系统的日常管理与维护保养工作。</w:t>
      </w:r>
    </w:p>
    <w:p w14:paraId="4AAF3A8B">
      <w:pPr>
        <w:spacing w:line="360" w:lineRule="auto"/>
        <w:ind w:firstLine="536" w:firstLineChars="200"/>
        <w:rPr>
          <w:rFonts w:cs="宋体" w:asciiTheme="minorEastAsia" w:hAnsiTheme="minorEastAsia" w:eastAsiaTheme="minorEastAsia"/>
          <w:b w:val="0"/>
          <w:bCs/>
          <w:spacing w:val="-6"/>
          <w:sz w:val="28"/>
          <w:szCs w:val="28"/>
        </w:rPr>
      </w:pPr>
      <w:r>
        <w:rPr>
          <w:rFonts w:hint="eastAsia" w:cs="宋体" w:asciiTheme="minorEastAsia" w:hAnsiTheme="minorEastAsia" w:eastAsiaTheme="minorEastAsia"/>
          <w:b w:val="0"/>
          <w:bCs/>
          <w:spacing w:val="-6"/>
          <w:sz w:val="28"/>
          <w:szCs w:val="28"/>
        </w:rPr>
        <w:t>1）应结合本企业实际情况，建立健全风险监测预警系统管理制度。</w:t>
      </w:r>
    </w:p>
    <w:p w14:paraId="3F65B9F7">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应遵循“一主两备”的管理员配置原则，明确指定一名专职的风险监测预警系统管理员，并同步配备不少于两名具备同等专业能力和应急响应职责的备用管理员，从而确保在任何情况下，风险监测预警系统的运行与管理都能保持无缝衔接与高效值守，并确保生产与值守同步。</w:t>
      </w:r>
    </w:p>
    <w:p w14:paraId="3C9C1FE8">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3）应及时跟踪处理安全警报，对接收到的预警信息进行核查、跟踪和闭环管理，直至风险得到有效控制或解除。</w:t>
      </w:r>
    </w:p>
    <w:p w14:paraId="4C80E5B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4）应建立风险监测预警系统管理台账，如实记录风险处置情况。</w:t>
      </w:r>
    </w:p>
    <w:p w14:paraId="07F88C0C">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5）应及时检查系统设备的工作状况，当设备出现异常或故障，应在2小时内告知维保公司，并对维保工作进行跟踪，确保故障及时排除。</w:t>
      </w:r>
    </w:p>
    <w:p w14:paraId="65216C8B">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 xml:space="preserve">  6）风险监测预警系统出现故障，其相应工房或生产线应及时停止生产，待修复后方可恢复生产。</w:t>
      </w:r>
    </w:p>
    <w:p w14:paraId="4E4DF593">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8.火灾自动报警系统应符合下列规定</w:t>
      </w:r>
    </w:p>
    <w:p w14:paraId="1FD2E384">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仅需要报警，不需要联动雨淋系统时，宜采用区域报警系统；需要报警的同时需要联动消防雨淋系统时，应采用集中报警系统，并应设置消防控制室。火灾报警区域应按照单个危险品厂房划分。火灾探测区域应按照危险工作间划分，且探测区域的面积应覆盖生产工艺要求的保护面积。</w:t>
      </w:r>
    </w:p>
    <w:p w14:paraId="786F13FE">
      <w:pPr>
        <w:spacing w:line="360" w:lineRule="auto"/>
        <w:ind w:firstLine="536" w:firstLineChars="200"/>
        <w:rPr>
          <w:rFonts w:cs="宋体" w:asciiTheme="minorEastAsia" w:hAnsiTheme="minorEastAsia" w:eastAsiaTheme="minorEastAsia"/>
          <w:b w:val="0"/>
          <w:bCs/>
          <w:spacing w:val="-6"/>
          <w:sz w:val="28"/>
          <w:szCs w:val="28"/>
        </w:rPr>
      </w:pPr>
      <w:r>
        <w:rPr>
          <w:rFonts w:hint="eastAsia" w:cs="宋体" w:asciiTheme="minorEastAsia" w:hAnsiTheme="minorEastAsia" w:eastAsiaTheme="minorEastAsia"/>
          <w:b w:val="0"/>
          <w:bCs/>
          <w:spacing w:val="-6"/>
          <w:sz w:val="28"/>
          <w:szCs w:val="28"/>
        </w:rPr>
        <w:t>2）火灾自动报警系统应选择响应时间不超过50ms的感应探测器。</w:t>
      </w:r>
    </w:p>
    <w:p w14:paraId="585EFDB2">
      <w:pPr>
        <w:spacing w:line="360" w:lineRule="auto"/>
        <w:ind w:firstLine="560" w:firstLineChars="200"/>
        <w:rPr>
          <w:rFonts w:cs="宋体" w:asciiTheme="minorEastAsia" w:hAnsiTheme="minorEastAsia" w:eastAsiaTheme="minorEastAsia"/>
          <w:b w:val="0"/>
          <w:bCs/>
          <w:sz w:val="28"/>
          <w:szCs w:val="28"/>
        </w:rPr>
      </w:pPr>
      <w:r>
        <w:rPr>
          <w:rFonts w:cs="宋体" w:asciiTheme="minorEastAsia" w:hAnsiTheme="minorEastAsia" w:eastAsiaTheme="minorEastAsia"/>
          <w:b w:val="0"/>
          <w:bCs/>
          <w:sz w:val="28"/>
          <w:szCs w:val="28"/>
        </w:rPr>
        <w:t>3</w:t>
      </w:r>
      <w:r>
        <w:rPr>
          <w:rFonts w:hint="eastAsia" w:cs="宋体" w:asciiTheme="minorEastAsia" w:hAnsiTheme="minorEastAsia" w:eastAsiaTheme="minorEastAsia"/>
          <w:b w:val="0"/>
          <w:bCs/>
          <w:sz w:val="28"/>
          <w:szCs w:val="28"/>
        </w:rPr>
        <w:t>）各区域火灾报警控制器应设置在值班室或消防控制室内。</w:t>
      </w:r>
    </w:p>
    <w:p w14:paraId="4F376A68">
      <w:pPr>
        <w:spacing w:line="360" w:lineRule="auto"/>
        <w:ind w:firstLine="560" w:firstLineChars="200"/>
      </w:pPr>
      <w:r>
        <w:rPr>
          <w:rFonts w:cs="宋体" w:asciiTheme="minorEastAsia" w:hAnsiTheme="minorEastAsia" w:eastAsiaTheme="minorEastAsia"/>
          <w:b w:val="0"/>
          <w:bCs/>
          <w:sz w:val="28"/>
          <w:szCs w:val="28"/>
        </w:rPr>
        <w:t>4</w:t>
      </w:r>
      <w:r>
        <w:rPr>
          <w:rFonts w:hint="eastAsia" w:cs="宋体" w:asciiTheme="minorEastAsia" w:hAnsiTheme="minorEastAsia" w:eastAsiaTheme="minorEastAsia"/>
          <w:b w:val="0"/>
          <w:bCs/>
          <w:sz w:val="28"/>
          <w:szCs w:val="28"/>
        </w:rPr>
        <w:t>）火灾报警系统设计除应符合本规定外，尚应符合现行国家标准《火灾自动报警系统设计规范》（GB50116-2013）的规定。</w:t>
      </w:r>
    </w:p>
    <w:p w14:paraId="1BFA0255">
      <w:pPr>
        <w:pStyle w:val="7"/>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.5</w:t>
      </w:r>
      <w:bookmarkEnd w:id="502"/>
      <w:r>
        <w:rPr>
          <w:rFonts w:hint="eastAsia" w:ascii="黑体" w:hAnsi="黑体" w:eastAsia="黑体" w:cs="宋体"/>
          <w:b w:val="0"/>
          <w:szCs w:val="28"/>
        </w:rPr>
        <w:t>安全警示标识</w:t>
      </w:r>
    </w:p>
    <w:p w14:paraId="61383598">
      <w:pPr>
        <w:spacing w:line="360" w:lineRule="auto"/>
        <w:ind w:firstLine="560" w:firstLineChars="200"/>
        <w:rPr>
          <w:rFonts w:ascii="宋体" w:hAnsi="宋体" w:cs="宋体"/>
          <w:b w:val="0"/>
          <w:bCs/>
          <w:spacing w:val="10"/>
          <w:kern w:val="24"/>
          <w:sz w:val="28"/>
          <w:szCs w:val="28"/>
        </w:rPr>
      </w:pPr>
      <w:r>
        <w:rPr>
          <w:rFonts w:hint="eastAsia"/>
          <w:b w:val="0"/>
          <w:bCs/>
          <w:sz w:val="28"/>
          <w:szCs w:val="28"/>
        </w:rPr>
        <w:t>该企业拟在新建工库房设立相应工房标识牌，在厂区增设</w:t>
      </w:r>
      <w:r>
        <w:rPr>
          <w:rFonts w:hint="eastAsia"/>
          <w:b w:val="0"/>
          <w:bCs/>
          <w:sz w:val="28"/>
          <w:szCs w:val="28"/>
          <w:lang w:val="en-GB"/>
        </w:rPr>
        <w:t>“消防重点单位”、“严禁超员”、“严禁超量”、“</w:t>
      </w:r>
      <w:r>
        <w:rPr>
          <w:rFonts w:hint="eastAsia"/>
          <w:b w:val="0"/>
          <w:bCs/>
          <w:sz w:val="28"/>
          <w:szCs w:val="28"/>
        </w:rPr>
        <w:t>禁止</w:t>
      </w:r>
      <w:r>
        <w:rPr>
          <w:rFonts w:hint="eastAsia"/>
          <w:b w:val="0"/>
          <w:bCs/>
          <w:sz w:val="28"/>
          <w:szCs w:val="28"/>
          <w:lang w:val="en-GB"/>
        </w:rPr>
        <w:t>烟火”、“</w:t>
      </w:r>
      <w:r>
        <w:rPr>
          <w:rFonts w:hint="eastAsia"/>
          <w:b w:val="0"/>
          <w:bCs/>
          <w:sz w:val="28"/>
          <w:szCs w:val="28"/>
        </w:rPr>
        <w:t>禁止吸烟</w:t>
      </w:r>
      <w:r>
        <w:rPr>
          <w:rFonts w:hint="eastAsia"/>
          <w:b w:val="0"/>
          <w:bCs/>
          <w:sz w:val="28"/>
          <w:szCs w:val="28"/>
          <w:lang w:val="en-GB"/>
        </w:rPr>
        <w:t>”、“</w:t>
      </w:r>
      <w:r>
        <w:rPr>
          <w:rFonts w:hint="eastAsia"/>
          <w:b w:val="0"/>
          <w:bCs/>
          <w:sz w:val="28"/>
          <w:szCs w:val="28"/>
        </w:rPr>
        <w:t>禁止带火种</w:t>
      </w:r>
      <w:r>
        <w:rPr>
          <w:rFonts w:hint="eastAsia"/>
          <w:b w:val="0"/>
          <w:bCs/>
          <w:sz w:val="28"/>
          <w:szCs w:val="28"/>
          <w:lang w:val="en-GB"/>
        </w:rPr>
        <w:t>”、“</w:t>
      </w:r>
      <w:r>
        <w:rPr>
          <w:rFonts w:hint="eastAsia"/>
          <w:b w:val="0"/>
          <w:bCs/>
          <w:sz w:val="28"/>
          <w:szCs w:val="28"/>
        </w:rPr>
        <w:t>注意安全</w:t>
      </w:r>
      <w:r>
        <w:rPr>
          <w:rFonts w:hint="eastAsia"/>
          <w:b w:val="0"/>
          <w:bCs/>
          <w:sz w:val="28"/>
          <w:szCs w:val="28"/>
          <w:lang w:val="en-GB"/>
        </w:rPr>
        <w:t>”、“</w:t>
      </w:r>
      <w:r>
        <w:rPr>
          <w:rFonts w:hint="eastAsia"/>
          <w:b w:val="0"/>
          <w:bCs/>
          <w:sz w:val="28"/>
          <w:szCs w:val="28"/>
        </w:rPr>
        <w:t>当心火灾</w:t>
      </w:r>
      <w:r>
        <w:rPr>
          <w:rFonts w:hint="eastAsia"/>
          <w:b w:val="0"/>
          <w:bCs/>
          <w:sz w:val="28"/>
          <w:szCs w:val="28"/>
          <w:lang w:val="en-GB"/>
        </w:rPr>
        <w:t>”、“</w:t>
      </w:r>
      <w:r>
        <w:rPr>
          <w:rFonts w:hint="eastAsia"/>
          <w:b w:val="0"/>
          <w:bCs/>
          <w:sz w:val="28"/>
          <w:szCs w:val="28"/>
        </w:rPr>
        <w:t>当心爆炸</w:t>
      </w:r>
      <w:r>
        <w:rPr>
          <w:rFonts w:hint="eastAsia"/>
          <w:b w:val="0"/>
          <w:bCs/>
          <w:sz w:val="28"/>
          <w:szCs w:val="28"/>
          <w:lang w:val="en-GB"/>
        </w:rPr>
        <w:t>”、“</w:t>
      </w:r>
      <w:r>
        <w:rPr>
          <w:rFonts w:hint="eastAsia"/>
          <w:b w:val="0"/>
          <w:bCs/>
          <w:sz w:val="28"/>
          <w:szCs w:val="28"/>
        </w:rPr>
        <w:t>当心触电</w:t>
      </w:r>
      <w:r>
        <w:rPr>
          <w:rFonts w:hint="eastAsia"/>
          <w:b w:val="0"/>
          <w:bCs/>
          <w:sz w:val="28"/>
          <w:szCs w:val="28"/>
          <w:lang w:val="en-GB"/>
        </w:rPr>
        <w:t>”等安全警示标志</w:t>
      </w:r>
      <w:r>
        <w:rPr>
          <w:rFonts w:hint="eastAsia" w:ascii="宋体" w:hAnsi="宋体" w:cs="宋体"/>
          <w:b w:val="0"/>
          <w:bCs/>
          <w:spacing w:val="10"/>
          <w:kern w:val="24"/>
          <w:sz w:val="28"/>
          <w:szCs w:val="28"/>
        </w:rPr>
        <w:t>。</w:t>
      </w:r>
    </w:p>
    <w:p w14:paraId="446CE355">
      <w:pPr>
        <w:pStyle w:val="7"/>
        <w:rPr>
          <w:rFonts w:ascii="黑体" w:hAnsi="黑体" w:eastAsia="黑体" w:cs="宋体"/>
          <w:b w:val="0"/>
          <w:szCs w:val="28"/>
        </w:rPr>
      </w:pPr>
      <w:bookmarkStart w:id="503" w:name="_Toc165038826"/>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.6</w:t>
      </w:r>
      <w:bookmarkEnd w:id="503"/>
      <w:r>
        <w:rPr>
          <w:rFonts w:hint="eastAsia" w:ascii="黑体" w:hAnsi="黑体" w:eastAsia="黑体" w:cs="宋体"/>
          <w:b w:val="0"/>
          <w:szCs w:val="28"/>
        </w:rPr>
        <w:t>运输工具、厂内道路</w:t>
      </w:r>
    </w:p>
    <w:p w14:paraId="205A08ED">
      <w:pPr>
        <w:spacing w:line="360" w:lineRule="auto"/>
        <w:ind w:firstLine="560" w:firstLineChars="200"/>
        <w:rPr>
          <w:rFonts w:ascii="宋体" w:hAnsi="宋体"/>
          <w:b w:val="0"/>
          <w:bCs/>
          <w:sz w:val="28"/>
          <w:szCs w:val="28"/>
        </w:rPr>
      </w:pPr>
      <w:r>
        <w:rPr>
          <w:rFonts w:hint="eastAsia" w:ascii="宋体" w:hAnsi="宋体"/>
          <w:b w:val="0"/>
          <w:bCs/>
          <w:sz w:val="28"/>
          <w:szCs w:val="28"/>
        </w:rPr>
        <w:t>该项目拟建主要运输道路宽度约3m，与各生产工库房的次要道路（宽度约2.5m）相连通。厂内运输拟采用电瓶车和人工运输，其中黑火药采用厢式防爆电瓶车运输，半成品采用装有护栏的电瓶车运输，在运输时应采取相应的运输方式和安全保护措施。</w:t>
      </w:r>
    </w:p>
    <w:p w14:paraId="391525CB">
      <w:pPr>
        <w:pStyle w:val="7"/>
        <w:rPr>
          <w:rFonts w:ascii="黑体" w:hAnsi="黑体" w:eastAsia="黑体" w:cs="宋体"/>
          <w:b w:val="0"/>
          <w:szCs w:val="28"/>
        </w:rPr>
      </w:pPr>
      <w:bookmarkStart w:id="504" w:name="_Toc165038827"/>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.7</w:t>
      </w:r>
      <w:bookmarkEnd w:id="504"/>
      <w:r>
        <w:rPr>
          <w:rFonts w:hint="eastAsia" w:ascii="黑体" w:hAnsi="黑体" w:eastAsia="黑体" w:cs="宋体"/>
          <w:b w:val="0"/>
          <w:szCs w:val="28"/>
        </w:rPr>
        <w:t>防护屏障</w:t>
      </w:r>
    </w:p>
    <w:p w14:paraId="7B57B156">
      <w:pPr>
        <w:spacing w:line="360" w:lineRule="auto"/>
        <w:ind w:firstLine="560" w:firstLineChars="200"/>
        <w:rPr>
          <w:rFonts w:ascii="宋体" w:hAnsi="宋体"/>
          <w:b w:val="0"/>
          <w:bCs/>
          <w:sz w:val="28"/>
          <w:szCs w:val="28"/>
          <w:lang w:val="en-GB"/>
        </w:rPr>
      </w:pPr>
      <w:r>
        <w:rPr>
          <w:rFonts w:hint="eastAsia" w:ascii="宋体" w:hAnsi="宋体"/>
          <w:b w:val="0"/>
          <w:bCs/>
          <w:sz w:val="28"/>
          <w:szCs w:val="28"/>
        </w:rPr>
        <w:t>该企业1.1</w:t>
      </w:r>
      <w:r>
        <w:rPr>
          <w:rFonts w:hint="eastAsia" w:ascii="宋体" w:hAnsi="宋体"/>
          <w:b w:val="0"/>
          <w:bCs/>
          <w:sz w:val="28"/>
          <w:szCs w:val="28"/>
          <w:vertAlign w:val="superscript"/>
        </w:rPr>
        <w:t>-1</w:t>
      </w:r>
      <w:r>
        <w:rPr>
          <w:rFonts w:hint="eastAsia" w:ascii="宋体" w:hAnsi="宋体"/>
          <w:b w:val="0"/>
          <w:bCs/>
          <w:sz w:val="28"/>
          <w:szCs w:val="28"/>
        </w:rPr>
        <w:t>、</w:t>
      </w:r>
      <w:r>
        <w:rPr>
          <w:rFonts w:hint="eastAsia" w:ascii="宋体" w:hAnsi="宋体"/>
          <w:b w:val="0"/>
          <w:bCs/>
          <w:sz w:val="28"/>
          <w:szCs w:val="28"/>
          <w:lang w:val="en-GB"/>
        </w:rPr>
        <w:t>1.1</w:t>
      </w:r>
      <w:r>
        <w:rPr>
          <w:rFonts w:hint="eastAsia" w:ascii="宋体" w:hAnsi="宋体"/>
          <w:b w:val="0"/>
          <w:bCs/>
          <w:sz w:val="28"/>
          <w:szCs w:val="28"/>
          <w:vertAlign w:val="superscript"/>
          <w:lang w:val="en-GB"/>
        </w:rPr>
        <w:t xml:space="preserve">-2 </w:t>
      </w:r>
      <w:r>
        <w:rPr>
          <w:rFonts w:hint="eastAsia" w:ascii="宋体" w:hAnsi="宋体"/>
          <w:b w:val="0"/>
          <w:bCs/>
          <w:sz w:val="28"/>
          <w:szCs w:val="28"/>
          <w:lang w:val="en-GB"/>
        </w:rPr>
        <w:t>级工房应根据设计</w:t>
      </w:r>
      <w:r>
        <w:rPr>
          <w:rFonts w:hint="eastAsia" w:ascii="宋体" w:hAnsi="宋体"/>
          <w:b w:val="0"/>
          <w:bCs/>
          <w:sz w:val="28"/>
          <w:szCs w:val="28"/>
        </w:rPr>
        <w:t>和标准规范</w:t>
      </w:r>
      <w:r>
        <w:rPr>
          <w:rFonts w:hint="eastAsia" w:ascii="宋体" w:hAnsi="宋体"/>
          <w:b w:val="0"/>
          <w:bCs/>
          <w:sz w:val="28"/>
          <w:szCs w:val="28"/>
          <w:lang w:val="en-GB"/>
        </w:rPr>
        <w:t>要求修建防护屏障。</w:t>
      </w:r>
    </w:p>
    <w:p w14:paraId="6E3B3337">
      <w:pPr>
        <w:adjustRightInd w:val="0"/>
        <w:snapToGrid w:val="0"/>
        <w:spacing w:line="360" w:lineRule="auto"/>
        <w:ind w:firstLine="560" w:firstLineChars="200"/>
        <w:rPr>
          <w:rFonts w:ascii="宋体" w:hAnsi="宋体" w:cs="宋体"/>
          <w:b w:val="0"/>
          <w:bCs/>
          <w:sz w:val="28"/>
          <w:szCs w:val="28"/>
        </w:rPr>
      </w:pPr>
      <w:r>
        <w:rPr>
          <w:rFonts w:hint="eastAsia" w:ascii="宋体" w:hAnsi="宋体"/>
          <w:b w:val="0"/>
          <w:bCs/>
          <w:sz w:val="28"/>
          <w:szCs w:val="28"/>
          <w:lang w:val="en-GB"/>
        </w:rPr>
        <w:t>企业应定期对所有1.1级工房的防护屏障进行维护和修整，确保防护屏障符合标准要求</w:t>
      </w:r>
      <w:r>
        <w:rPr>
          <w:rFonts w:hint="eastAsia" w:ascii="宋体" w:hAnsi="宋体" w:cs="宋体"/>
          <w:b w:val="0"/>
          <w:bCs/>
          <w:sz w:val="28"/>
          <w:szCs w:val="28"/>
        </w:rPr>
        <w:t>。</w:t>
      </w:r>
    </w:p>
    <w:p w14:paraId="7028B24C">
      <w:pPr>
        <w:pStyle w:val="7"/>
        <w:rPr>
          <w:rFonts w:ascii="黑体" w:hAnsi="黑体" w:eastAsia="黑体" w:cs="宋体"/>
          <w:b w:val="0"/>
          <w:szCs w:val="28"/>
        </w:rPr>
      </w:pPr>
      <w:r>
        <w:rPr>
          <w:rFonts w:hint="eastAsia" w:ascii="黑体" w:hAnsi="黑体" w:eastAsia="黑体" w:cs="宋体"/>
          <w:b w:val="0"/>
          <w:szCs w:val="28"/>
        </w:rPr>
        <w:t>5.</w:t>
      </w:r>
      <w:r>
        <w:rPr>
          <w:rFonts w:ascii="黑体" w:hAnsi="黑体" w:eastAsia="黑体" w:cs="宋体"/>
          <w:b w:val="0"/>
          <w:szCs w:val="28"/>
        </w:rPr>
        <w:t>3</w:t>
      </w:r>
      <w:r>
        <w:rPr>
          <w:rFonts w:hint="eastAsia" w:ascii="黑体" w:hAnsi="黑体" w:eastAsia="黑体" w:cs="宋体"/>
          <w:b w:val="0"/>
          <w:szCs w:val="28"/>
        </w:rPr>
        <w:t>.</w:t>
      </w:r>
      <w:r>
        <w:rPr>
          <w:rFonts w:ascii="黑体" w:hAnsi="黑体" w:eastAsia="黑体" w:cs="宋体"/>
          <w:b w:val="0"/>
          <w:szCs w:val="28"/>
        </w:rPr>
        <w:t>8</w:t>
      </w:r>
      <w:r>
        <w:rPr>
          <w:rFonts w:hint="eastAsia" w:ascii="黑体" w:hAnsi="黑体" w:eastAsia="黑体" w:cs="宋体"/>
          <w:b w:val="0"/>
          <w:szCs w:val="28"/>
        </w:rPr>
        <w:t>围墙</w:t>
      </w:r>
    </w:p>
    <w:p w14:paraId="644D0E69">
      <w:pPr>
        <w:spacing w:line="360" w:lineRule="auto"/>
        <w:ind w:firstLine="560" w:firstLineChars="200"/>
        <w:rPr>
          <w:rFonts w:ascii="宋体" w:hAnsi="宋体"/>
          <w:b w:val="0"/>
          <w:bCs/>
          <w:sz w:val="28"/>
          <w:szCs w:val="28"/>
        </w:rPr>
      </w:pPr>
      <w:r>
        <w:rPr>
          <w:rFonts w:hint="eastAsia" w:ascii="宋体" w:hAnsi="宋体"/>
          <w:b w:val="0"/>
          <w:bCs/>
          <w:sz w:val="28"/>
          <w:szCs w:val="28"/>
          <w:lang w:val="en-GB"/>
        </w:rPr>
        <w:t>依据《烟花爆竹工程设计安全标准》（GB50161-2022）的规定，该项目</w:t>
      </w:r>
      <w:r>
        <w:rPr>
          <w:rFonts w:hint="eastAsia" w:ascii="宋体" w:hAnsi="宋体"/>
          <w:b w:val="0"/>
          <w:bCs/>
          <w:sz w:val="28"/>
          <w:szCs w:val="28"/>
        </w:rPr>
        <w:t>拟设置全厂围墙（实体围墙+刺丝网围墙），并在人员易靠近的地方张贴醒目的警示标语等。</w:t>
      </w:r>
      <w:r>
        <w:rPr>
          <w:rFonts w:hint="eastAsia" w:ascii="宋体" w:hAnsi="宋体"/>
          <w:b w:val="0"/>
          <w:bCs/>
          <w:sz w:val="28"/>
          <w:szCs w:val="28"/>
          <w:lang w:val="en-GB"/>
        </w:rPr>
        <w:t>厂区入口处设置铁门控制无关人员进出，制定有加强日常巡查、人离落锁的相关制度</w:t>
      </w:r>
      <w:r>
        <w:rPr>
          <w:rFonts w:hint="eastAsia" w:ascii="宋体" w:hAnsi="宋体"/>
          <w:b w:val="0"/>
          <w:bCs/>
          <w:sz w:val="28"/>
          <w:szCs w:val="28"/>
        </w:rPr>
        <w:t>。</w:t>
      </w:r>
    </w:p>
    <w:p w14:paraId="7B2EB545">
      <w:pPr>
        <w:keepNext/>
        <w:keepLines/>
        <w:spacing w:before="120" w:beforeLines="50" w:line="360" w:lineRule="auto"/>
        <w:outlineLvl w:val="1"/>
        <w:rPr>
          <w:rFonts w:ascii="黑体" w:hAnsi="宋体" w:eastAsia="黑体"/>
          <w:b w:val="0"/>
          <w:bCs/>
          <w:snapToGrid w:val="0"/>
          <w:sz w:val="30"/>
          <w:szCs w:val="30"/>
        </w:rPr>
      </w:pPr>
      <w:bookmarkStart w:id="505" w:name="_Toc233449800"/>
      <w:bookmarkStart w:id="506" w:name="_Toc239191520"/>
      <w:r>
        <w:rPr>
          <w:rFonts w:hint="eastAsia" w:ascii="黑体" w:hAnsi="宋体" w:eastAsia="黑体"/>
          <w:b w:val="0"/>
          <w:bCs/>
          <w:snapToGrid w:val="0"/>
          <w:sz w:val="30"/>
          <w:szCs w:val="30"/>
        </w:rPr>
        <w:t>5.</w:t>
      </w:r>
      <w:bookmarkEnd w:id="505"/>
      <w:r>
        <w:rPr>
          <w:rFonts w:ascii="黑体" w:hAnsi="宋体" w:eastAsia="黑体"/>
          <w:b w:val="0"/>
          <w:bCs/>
          <w:snapToGrid w:val="0"/>
          <w:sz w:val="30"/>
          <w:szCs w:val="30"/>
        </w:rPr>
        <w:t>4</w:t>
      </w:r>
      <w:r>
        <w:rPr>
          <w:rFonts w:hint="eastAsia" w:ascii="黑体" w:hAnsi="宋体" w:eastAsia="黑体"/>
          <w:b w:val="0"/>
          <w:bCs/>
          <w:snapToGrid w:val="0"/>
          <w:sz w:val="30"/>
          <w:szCs w:val="30"/>
        </w:rPr>
        <w:t>安全管理单元</w:t>
      </w:r>
      <w:bookmarkEnd w:id="506"/>
    </w:p>
    <w:p w14:paraId="49ED242F">
      <w:pPr>
        <w:spacing w:line="360" w:lineRule="auto"/>
        <w:ind w:firstLine="560" w:firstLineChars="200"/>
        <w:rPr>
          <w:rFonts w:ascii="宋体" w:hAnsi="宋体" w:cs="宋体"/>
          <w:b w:val="0"/>
          <w:sz w:val="28"/>
          <w:szCs w:val="28"/>
        </w:rPr>
      </w:pPr>
      <w:r>
        <w:rPr>
          <w:rFonts w:hint="eastAsia" w:ascii="宋体" w:hAnsi="宋体" w:cs="宋体"/>
          <w:b w:val="0"/>
          <w:sz w:val="28"/>
          <w:szCs w:val="28"/>
        </w:rPr>
        <w:t>运用安全检查表法对本单元进行分析评价，具体见表5.</w:t>
      </w:r>
      <w:r>
        <w:rPr>
          <w:rFonts w:ascii="宋体" w:hAnsi="宋体" w:cs="宋体"/>
          <w:b w:val="0"/>
          <w:sz w:val="28"/>
          <w:szCs w:val="28"/>
        </w:rPr>
        <w:t>4</w:t>
      </w:r>
      <w:r>
        <w:rPr>
          <w:rFonts w:hint="eastAsia" w:ascii="宋体" w:hAnsi="宋体" w:cs="宋体"/>
          <w:b w:val="0"/>
          <w:sz w:val="28"/>
          <w:szCs w:val="28"/>
        </w:rPr>
        <w:t>-1。</w:t>
      </w:r>
    </w:p>
    <w:p w14:paraId="2991EC54">
      <w:pPr>
        <w:jc w:val="center"/>
        <w:rPr>
          <w:rFonts w:ascii="黑体" w:hAnsi="黑体" w:eastAsia="黑体" w:cs="Arial"/>
          <w:b w:val="0"/>
          <w:sz w:val="24"/>
        </w:rPr>
      </w:pPr>
      <w:r>
        <w:rPr>
          <w:rFonts w:ascii="黑体" w:hAnsi="黑体" w:eastAsia="黑体" w:cs="Arial"/>
          <w:b w:val="0"/>
          <w:sz w:val="24"/>
        </w:rPr>
        <w:t>表5.4</w:t>
      </w:r>
      <w:r>
        <w:rPr>
          <w:rFonts w:hint="eastAsia" w:ascii="黑体" w:hAnsi="黑体" w:eastAsia="黑体" w:cs="Arial"/>
          <w:b w:val="0"/>
          <w:sz w:val="24"/>
        </w:rPr>
        <w:t>-1</w:t>
      </w:r>
      <w:r>
        <w:rPr>
          <w:rFonts w:ascii="黑体" w:hAnsi="黑体" w:eastAsia="黑体" w:cs="Arial"/>
          <w:b w:val="0"/>
          <w:sz w:val="24"/>
        </w:rPr>
        <w:t xml:space="preserve">  </w:t>
      </w:r>
      <w:r>
        <w:rPr>
          <w:rFonts w:hint="eastAsia" w:ascii="黑体" w:hAnsi="黑体" w:eastAsia="黑体" w:cs="Arial"/>
          <w:b w:val="0"/>
          <w:sz w:val="24"/>
        </w:rPr>
        <w:t>安全管理单元评价</w:t>
      </w:r>
      <w:r>
        <w:rPr>
          <w:rFonts w:ascii="黑体" w:hAnsi="黑体" w:eastAsia="黑体" w:cs="Arial"/>
          <w:b w:val="0"/>
          <w:sz w:val="24"/>
        </w:rPr>
        <w:t>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524"/>
        <w:gridCol w:w="3597"/>
        <w:gridCol w:w="1710"/>
        <w:gridCol w:w="2758"/>
        <w:gridCol w:w="597"/>
      </w:tblGrid>
      <w:tr w14:paraId="59465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285" w:type="pct"/>
            <w:vAlign w:val="center"/>
          </w:tcPr>
          <w:p w14:paraId="5E241068">
            <w:pPr>
              <w:adjustRightInd w:val="0"/>
              <w:snapToGrid w:val="0"/>
              <w:spacing w:line="240" w:lineRule="exact"/>
              <w:jc w:val="center"/>
              <w:rPr>
                <w:rFonts w:ascii="宋体" w:hAnsi="宋体"/>
                <w:bCs/>
                <w:szCs w:val="21"/>
              </w:rPr>
            </w:pPr>
            <w:r>
              <w:rPr>
                <w:rFonts w:hint="eastAsia" w:ascii="宋体" w:hAnsi="宋体"/>
                <w:bCs/>
                <w:szCs w:val="21"/>
              </w:rPr>
              <w:t>序号</w:t>
            </w:r>
          </w:p>
        </w:tc>
        <w:tc>
          <w:tcPr>
            <w:tcW w:w="1958" w:type="pct"/>
            <w:vAlign w:val="center"/>
          </w:tcPr>
          <w:p w14:paraId="289640F9">
            <w:pPr>
              <w:adjustRightInd w:val="0"/>
              <w:snapToGrid w:val="0"/>
              <w:spacing w:line="240" w:lineRule="exact"/>
              <w:jc w:val="center"/>
              <w:rPr>
                <w:rFonts w:ascii="宋体" w:hAnsi="宋体"/>
                <w:bCs/>
                <w:szCs w:val="21"/>
              </w:rPr>
            </w:pPr>
            <w:r>
              <w:rPr>
                <w:rFonts w:hint="eastAsia" w:ascii="宋体" w:hAnsi="宋体"/>
                <w:bCs/>
                <w:szCs w:val="21"/>
              </w:rPr>
              <w:t>检查内容</w:t>
            </w:r>
          </w:p>
        </w:tc>
        <w:tc>
          <w:tcPr>
            <w:tcW w:w="931" w:type="pct"/>
            <w:vAlign w:val="center"/>
          </w:tcPr>
          <w:p w14:paraId="2747461C">
            <w:pPr>
              <w:adjustRightInd w:val="0"/>
              <w:snapToGrid w:val="0"/>
              <w:spacing w:line="240" w:lineRule="exact"/>
              <w:jc w:val="center"/>
              <w:rPr>
                <w:rFonts w:ascii="宋体" w:hAnsi="宋体"/>
                <w:bCs/>
                <w:szCs w:val="21"/>
              </w:rPr>
            </w:pPr>
            <w:r>
              <w:rPr>
                <w:rFonts w:hint="eastAsia" w:ascii="宋体" w:hAnsi="宋体"/>
                <w:bCs/>
                <w:szCs w:val="21"/>
              </w:rPr>
              <w:t>依据法规标准</w:t>
            </w:r>
          </w:p>
        </w:tc>
        <w:tc>
          <w:tcPr>
            <w:tcW w:w="1501" w:type="pct"/>
            <w:vAlign w:val="center"/>
          </w:tcPr>
          <w:p w14:paraId="745955BE">
            <w:pPr>
              <w:adjustRightInd w:val="0"/>
              <w:snapToGrid w:val="0"/>
              <w:spacing w:line="240" w:lineRule="exact"/>
              <w:jc w:val="center"/>
              <w:rPr>
                <w:rFonts w:ascii="宋体" w:hAnsi="宋体"/>
                <w:bCs/>
                <w:szCs w:val="21"/>
              </w:rPr>
            </w:pPr>
            <w:r>
              <w:rPr>
                <w:rFonts w:hint="eastAsia" w:ascii="宋体" w:hAnsi="宋体"/>
                <w:bCs/>
                <w:szCs w:val="21"/>
              </w:rPr>
              <w:t>实际情况</w:t>
            </w:r>
          </w:p>
        </w:tc>
        <w:tc>
          <w:tcPr>
            <w:tcW w:w="322" w:type="pct"/>
            <w:vAlign w:val="center"/>
          </w:tcPr>
          <w:p w14:paraId="223B555C">
            <w:pPr>
              <w:adjustRightInd w:val="0"/>
              <w:snapToGrid w:val="0"/>
              <w:spacing w:line="240" w:lineRule="exact"/>
              <w:jc w:val="center"/>
              <w:rPr>
                <w:rFonts w:ascii="宋体" w:hAnsi="宋体"/>
                <w:bCs/>
                <w:szCs w:val="21"/>
              </w:rPr>
            </w:pPr>
            <w:r>
              <w:rPr>
                <w:rFonts w:hint="eastAsia" w:ascii="宋体" w:hAnsi="宋体"/>
                <w:bCs/>
                <w:szCs w:val="21"/>
              </w:rPr>
              <w:t>检查结论</w:t>
            </w:r>
          </w:p>
        </w:tc>
      </w:tr>
      <w:tr w14:paraId="7BCDC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000" w:type="pct"/>
            <w:gridSpan w:val="5"/>
            <w:vAlign w:val="center"/>
          </w:tcPr>
          <w:p w14:paraId="7B761342">
            <w:pPr>
              <w:adjustRightInd w:val="0"/>
              <w:snapToGrid w:val="0"/>
              <w:spacing w:line="240" w:lineRule="exact"/>
              <w:jc w:val="left"/>
              <w:rPr>
                <w:rFonts w:ascii="宋体" w:hAnsi="宋体"/>
                <w:b w:val="0"/>
                <w:szCs w:val="21"/>
              </w:rPr>
            </w:pPr>
            <w:r>
              <w:rPr>
                <w:rFonts w:hint="eastAsia" w:ascii="宋体" w:hAnsi="宋体"/>
                <w:b w:val="0"/>
                <w:szCs w:val="21"/>
              </w:rPr>
              <w:t>一、安全生产责任制与安全管理制度、安全规程</w:t>
            </w:r>
          </w:p>
        </w:tc>
      </w:tr>
      <w:tr w14:paraId="7D9BC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20183F8C">
            <w:pPr>
              <w:adjustRightInd w:val="0"/>
              <w:snapToGrid w:val="0"/>
              <w:spacing w:line="240" w:lineRule="exact"/>
              <w:jc w:val="center"/>
              <w:rPr>
                <w:rFonts w:ascii="宋体" w:hAnsi="宋体"/>
                <w:b w:val="0"/>
                <w:szCs w:val="21"/>
              </w:rPr>
            </w:pPr>
            <w:r>
              <w:rPr>
                <w:rFonts w:hint="eastAsia" w:ascii="宋体" w:hAnsi="宋体"/>
                <w:b w:val="0"/>
                <w:szCs w:val="21"/>
              </w:rPr>
              <w:t>1</w:t>
            </w:r>
          </w:p>
        </w:tc>
        <w:tc>
          <w:tcPr>
            <w:tcW w:w="1958" w:type="pct"/>
            <w:vAlign w:val="center"/>
          </w:tcPr>
          <w:p w14:paraId="5D4AA677">
            <w:pPr>
              <w:adjustRightInd w:val="0"/>
              <w:snapToGrid w:val="0"/>
              <w:spacing w:line="240" w:lineRule="exact"/>
              <w:jc w:val="left"/>
              <w:rPr>
                <w:rFonts w:ascii="宋体" w:hAnsi="宋体"/>
                <w:b w:val="0"/>
                <w:szCs w:val="21"/>
              </w:rPr>
            </w:pPr>
            <w:r>
              <w:rPr>
                <w:rFonts w:hint="eastAsia" w:ascii="宋体" w:hAnsi="宋体"/>
                <w:b w:val="0"/>
                <w:szCs w:val="21"/>
              </w:rPr>
              <w:t>烟花爆竹生产企业应当建立健全主要负责人、分管负责人、安全生产管理人员、职能部门、岗位的安全生产责任制</w:t>
            </w:r>
          </w:p>
        </w:tc>
        <w:tc>
          <w:tcPr>
            <w:tcW w:w="931" w:type="pct"/>
            <w:vAlign w:val="center"/>
          </w:tcPr>
          <w:p w14:paraId="13E0FD72">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3967CC91">
            <w:pPr>
              <w:adjustRightInd w:val="0"/>
              <w:snapToGrid w:val="0"/>
              <w:spacing w:line="240" w:lineRule="exact"/>
              <w:jc w:val="left"/>
              <w:rPr>
                <w:rFonts w:ascii="宋体" w:hAnsi="宋体"/>
                <w:b w:val="0"/>
                <w:szCs w:val="21"/>
              </w:rPr>
            </w:pPr>
            <w:r>
              <w:rPr>
                <w:rFonts w:hint="eastAsia" w:ascii="宋体" w:hAnsi="宋体"/>
                <w:b w:val="0"/>
                <w:szCs w:val="21"/>
              </w:rPr>
              <w:t>拟制定主要负责人、分管负责人、安全生产管理人员、各职能部门、岗位的安全生产责任制</w:t>
            </w:r>
          </w:p>
        </w:tc>
        <w:tc>
          <w:tcPr>
            <w:tcW w:w="322" w:type="pct"/>
            <w:vAlign w:val="center"/>
          </w:tcPr>
          <w:p w14:paraId="5E1F9B75">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385A6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D395D3D">
            <w:pPr>
              <w:adjustRightInd w:val="0"/>
              <w:snapToGrid w:val="0"/>
              <w:spacing w:line="240" w:lineRule="exact"/>
              <w:jc w:val="center"/>
              <w:rPr>
                <w:rFonts w:ascii="宋体" w:hAnsi="宋体"/>
                <w:b w:val="0"/>
                <w:szCs w:val="21"/>
              </w:rPr>
            </w:pPr>
            <w:r>
              <w:rPr>
                <w:rFonts w:hint="eastAsia" w:ascii="宋体" w:hAnsi="宋体"/>
                <w:b w:val="0"/>
                <w:szCs w:val="21"/>
              </w:rPr>
              <w:t>2</w:t>
            </w:r>
          </w:p>
        </w:tc>
        <w:tc>
          <w:tcPr>
            <w:tcW w:w="1958" w:type="pct"/>
            <w:vAlign w:val="center"/>
          </w:tcPr>
          <w:p w14:paraId="7CBAC533">
            <w:pPr>
              <w:adjustRightInd w:val="0"/>
              <w:snapToGrid w:val="0"/>
              <w:spacing w:line="240" w:lineRule="exact"/>
              <w:jc w:val="left"/>
              <w:rPr>
                <w:rFonts w:ascii="宋体" w:hAnsi="宋体"/>
                <w:b w:val="0"/>
                <w:szCs w:val="21"/>
              </w:rPr>
            </w:pPr>
            <w:r>
              <w:rPr>
                <w:rFonts w:hint="eastAsia" w:ascii="宋体" w:hAnsi="宋体"/>
                <w:b w:val="0"/>
                <w:szCs w:val="21"/>
              </w:rPr>
              <w:t>烟花爆竹生产企业应当制定从业人员的安全教育、培训、劳动防护用品（具），安全设施、设备，作业场所防火、防毒、防爆和职业卫生，安全检查、隐患整改、事故调查处理，安全生产奖惩等规章制度</w:t>
            </w:r>
          </w:p>
        </w:tc>
        <w:tc>
          <w:tcPr>
            <w:tcW w:w="931" w:type="pct"/>
            <w:vAlign w:val="center"/>
          </w:tcPr>
          <w:p w14:paraId="242C1FC7">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4BCBDEA6">
            <w:pPr>
              <w:adjustRightInd w:val="0"/>
              <w:snapToGrid w:val="0"/>
              <w:spacing w:line="240" w:lineRule="exact"/>
              <w:jc w:val="left"/>
              <w:rPr>
                <w:rFonts w:ascii="宋体" w:hAnsi="宋体"/>
                <w:b w:val="0"/>
                <w:szCs w:val="21"/>
              </w:rPr>
            </w:pPr>
            <w:r>
              <w:rPr>
                <w:rFonts w:hint="eastAsia" w:ascii="宋体" w:hAnsi="宋体"/>
                <w:b w:val="0"/>
                <w:spacing w:val="-6"/>
                <w:sz w:val="21"/>
                <w:szCs w:val="21"/>
              </w:rPr>
              <w:t>拟制订安全生产管理制度、从业人员安全教育培训制度、安全生产奖惩制度、防火防爆管理制度、安全检查制度、安全隐患整改制度、事故报告处理制度、劳动防护与职业卫生管理制度、成品仓库安全管理制度、危险化学品运输管理制度、原材料仓库安全管理制度、生产车间安全管理制度、设备维护等制度及事故应急救援预案</w:t>
            </w:r>
          </w:p>
        </w:tc>
        <w:tc>
          <w:tcPr>
            <w:tcW w:w="322" w:type="pct"/>
            <w:vAlign w:val="center"/>
          </w:tcPr>
          <w:p w14:paraId="67295979">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2CC2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7F6C8AA7">
            <w:pPr>
              <w:adjustRightInd w:val="0"/>
              <w:snapToGrid w:val="0"/>
              <w:spacing w:line="240" w:lineRule="exact"/>
              <w:jc w:val="center"/>
              <w:rPr>
                <w:rFonts w:ascii="宋体" w:hAnsi="宋体"/>
                <w:b w:val="0"/>
                <w:szCs w:val="21"/>
              </w:rPr>
            </w:pPr>
            <w:r>
              <w:rPr>
                <w:rFonts w:hint="eastAsia" w:ascii="宋体" w:hAnsi="宋体"/>
                <w:b w:val="0"/>
                <w:szCs w:val="21"/>
              </w:rPr>
              <w:t>3</w:t>
            </w:r>
          </w:p>
        </w:tc>
        <w:tc>
          <w:tcPr>
            <w:tcW w:w="1958" w:type="pct"/>
            <w:vAlign w:val="center"/>
          </w:tcPr>
          <w:p w14:paraId="02102248">
            <w:pPr>
              <w:adjustRightInd w:val="0"/>
              <w:snapToGrid w:val="0"/>
              <w:spacing w:line="240" w:lineRule="exact"/>
              <w:jc w:val="left"/>
              <w:rPr>
                <w:rFonts w:ascii="宋体" w:hAnsi="宋体"/>
                <w:b w:val="0"/>
                <w:szCs w:val="21"/>
              </w:rPr>
            </w:pPr>
            <w:r>
              <w:rPr>
                <w:rFonts w:hint="eastAsia" w:ascii="宋体" w:hAnsi="宋体"/>
                <w:b w:val="0"/>
                <w:spacing w:val="-6"/>
                <w:sz w:val="21"/>
                <w:szCs w:val="21"/>
              </w:rPr>
              <w:t>用人单位必须建立、健全劳动安全卫生制度，严格执行国家对劳动安全卫生规定和标准，对劳动者进行劳动安全卫生教育，防止劳动过程中的事故，较少职业危害</w:t>
            </w:r>
          </w:p>
        </w:tc>
        <w:tc>
          <w:tcPr>
            <w:tcW w:w="931" w:type="pct"/>
            <w:vAlign w:val="center"/>
          </w:tcPr>
          <w:p w14:paraId="3FFFD024">
            <w:pPr>
              <w:adjustRightInd w:val="0"/>
              <w:snapToGrid w:val="0"/>
              <w:spacing w:line="240" w:lineRule="exact"/>
              <w:jc w:val="left"/>
              <w:rPr>
                <w:rFonts w:ascii="宋体" w:hAnsi="宋体"/>
                <w:b w:val="0"/>
                <w:szCs w:val="21"/>
              </w:rPr>
            </w:pPr>
            <w:r>
              <w:rPr>
                <w:rFonts w:hint="eastAsia" w:ascii="宋体" w:hAnsi="宋体"/>
                <w:b w:val="0"/>
                <w:szCs w:val="21"/>
              </w:rPr>
              <w:t>《中华人民共和国职业病防治法》</w:t>
            </w:r>
          </w:p>
        </w:tc>
        <w:tc>
          <w:tcPr>
            <w:tcW w:w="1501" w:type="pct"/>
            <w:vAlign w:val="center"/>
          </w:tcPr>
          <w:p w14:paraId="53E0C075">
            <w:pPr>
              <w:adjustRightInd w:val="0"/>
              <w:snapToGrid w:val="0"/>
              <w:spacing w:line="240" w:lineRule="exact"/>
              <w:jc w:val="left"/>
              <w:rPr>
                <w:rFonts w:ascii="宋体" w:hAnsi="宋体"/>
                <w:b w:val="0"/>
                <w:szCs w:val="21"/>
              </w:rPr>
            </w:pPr>
            <w:r>
              <w:rPr>
                <w:rFonts w:hint="eastAsia" w:ascii="宋体" w:hAnsi="宋体"/>
                <w:b w:val="0"/>
                <w:szCs w:val="21"/>
              </w:rPr>
              <w:t>拟制度相关教育培训制度，并有相关的记录</w:t>
            </w:r>
          </w:p>
        </w:tc>
        <w:tc>
          <w:tcPr>
            <w:tcW w:w="322" w:type="pct"/>
            <w:vAlign w:val="center"/>
          </w:tcPr>
          <w:p w14:paraId="70442F01">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5E427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000" w:type="pct"/>
            <w:gridSpan w:val="5"/>
            <w:vAlign w:val="center"/>
          </w:tcPr>
          <w:p w14:paraId="6CD26390">
            <w:pPr>
              <w:adjustRightInd w:val="0"/>
              <w:snapToGrid w:val="0"/>
              <w:spacing w:line="240" w:lineRule="exact"/>
              <w:jc w:val="left"/>
              <w:rPr>
                <w:rFonts w:ascii="宋体" w:hAnsi="宋体"/>
                <w:b w:val="0"/>
                <w:szCs w:val="21"/>
              </w:rPr>
            </w:pPr>
            <w:r>
              <w:rPr>
                <w:rFonts w:hint="eastAsia" w:ascii="宋体" w:hAnsi="宋体"/>
                <w:b w:val="0"/>
                <w:szCs w:val="21"/>
              </w:rPr>
              <w:t>二、安全管理组织结构</w:t>
            </w:r>
          </w:p>
        </w:tc>
      </w:tr>
      <w:tr w14:paraId="59C18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373A6EDF">
            <w:pPr>
              <w:adjustRightInd w:val="0"/>
              <w:snapToGrid w:val="0"/>
              <w:spacing w:line="240" w:lineRule="exact"/>
              <w:jc w:val="center"/>
              <w:rPr>
                <w:rFonts w:ascii="宋体" w:hAnsi="宋体"/>
                <w:b w:val="0"/>
                <w:szCs w:val="21"/>
              </w:rPr>
            </w:pPr>
            <w:r>
              <w:rPr>
                <w:rFonts w:hint="eastAsia" w:ascii="宋体" w:hAnsi="宋体"/>
                <w:b w:val="0"/>
                <w:szCs w:val="21"/>
              </w:rPr>
              <w:t>1</w:t>
            </w:r>
          </w:p>
        </w:tc>
        <w:tc>
          <w:tcPr>
            <w:tcW w:w="1958" w:type="pct"/>
            <w:vAlign w:val="center"/>
          </w:tcPr>
          <w:p w14:paraId="57BC3408">
            <w:pPr>
              <w:adjustRightInd w:val="0"/>
              <w:snapToGrid w:val="0"/>
              <w:spacing w:line="240" w:lineRule="exact"/>
              <w:jc w:val="left"/>
              <w:rPr>
                <w:rFonts w:ascii="宋体" w:hAnsi="宋体"/>
                <w:b w:val="0"/>
                <w:szCs w:val="21"/>
              </w:rPr>
            </w:pPr>
            <w:r>
              <w:rPr>
                <w:rFonts w:hint="eastAsia" w:ascii="宋体" w:hAnsi="宋体"/>
                <w:b w:val="0"/>
                <w:szCs w:val="21"/>
              </w:rPr>
              <w:t>烟花爆竹生产企业应当设置安全生产管理机构，配备专职安全管理人员</w:t>
            </w:r>
          </w:p>
        </w:tc>
        <w:tc>
          <w:tcPr>
            <w:tcW w:w="931" w:type="pct"/>
            <w:vAlign w:val="center"/>
          </w:tcPr>
          <w:p w14:paraId="6A24FAA2">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27B00FFD">
            <w:pPr>
              <w:adjustRightInd w:val="0"/>
              <w:snapToGrid w:val="0"/>
              <w:spacing w:line="240" w:lineRule="exact"/>
              <w:jc w:val="left"/>
              <w:rPr>
                <w:rFonts w:ascii="宋体" w:hAnsi="宋体"/>
                <w:b w:val="0"/>
                <w:szCs w:val="21"/>
              </w:rPr>
            </w:pPr>
            <w:r>
              <w:rPr>
                <w:rFonts w:hint="eastAsia" w:ascii="宋体" w:hAnsi="宋体"/>
                <w:b w:val="0"/>
                <w:szCs w:val="21"/>
              </w:rPr>
              <w:t>拟设立了安全生产领导小组，配备了安全生产管理人员</w:t>
            </w:r>
          </w:p>
        </w:tc>
        <w:tc>
          <w:tcPr>
            <w:tcW w:w="322" w:type="pct"/>
            <w:vAlign w:val="center"/>
          </w:tcPr>
          <w:p w14:paraId="28622F68">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637C5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6FA8C056">
            <w:pPr>
              <w:adjustRightInd w:val="0"/>
              <w:snapToGrid w:val="0"/>
              <w:spacing w:line="240" w:lineRule="exact"/>
              <w:jc w:val="center"/>
              <w:rPr>
                <w:rFonts w:ascii="宋体" w:hAnsi="宋体"/>
                <w:b w:val="0"/>
                <w:szCs w:val="21"/>
              </w:rPr>
            </w:pPr>
            <w:r>
              <w:rPr>
                <w:rFonts w:hint="eastAsia" w:ascii="宋体" w:hAnsi="宋体"/>
                <w:b w:val="0"/>
                <w:szCs w:val="21"/>
              </w:rPr>
              <w:t>2</w:t>
            </w:r>
          </w:p>
        </w:tc>
        <w:tc>
          <w:tcPr>
            <w:tcW w:w="1958" w:type="pct"/>
            <w:vAlign w:val="center"/>
          </w:tcPr>
          <w:p w14:paraId="37E7997B">
            <w:pPr>
              <w:adjustRightInd w:val="0"/>
              <w:snapToGrid w:val="0"/>
              <w:spacing w:line="240" w:lineRule="exact"/>
              <w:jc w:val="left"/>
              <w:rPr>
                <w:rFonts w:ascii="宋体" w:hAnsi="宋体"/>
                <w:b w:val="0"/>
                <w:szCs w:val="21"/>
              </w:rPr>
            </w:pPr>
            <w:r>
              <w:rPr>
                <w:rFonts w:hint="eastAsia" w:ascii="宋体" w:hAnsi="宋体"/>
                <w:b w:val="0"/>
                <w:szCs w:val="21"/>
              </w:rPr>
              <w:t>企业可以根据需要建立职工组成义务消防队</w:t>
            </w:r>
          </w:p>
        </w:tc>
        <w:tc>
          <w:tcPr>
            <w:tcW w:w="931" w:type="pct"/>
            <w:vAlign w:val="center"/>
          </w:tcPr>
          <w:p w14:paraId="4AF7CF70">
            <w:pPr>
              <w:adjustRightInd w:val="0"/>
              <w:snapToGrid w:val="0"/>
              <w:spacing w:line="240" w:lineRule="exact"/>
              <w:jc w:val="left"/>
              <w:rPr>
                <w:rFonts w:ascii="宋体" w:hAnsi="宋体"/>
                <w:b w:val="0"/>
                <w:szCs w:val="21"/>
              </w:rPr>
            </w:pPr>
            <w:r>
              <w:rPr>
                <w:rFonts w:hint="eastAsia" w:ascii="宋体" w:hAnsi="宋体"/>
                <w:b w:val="0"/>
                <w:szCs w:val="21"/>
              </w:rPr>
              <w:t>《中华人民共和国消防法》</w:t>
            </w:r>
          </w:p>
        </w:tc>
        <w:tc>
          <w:tcPr>
            <w:tcW w:w="1501" w:type="pct"/>
            <w:vAlign w:val="center"/>
          </w:tcPr>
          <w:p w14:paraId="1FDDC7AB">
            <w:pPr>
              <w:adjustRightInd w:val="0"/>
              <w:snapToGrid w:val="0"/>
              <w:spacing w:line="240" w:lineRule="exact"/>
              <w:jc w:val="left"/>
              <w:rPr>
                <w:rFonts w:ascii="宋体" w:hAnsi="宋体"/>
                <w:b w:val="0"/>
                <w:szCs w:val="21"/>
              </w:rPr>
            </w:pPr>
            <w:r>
              <w:rPr>
                <w:rFonts w:hint="eastAsia" w:ascii="宋体" w:hAnsi="宋体"/>
                <w:b w:val="0"/>
                <w:szCs w:val="21"/>
              </w:rPr>
              <w:t>拟成立义务消防队</w:t>
            </w:r>
          </w:p>
        </w:tc>
        <w:tc>
          <w:tcPr>
            <w:tcW w:w="322" w:type="pct"/>
            <w:vAlign w:val="center"/>
          </w:tcPr>
          <w:p w14:paraId="1A41A5A5">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377D4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000" w:type="pct"/>
            <w:gridSpan w:val="5"/>
            <w:vAlign w:val="center"/>
          </w:tcPr>
          <w:p w14:paraId="3472E9BA">
            <w:pPr>
              <w:adjustRightInd w:val="0"/>
              <w:snapToGrid w:val="0"/>
              <w:spacing w:line="240" w:lineRule="exact"/>
              <w:jc w:val="left"/>
              <w:rPr>
                <w:rFonts w:ascii="宋体" w:hAnsi="宋体"/>
                <w:b w:val="0"/>
                <w:szCs w:val="21"/>
              </w:rPr>
            </w:pPr>
            <w:r>
              <w:rPr>
                <w:rFonts w:hint="eastAsia" w:ascii="宋体" w:hAnsi="宋体"/>
                <w:b w:val="0"/>
                <w:szCs w:val="21"/>
              </w:rPr>
              <w:t>三、从业人员</w:t>
            </w:r>
          </w:p>
        </w:tc>
      </w:tr>
      <w:tr w14:paraId="755BB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D656D4B">
            <w:pPr>
              <w:adjustRightInd w:val="0"/>
              <w:snapToGrid w:val="0"/>
              <w:spacing w:line="240" w:lineRule="exact"/>
              <w:jc w:val="center"/>
              <w:rPr>
                <w:rFonts w:ascii="宋体" w:hAnsi="宋体"/>
                <w:b w:val="0"/>
                <w:szCs w:val="21"/>
              </w:rPr>
            </w:pPr>
            <w:r>
              <w:rPr>
                <w:rFonts w:hint="eastAsia" w:ascii="宋体" w:hAnsi="宋体"/>
                <w:b w:val="0"/>
                <w:szCs w:val="21"/>
              </w:rPr>
              <w:t>1</w:t>
            </w:r>
          </w:p>
        </w:tc>
        <w:tc>
          <w:tcPr>
            <w:tcW w:w="1958" w:type="pct"/>
            <w:vAlign w:val="center"/>
          </w:tcPr>
          <w:p w14:paraId="171EB5DB">
            <w:pPr>
              <w:adjustRightInd w:val="0"/>
              <w:snapToGrid w:val="0"/>
              <w:spacing w:line="240" w:lineRule="exact"/>
              <w:jc w:val="left"/>
              <w:rPr>
                <w:rFonts w:ascii="宋体" w:hAnsi="宋体"/>
                <w:b w:val="0"/>
                <w:szCs w:val="21"/>
              </w:rPr>
            </w:pPr>
            <w:r>
              <w:rPr>
                <w:rFonts w:hint="eastAsia" w:ascii="宋体" w:hAnsi="宋体"/>
                <w:b w:val="0"/>
                <w:szCs w:val="21"/>
              </w:rPr>
              <w:t>烟花爆竹生产企业主要负责人、安全生产管理人员的安全生产知识和管理能力应当经考核合格</w:t>
            </w:r>
          </w:p>
        </w:tc>
        <w:tc>
          <w:tcPr>
            <w:tcW w:w="931" w:type="pct"/>
            <w:vAlign w:val="center"/>
          </w:tcPr>
          <w:p w14:paraId="103363B6">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1E84E5BB">
            <w:pPr>
              <w:adjustRightInd w:val="0"/>
              <w:snapToGrid w:val="0"/>
              <w:spacing w:line="240" w:lineRule="exact"/>
              <w:rPr>
                <w:rFonts w:ascii="宋体" w:hAnsi="宋体"/>
                <w:b w:val="0"/>
                <w:bCs/>
                <w:szCs w:val="21"/>
              </w:rPr>
            </w:pPr>
            <w:r>
              <w:rPr>
                <w:rFonts w:hint="eastAsia" w:ascii="宋体" w:hAnsi="宋体"/>
                <w:b w:val="0"/>
                <w:bCs/>
                <w:color w:val="000000" w:themeColor="text1"/>
                <w:szCs w:val="21"/>
                <w14:textFill>
                  <w14:solidFill>
                    <w14:schemeClr w14:val="tx1"/>
                  </w14:solidFill>
                </w14:textFill>
              </w:rPr>
              <w:t>该项目为待建项目，企业原有的主要负责人、安全生产管理人员已经培训。其拟制定的安全管理制度中明确要求：主要负责人、安全生产管理人员、特作作业人员均应持证上岗</w:t>
            </w:r>
          </w:p>
        </w:tc>
        <w:tc>
          <w:tcPr>
            <w:tcW w:w="322" w:type="pct"/>
            <w:vAlign w:val="center"/>
          </w:tcPr>
          <w:p w14:paraId="6B6DFBA4">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11810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9CB412B">
            <w:pPr>
              <w:adjustRightInd w:val="0"/>
              <w:snapToGrid w:val="0"/>
              <w:spacing w:line="240" w:lineRule="exact"/>
              <w:jc w:val="center"/>
              <w:rPr>
                <w:rFonts w:ascii="宋体" w:hAnsi="宋体"/>
                <w:b w:val="0"/>
                <w:szCs w:val="21"/>
              </w:rPr>
            </w:pPr>
            <w:r>
              <w:rPr>
                <w:rFonts w:hint="eastAsia" w:ascii="宋体" w:hAnsi="宋体"/>
                <w:b w:val="0"/>
                <w:szCs w:val="21"/>
              </w:rPr>
              <w:t>2</w:t>
            </w:r>
          </w:p>
        </w:tc>
        <w:tc>
          <w:tcPr>
            <w:tcW w:w="1958" w:type="pct"/>
            <w:vAlign w:val="center"/>
          </w:tcPr>
          <w:p w14:paraId="658FE65C">
            <w:pPr>
              <w:adjustRightInd w:val="0"/>
              <w:snapToGrid w:val="0"/>
              <w:spacing w:line="240" w:lineRule="exact"/>
              <w:jc w:val="left"/>
              <w:rPr>
                <w:rFonts w:ascii="宋体" w:hAnsi="宋体"/>
                <w:b w:val="0"/>
                <w:szCs w:val="21"/>
              </w:rPr>
            </w:pPr>
            <w:r>
              <w:rPr>
                <w:rFonts w:hint="eastAsia" w:ascii="宋体" w:hAnsi="宋体"/>
                <w:b w:val="0"/>
                <w:szCs w:val="21"/>
              </w:rPr>
              <w:t>特种作业人员应当经有关业务主管部门考核合格，取得特种作业操作资格证书</w:t>
            </w:r>
          </w:p>
        </w:tc>
        <w:tc>
          <w:tcPr>
            <w:tcW w:w="931" w:type="pct"/>
            <w:vAlign w:val="center"/>
          </w:tcPr>
          <w:p w14:paraId="5C854C29">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00C79A96">
            <w:pPr>
              <w:adjustRightInd w:val="0"/>
              <w:snapToGrid w:val="0"/>
              <w:spacing w:line="240" w:lineRule="exact"/>
              <w:rPr>
                <w:rFonts w:ascii="宋体" w:hAnsi="宋体"/>
                <w:b w:val="0"/>
                <w:bCs/>
                <w:color w:val="000000" w:themeColor="text1"/>
                <w:szCs w:val="21"/>
                <w14:textFill>
                  <w14:solidFill>
                    <w14:schemeClr w14:val="tx1"/>
                  </w14:solidFill>
                </w14:textFill>
              </w:rPr>
            </w:pPr>
            <w:r>
              <w:rPr>
                <w:rFonts w:hint="eastAsia" w:ascii="宋体" w:hAnsi="宋体"/>
                <w:b w:val="0"/>
                <w:bCs/>
                <w:color w:val="000000" w:themeColor="text1"/>
                <w:szCs w:val="21"/>
                <w14:textFill>
                  <w14:solidFill>
                    <w14:schemeClr w14:val="tx1"/>
                  </w14:solidFill>
                </w14:textFill>
              </w:rPr>
              <w:t>该项目为待建项目，企业原特作作业人员均持有特作作业证。其拟制定的安全管理制度中明确要求：主要负责人、安全生产管理人员、特作作业人员均应持证上岗</w:t>
            </w:r>
          </w:p>
        </w:tc>
        <w:tc>
          <w:tcPr>
            <w:tcW w:w="322" w:type="pct"/>
            <w:vAlign w:val="center"/>
          </w:tcPr>
          <w:p w14:paraId="0482303B">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1ACBC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850" w:hRule="atLeast"/>
          <w:jc w:val="center"/>
        </w:trPr>
        <w:tc>
          <w:tcPr>
            <w:tcW w:w="285" w:type="pct"/>
            <w:vAlign w:val="center"/>
          </w:tcPr>
          <w:p w14:paraId="1D518C5E">
            <w:pPr>
              <w:adjustRightInd w:val="0"/>
              <w:snapToGrid w:val="0"/>
              <w:spacing w:line="240" w:lineRule="exact"/>
              <w:jc w:val="center"/>
              <w:rPr>
                <w:rFonts w:ascii="宋体" w:hAnsi="宋体"/>
                <w:b w:val="0"/>
                <w:szCs w:val="21"/>
              </w:rPr>
            </w:pPr>
            <w:r>
              <w:rPr>
                <w:rFonts w:hint="eastAsia" w:ascii="宋体" w:hAnsi="宋体"/>
                <w:b w:val="0"/>
                <w:szCs w:val="21"/>
              </w:rPr>
              <w:t>3</w:t>
            </w:r>
          </w:p>
        </w:tc>
        <w:tc>
          <w:tcPr>
            <w:tcW w:w="1958" w:type="pct"/>
            <w:vAlign w:val="center"/>
          </w:tcPr>
          <w:p w14:paraId="5C82A59B">
            <w:pPr>
              <w:adjustRightInd w:val="0"/>
              <w:snapToGrid w:val="0"/>
              <w:spacing w:line="240" w:lineRule="exact"/>
              <w:jc w:val="left"/>
              <w:rPr>
                <w:rFonts w:ascii="宋体" w:hAnsi="宋体"/>
                <w:b w:val="0"/>
                <w:szCs w:val="21"/>
              </w:rPr>
            </w:pPr>
            <w:r>
              <w:rPr>
                <w:rFonts w:hint="eastAsia" w:ascii="宋体" w:hAnsi="宋体"/>
                <w:b w:val="0"/>
                <w:szCs w:val="21"/>
              </w:rPr>
              <w:t>生产经营单位应当对从业人员进行安全生产教育和培训，保证从业人员具备必要的安全生产知识，熟悉有关的安全生产规章制度和安全操作规程，掌握本岗位的安全操作技能。未经安全生产教育和培训合格的从业人员，不得上岗作业。</w:t>
            </w:r>
          </w:p>
        </w:tc>
        <w:tc>
          <w:tcPr>
            <w:tcW w:w="931" w:type="pct"/>
            <w:vAlign w:val="center"/>
          </w:tcPr>
          <w:p w14:paraId="1B1804DA">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037ED4FF">
            <w:pPr>
              <w:adjustRightInd w:val="0"/>
              <w:snapToGrid w:val="0"/>
              <w:spacing w:line="240" w:lineRule="exact"/>
              <w:jc w:val="left"/>
              <w:rPr>
                <w:rFonts w:ascii="宋体" w:hAnsi="宋体"/>
                <w:b w:val="0"/>
                <w:spacing w:val="-4"/>
                <w:szCs w:val="21"/>
              </w:rPr>
            </w:pPr>
            <w:r>
              <w:rPr>
                <w:rFonts w:hint="eastAsia" w:ascii="宋体" w:hAnsi="宋体"/>
                <w:b w:val="0"/>
                <w:spacing w:val="-4"/>
                <w:szCs w:val="21"/>
              </w:rPr>
              <w:t>拟制度安全培训制度和相关记录</w:t>
            </w:r>
          </w:p>
        </w:tc>
        <w:tc>
          <w:tcPr>
            <w:tcW w:w="322" w:type="pct"/>
            <w:vAlign w:val="center"/>
          </w:tcPr>
          <w:p w14:paraId="33BDFE26">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279A3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00" w:hRule="atLeast"/>
          <w:jc w:val="center"/>
        </w:trPr>
        <w:tc>
          <w:tcPr>
            <w:tcW w:w="285" w:type="pct"/>
            <w:vAlign w:val="center"/>
          </w:tcPr>
          <w:p w14:paraId="163F6F40">
            <w:pPr>
              <w:adjustRightInd w:val="0"/>
              <w:snapToGrid w:val="0"/>
              <w:spacing w:line="240" w:lineRule="exact"/>
              <w:jc w:val="center"/>
              <w:rPr>
                <w:rFonts w:ascii="宋体" w:hAnsi="宋体"/>
                <w:b w:val="0"/>
                <w:szCs w:val="21"/>
              </w:rPr>
            </w:pPr>
            <w:r>
              <w:rPr>
                <w:rFonts w:hint="eastAsia" w:ascii="宋体" w:hAnsi="宋体"/>
                <w:b w:val="0"/>
                <w:szCs w:val="21"/>
              </w:rPr>
              <w:t>4</w:t>
            </w:r>
          </w:p>
        </w:tc>
        <w:tc>
          <w:tcPr>
            <w:tcW w:w="1958" w:type="pct"/>
            <w:vAlign w:val="center"/>
          </w:tcPr>
          <w:p w14:paraId="1A9B9590">
            <w:pPr>
              <w:adjustRightInd w:val="0"/>
              <w:snapToGrid w:val="0"/>
              <w:spacing w:line="240" w:lineRule="exact"/>
              <w:jc w:val="left"/>
              <w:rPr>
                <w:rFonts w:ascii="宋体" w:hAnsi="宋体"/>
                <w:b w:val="0"/>
                <w:szCs w:val="21"/>
              </w:rPr>
            </w:pPr>
            <w:r>
              <w:rPr>
                <w:rFonts w:hint="eastAsia" w:ascii="宋体" w:hAnsi="宋体"/>
                <w:b w:val="0"/>
                <w:szCs w:val="21"/>
              </w:rPr>
              <w:t>生产经营单位采用新工艺、新技术、新材料或者使用新设备，必须了解、掌握其安全技术特性，采取有效的安全防护措施，并对从业人员进行专门的安全生产教育和培训</w:t>
            </w:r>
          </w:p>
        </w:tc>
        <w:tc>
          <w:tcPr>
            <w:tcW w:w="931" w:type="pct"/>
            <w:vAlign w:val="center"/>
          </w:tcPr>
          <w:p w14:paraId="5DC56856">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79409FD4">
            <w:pPr>
              <w:adjustRightInd w:val="0"/>
              <w:snapToGrid w:val="0"/>
              <w:spacing w:line="240" w:lineRule="exact"/>
              <w:jc w:val="left"/>
              <w:rPr>
                <w:rFonts w:ascii="宋体" w:hAnsi="宋体"/>
                <w:b w:val="0"/>
                <w:szCs w:val="21"/>
              </w:rPr>
            </w:pPr>
            <w:r>
              <w:rPr>
                <w:rFonts w:hint="eastAsia" w:ascii="宋体" w:hAnsi="宋体"/>
                <w:b w:val="0"/>
                <w:szCs w:val="21"/>
              </w:rPr>
              <w:t>项目在开工投产前，对生产设备及其安全装置进行检测与检查，对从业人员进行了安全生产教育和培训</w:t>
            </w:r>
          </w:p>
        </w:tc>
        <w:tc>
          <w:tcPr>
            <w:tcW w:w="322" w:type="pct"/>
            <w:vAlign w:val="center"/>
          </w:tcPr>
          <w:p w14:paraId="3F407A22">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653F2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000" w:type="pct"/>
            <w:gridSpan w:val="5"/>
            <w:vAlign w:val="center"/>
          </w:tcPr>
          <w:p w14:paraId="6225F544">
            <w:pPr>
              <w:adjustRightInd w:val="0"/>
              <w:snapToGrid w:val="0"/>
              <w:spacing w:line="240" w:lineRule="exact"/>
              <w:jc w:val="left"/>
              <w:rPr>
                <w:rFonts w:ascii="宋体" w:hAnsi="宋体"/>
                <w:b w:val="0"/>
                <w:szCs w:val="21"/>
              </w:rPr>
            </w:pPr>
            <w:r>
              <w:rPr>
                <w:rFonts w:hint="eastAsia" w:ascii="宋体" w:hAnsi="宋体"/>
                <w:b w:val="0"/>
                <w:szCs w:val="21"/>
              </w:rPr>
              <w:t>四、安全管理落实情况</w:t>
            </w:r>
          </w:p>
        </w:tc>
      </w:tr>
      <w:tr w14:paraId="7D69A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43003340">
            <w:pPr>
              <w:adjustRightInd w:val="0"/>
              <w:snapToGrid w:val="0"/>
              <w:spacing w:line="240" w:lineRule="exact"/>
              <w:jc w:val="center"/>
              <w:rPr>
                <w:rFonts w:ascii="宋体" w:hAnsi="宋体"/>
                <w:b w:val="0"/>
                <w:szCs w:val="21"/>
              </w:rPr>
            </w:pPr>
            <w:r>
              <w:rPr>
                <w:rFonts w:hint="eastAsia" w:ascii="宋体" w:hAnsi="宋体"/>
                <w:b w:val="0"/>
                <w:szCs w:val="21"/>
              </w:rPr>
              <w:t>1</w:t>
            </w:r>
          </w:p>
        </w:tc>
        <w:tc>
          <w:tcPr>
            <w:tcW w:w="1958" w:type="pct"/>
            <w:vAlign w:val="center"/>
          </w:tcPr>
          <w:p w14:paraId="79BAE5CE">
            <w:pPr>
              <w:adjustRightInd w:val="0"/>
              <w:snapToGrid w:val="0"/>
              <w:spacing w:line="240" w:lineRule="exact"/>
              <w:jc w:val="left"/>
              <w:rPr>
                <w:rFonts w:ascii="宋体" w:hAnsi="宋体"/>
                <w:b w:val="0"/>
                <w:szCs w:val="21"/>
              </w:rPr>
            </w:pPr>
            <w:r>
              <w:rPr>
                <w:rFonts w:hint="eastAsia" w:ascii="宋体" w:hAnsi="宋体"/>
                <w:b w:val="0"/>
                <w:szCs w:val="21"/>
              </w:rPr>
              <w:t>生产经营单位新建、改建、扩建工程项目的安全设施，必须与主体工程同时设计、同时设计、同时施工、同时投入生产和使用。安全设施投资应当纳入建设项目概算。</w:t>
            </w:r>
          </w:p>
        </w:tc>
        <w:tc>
          <w:tcPr>
            <w:tcW w:w="931" w:type="pct"/>
            <w:vAlign w:val="center"/>
          </w:tcPr>
          <w:p w14:paraId="120EFB96">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63D664C2">
            <w:pPr>
              <w:adjustRightInd w:val="0"/>
              <w:snapToGrid w:val="0"/>
              <w:spacing w:line="240" w:lineRule="exact"/>
              <w:jc w:val="left"/>
              <w:rPr>
                <w:rFonts w:ascii="宋体" w:hAnsi="宋体"/>
                <w:b w:val="0"/>
                <w:szCs w:val="21"/>
              </w:rPr>
            </w:pPr>
            <w:r>
              <w:rPr>
                <w:rFonts w:hint="eastAsia" w:ascii="宋体" w:hAnsi="宋体"/>
                <w:b w:val="0"/>
                <w:szCs w:val="21"/>
              </w:rPr>
              <w:t>符合要求</w:t>
            </w:r>
          </w:p>
        </w:tc>
        <w:tc>
          <w:tcPr>
            <w:tcW w:w="322" w:type="pct"/>
            <w:vAlign w:val="center"/>
          </w:tcPr>
          <w:p w14:paraId="32E45A51">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32CEA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0" w:hRule="atLeast"/>
          <w:jc w:val="center"/>
        </w:trPr>
        <w:tc>
          <w:tcPr>
            <w:tcW w:w="285" w:type="pct"/>
            <w:vAlign w:val="center"/>
          </w:tcPr>
          <w:p w14:paraId="59676188">
            <w:pPr>
              <w:adjustRightInd w:val="0"/>
              <w:snapToGrid w:val="0"/>
              <w:spacing w:line="240" w:lineRule="exact"/>
              <w:jc w:val="center"/>
              <w:rPr>
                <w:rFonts w:ascii="宋体" w:hAnsi="宋体"/>
                <w:b w:val="0"/>
                <w:szCs w:val="21"/>
              </w:rPr>
            </w:pPr>
            <w:r>
              <w:rPr>
                <w:rFonts w:hint="eastAsia" w:ascii="宋体" w:hAnsi="宋体"/>
                <w:b w:val="0"/>
                <w:szCs w:val="21"/>
              </w:rPr>
              <w:t>2</w:t>
            </w:r>
          </w:p>
        </w:tc>
        <w:tc>
          <w:tcPr>
            <w:tcW w:w="1958" w:type="pct"/>
            <w:vAlign w:val="center"/>
          </w:tcPr>
          <w:p w14:paraId="6E157B8A">
            <w:pPr>
              <w:adjustRightInd w:val="0"/>
              <w:snapToGrid w:val="0"/>
              <w:spacing w:line="240" w:lineRule="exact"/>
              <w:jc w:val="left"/>
              <w:rPr>
                <w:rFonts w:ascii="宋体" w:hAnsi="宋体"/>
                <w:b w:val="0"/>
                <w:szCs w:val="21"/>
              </w:rPr>
            </w:pPr>
            <w:r>
              <w:rPr>
                <w:rFonts w:hint="eastAsia" w:ascii="宋体" w:hAnsi="宋体"/>
                <w:b w:val="0"/>
                <w:szCs w:val="21"/>
              </w:rPr>
              <w:t>生产经营单位应当具备安全生产条件所必需的资金投入，生产经营单位的主要负责人应保证本单位安全生产投入的有效实施</w:t>
            </w:r>
          </w:p>
        </w:tc>
        <w:tc>
          <w:tcPr>
            <w:tcW w:w="931" w:type="pct"/>
            <w:vAlign w:val="center"/>
          </w:tcPr>
          <w:p w14:paraId="493154DE">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0491ACAF">
            <w:pPr>
              <w:adjustRightInd w:val="0"/>
              <w:snapToGrid w:val="0"/>
              <w:spacing w:line="240" w:lineRule="exact"/>
              <w:jc w:val="left"/>
              <w:rPr>
                <w:rFonts w:ascii="宋体" w:hAnsi="宋体"/>
                <w:b w:val="0"/>
                <w:szCs w:val="21"/>
              </w:rPr>
            </w:pPr>
            <w:r>
              <w:rPr>
                <w:rFonts w:hint="eastAsia" w:ascii="宋体" w:hAnsi="宋体"/>
                <w:b w:val="0"/>
                <w:szCs w:val="21"/>
              </w:rPr>
              <w:t>符合要求</w:t>
            </w:r>
          </w:p>
        </w:tc>
        <w:tc>
          <w:tcPr>
            <w:tcW w:w="322" w:type="pct"/>
            <w:vAlign w:val="center"/>
          </w:tcPr>
          <w:p w14:paraId="639A557E">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408A8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85" w:type="pct"/>
            <w:vAlign w:val="center"/>
          </w:tcPr>
          <w:p w14:paraId="3D88AB9E">
            <w:pPr>
              <w:adjustRightInd w:val="0"/>
              <w:snapToGrid w:val="0"/>
              <w:spacing w:line="240" w:lineRule="exact"/>
              <w:jc w:val="center"/>
              <w:rPr>
                <w:rFonts w:ascii="宋体" w:hAnsi="宋体"/>
                <w:b w:val="0"/>
                <w:szCs w:val="21"/>
              </w:rPr>
            </w:pPr>
            <w:r>
              <w:rPr>
                <w:rFonts w:hint="eastAsia" w:ascii="宋体" w:hAnsi="宋体"/>
                <w:b w:val="0"/>
                <w:szCs w:val="21"/>
              </w:rPr>
              <w:t>3</w:t>
            </w:r>
          </w:p>
        </w:tc>
        <w:tc>
          <w:tcPr>
            <w:tcW w:w="1958" w:type="pct"/>
            <w:vAlign w:val="center"/>
          </w:tcPr>
          <w:p w14:paraId="3F2CABEF">
            <w:pPr>
              <w:adjustRightInd w:val="0"/>
              <w:snapToGrid w:val="0"/>
              <w:spacing w:line="240" w:lineRule="exact"/>
              <w:jc w:val="left"/>
              <w:rPr>
                <w:rFonts w:ascii="宋体" w:hAnsi="宋体"/>
                <w:b w:val="0"/>
                <w:szCs w:val="21"/>
              </w:rPr>
            </w:pPr>
            <w:r>
              <w:rPr>
                <w:rFonts w:hint="eastAsia" w:ascii="宋体" w:hAnsi="宋体"/>
                <w:b w:val="0"/>
                <w:szCs w:val="21"/>
              </w:rPr>
              <w:t>生产经营单位应当安排用于配备劳动防护用品、进行安全生产培训的经费</w:t>
            </w:r>
          </w:p>
        </w:tc>
        <w:tc>
          <w:tcPr>
            <w:tcW w:w="931" w:type="pct"/>
            <w:vAlign w:val="center"/>
          </w:tcPr>
          <w:p w14:paraId="2FCCBA01">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5C088B75">
            <w:pPr>
              <w:adjustRightInd w:val="0"/>
              <w:snapToGrid w:val="0"/>
              <w:spacing w:line="240" w:lineRule="exact"/>
              <w:jc w:val="left"/>
              <w:rPr>
                <w:rFonts w:ascii="宋体" w:hAnsi="宋体"/>
                <w:b w:val="0"/>
                <w:szCs w:val="21"/>
              </w:rPr>
            </w:pPr>
            <w:r>
              <w:rPr>
                <w:rFonts w:hint="eastAsia" w:ascii="宋体" w:hAnsi="宋体"/>
                <w:b w:val="0"/>
                <w:szCs w:val="21"/>
              </w:rPr>
              <w:t>为员工配备了劳动防护用品</w:t>
            </w:r>
          </w:p>
        </w:tc>
        <w:tc>
          <w:tcPr>
            <w:tcW w:w="322" w:type="pct"/>
            <w:vAlign w:val="center"/>
          </w:tcPr>
          <w:p w14:paraId="4EDAF234">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1A38A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1C98845F">
            <w:pPr>
              <w:adjustRightInd w:val="0"/>
              <w:snapToGrid w:val="0"/>
              <w:spacing w:line="240" w:lineRule="exact"/>
              <w:jc w:val="center"/>
              <w:rPr>
                <w:rFonts w:ascii="宋体" w:hAnsi="宋体"/>
                <w:b w:val="0"/>
                <w:szCs w:val="21"/>
              </w:rPr>
            </w:pPr>
            <w:r>
              <w:rPr>
                <w:rFonts w:hint="eastAsia" w:ascii="宋体" w:hAnsi="宋体"/>
                <w:b w:val="0"/>
                <w:szCs w:val="21"/>
              </w:rPr>
              <w:t>4</w:t>
            </w:r>
          </w:p>
        </w:tc>
        <w:tc>
          <w:tcPr>
            <w:tcW w:w="1958" w:type="pct"/>
            <w:vAlign w:val="center"/>
          </w:tcPr>
          <w:p w14:paraId="221ADFF2">
            <w:pPr>
              <w:adjustRightInd w:val="0"/>
              <w:snapToGrid w:val="0"/>
              <w:spacing w:line="240" w:lineRule="exact"/>
              <w:jc w:val="left"/>
              <w:rPr>
                <w:rFonts w:ascii="宋体" w:hAnsi="宋体"/>
                <w:b w:val="0"/>
                <w:szCs w:val="21"/>
              </w:rPr>
            </w:pPr>
            <w:r>
              <w:rPr>
                <w:rFonts w:hint="eastAsia" w:ascii="宋体" w:hAnsi="宋体"/>
                <w:b w:val="0"/>
                <w:szCs w:val="21"/>
              </w:rPr>
              <w:t>厂房、作业场所和安全设施、设备、工艺符合有关法律、法规、规章和标准的规定</w:t>
            </w:r>
          </w:p>
        </w:tc>
        <w:tc>
          <w:tcPr>
            <w:tcW w:w="931" w:type="pct"/>
            <w:vAlign w:val="center"/>
          </w:tcPr>
          <w:p w14:paraId="7C0DF990">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3F2C016C">
            <w:pPr>
              <w:adjustRightInd w:val="0"/>
              <w:snapToGrid w:val="0"/>
              <w:spacing w:line="240" w:lineRule="exact"/>
              <w:jc w:val="left"/>
              <w:rPr>
                <w:rFonts w:ascii="宋体" w:hAnsi="宋体"/>
                <w:b w:val="0"/>
                <w:szCs w:val="21"/>
              </w:rPr>
            </w:pPr>
            <w:r>
              <w:rPr>
                <w:rFonts w:hint="eastAsia" w:ascii="宋体" w:hAnsi="宋体"/>
                <w:b w:val="0"/>
                <w:szCs w:val="21"/>
              </w:rPr>
              <w:t>厂房、作业场所和安全设施、设备、工艺设计基本符合有关法律、法规、规章和标准的规定</w:t>
            </w:r>
          </w:p>
        </w:tc>
        <w:tc>
          <w:tcPr>
            <w:tcW w:w="322" w:type="pct"/>
            <w:vAlign w:val="center"/>
          </w:tcPr>
          <w:p w14:paraId="163F6CAC">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DCD4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0B591F2C">
            <w:pPr>
              <w:adjustRightInd w:val="0"/>
              <w:snapToGrid w:val="0"/>
              <w:spacing w:line="240" w:lineRule="exact"/>
              <w:jc w:val="center"/>
              <w:rPr>
                <w:rFonts w:ascii="宋体" w:hAnsi="宋体"/>
                <w:b w:val="0"/>
                <w:szCs w:val="21"/>
              </w:rPr>
            </w:pPr>
            <w:r>
              <w:rPr>
                <w:rFonts w:hint="eastAsia" w:ascii="宋体" w:hAnsi="宋体"/>
                <w:b w:val="0"/>
                <w:szCs w:val="21"/>
              </w:rPr>
              <w:t>5</w:t>
            </w:r>
          </w:p>
        </w:tc>
        <w:tc>
          <w:tcPr>
            <w:tcW w:w="1958" w:type="pct"/>
            <w:vAlign w:val="center"/>
          </w:tcPr>
          <w:p w14:paraId="750DA3D0">
            <w:pPr>
              <w:adjustRightInd w:val="0"/>
              <w:snapToGrid w:val="0"/>
              <w:spacing w:line="240" w:lineRule="exact"/>
              <w:jc w:val="left"/>
              <w:rPr>
                <w:rFonts w:ascii="宋体" w:hAnsi="宋体"/>
                <w:b w:val="0"/>
                <w:szCs w:val="21"/>
              </w:rPr>
            </w:pPr>
            <w:r>
              <w:rPr>
                <w:rFonts w:hint="eastAsia" w:ascii="宋体" w:hAnsi="宋体"/>
                <w:b w:val="0"/>
                <w:szCs w:val="21"/>
              </w:rPr>
              <w:t>生产经营单位不得使用国家明令淘汰、禁止使用的危及生产安全的工艺、设备</w:t>
            </w:r>
          </w:p>
        </w:tc>
        <w:tc>
          <w:tcPr>
            <w:tcW w:w="931" w:type="pct"/>
            <w:vAlign w:val="center"/>
          </w:tcPr>
          <w:p w14:paraId="275251AF">
            <w:pPr>
              <w:adjustRightInd w:val="0"/>
              <w:snapToGrid w:val="0"/>
              <w:spacing w:line="240" w:lineRule="exact"/>
              <w:rPr>
                <w:rFonts w:ascii="宋体" w:hAnsi="宋体"/>
                <w:b w:val="0"/>
                <w:szCs w:val="21"/>
              </w:rPr>
            </w:pPr>
            <w:r>
              <w:rPr>
                <w:rFonts w:hint="eastAsia" w:ascii="宋体" w:hAnsi="宋体"/>
                <w:b w:val="0"/>
                <w:szCs w:val="21"/>
              </w:rPr>
              <w:t>《中华人民共和国安全生产法》</w:t>
            </w:r>
          </w:p>
        </w:tc>
        <w:tc>
          <w:tcPr>
            <w:tcW w:w="1501" w:type="pct"/>
            <w:vAlign w:val="center"/>
          </w:tcPr>
          <w:p w14:paraId="1C146870">
            <w:pPr>
              <w:adjustRightInd w:val="0"/>
              <w:snapToGrid w:val="0"/>
              <w:spacing w:line="240" w:lineRule="exact"/>
              <w:jc w:val="left"/>
              <w:rPr>
                <w:rFonts w:ascii="宋体" w:hAnsi="宋体"/>
                <w:b w:val="0"/>
                <w:szCs w:val="21"/>
              </w:rPr>
            </w:pPr>
            <w:r>
              <w:rPr>
                <w:rFonts w:hint="eastAsia" w:ascii="宋体" w:hAnsi="宋体"/>
                <w:b w:val="0"/>
                <w:szCs w:val="21"/>
              </w:rPr>
              <w:t>没有使用国家明令淘汰、禁止使用的危及生产安全的工艺、设备</w:t>
            </w:r>
          </w:p>
        </w:tc>
        <w:tc>
          <w:tcPr>
            <w:tcW w:w="322" w:type="pct"/>
            <w:vAlign w:val="center"/>
          </w:tcPr>
          <w:p w14:paraId="55F75D9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6A03B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16E04CCA">
            <w:pPr>
              <w:adjustRightInd w:val="0"/>
              <w:snapToGrid w:val="0"/>
              <w:spacing w:line="240" w:lineRule="exact"/>
              <w:jc w:val="center"/>
              <w:rPr>
                <w:rFonts w:ascii="宋体" w:hAnsi="宋体"/>
                <w:b w:val="0"/>
                <w:szCs w:val="21"/>
              </w:rPr>
            </w:pPr>
            <w:r>
              <w:rPr>
                <w:rFonts w:hint="eastAsia" w:ascii="宋体" w:hAnsi="宋体"/>
                <w:b w:val="0"/>
                <w:szCs w:val="21"/>
              </w:rPr>
              <w:t>6</w:t>
            </w:r>
          </w:p>
        </w:tc>
        <w:tc>
          <w:tcPr>
            <w:tcW w:w="1958" w:type="pct"/>
            <w:vAlign w:val="center"/>
          </w:tcPr>
          <w:p w14:paraId="35EE9529">
            <w:pPr>
              <w:adjustRightInd w:val="0"/>
              <w:snapToGrid w:val="0"/>
              <w:spacing w:line="240" w:lineRule="exact"/>
              <w:jc w:val="left"/>
              <w:rPr>
                <w:rFonts w:ascii="宋体" w:hAnsi="宋体"/>
                <w:b w:val="0"/>
                <w:szCs w:val="21"/>
              </w:rPr>
            </w:pPr>
            <w:r>
              <w:rPr>
                <w:rFonts w:hint="eastAsia" w:ascii="宋体" w:hAnsi="宋体"/>
                <w:b w:val="0"/>
                <w:szCs w:val="21"/>
              </w:rPr>
              <w:t>对安全检查的隐患是否及时进行整改</w:t>
            </w:r>
          </w:p>
        </w:tc>
        <w:tc>
          <w:tcPr>
            <w:tcW w:w="931" w:type="pct"/>
            <w:vAlign w:val="center"/>
          </w:tcPr>
          <w:p w14:paraId="1CDD0D14">
            <w:pPr>
              <w:adjustRightInd w:val="0"/>
              <w:snapToGrid w:val="0"/>
              <w:spacing w:line="240" w:lineRule="exact"/>
              <w:rPr>
                <w:rFonts w:ascii="宋体" w:hAnsi="宋体"/>
                <w:b w:val="0"/>
                <w:szCs w:val="21"/>
              </w:rPr>
            </w:pPr>
            <w:r>
              <w:rPr>
                <w:rFonts w:hint="eastAsia" w:ascii="宋体" w:hAnsi="宋体"/>
                <w:b w:val="0"/>
                <w:szCs w:val="21"/>
              </w:rPr>
              <w:t>《中华人民共和国安全生产法》</w:t>
            </w:r>
          </w:p>
        </w:tc>
        <w:tc>
          <w:tcPr>
            <w:tcW w:w="1501" w:type="pct"/>
            <w:vAlign w:val="center"/>
          </w:tcPr>
          <w:p w14:paraId="674B812B">
            <w:pPr>
              <w:adjustRightInd w:val="0"/>
              <w:snapToGrid w:val="0"/>
              <w:spacing w:line="240" w:lineRule="exact"/>
              <w:jc w:val="left"/>
              <w:rPr>
                <w:rFonts w:ascii="宋体" w:hAnsi="宋体"/>
                <w:b w:val="0"/>
                <w:szCs w:val="21"/>
              </w:rPr>
            </w:pPr>
            <w:r>
              <w:rPr>
                <w:rFonts w:hint="eastAsia" w:ascii="宋体" w:hAnsi="宋体"/>
                <w:b w:val="0"/>
                <w:szCs w:val="21"/>
              </w:rPr>
              <w:t>安全检查制度中明确：查出的隐患及时进行整改</w:t>
            </w:r>
          </w:p>
        </w:tc>
        <w:tc>
          <w:tcPr>
            <w:tcW w:w="322" w:type="pct"/>
            <w:vAlign w:val="center"/>
          </w:tcPr>
          <w:p w14:paraId="56A744B5">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36389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2BAE604E">
            <w:pPr>
              <w:adjustRightInd w:val="0"/>
              <w:snapToGrid w:val="0"/>
              <w:spacing w:line="240" w:lineRule="exact"/>
              <w:jc w:val="center"/>
              <w:rPr>
                <w:rFonts w:ascii="宋体" w:hAnsi="宋体"/>
                <w:b w:val="0"/>
                <w:szCs w:val="21"/>
              </w:rPr>
            </w:pPr>
            <w:r>
              <w:rPr>
                <w:rFonts w:hint="eastAsia" w:ascii="宋体" w:hAnsi="宋体"/>
                <w:b w:val="0"/>
                <w:szCs w:val="21"/>
              </w:rPr>
              <w:t>7</w:t>
            </w:r>
          </w:p>
        </w:tc>
        <w:tc>
          <w:tcPr>
            <w:tcW w:w="1958" w:type="pct"/>
            <w:vAlign w:val="center"/>
          </w:tcPr>
          <w:p w14:paraId="5BB15259">
            <w:pPr>
              <w:adjustRightInd w:val="0"/>
              <w:snapToGrid w:val="0"/>
              <w:spacing w:line="240" w:lineRule="exact"/>
              <w:jc w:val="left"/>
              <w:rPr>
                <w:rFonts w:ascii="宋体" w:hAnsi="宋体"/>
                <w:b w:val="0"/>
                <w:szCs w:val="21"/>
              </w:rPr>
            </w:pPr>
            <w:r>
              <w:rPr>
                <w:rFonts w:hint="eastAsia" w:ascii="宋体" w:hAnsi="宋体"/>
                <w:b w:val="0"/>
                <w:szCs w:val="21"/>
              </w:rPr>
              <w:t>消防安全重点单位建立防火档案，确定消防安全重点部位，设置防火标志，实行严格管理</w:t>
            </w:r>
          </w:p>
        </w:tc>
        <w:tc>
          <w:tcPr>
            <w:tcW w:w="931" w:type="pct"/>
            <w:vAlign w:val="center"/>
          </w:tcPr>
          <w:p w14:paraId="3CB0FB25">
            <w:pPr>
              <w:adjustRightInd w:val="0"/>
              <w:snapToGrid w:val="0"/>
              <w:spacing w:line="240" w:lineRule="exact"/>
              <w:rPr>
                <w:rFonts w:ascii="宋体" w:hAnsi="宋体"/>
                <w:b w:val="0"/>
                <w:szCs w:val="21"/>
              </w:rPr>
            </w:pPr>
            <w:r>
              <w:rPr>
                <w:rFonts w:hint="eastAsia" w:ascii="宋体" w:hAnsi="宋体"/>
                <w:b w:val="0"/>
                <w:szCs w:val="21"/>
              </w:rPr>
              <w:t>《中华人民共和国消防法》</w:t>
            </w:r>
          </w:p>
        </w:tc>
        <w:tc>
          <w:tcPr>
            <w:tcW w:w="1501" w:type="pct"/>
            <w:vAlign w:val="center"/>
          </w:tcPr>
          <w:p w14:paraId="6C9F99F9">
            <w:pPr>
              <w:adjustRightInd w:val="0"/>
              <w:snapToGrid w:val="0"/>
              <w:spacing w:line="240" w:lineRule="exact"/>
              <w:jc w:val="left"/>
              <w:rPr>
                <w:rFonts w:ascii="宋体" w:hAnsi="宋体"/>
                <w:b w:val="0"/>
                <w:bCs/>
                <w:color w:val="000000" w:themeColor="text1"/>
                <w:szCs w:val="21"/>
                <w14:textFill>
                  <w14:solidFill>
                    <w14:schemeClr w14:val="tx1"/>
                  </w14:solidFill>
                </w14:textFill>
              </w:rPr>
            </w:pPr>
            <w:r>
              <w:rPr>
                <w:rFonts w:hint="eastAsia" w:ascii="宋体" w:hAnsi="宋体"/>
                <w:b w:val="0"/>
                <w:bCs/>
                <w:color w:val="000000" w:themeColor="text1"/>
                <w:szCs w:val="21"/>
                <w14:textFill>
                  <w14:solidFill>
                    <w14:schemeClr w14:val="tx1"/>
                  </w14:solidFill>
                </w14:textFill>
              </w:rPr>
              <w:t>拟根据设计设置、明确消防重点部位，并设置防火标志</w:t>
            </w:r>
          </w:p>
        </w:tc>
        <w:tc>
          <w:tcPr>
            <w:tcW w:w="322" w:type="pct"/>
            <w:vAlign w:val="center"/>
          </w:tcPr>
          <w:p w14:paraId="41E2D60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5A497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90" w:hRule="atLeast"/>
          <w:jc w:val="center"/>
        </w:trPr>
        <w:tc>
          <w:tcPr>
            <w:tcW w:w="285" w:type="pct"/>
            <w:vAlign w:val="center"/>
          </w:tcPr>
          <w:p w14:paraId="3328F029">
            <w:pPr>
              <w:adjustRightInd w:val="0"/>
              <w:snapToGrid w:val="0"/>
              <w:spacing w:line="240" w:lineRule="exact"/>
              <w:jc w:val="center"/>
              <w:rPr>
                <w:rFonts w:ascii="宋体" w:hAnsi="宋体"/>
                <w:b w:val="0"/>
                <w:szCs w:val="21"/>
              </w:rPr>
            </w:pPr>
            <w:r>
              <w:rPr>
                <w:rFonts w:hint="eastAsia" w:ascii="宋体" w:hAnsi="宋体"/>
                <w:b w:val="0"/>
                <w:szCs w:val="21"/>
              </w:rPr>
              <w:t>8</w:t>
            </w:r>
          </w:p>
        </w:tc>
        <w:tc>
          <w:tcPr>
            <w:tcW w:w="1958" w:type="pct"/>
            <w:vAlign w:val="center"/>
          </w:tcPr>
          <w:p w14:paraId="4492194E">
            <w:pPr>
              <w:adjustRightInd w:val="0"/>
              <w:snapToGrid w:val="0"/>
              <w:spacing w:line="240" w:lineRule="exact"/>
              <w:jc w:val="left"/>
              <w:rPr>
                <w:rFonts w:ascii="宋体" w:hAnsi="宋体"/>
                <w:b w:val="0"/>
                <w:szCs w:val="21"/>
              </w:rPr>
            </w:pPr>
            <w:r>
              <w:rPr>
                <w:rFonts w:hint="eastAsia" w:ascii="宋体" w:hAnsi="宋体"/>
                <w:b w:val="0"/>
                <w:szCs w:val="21"/>
              </w:rPr>
              <w:t>生产、储存、运输、销售或者使用易燃易爆危险物品的单位，对产品应当附有燃点、闪点、爆炸极限等数据的说明书，并且注明防火防爆注意事项。对独立的易燃易爆危险物品应当附危险品标签</w:t>
            </w:r>
          </w:p>
        </w:tc>
        <w:tc>
          <w:tcPr>
            <w:tcW w:w="931" w:type="pct"/>
            <w:vAlign w:val="center"/>
          </w:tcPr>
          <w:p w14:paraId="33E198F5">
            <w:pPr>
              <w:adjustRightInd w:val="0"/>
              <w:snapToGrid w:val="0"/>
              <w:spacing w:line="240" w:lineRule="exact"/>
              <w:rPr>
                <w:rFonts w:ascii="宋体" w:hAnsi="宋体"/>
                <w:b w:val="0"/>
                <w:szCs w:val="21"/>
              </w:rPr>
            </w:pPr>
            <w:r>
              <w:rPr>
                <w:rFonts w:hint="eastAsia" w:ascii="宋体" w:hAnsi="宋体"/>
                <w:b w:val="0"/>
                <w:szCs w:val="21"/>
              </w:rPr>
              <w:t>《中华人民共和国消防法》</w:t>
            </w:r>
          </w:p>
        </w:tc>
        <w:tc>
          <w:tcPr>
            <w:tcW w:w="1501" w:type="pct"/>
            <w:vAlign w:val="center"/>
          </w:tcPr>
          <w:p w14:paraId="70B5BDC0">
            <w:pPr>
              <w:adjustRightInd w:val="0"/>
              <w:snapToGrid w:val="0"/>
              <w:spacing w:line="240" w:lineRule="exact"/>
              <w:jc w:val="left"/>
              <w:rPr>
                <w:rFonts w:ascii="宋体" w:hAnsi="宋体"/>
                <w:b w:val="0"/>
                <w:szCs w:val="21"/>
              </w:rPr>
            </w:pPr>
            <w:r>
              <w:rPr>
                <w:rFonts w:hint="eastAsia" w:ascii="宋体" w:hAnsi="宋体"/>
                <w:b w:val="0"/>
                <w:szCs w:val="21"/>
              </w:rPr>
              <w:t>拟根据设计设置安全技术说明书和危险品标签</w:t>
            </w:r>
          </w:p>
        </w:tc>
        <w:tc>
          <w:tcPr>
            <w:tcW w:w="322" w:type="pct"/>
            <w:vAlign w:val="center"/>
          </w:tcPr>
          <w:p w14:paraId="073D6B49">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D60F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092498D">
            <w:pPr>
              <w:adjustRightInd w:val="0"/>
              <w:snapToGrid w:val="0"/>
              <w:spacing w:line="240" w:lineRule="exact"/>
              <w:jc w:val="center"/>
              <w:rPr>
                <w:rFonts w:ascii="宋体" w:hAnsi="宋体"/>
                <w:b w:val="0"/>
                <w:szCs w:val="21"/>
              </w:rPr>
            </w:pPr>
            <w:r>
              <w:rPr>
                <w:rFonts w:hint="eastAsia" w:ascii="宋体" w:hAnsi="宋体"/>
                <w:b w:val="0"/>
                <w:szCs w:val="21"/>
              </w:rPr>
              <w:t>9</w:t>
            </w:r>
          </w:p>
        </w:tc>
        <w:tc>
          <w:tcPr>
            <w:tcW w:w="1958" w:type="pct"/>
            <w:vAlign w:val="center"/>
          </w:tcPr>
          <w:p w14:paraId="171C8037">
            <w:pPr>
              <w:adjustRightInd w:val="0"/>
              <w:snapToGrid w:val="0"/>
              <w:spacing w:line="240" w:lineRule="exact"/>
              <w:jc w:val="left"/>
              <w:rPr>
                <w:rFonts w:ascii="宋体" w:hAnsi="宋体"/>
                <w:b w:val="0"/>
                <w:szCs w:val="21"/>
              </w:rPr>
            </w:pPr>
            <w:r>
              <w:rPr>
                <w:rFonts w:hint="eastAsia" w:ascii="宋体" w:hAnsi="宋体"/>
                <w:b w:val="0"/>
                <w:szCs w:val="21"/>
              </w:rPr>
              <w:t>事故调查处理应当按照实事求是、尊重科学的原则，及时、准确地查清事故原因，查明事故性质和责任，总结事故教训，提出整改措施，并对事故责任者提出处理意见</w:t>
            </w:r>
          </w:p>
        </w:tc>
        <w:tc>
          <w:tcPr>
            <w:tcW w:w="931" w:type="pct"/>
            <w:vAlign w:val="center"/>
          </w:tcPr>
          <w:p w14:paraId="3B6F773A">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3E3DBD38">
            <w:pPr>
              <w:adjustRightInd w:val="0"/>
              <w:snapToGrid w:val="0"/>
              <w:spacing w:line="240" w:lineRule="exact"/>
              <w:jc w:val="left"/>
              <w:rPr>
                <w:rFonts w:ascii="宋体" w:hAnsi="宋体"/>
                <w:b w:val="0"/>
                <w:szCs w:val="21"/>
              </w:rPr>
            </w:pPr>
            <w:r>
              <w:rPr>
                <w:rFonts w:hint="eastAsia" w:ascii="宋体" w:hAnsi="宋体"/>
                <w:b w:val="0"/>
                <w:szCs w:val="21"/>
              </w:rPr>
              <w:t>拟制定《事故报告处理制度》等相关安全管理制度</w:t>
            </w:r>
          </w:p>
        </w:tc>
        <w:tc>
          <w:tcPr>
            <w:tcW w:w="322" w:type="pct"/>
            <w:vAlign w:val="center"/>
          </w:tcPr>
          <w:p w14:paraId="6190DC51">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2CC9B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C76C9A1">
            <w:pPr>
              <w:adjustRightInd w:val="0"/>
              <w:snapToGrid w:val="0"/>
              <w:spacing w:line="240" w:lineRule="exact"/>
              <w:jc w:val="center"/>
              <w:rPr>
                <w:rFonts w:ascii="宋体" w:hAnsi="宋体"/>
                <w:b w:val="0"/>
                <w:szCs w:val="21"/>
              </w:rPr>
            </w:pPr>
            <w:r>
              <w:rPr>
                <w:rFonts w:hint="eastAsia" w:ascii="宋体" w:hAnsi="宋体"/>
                <w:b w:val="0"/>
                <w:szCs w:val="21"/>
              </w:rPr>
              <w:t>10</w:t>
            </w:r>
          </w:p>
        </w:tc>
        <w:tc>
          <w:tcPr>
            <w:tcW w:w="1958" w:type="pct"/>
            <w:vAlign w:val="center"/>
          </w:tcPr>
          <w:p w14:paraId="54220A1E">
            <w:pPr>
              <w:adjustRightInd w:val="0"/>
              <w:snapToGrid w:val="0"/>
              <w:spacing w:line="240" w:lineRule="exact"/>
              <w:jc w:val="left"/>
              <w:rPr>
                <w:rFonts w:ascii="宋体" w:hAnsi="宋体"/>
                <w:b w:val="0"/>
                <w:szCs w:val="21"/>
              </w:rPr>
            </w:pPr>
            <w:r>
              <w:rPr>
                <w:rFonts w:hint="eastAsia" w:ascii="宋体" w:hAnsi="宋体"/>
                <w:b w:val="0"/>
                <w:szCs w:val="21"/>
              </w:rPr>
              <w:t>生产经营单位必须为从业人员提供符合国家标准或行业标准的劳动防护用品，并监督、教育从业人员</w:t>
            </w:r>
          </w:p>
        </w:tc>
        <w:tc>
          <w:tcPr>
            <w:tcW w:w="931" w:type="pct"/>
            <w:vAlign w:val="center"/>
          </w:tcPr>
          <w:p w14:paraId="38EAF891">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294E9A16">
            <w:pPr>
              <w:adjustRightInd w:val="0"/>
              <w:snapToGrid w:val="0"/>
              <w:spacing w:line="240" w:lineRule="exact"/>
              <w:jc w:val="left"/>
              <w:rPr>
                <w:rFonts w:ascii="宋体" w:hAnsi="宋体"/>
                <w:b w:val="0"/>
                <w:szCs w:val="21"/>
              </w:rPr>
            </w:pPr>
            <w:r>
              <w:rPr>
                <w:rFonts w:hint="eastAsia" w:ascii="宋体" w:hAnsi="宋体"/>
                <w:b w:val="0"/>
                <w:szCs w:val="21"/>
              </w:rPr>
              <w:t>为从业人员提供工作服、防尘口罩和手套等防护用品，现场检查按照使用规则佩戴、使用</w:t>
            </w:r>
          </w:p>
        </w:tc>
        <w:tc>
          <w:tcPr>
            <w:tcW w:w="322" w:type="pct"/>
            <w:vAlign w:val="center"/>
          </w:tcPr>
          <w:p w14:paraId="4779F57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56B3D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50F4A84C">
            <w:pPr>
              <w:adjustRightInd w:val="0"/>
              <w:snapToGrid w:val="0"/>
              <w:spacing w:line="240" w:lineRule="exact"/>
              <w:jc w:val="center"/>
              <w:rPr>
                <w:rFonts w:ascii="宋体" w:hAnsi="宋体"/>
                <w:b w:val="0"/>
                <w:szCs w:val="21"/>
              </w:rPr>
            </w:pPr>
            <w:r>
              <w:rPr>
                <w:rFonts w:hint="eastAsia" w:ascii="宋体" w:hAnsi="宋体"/>
                <w:b w:val="0"/>
                <w:szCs w:val="21"/>
              </w:rPr>
              <w:t>11</w:t>
            </w:r>
          </w:p>
        </w:tc>
        <w:tc>
          <w:tcPr>
            <w:tcW w:w="1958" w:type="pct"/>
            <w:vAlign w:val="center"/>
          </w:tcPr>
          <w:p w14:paraId="54E94DB1">
            <w:pPr>
              <w:adjustRightInd w:val="0"/>
              <w:snapToGrid w:val="0"/>
              <w:spacing w:line="240" w:lineRule="exact"/>
              <w:jc w:val="left"/>
              <w:rPr>
                <w:rFonts w:ascii="宋体" w:hAnsi="宋体"/>
                <w:b w:val="0"/>
                <w:szCs w:val="21"/>
              </w:rPr>
            </w:pPr>
            <w:r>
              <w:rPr>
                <w:rFonts w:hint="eastAsia" w:ascii="宋体" w:hAnsi="宋体"/>
                <w:b w:val="0"/>
                <w:szCs w:val="21"/>
              </w:rPr>
              <w:t>从业人员在作业过程中，应当严格遵守本单位的安全生产规章制度和操作规程，服从管理，正确佩戴和使用劳动防护用品</w:t>
            </w:r>
          </w:p>
        </w:tc>
        <w:tc>
          <w:tcPr>
            <w:tcW w:w="931" w:type="pct"/>
            <w:vAlign w:val="center"/>
          </w:tcPr>
          <w:p w14:paraId="1556503A">
            <w:pPr>
              <w:adjustRightInd w:val="0"/>
              <w:snapToGrid w:val="0"/>
              <w:spacing w:line="240" w:lineRule="exact"/>
              <w:jc w:val="left"/>
              <w:rPr>
                <w:rFonts w:ascii="宋体" w:hAnsi="宋体"/>
                <w:b w:val="0"/>
                <w:szCs w:val="21"/>
              </w:rPr>
            </w:pPr>
            <w:r>
              <w:rPr>
                <w:rFonts w:hint="eastAsia" w:ascii="宋体" w:hAnsi="宋体"/>
                <w:b w:val="0"/>
                <w:szCs w:val="21"/>
              </w:rPr>
              <w:t>《中华人民共和国安全生产法》</w:t>
            </w:r>
          </w:p>
        </w:tc>
        <w:tc>
          <w:tcPr>
            <w:tcW w:w="1501" w:type="pct"/>
            <w:vAlign w:val="center"/>
          </w:tcPr>
          <w:p w14:paraId="2B507B24">
            <w:pPr>
              <w:adjustRightInd w:val="0"/>
              <w:snapToGrid w:val="0"/>
              <w:spacing w:line="240" w:lineRule="exact"/>
              <w:jc w:val="left"/>
              <w:rPr>
                <w:rFonts w:ascii="宋体" w:hAnsi="宋体"/>
                <w:b w:val="0"/>
                <w:szCs w:val="21"/>
              </w:rPr>
            </w:pPr>
            <w:r>
              <w:rPr>
                <w:rFonts w:hint="eastAsia" w:ascii="宋体" w:hAnsi="宋体"/>
                <w:b w:val="0"/>
                <w:szCs w:val="21"/>
              </w:rPr>
              <w:t>符合要求</w:t>
            </w:r>
          </w:p>
        </w:tc>
        <w:tc>
          <w:tcPr>
            <w:tcW w:w="322" w:type="pct"/>
            <w:vAlign w:val="center"/>
          </w:tcPr>
          <w:p w14:paraId="4990E526">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66952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4B6C742D">
            <w:pPr>
              <w:adjustRightInd w:val="0"/>
              <w:snapToGrid w:val="0"/>
              <w:spacing w:line="240" w:lineRule="exact"/>
              <w:jc w:val="center"/>
              <w:rPr>
                <w:rFonts w:ascii="宋体" w:hAnsi="宋体"/>
                <w:b w:val="0"/>
                <w:szCs w:val="21"/>
              </w:rPr>
            </w:pPr>
            <w:r>
              <w:rPr>
                <w:rFonts w:hint="eastAsia" w:ascii="宋体" w:hAnsi="宋体"/>
                <w:b w:val="0"/>
                <w:szCs w:val="21"/>
              </w:rPr>
              <w:t>12</w:t>
            </w:r>
          </w:p>
        </w:tc>
        <w:tc>
          <w:tcPr>
            <w:tcW w:w="1958" w:type="pct"/>
            <w:vAlign w:val="center"/>
          </w:tcPr>
          <w:p w14:paraId="1AB1D178">
            <w:pPr>
              <w:adjustRightInd w:val="0"/>
              <w:snapToGrid w:val="0"/>
              <w:spacing w:line="240" w:lineRule="exact"/>
              <w:jc w:val="left"/>
              <w:rPr>
                <w:rFonts w:ascii="宋体" w:hAnsi="宋体"/>
                <w:b w:val="0"/>
                <w:szCs w:val="21"/>
              </w:rPr>
            </w:pPr>
            <w:r>
              <w:rPr>
                <w:rFonts w:hint="eastAsia" w:ascii="宋体" w:hAnsi="宋体"/>
                <w:b w:val="0"/>
                <w:szCs w:val="21"/>
              </w:rPr>
              <w:t>对劳动者进行上网前的职业卫生培训，普及职业卫生知识，督促劳动者遵守职业病防治法律、法规、规章和操作规程，指导劳动者正确使用职业病防护设备和个人使用的职业病防护用品</w:t>
            </w:r>
          </w:p>
        </w:tc>
        <w:tc>
          <w:tcPr>
            <w:tcW w:w="931" w:type="pct"/>
            <w:vAlign w:val="center"/>
          </w:tcPr>
          <w:p w14:paraId="32BDAA62">
            <w:pPr>
              <w:adjustRightInd w:val="0"/>
              <w:snapToGrid w:val="0"/>
              <w:spacing w:line="240" w:lineRule="exact"/>
              <w:jc w:val="left"/>
              <w:rPr>
                <w:rFonts w:ascii="宋体" w:hAnsi="宋体"/>
                <w:b w:val="0"/>
                <w:szCs w:val="21"/>
              </w:rPr>
            </w:pPr>
            <w:r>
              <w:rPr>
                <w:rFonts w:hint="eastAsia" w:ascii="宋体" w:hAnsi="宋体"/>
                <w:b w:val="0"/>
                <w:szCs w:val="21"/>
              </w:rPr>
              <w:t>《中华人民共和国职业病防治法》</w:t>
            </w:r>
          </w:p>
        </w:tc>
        <w:tc>
          <w:tcPr>
            <w:tcW w:w="1501" w:type="pct"/>
            <w:vAlign w:val="center"/>
          </w:tcPr>
          <w:p w14:paraId="313E3783">
            <w:pPr>
              <w:adjustRightInd w:val="0"/>
              <w:snapToGrid w:val="0"/>
              <w:spacing w:line="240" w:lineRule="exact"/>
              <w:rPr>
                <w:rFonts w:ascii="宋体" w:hAnsi="宋体"/>
                <w:b w:val="0"/>
                <w:szCs w:val="21"/>
              </w:rPr>
            </w:pPr>
            <w:r>
              <w:rPr>
                <w:rFonts w:hint="eastAsia" w:ascii="宋体" w:hAnsi="宋体"/>
                <w:b w:val="0"/>
                <w:szCs w:val="21"/>
              </w:rPr>
              <w:t>上岗前和在岗期间已进行职业卫生培训，现场检查操作者能正确使用职业病防护设备和个人使用的职业病防护用品</w:t>
            </w:r>
          </w:p>
        </w:tc>
        <w:tc>
          <w:tcPr>
            <w:tcW w:w="322" w:type="pct"/>
            <w:vAlign w:val="center"/>
          </w:tcPr>
          <w:p w14:paraId="3AE4622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EA4A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042CA6E0">
            <w:pPr>
              <w:adjustRightInd w:val="0"/>
              <w:snapToGrid w:val="0"/>
              <w:spacing w:line="240" w:lineRule="exact"/>
              <w:jc w:val="center"/>
              <w:rPr>
                <w:rFonts w:ascii="宋体" w:hAnsi="宋体"/>
                <w:b w:val="0"/>
                <w:szCs w:val="21"/>
              </w:rPr>
            </w:pPr>
            <w:r>
              <w:rPr>
                <w:rFonts w:hint="eastAsia" w:ascii="宋体" w:hAnsi="宋体"/>
                <w:b w:val="0"/>
                <w:szCs w:val="21"/>
              </w:rPr>
              <w:t>13</w:t>
            </w:r>
          </w:p>
        </w:tc>
        <w:tc>
          <w:tcPr>
            <w:tcW w:w="1958" w:type="pct"/>
            <w:vAlign w:val="center"/>
          </w:tcPr>
          <w:p w14:paraId="400A94CD">
            <w:pPr>
              <w:adjustRightInd w:val="0"/>
              <w:snapToGrid w:val="0"/>
              <w:spacing w:line="240" w:lineRule="exact"/>
              <w:jc w:val="left"/>
              <w:rPr>
                <w:rFonts w:ascii="宋体" w:hAnsi="宋体"/>
                <w:b w:val="0"/>
                <w:szCs w:val="21"/>
              </w:rPr>
            </w:pPr>
            <w:r>
              <w:rPr>
                <w:rFonts w:hint="eastAsia" w:ascii="宋体" w:hAnsi="宋体"/>
                <w:b w:val="0"/>
                <w:szCs w:val="21"/>
              </w:rPr>
              <w:t>不得安排未成年人从事接触职业病危害的作业，不得安排孕期、哺乳期的女职工从事对本人和胎儿、婴儿有危害的作业</w:t>
            </w:r>
          </w:p>
        </w:tc>
        <w:tc>
          <w:tcPr>
            <w:tcW w:w="931" w:type="pct"/>
            <w:vAlign w:val="center"/>
          </w:tcPr>
          <w:p w14:paraId="70FB4381">
            <w:pPr>
              <w:adjustRightInd w:val="0"/>
              <w:snapToGrid w:val="0"/>
              <w:spacing w:line="240" w:lineRule="exact"/>
              <w:jc w:val="left"/>
              <w:rPr>
                <w:rFonts w:ascii="宋体" w:hAnsi="宋体"/>
                <w:b w:val="0"/>
                <w:szCs w:val="21"/>
              </w:rPr>
            </w:pPr>
            <w:r>
              <w:rPr>
                <w:rFonts w:hint="eastAsia" w:ascii="宋体" w:hAnsi="宋体"/>
                <w:b w:val="0"/>
                <w:szCs w:val="21"/>
              </w:rPr>
              <w:t>《中华人民共和国职业病防治法》</w:t>
            </w:r>
          </w:p>
        </w:tc>
        <w:tc>
          <w:tcPr>
            <w:tcW w:w="1501" w:type="pct"/>
            <w:vAlign w:val="center"/>
          </w:tcPr>
          <w:p w14:paraId="72598D31">
            <w:pPr>
              <w:adjustRightInd w:val="0"/>
              <w:snapToGrid w:val="0"/>
              <w:spacing w:line="240" w:lineRule="exact"/>
              <w:jc w:val="left"/>
              <w:rPr>
                <w:rFonts w:ascii="宋体" w:hAnsi="宋体"/>
                <w:b w:val="0"/>
                <w:szCs w:val="21"/>
              </w:rPr>
            </w:pPr>
            <w:r>
              <w:rPr>
                <w:rFonts w:hint="eastAsia" w:ascii="宋体" w:hAnsi="宋体"/>
                <w:b w:val="0"/>
                <w:color w:val="000000" w:themeColor="text1"/>
                <w:szCs w:val="21"/>
                <w14:textFill>
                  <w14:solidFill>
                    <w14:schemeClr w14:val="tx1"/>
                  </w14:solidFill>
                </w14:textFill>
              </w:rPr>
              <w:t>该项目为待建项目、未投入生产</w:t>
            </w:r>
          </w:p>
        </w:tc>
        <w:tc>
          <w:tcPr>
            <w:tcW w:w="322" w:type="pct"/>
            <w:vAlign w:val="center"/>
          </w:tcPr>
          <w:p w14:paraId="708A8F34">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791F9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000" w:type="pct"/>
            <w:gridSpan w:val="5"/>
            <w:vAlign w:val="center"/>
          </w:tcPr>
          <w:p w14:paraId="5DD6163A">
            <w:pPr>
              <w:adjustRightInd w:val="0"/>
              <w:snapToGrid w:val="0"/>
              <w:spacing w:line="240" w:lineRule="exact"/>
              <w:jc w:val="left"/>
              <w:rPr>
                <w:rFonts w:ascii="宋体" w:hAnsi="宋体"/>
                <w:b w:val="0"/>
                <w:szCs w:val="21"/>
              </w:rPr>
            </w:pPr>
            <w:r>
              <w:rPr>
                <w:rFonts w:hint="eastAsia" w:ascii="宋体" w:hAnsi="宋体"/>
                <w:b w:val="0"/>
                <w:szCs w:val="21"/>
              </w:rPr>
              <w:t>五、重大危险源与事故应急救援预案</w:t>
            </w:r>
          </w:p>
        </w:tc>
      </w:tr>
      <w:tr w14:paraId="2A1CF8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4CEAA0C0">
            <w:pPr>
              <w:adjustRightInd w:val="0"/>
              <w:snapToGrid w:val="0"/>
              <w:spacing w:line="240" w:lineRule="exact"/>
              <w:jc w:val="center"/>
              <w:rPr>
                <w:rFonts w:ascii="宋体" w:hAnsi="宋体"/>
                <w:b w:val="0"/>
                <w:szCs w:val="21"/>
              </w:rPr>
            </w:pPr>
            <w:r>
              <w:rPr>
                <w:rFonts w:hint="eastAsia" w:ascii="宋体" w:hAnsi="宋体"/>
                <w:b w:val="0"/>
                <w:szCs w:val="21"/>
              </w:rPr>
              <w:t>1</w:t>
            </w:r>
          </w:p>
        </w:tc>
        <w:tc>
          <w:tcPr>
            <w:tcW w:w="1958" w:type="pct"/>
            <w:vAlign w:val="center"/>
          </w:tcPr>
          <w:p w14:paraId="6025D0D2">
            <w:pPr>
              <w:adjustRightInd w:val="0"/>
              <w:snapToGrid w:val="0"/>
              <w:spacing w:line="240" w:lineRule="exact"/>
              <w:jc w:val="left"/>
              <w:rPr>
                <w:rFonts w:ascii="宋体" w:hAnsi="宋体"/>
                <w:b w:val="0"/>
                <w:szCs w:val="21"/>
              </w:rPr>
            </w:pPr>
            <w:r>
              <w:rPr>
                <w:rFonts w:hint="eastAsia" w:ascii="宋体" w:hAnsi="宋体"/>
                <w:b w:val="0"/>
                <w:szCs w:val="21"/>
              </w:rPr>
              <w:t>按照国家有关标准，辨识、确定本企业的重大危险源</w:t>
            </w:r>
          </w:p>
        </w:tc>
        <w:tc>
          <w:tcPr>
            <w:tcW w:w="931" w:type="pct"/>
            <w:vAlign w:val="center"/>
          </w:tcPr>
          <w:p w14:paraId="25C8F7C9">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29D69849">
            <w:pPr>
              <w:adjustRightInd w:val="0"/>
              <w:snapToGrid w:val="0"/>
              <w:spacing w:line="240" w:lineRule="exact"/>
              <w:rPr>
                <w:rFonts w:ascii="宋体" w:hAnsi="宋体"/>
                <w:b w:val="0"/>
                <w:szCs w:val="21"/>
              </w:rPr>
            </w:pPr>
            <w:r>
              <w:rPr>
                <w:rFonts w:hint="eastAsia" w:ascii="宋体" w:hAnsi="宋体"/>
                <w:b w:val="0"/>
                <w:szCs w:val="21"/>
              </w:rPr>
              <w:t>经辨识，该企业储存单元中1号黑火药库区（厂区西南面）和2号黑火药库区（厂区西北面）均构成三级重大危险源</w:t>
            </w:r>
          </w:p>
        </w:tc>
        <w:tc>
          <w:tcPr>
            <w:tcW w:w="322" w:type="pct"/>
            <w:vAlign w:val="center"/>
          </w:tcPr>
          <w:p w14:paraId="289D003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BC52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34835448">
            <w:pPr>
              <w:adjustRightInd w:val="0"/>
              <w:snapToGrid w:val="0"/>
              <w:spacing w:line="240" w:lineRule="exact"/>
              <w:jc w:val="center"/>
              <w:rPr>
                <w:rFonts w:ascii="宋体" w:hAnsi="宋体"/>
                <w:b w:val="0"/>
                <w:szCs w:val="21"/>
              </w:rPr>
            </w:pPr>
            <w:r>
              <w:rPr>
                <w:rFonts w:hint="eastAsia" w:ascii="宋体" w:hAnsi="宋体"/>
                <w:b w:val="0"/>
                <w:szCs w:val="21"/>
              </w:rPr>
              <w:t>2</w:t>
            </w:r>
          </w:p>
        </w:tc>
        <w:tc>
          <w:tcPr>
            <w:tcW w:w="1958" w:type="pct"/>
            <w:vAlign w:val="center"/>
          </w:tcPr>
          <w:p w14:paraId="2D451185">
            <w:pPr>
              <w:adjustRightInd w:val="0"/>
              <w:snapToGrid w:val="0"/>
              <w:spacing w:line="240" w:lineRule="exact"/>
              <w:jc w:val="left"/>
              <w:rPr>
                <w:rFonts w:ascii="宋体" w:hAnsi="宋体"/>
                <w:b w:val="0"/>
                <w:szCs w:val="21"/>
              </w:rPr>
            </w:pPr>
            <w:r>
              <w:rPr>
                <w:rFonts w:hint="eastAsia" w:ascii="宋体" w:hAnsi="宋体"/>
                <w:b w:val="0"/>
                <w:szCs w:val="21"/>
              </w:rPr>
              <w:t>对已确定的重大危险源，有无符合国家有关法律、法规、规章和标准规定的检测、评估和监控措施，定期检测、检查和建立重大危险源检测、检查档案</w:t>
            </w:r>
          </w:p>
        </w:tc>
        <w:tc>
          <w:tcPr>
            <w:tcW w:w="931" w:type="pct"/>
            <w:vAlign w:val="center"/>
          </w:tcPr>
          <w:p w14:paraId="4DBDDA1B">
            <w:pPr>
              <w:adjustRightInd w:val="0"/>
              <w:snapToGrid w:val="0"/>
              <w:spacing w:line="240" w:lineRule="exact"/>
              <w:jc w:val="lef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07651FE5">
            <w:pPr>
              <w:adjustRightInd w:val="0"/>
              <w:snapToGrid w:val="0"/>
              <w:spacing w:line="240" w:lineRule="exact"/>
              <w:rPr>
                <w:rFonts w:ascii="宋体" w:hAnsi="宋体"/>
                <w:b w:val="0"/>
                <w:szCs w:val="21"/>
              </w:rPr>
            </w:pPr>
            <w:r>
              <w:rPr>
                <w:rFonts w:hint="eastAsia" w:ascii="宋体" w:hAnsi="宋体"/>
                <w:b w:val="0"/>
                <w:szCs w:val="21"/>
              </w:rPr>
              <w:t>经烟花爆竹重大危险源辨识，该企业储存单元中1号黑火药库区（厂区西南面）和2号黑火药库区（厂区西北面），企业拟建立重大危险源管理制度</w:t>
            </w:r>
          </w:p>
        </w:tc>
        <w:tc>
          <w:tcPr>
            <w:tcW w:w="322" w:type="pct"/>
            <w:vAlign w:val="center"/>
          </w:tcPr>
          <w:p w14:paraId="4D853EC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2B3371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263CD826">
            <w:pPr>
              <w:adjustRightInd w:val="0"/>
              <w:snapToGrid w:val="0"/>
              <w:spacing w:line="240" w:lineRule="exact"/>
              <w:jc w:val="center"/>
              <w:rPr>
                <w:rFonts w:ascii="宋体" w:hAnsi="宋体"/>
                <w:b w:val="0"/>
                <w:szCs w:val="21"/>
              </w:rPr>
            </w:pPr>
            <w:r>
              <w:rPr>
                <w:rFonts w:hint="eastAsia" w:ascii="宋体" w:hAnsi="宋体"/>
                <w:b w:val="0"/>
                <w:szCs w:val="21"/>
              </w:rPr>
              <w:t>3</w:t>
            </w:r>
          </w:p>
        </w:tc>
        <w:tc>
          <w:tcPr>
            <w:tcW w:w="1958" w:type="pct"/>
            <w:vAlign w:val="center"/>
          </w:tcPr>
          <w:p w14:paraId="073CF1D1">
            <w:pPr>
              <w:adjustRightInd w:val="0"/>
              <w:snapToGrid w:val="0"/>
              <w:spacing w:line="240" w:lineRule="exact"/>
              <w:jc w:val="left"/>
              <w:rPr>
                <w:rFonts w:ascii="宋体" w:hAnsi="宋体"/>
                <w:b w:val="0"/>
                <w:szCs w:val="21"/>
              </w:rPr>
            </w:pPr>
            <w:r>
              <w:rPr>
                <w:rFonts w:hint="eastAsia" w:ascii="宋体" w:hAnsi="宋体"/>
                <w:b w:val="0"/>
                <w:szCs w:val="21"/>
              </w:rPr>
              <w:t>对其可能发生的生产安全事故，按照国家有关规定编制危险化学品事故和其他安全事故应急救援预案</w:t>
            </w:r>
          </w:p>
        </w:tc>
        <w:tc>
          <w:tcPr>
            <w:tcW w:w="931" w:type="pct"/>
            <w:vAlign w:val="center"/>
          </w:tcPr>
          <w:p w14:paraId="48158165">
            <w:pPr>
              <w:spacing w:line="240" w:lineRule="exac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7C11C872">
            <w:pPr>
              <w:adjustRightInd w:val="0"/>
              <w:snapToGrid w:val="0"/>
              <w:spacing w:line="240" w:lineRule="exact"/>
              <w:rPr>
                <w:rFonts w:ascii="宋体" w:hAnsi="宋体"/>
                <w:b w:val="0"/>
                <w:szCs w:val="21"/>
              </w:rPr>
            </w:pPr>
            <w:r>
              <w:rPr>
                <w:rFonts w:hint="eastAsia" w:ascii="宋体" w:hAnsi="宋体"/>
                <w:b w:val="0"/>
                <w:szCs w:val="21"/>
              </w:rPr>
              <w:t>拟制定《湖南金帝烟花爆竹制造有限公司泉水工区事故应急救援预案》</w:t>
            </w:r>
          </w:p>
        </w:tc>
        <w:tc>
          <w:tcPr>
            <w:tcW w:w="322" w:type="pct"/>
            <w:vAlign w:val="center"/>
          </w:tcPr>
          <w:p w14:paraId="5143A590">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63D07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85" w:type="pct"/>
            <w:vAlign w:val="center"/>
          </w:tcPr>
          <w:p w14:paraId="6F9F0CC4">
            <w:pPr>
              <w:adjustRightInd w:val="0"/>
              <w:snapToGrid w:val="0"/>
              <w:spacing w:line="240" w:lineRule="exact"/>
              <w:jc w:val="center"/>
              <w:rPr>
                <w:rFonts w:ascii="宋体" w:hAnsi="宋体"/>
                <w:b w:val="0"/>
                <w:szCs w:val="21"/>
              </w:rPr>
            </w:pPr>
            <w:r>
              <w:rPr>
                <w:rFonts w:hint="eastAsia" w:ascii="宋体" w:hAnsi="宋体"/>
                <w:b w:val="0"/>
                <w:szCs w:val="21"/>
              </w:rPr>
              <w:t>4</w:t>
            </w:r>
          </w:p>
        </w:tc>
        <w:tc>
          <w:tcPr>
            <w:tcW w:w="1958" w:type="pct"/>
            <w:vAlign w:val="center"/>
          </w:tcPr>
          <w:p w14:paraId="43B9A261">
            <w:pPr>
              <w:adjustRightInd w:val="0"/>
              <w:snapToGrid w:val="0"/>
              <w:spacing w:line="240" w:lineRule="exact"/>
              <w:jc w:val="left"/>
              <w:rPr>
                <w:rFonts w:ascii="宋体" w:hAnsi="宋体"/>
                <w:b w:val="0"/>
                <w:szCs w:val="21"/>
              </w:rPr>
            </w:pPr>
            <w:r>
              <w:rPr>
                <w:rFonts w:hint="eastAsia" w:ascii="宋体" w:hAnsi="宋体"/>
                <w:b w:val="0"/>
                <w:szCs w:val="21"/>
              </w:rPr>
              <w:t>对其可能发生的生产安全事故，有应急救援组织或应急救援人员</w:t>
            </w:r>
          </w:p>
        </w:tc>
        <w:tc>
          <w:tcPr>
            <w:tcW w:w="931" w:type="pct"/>
            <w:vAlign w:val="center"/>
          </w:tcPr>
          <w:p w14:paraId="439741B9">
            <w:pPr>
              <w:spacing w:line="240" w:lineRule="exac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1CC131EC">
            <w:pPr>
              <w:adjustRightInd w:val="0"/>
              <w:snapToGrid w:val="0"/>
              <w:spacing w:line="240" w:lineRule="exact"/>
              <w:rPr>
                <w:rFonts w:ascii="宋体" w:hAnsi="宋体"/>
                <w:b w:val="0"/>
                <w:szCs w:val="21"/>
              </w:rPr>
            </w:pPr>
            <w:r>
              <w:rPr>
                <w:rFonts w:hint="eastAsia" w:ascii="宋体" w:hAnsi="宋体"/>
                <w:b w:val="0"/>
                <w:szCs w:val="21"/>
              </w:rPr>
              <w:t>拟制定《湖南金帝烟花爆竹制造有限公司泉水工区事故应急救援预案》</w:t>
            </w:r>
          </w:p>
        </w:tc>
        <w:tc>
          <w:tcPr>
            <w:tcW w:w="322" w:type="pct"/>
            <w:vAlign w:val="center"/>
          </w:tcPr>
          <w:p w14:paraId="3AA4EACC">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0D528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4FD460E7">
            <w:pPr>
              <w:adjustRightInd w:val="0"/>
              <w:snapToGrid w:val="0"/>
              <w:spacing w:line="240" w:lineRule="exact"/>
              <w:jc w:val="center"/>
              <w:rPr>
                <w:rFonts w:ascii="宋体" w:hAnsi="宋体"/>
                <w:b w:val="0"/>
                <w:szCs w:val="21"/>
              </w:rPr>
            </w:pPr>
            <w:r>
              <w:rPr>
                <w:rFonts w:hint="eastAsia" w:ascii="宋体" w:hAnsi="宋体"/>
                <w:b w:val="0"/>
                <w:szCs w:val="21"/>
              </w:rPr>
              <w:t>5</w:t>
            </w:r>
          </w:p>
        </w:tc>
        <w:tc>
          <w:tcPr>
            <w:tcW w:w="1958" w:type="pct"/>
            <w:vAlign w:val="center"/>
          </w:tcPr>
          <w:p w14:paraId="219664B9">
            <w:pPr>
              <w:adjustRightInd w:val="0"/>
              <w:snapToGrid w:val="0"/>
              <w:spacing w:line="240" w:lineRule="exact"/>
              <w:jc w:val="left"/>
              <w:rPr>
                <w:rFonts w:ascii="宋体" w:hAnsi="宋体"/>
                <w:b w:val="0"/>
                <w:szCs w:val="21"/>
              </w:rPr>
            </w:pPr>
            <w:r>
              <w:rPr>
                <w:rFonts w:hint="eastAsia" w:ascii="宋体" w:hAnsi="宋体"/>
                <w:b w:val="0"/>
                <w:szCs w:val="21"/>
              </w:rPr>
              <w:t>大型易燃、易爆化学品生产企业和距离当地消防队较远的大型危险化学品生产企业有专职消防队，其他危险化学品生产企业根据实际需要有义务消防队</w:t>
            </w:r>
          </w:p>
        </w:tc>
        <w:tc>
          <w:tcPr>
            <w:tcW w:w="931" w:type="pct"/>
            <w:vAlign w:val="center"/>
          </w:tcPr>
          <w:p w14:paraId="21A2C8C7">
            <w:pPr>
              <w:spacing w:line="240" w:lineRule="exac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7CFD3D47">
            <w:pPr>
              <w:adjustRightInd w:val="0"/>
              <w:snapToGrid w:val="0"/>
              <w:spacing w:line="240" w:lineRule="exact"/>
              <w:rPr>
                <w:rFonts w:ascii="宋体" w:hAnsi="宋体"/>
                <w:b w:val="0"/>
                <w:szCs w:val="21"/>
              </w:rPr>
            </w:pPr>
            <w:r>
              <w:rPr>
                <w:rFonts w:hint="eastAsia" w:ascii="宋体" w:hAnsi="宋体"/>
                <w:b w:val="0"/>
                <w:szCs w:val="21"/>
              </w:rPr>
              <w:t>拟根据本单位的实际需要建立由员工组成义务消防队</w:t>
            </w:r>
          </w:p>
        </w:tc>
        <w:tc>
          <w:tcPr>
            <w:tcW w:w="322" w:type="pct"/>
            <w:vAlign w:val="center"/>
          </w:tcPr>
          <w:p w14:paraId="1A24B578">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r w14:paraId="1A925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85" w:type="pct"/>
            <w:vAlign w:val="center"/>
          </w:tcPr>
          <w:p w14:paraId="32F7C24B">
            <w:pPr>
              <w:adjustRightInd w:val="0"/>
              <w:snapToGrid w:val="0"/>
              <w:spacing w:line="240" w:lineRule="exact"/>
              <w:jc w:val="center"/>
              <w:rPr>
                <w:rFonts w:ascii="宋体" w:hAnsi="宋体"/>
                <w:b w:val="0"/>
                <w:szCs w:val="21"/>
              </w:rPr>
            </w:pPr>
            <w:r>
              <w:rPr>
                <w:rFonts w:hint="eastAsia" w:ascii="宋体" w:hAnsi="宋体"/>
                <w:b w:val="0"/>
                <w:szCs w:val="21"/>
              </w:rPr>
              <w:t>6</w:t>
            </w:r>
          </w:p>
        </w:tc>
        <w:tc>
          <w:tcPr>
            <w:tcW w:w="1958" w:type="pct"/>
            <w:vAlign w:val="center"/>
          </w:tcPr>
          <w:p w14:paraId="65E57ECD">
            <w:pPr>
              <w:adjustRightInd w:val="0"/>
              <w:snapToGrid w:val="0"/>
              <w:spacing w:line="240" w:lineRule="exact"/>
              <w:jc w:val="left"/>
              <w:rPr>
                <w:rFonts w:ascii="宋体" w:hAnsi="宋体"/>
                <w:b w:val="0"/>
                <w:szCs w:val="21"/>
              </w:rPr>
            </w:pPr>
            <w:r>
              <w:rPr>
                <w:rFonts w:hint="eastAsia" w:ascii="宋体" w:hAnsi="宋体"/>
                <w:b w:val="0"/>
                <w:szCs w:val="21"/>
              </w:rPr>
              <w:t>对其可能发生的生产安全事故，配备必要的应急救援器材、设备</w:t>
            </w:r>
          </w:p>
        </w:tc>
        <w:tc>
          <w:tcPr>
            <w:tcW w:w="931" w:type="pct"/>
            <w:vAlign w:val="center"/>
          </w:tcPr>
          <w:p w14:paraId="303E6A39">
            <w:pPr>
              <w:spacing w:line="240" w:lineRule="exact"/>
              <w:rPr>
                <w:rFonts w:ascii="宋体" w:hAnsi="宋体"/>
                <w:b w:val="0"/>
                <w:szCs w:val="21"/>
              </w:rPr>
            </w:pPr>
            <w:r>
              <w:rPr>
                <w:rFonts w:hint="eastAsia" w:ascii="宋体" w:hAnsi="宋体"/>
                <w:b w:val="0"/>
                <w:szCs w:val="21"/>
              </w:rPr>
              <w:t>《烟花爆竹生产企业安全生产许可证实施办法》</w:t>
            </w:r>
          </w:p>
        </w:tc>
        <w:tc>
          <w:tcPr>
            <w:tcW w:w="1501" w:type="pct"/>
            <w:vAlign w:val="center"/>
          </w:tcPr>
          <w:p w14:paraId="657DC7D3">
            <w:pPr>
              <w:adjustRightInd w:val="0"/>
              <w:snapToGrid w:val="0"/>
              <w:spacing w:line="240" w:lineRule="exact"/>
              <w:jc w:val="left"/>
              <w:rPr>
                <w:rFonts w:ascii="宋体" w:hAnsi="宋体"/>
                <w:b w:val="0"/>
                <w:szCs w:val="21"/>
              </w:rPr>
            </w:pPr>
            <w:r>
              <w:rPr>
                <w:rFonts w:hint="eastAsia" w:ascii="宋体" w:hAnsi="宋体"/>
                <w:b w:val="0"/>
                <w:szCs w:val="21"/>
              </w:rPr>
              <w:t>设计配置有灭火器、消防水池、防护用品、抢修器具等</w:t>
            </w:r>
          </w:p>
        </w:tc>
        <w:tc>
          <w:tcPr>
            <w:tcW w:w="322" w:type="pct"/>
            <w:vAlign w:val="center"/>
          </w:tcPr>
          <w:p w14:paraId="2567CF8F">
            <w:pPr>
              <w:adjustRightInd w:val="0"/>
              <w:snapToGrid w:val="0"/>
              <w:spacing w:line="240" w:lineRule="exact"/>
              <w:jc w:val="center"/>
              <w:rPr>
                <w:rFonts w:ascii="宋体" w:hAnsi="宋体"/>
                <w:b w:val="0"/>
                <w:szCs w:val="21"/>
              </w:rPr>
            </w:pPr>
            <w:r>
              <w:rPr>
                <w:rFonts w:hint="eastAsia" w:ascii="宋体" w:hAnsi="宋体"/>
                <w:b w:val="0"/>
                <w:szCs w:val="21"/>
              </w:rPr>
              <w:t>符合要求</w:t>
            </w:r>
          </w:p>
        </w:tc>
      </w:tr>
    </w:tbl>
    <w:p w14:paraId="7AEBA932">
      <w:pPr>
        <w:spacing w:before="120" w:beforeLines="50" w:line="360" w:lineRule="auto"/>
        <w:ind w:firstLine="560" w:firstLineChars="200"/>
        <w:rPr>
          <w:rFonts w:ascii="宋体" w:hAnsi="宋体"/>
          <w:b w:val="0"/>
          <w:bCs/>
          <w:sz w:val="28"/>
          <w:szCs w:val="28"/>
        </w:rPr>
      </w:pPr>
      <w:bookmarkStart w:id="507" w:name="_Toc233449803"/>
      <w:r>
        <w:rPr>
          <w:rFonts w:hint="eastAsia" w:ascii="宋体" w:hAnsi="宋体"/>
          <w:b w:val="0"/>
          <w:bCs/>
          <w:sz w:val="28"/>
          <w:szCs w:val="28"/>
        </w:rPr>
        <w:t>综上所述，</w:t>
      </w:r>
      <w:r>
        <w:rPr>
          <w:rFonts w:hint="eastAsia" w:ascii="宋体" w:hAnsi="宋体"/>
          <w:b w:val="0"/>
          <w:bCs/>
          <w:color w:val="000000" w:themeColor="text1"/>
          <w:sz w:val="28"/>
          <w:szCs w:val="28"/>
          <w14:textFill>
            <w14:solidFill>
              <w14:schemeClr w14:val="tx1"/>
            </w14:solidFill>
          </w14:textFill>
        </w:rPr>
        <w:t>该项目为待建项目，拟建立以主要负责人为首的安全管理组织机构和应急救援机构；企业重视人员培训，拟制定详细且可行的三级安全培训计划，拟建立各级人员安全生产责任制、安全管理制度、安全操作规程及应急救援预案等，</w:t>
      </w:r>
      <w:r>
        <w:rPr>
          <w:rFonts w:hint="eastAsia" w:ascii="宋体" w:hAnsi="宋体" w:cs="宋体"/>
          <w:b w:val="0"/>
          <w:bCs/>
          <w:color w:val="000000" w:themeColor="text1"/>
          <w:sz w:val="28"/>
          <w:szCs w:val="28"/>
          <w14:textFill>
            <w14:solidFill>
              <w14:schemeClr w14:val="tx1"/>
            </w14:solidFill>
          </w14:textFill>
        </w:rPr>
        <w:t>在企业严格按规章制度运行的前提下，</w:t>
      </w:r>
      <w:r>
        <w:rPr>
          <w:rFonts w:hint="eastAsia" w:ascii="宋体" w:hAnsi="宋体"/>
          <w:b w:val="0"/>
          <w:bCs/>
          <w:color w:val="000000" w:themeColor="text1"/>
          <w:sz w:val="28"/>
          <w:szCs w:val="28"/>
          <w14:textFill>
            <w14:solidFill>
              <w14:schemeClr w14:val="tx1"/>
            </w14:solidFill>
          </w14:textFill>
        </w:rPr>
        <w:t>安全管理评价单元符合安全要求。</w:t>
      </w:r>
      <w:r>
        <w:rPr>
          <w:rFonts w:hint="eastAsia" w:ascii="宋体" w:hAnsi="宋体"/>
          <w:b w:val="0"/>
          <w:bCs/>
          <w:sz w:val="28"/>
          <w:szCs w:val="28"/>
        </w:rPr>
        <w:t>企业应根据厂内安全生产条件的变更对应急救援预案进行修订，及时去相关部门备案登记，并定期进行演练。</w:t>
      </w:r>
    </w:p>
    <w:p w14:paraId="3DC6EDB5">
      <w:pPr>
        <w:keepNext/>
        <w:keepLines/>
        <w:spacing w:before="120" w:beforeLines="50" w:line="360" w:lineRule="auto"/>
        <w:outlineLvl w:val="1"/>
        <w:rPr>
          <w:rFonts w:ascii="黑体" w:hAnsi="宋体" w:eastAsia="黑体"/>
          <w:b w:val="0"/>
          <w:bCs/>
          <w:snapToGrid w:val="0"/>
          <w:sz w:val="30"/>
          <w:szCs w:val="30"/>
        </w:rPr>
      </w:pPr>
      <w:bookmarkStart w:id="508" w:name="_Toc30455"/>
      <w:bookmarkStart w:id="509" w:name="_Toc24985"/>
      <w:bookmarkStart w:id="510" w:name="_Toc12295"/>
      <w:bookmarkStart w:id="511" w:name="_Toc305855980"/>
      <w:bookmarkStart w:id="512" w:name="_Toc6980"/>
      <w:bookmarkStart w:id="513" w:name="_Toc17089"/>
      <w:bookmarkStart w:id="514" w:name="_Toc10712"/>
      <w:bookmarkStart w:id="515" w:name="_Toc15802"/>
      <w:bookmarkStart w:id="516" w:name="_Toc239191521"/>
      <w:r>
        <w:rPr>
          <w:rFonts w:hint="eastAsia" w:ascii="黑体" w:hAnsi="宋体" w:eastAsia="黑体"/>
          <w:b w:val="0"/>
          <w:bCs/>
          <w:snapToGrid w:val="0"/>
          <w:sz w:val="30"/>
          <w:szCs w:val="30"/>
        </w:rPr>
        <w:t>5.5生产过程</w:t>
      </w:r>
      <w:bookmarkEnd w:id="508"/>
      <w:bookmarkEnd w:id="509"/>
      <w:bookmarkEnd w:id="510"/>
      <w:bookmarkEnd w:id="511"/>
      <w:bookmarkEnd w:id="512"/>
      <w:bookmarkEnd w:id="513"/>
      <w:bookmarkEnd w:id="514"/>
      <w:r>
        <w:rPr>
          <w:rFonts w:hint="eastAsia" w:ascii="黑体" w:hAnsi="宋体" w:eastAsia="黑体"/>
          <w:b w:val="0"/>
          <w:bCs/>
          <w:snapToGrid w:val="0"/>
          <w:sz w:val="30"/>
          <w:szCs w:val="30"/>
        </w:rPr>
        <w:t>单元</w:t>
      </w:r>
      <w:bookmarkEnd w:id="515"/>
      <w:bookmarkEnd w:id="516"/>
    </w:p>
    <w:p w14:paraId="139A0D0D">
      <w:pPr>
        <w:spacing w:line="360" w:lineRule="auto"/>
        <w:ind w:firstLine="560" w:firstLineChars="200"/>
        <w:rPr>
          <w:rFonts w:ascii="宋体" w:hAnsi="宋体"/>
          <w:b w:val="0"/>
          <w:sz w:val="28"/>
          <w:szCs w:val="28"/>
        </w:rPr>
      </w:pPr>
      <w:r>
        <w:rPr>
          <w:rFonts w:hint="eastAsia" w:ascii="宋体" w:hAnsi="宋体"/>
          <w:b w:val="0"/>
          <w:sz w:val="28"/>
          <w:szCs w:val="28"/>
        </w:rPr>
        <w:t>采用预先危险性分析法对本单元进行评价。</w:t>
      </w:r>
    </w:p>
    <w:p w14:paraId="17F36C77">
      <w:pPr>
        <w:pStyle w:val="2"/>
        <w:ind w:firstLine="560"/>
        <w:rPr>
          <w:rFonts w:ascii="宋体" w:hAnsi="宋体" w:eastAsia="宋体"/>
          <w:b w:val="0"/>
          <w:color w:val="FF0000"/>
          <w:kern w:val="2"/>
          <w:szCs w:val="24"/>
          <w:lang w:val="en-GB"/>
        </w:rPr>
      </w:pPr>
      <w:r>
        <w:rPr>
          <w:rFonts w:hint="eastAsia" w:ascii="宋体" w:hAnsi="宋体" w:eastAsia="宋体"/>
          <w:b w:val="0"/>
          <w:kern w:val="2"/>
          <w:szCs w:val="24"/>
          <w:lang w:val="en-GB"/>
        </w:rPr>
        <w:t>对该项目生产过程安全性用预先危险性分析评价，可大体识别工艺过程的主要危险，鉴别产生危险的原因，预测事故类别，并判定已识别的危险性等级，提出消除或控制危险性的措施。</w:t>
      </w:r>
      <w:r>
        <w:rPr>
          <w:rFonts w:hint="eastAsia" w:ascii="宋体" w:hAnsi="宋体" w:eastAsia="宋体"/>
          <w:b w:val="0"/>
          <w:kern w:val="2"/>
          <w:szCs w:val="24"/>
        </w:rPr>
        <w:t>对该项目的黑火药生产进行预测性分析，见表5.5-1</w:t>
      </w:r>
      <w:r>
        <w:rPr>
          <w:rFonts w:hint="eastAsia" w:ascii="宋体" w:hAnsi="宋体" w:eastAsia="宋体"/>
          <w:b w:val="0"/>
          <w:kern w:val="2"/>
          <w:szCs w:val="24"/>
          <w:lang w:val="en-GB"/>
        </w:rPr>
        <w:t>。</w:t>
      </w:r>
    </w:p>
    <w:p w14:paraId="7094C24E">
      <w:pPr>
        <w:pStyle w:val="2"/>
        <w:spacing w:line="240" w:lineRule="auto"/>
        <w:ind w:firstLine="0" w:firstLineChars="0"/>
        <w:jc w:val="center"/>
        <w:rPr>
          <w:rFonts w:ascii="黑体" w:hAnsi="黑体" w:eastAsia="黑体"/>
          <w:b w:val="0"/>
          <w:sz w:val="24"/>
          <w:szCs w:val="24"/>
        </w:rPr>
      </w:pPr>
      <w:r>
        <w:rPr>
          <w:rFonts w:hint="eastAsia" w:ascii="黑体" w:hAnsi="黑体" w:eastAsia="黑体"/>
          <w:b w:val="0"/>
          <w:sz w:val="24"/>
          <w:szCs w:val="24"/>
        </w:rPr>
        <w:t>表5.5-1 工艺预先危险性分析表</w:t>
      </w:r>
    </w:p>
    <w:tbl>
      <w:tblPr>
        <w:tblStyle w:val="88"/>
        <w:tblW w:w="500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837"/>
        <w:gridCol w:w="2664"/>
        <w:gridCol w:w="1355"/>
        <w:gridCol w:w="824"/>
        <w:gridCol w:w="3149"/>
      </w:tblGrid>
      <w:tr w14:paraId="7D594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tblHeader/>
        </w:trPr>
        <w:tc>
          <w:tcPr>
            <w:tcW w:w="251" w:type="pct"/>
            <w:vAlign w:val="center"/>
          </w:tcPr>
          <w:p w14:paraId="15EF2991">
            <w:pPr>
              <w:spacing w:line="240" w:lineRule="exact"/>
              <w:rPr>
                <w:rFonts w:ascii="宋体" w:hAnsi="宋体"/>
                <w:bCs/>
                <w:szCs w:val="21"/>
              </w:rPr>
            </w:pPr>
            <w:r>
              <w:rPr>
                <w:rFonts w:hint="eastAsia" w:ascii="宋体" w:hAnsi="宋体"/>
                <w:bCs/>
                <w:szCs w:val="21"/>
              </w:rPr>
              <w:t>序号</w:t>
            </w:r>
          </w:p>
        </w:tc>
        <w:tc>
          <w:tcPr>
            <w:tcW w:w="450" w:type="pct"/>
            <w:vAlign w:val="center"/>
          </w:tcPr>
          <w:p w14:paraId="131A63A4">
            <w:pPr>
              <w:spacing w:line="240" w:lineRule="exact"/>
              <w:jc w:val="center"/>
              <w:rPr>
                <w:rFonts w:ascii="宋体" w:hAnsi="宋体"/>
                <w:bCs/>
                <w:szCs w:val="21"/>
              </w:rPr>
            </w:pPr>
            <w:r>
              <w:rPr>
                <w:rFonts w:hint="eastAsia" w:ascii="宋体" w:hAnsi="宋体"/>
                <w:bCs/>
                <w:szCs w:val="21"/>
              </w:rPr>
              <w:t>工序</w:t>
            </w:r>
          </w:p>
          <w:p w14:paraId="766D3463">
            <w:pPr>
              <w:spacing w:line="240" w:lineRule="exact"/>
              <w:jc w:val="center"/>
              <w:rPr>
                <w:rFonts w:ascii="宋体" w:hAnsi="宋体"/>
                <w:bCs/>
                <w:szCs w:val="21"/>
              </w:rPr>
            </w:pPr>
            <w:r>
              <w:rPr>
                <w:rFonts w:hint="eastAsia" w:ascii="宋体" w:hAnsi="宋体"/>
                <w:bCs/>
                <w:szCs w:val="21"/>
              </w:rPr>
              <w:t>名称</w:t>
            </w:r>
          </w:p>
        </w:tc>
        <w:tc>
          <w:tcPr>
            <w:tcW w:w="1433" w:type="pct"/>
            <w:vAlign w:val="center"/>
          </w:tcPr>
          <w:p w14:paraId="567FA171">
            <w:pPr>
              <w:spacing w:line="240" w:lineRule="exact"/>
              <w:jc w:val="center"/>
              <w:rPr>
                <w:rFonts w:ascii="宋体" w:hAnsi="宋体"/>
                <w:bCs/>
                <w:szCs w:val="21"/>
              </w:rPr>
            </w:pPr>
            <w:r>
              <w:rPr>
                <w:rFonts w:hint="eastAsia" w:ascii="宋体" w:hAnsi="宋体"/>
                <w:bCs/>
                <w:szCs w:val="21"/>
              </w:rPr>
              <w:t>触发条件</w:t>
            </w:r>
          </w:p>
        </w:tc>
        <w:tc>
          <w:tcPr>
            <w:tcW w:w="729" w:type="pct"/>
            <w:vAlign w:val="center"/>
          </w:tcPr>
          <w:p w14:paraId="7961400B">
            <w:pPr>
              <w:spacing w:line="240" w:lineRule="exact"/>
              <w:jc w:val="center"/>
              <w:rPr>
                <w:rFonts w:ascii="宋体" w:hAnsi="宋体"/>
                <w:bCs/>
                <w:szCs w:val="21"/>
              </w:rPr>
            </w:pPr>
            <w:r>
              <w:rPr>
                <w:rFonts w:hint="eastAsia" w:ascii="宋体" w:hAnsi="宋体"/>
                <w:bCs/>
                <w:szCs w:val="21"/>
              </w:rPr>
              <w:t>事故类型</w:t>
            </w:r>
          </w:p>
        </w:tc>
        <w:tc>
          <w:tcPr>
            <w:tcW w:w="443" w:type="pct"/>
            <w:vAlign w:val="center"/>
          </w:tcPr>
          <w:p w14:paraId="22E2D797">
            <w:pPr>
              <w:spacing w:line="240" w:lineRule="exact"/>
              <w:jc w:val="center"/>
              <w:rPr>
                <w:rFonts w:ascii="宋体" w:hAnsi="宋体"/>
                <w:bCs/>
                <w:szCs w:val="21"/>
              </w:rPr>
            </w:pPr>
            <w:r>
              <w:rPr>
                <w:rFonts w:hint="eastAsia" w:ascii="宋体" w:hAnsi="宋体"/>
                <w:bCs/>
                <w:szCs w:val="21"/>
              </w:rPr>
              <w:t>危险等级</w:t>
            </w:r>
          </w:p>
        </w:tc>
        <w:tc>
          <w:tcPr>
            <w:tcW w:w="1694" w:type="pct"/>
            <w:vAlign w:val="center"/>
          </w:tcPr>
          <w:p w14:paraId="73757D6A">
            <w:pPr>
              <w:spacing w:line="240" w:lineRule="exact"/>
              <w:jc w:val="center"/>
              <w:rPr>
                <w:rFonts w:ascii="宋体" w:hAnsi="宋体"/>
                <w:bCs/>
                <w:szCs w:val="21"/>
              </w:rPr>
            </w:pPr>
            <w:r>
              <w:rPr>
                <w:rFonts w:hint="eastAsia" w:ascii="宋体" w:hAnsi="宋体"/>
                <w:bCs/>
                <w:szCs w:val="21"/>
              </w:rPr>
              <w:t>预防措施</w:t>
            </w:r>
          </w:p>
        </w:tc>
      </w:tr>
      <w:tr w14:paraId="07CD2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restart"/>
            <w:vAlign w:val="center"/>
          </w:tcPr>
          <w:p w14:paraId="655B7B34">
            <w:pPr>
              <w:spacing w:line="240" w:lineRule="exact"/>
              <w:jc w:val="center"/>
              <w:rPr>
                <w:rFonts w:ascii="宋体" w:hAnsi="宋体"/>
                <w:b w:val="0"/>
                <w:szCs w:val="21"/>
              </w:rPr>
            </w:pPr>
            <w:r>
              <w:rPr>
                <w:rFonts w:hint="eastAsia" w:ascii="宋体" w:hAnsi="宋体"/>
                <w:b w:val="0"/>
                <w:szCs w:val="21"/>
              </w:rPr>
              <w:t>1</w:t>
            </w:r>
          </w:p>
        </w:tc>
        <w:tc>
          <w:tcPr>
            <w:tcW w:w="450" w:type="pct"/>
            <w:vMerge w:val="restart"/>
            <w:vAlign w:val="center"/>
          </w:tcPr>
          <w:p w14:paraId="01927633">
            <w:pPr>
              <w:spacing w:line="240" w:lineRule="exact"/>
              <w:jc w:val="center"/>
              <w:rPr>
                <w:rFonts w:ascii="宋体" w:hAnsi="宋体"/>
                <w:b w:val="0"/>
                <w:szCs w:val="21"/>
              </w:rPr>
            </w:pPr>
            <w:r>
              <w:rPr>
                <w:rFonts w:hint="eastAsia" w:ascii="宋体" w:hAnsi="宋体"/>
                <w:b w:val="0"/>
                <w:szCs w:val="21"/>
              </w:rPr>
              <w:t>原材料准备</w:t>
            </w:r>
          </w:p>
        </w:tc>
        <w:tc>
          <w:tcPr>
            <w:tcW w:w="1433" w:type="pct"/>
            <w:vAlign w:val="center"/>
          </w:tcPr>
          <w:p w14:paraId="6ACD431D">
            <w:pPr>
              <w:spacing w:line="240" w:lineRule="exact"/>
              <w:rPr>
                <w:rFonts w:ascii="宋体" w:hAnsi="宋体"/>
                <w:b w:val="0"/>
                <w:szCs w:val="21"/>
              </w:rPr>
            </w:pPr>
            <w:r>
              <w:rPr>
                <w:rFonts w:hint="eastAsia" w:ascii="宋体" w:hAnsi="宋体"/>
                <w:b w:val="0"/>
                <w:szCs w:val="21"/>
              </w:rPr>
              <w:t>原材料含水超标或混有增加药物感度的物质</w:t>
            </w:r>
          </w:p>
        </w:tc>
        <w:tc>
          <w:tcPr>
            <w:tcW w:w="729" w:type="pct"/>
            <w:vAlign w:val="center"/>
          </w:tcPr>
          <w:p w14:paraId="5F949F67">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63B41F23">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101B7110">
            <w:pPr>
              <w:spacing w:line="240" w:lineRule="exact"/>
              <w:rPr>
                <w:rFonts w:ascii="宋体" w:hAnsi="宋体"/>
                <w:b w:val="0"/>
                <w:szCs w:val="21"/>
              </w:rPr>
            </w:pPr>
            <w:r>
              <w:rPr>
                <w:rFonts w:hint="eastAsia" w:ascii="宋体" w:hAnsi="宋体"/>
                <w:b w:val="0"/>
                <w:szCs w:val="21"/>
              </w:rPr>
              <w:t>使用经检验合格的原材料</w:t>
            </w:r>
          </w:p>
        </w:tc>
      </w:tr>
      <w:tr w14:paraId="7B02C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63C9FBFC">
            <w:pPr>
              <w:spacing w:line="240" w:lineRule="exact"/>
              <w:jc w:val="center"/>
              <w:rPr>
                <w:rFonts w:ascii="宋体" w:hAnsi="宋体"/>
                <w:b w:val="0"/>
                <w:szCs w:val="21"/>
              </w:rPr>
            </w:pPr>
          </w:p>
        </w:tc>
        <w:tc>
          <w:tcPr>
            <w:tcW w:w="450" w:type="pct"/>
            <w:vMerge w:val="continue"/>
            <w:vAlign w:val="center"/>
          </w:tcPr>
          <w:p w14:paraId="56D4DF91">
            <w:pPr>
              <w:spacing w:line="240" w:lineRule="exact"/>
              <w:jc w:val="center"/>
              <w:rPr>
                <w:rFonts w:ascii="宋体" w:hAnsi="宋体"/>
                <w:b w:val="0"/>
                <w:szCs w:val="21"/>
              </w:rPr>
            </w:pPr>
          </w:p>
        </w:tc>
        <w:tc>
          <w:tcPr>
            <w:tcW w:w="1433" w:type="pct"/>
            <w:vAlign w:val="center"/>
          </w:tcPr>
          <w:p w14:paraId="3F91A288">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5115019D">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DEBC572">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49025EFC">
            <w:pPr>
              <w:spacing w:line="240" w:lineRule="exact"/>
              <w:rPr>
                <w:rFonts w:ascii="宋体" w:hAnsi="宋体"/>
                <w:b w:val="0"/>
                <w:szCs w:val="21"/>
              </w:rPr>
            </w:pPr>
            <w:r>
              <w:rPr>
                <w:rFonts w:hint="eastAsia" w:ascii="宋体" w:hAnsi="宋体"/>
                <w:b w:val="0"/>
                <w:bCs/>
                <w:szCs w:val="21"/>
              </w:rPr>
              <w:t>保持通风，禁止使用黑色金属工具</w:t>
            </w:r>
          </w:p>
        </w:tc>
      </w:tr>
      <w:tr w14:paraId="5FFB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34DA9575">
            <w:pPr>
              <w:spacing w:line="240" w:lineRule="exact"/>
              <w:jc w:val="center"/>
              <w:rPr>
                <w:rFonts w:ascii="宋体" w:hAnsi="宋体"/>
                <w:b w:val="0"/>
                <w:szCs w:val="21"/>
              </w:rPr>
            </w:pPr>
          </w:p>
        </w:tc>
        <w:tc>
          <w:tcPr>
            <w:tcW w:w="450" w:type="pct"/>
            <w:vMerge w:val="continue"/>
            <w:vAlign w:val="center"/>
          </w:tcPr>
          <w:p w14:paraId="40A46AEB">
            <w:pPr>
              <w:spacing w:line="240" w:lineRule="exact"/>
              <w:jc w:val="center"/>
              <w:rPr>
                <w:rFonts w:ascii="宋体" w:hAnsi="宋体"/>
                <w:b w:val="0"/>
                <w:szCs w:val="21"/>
              </w:rPr>
            </w:pPr>
          </w:p>
        </w:tc>
        <w:tc>
          <w:tcPr>
            <w:tcW w:w="1433" w:type="pct"/>
            <w:vAlign w:val="center"/>
          </w:tcPr>
          <w:p w14:paraId="7EA682CC">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54F4CC9C">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E5A6A4B">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7DAC8F1E">
            <w:pPr>
              <w:spacing w:line="240" w:lineRule="exact"/>
              <w:rPr>
                <w:rFonts w:ascii="宋体" w:hAnsi="宋体"/>
                <w:b w:val="0"/>
                <w:szCs w:val="21"/>
              </w:rPr>
            </w:pPr>
            <w:r>
              <w:rPr>
                <w:rFonts w:hint="eastAsia" w:ascii="宋体" w:hAnsi="宋体"/>
                <w:b w:val="0"/>
                <w:szCs w:val="21"/>
              </w:rPr>
              <w:t>使用铜、铝、木、竹材质制作的操作工器具</w:t>
            </w:r>
          </w:p>
        </w:tc>
      </w:tr>
      <w:tr w14:paraId="4E3BD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4A32F9C4">
            <w:pPr>
              <w:spacing w:line="240" w:lineRule="exact"/>
              <w:jc w:val="center"/>
              <w:rPr>
                <w:rFonts w:ascii="宋体" w:hAnsi="宋体"/>
                <w:b w:val="0"/>
                <w:szCs w:val="21"/>
              </w:rPr>
            </w:pPr>
          </w:p>
        </w:tc>
        <w:tc>
          <w:tcPr>
            <w:tcW w:w="450" w:type="pct"/>
            <w:vMerge w:val="continue"/>
            <w:vAlign w:val="center"/>
          </w:tcPr>
          <w:p w14:paraId="20A49DEF">
            <w:pPr>
              <w:spacing w:line="240" w:lineRule="exact"/>
              <w:jc w:val="center"/>
              <w:rPr>
                <w:rFonts w:ascii="宋体" w:hAnsi="宋体"/>
                <w:b w:val="0"/>
                <w:szCs w:val="21"/>
              </w:rPr>
            </w:pPr>
          </w:p>
        </w:tc>
        <w:tc>
          <w:tcPr>
            <w:tcW w:w="1433" w:type="pct"/>
            <w:vAlign w:val="center"/>
          </w:tcPr>
          <w:p w14:paraId="664BA979">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7FB16404">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5356DE38">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4697F26B">
            <w:pPr>
              <w:spacing w:line="240" w:lineRule="exact"/>
              <w:rPr>
                <w:rFonts w:ascii="宋体" w:hAnsi="宋体"/>
                <w:b w:val="0"/>
                <w:szCs w:val="21"/>
              </w:rPr>
            </w:pPr>
            <w:r>
              <w:rPr>
                <w:rFonts w:hint="eastAsia" w:ascii="宋体" w:hAnsi="宋体"/>
                <w:b w:val="0"/>
                <w:szCs w:val="21"/>
              </w:rPr>
              <w:t>按规定穿戴好口罩、工作服等个人防护用品</w:t>
            </w:r>
          </w:p>
        </w:tc>
      </w:tr>
      <w:tr w14:paraId="16627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68E10000">
            <w:pPr>
              <w:spacing w:line="240" w:lineRule="exact"/>
              <w:jc w:val="center"/>
              <w:rPr>
                <w:rFonts w:ascii="宋体" w:hAnsi="宋体"/>
                <w:b w:val="0"/>
                <w:szCs w:val="21"/>
              </w:rPr>
            </w:pPr>
            <w:r>
              <w:rPr>
                <w:rFonts w:hint="eastAsia" w:ascii="宋体" w:hAnsi="宋体"/>
                <w:b w:val="0"/>
                <w:szCs w:val="21"/>
              </w:rPr>
              <w:t>2</w:t>
            </w:r>
          </w:p>
        </w:tc>
        <w:tc>
          <w:tcPr>
            <w:tcW w:w="450" w:type="pct"/>
            <w:vMerge w:val="restart"/>
            <w:vAlign w:val="center"/>
          </w:tcPr>
          <w:p w14:paraId="1AC9EF0C">
            <w:pPr>
              <w:spacing w:line="240" w:lineRule="exact"/>
              <w:jc w:val="center"/>
              <w:rPr>
                <w:rFonts w:ascii="宋体" w:hAnsi="宋体"/>
                <w:b w:val="0"/>
                <w:szCs w:val="21"/>
              </w:rPr>
            </w:pPr>
            <w:r>
              <w:rPr>
                <w:rFonts w:hint="eastAsia" w:ascii="宋体" w:hAnsi="宋体"/>
                <w:b w:val="0"/>
                <w:szCs w:val="21"/>
              </w:rPr>
              <w:t>粉碎</w:t>
            </w:r>
          </w:p>
        </w:tc>
        <w:tc>
          <w:tcPr>
            <w:tcW w:w="1433" w:type="pct"/>
            <w:vAlign w:val="center"/>
          </w:tcPr>
          <w:p w14:paraId="4FE45A2D">
            <w:pPr>
              <w:spacing w:line="240" w:lineRule="exact"/>
              <w:rPr>
                <w:rFonts w:ascii="宋体" w:hAnsi="宋体"/>
                <w:b w:val="0"/>
                <w:szCs w:val="21"/>
              </w:rPr>
            </w:pPr>
            <w:r>
              <w:rPr>
                <w:rFonts w:hint="eastAsia" w:ascii="宋体" w:hAnsi="宋体"/>
                <w:b w:val="0"/>
                <w:szCs w:val="21"/>
              </w:rPr>
              <w:t>原材料中混入机械杂质</w:t>
            </w:r>
          </w:p>
        </w:tc>
        <w:tc>
          <w:tcPr>
            <w:tcW w:w="729" w:type="pct"/>
            <w:vAlign w:val="center"/>
          </w:tcPr>
          <w:p w14:paraId="066460B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3E01E2E">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57F2BDA6">
            <w:pPr>
              <w:spacing w:line="240" w:lineRule="exact"/>
              <w:rPr>
                <w:rFonts w:ascii="宋体" w:hAnsi="宋体"/>
                <w:b w:val="0"/>
                <w:szCs w:val="21"/>
              </w:rPr>
            </w:pPr>
            <w:r>
              <w:rPr>
                <w:rFonts w:hint="eastAsia" w:ascii="宋体" w:hAnsi="宋体"/>
                <w:b w:val="0"/>
                <w:szCs w:val="21"/>
              </w:rPr>
              <w:t>按规程操作，防止杂质混入</w:t>
            </w:r>
          </w:p>
        </w:tc>
      </w:tr>
      <w:tr w14:paraId="2210EF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B2B69F4">
            <w:pPr>
              <w:spacing w:line="240" w:lineRule="exact"/>
              <w:jc w:val="center"/>
              <w:rPr>
                <w:rFonts w:ascii="宋体" w:hAnsi="宋体"/>
                <w:b w:val="0"/>
                <w:szCs w:val="21"/>
              </w:rPr>
            </w:pPr>
          </w:p>
        </w:tc>
        <w:tc>
          <w:tcPr>
            <w:tcW w:w="450" w:type="pct"/>
            <w:vMerge w:val="continue"/>
            <w:vAlign w:val="center"/>
          </w:tcPr>
          <w:p w14:paraId="2B8C8E48">
            <w:pPr>
              <w:spacing w:line="240" w:lineRule="exact"/>
              <w:jc w:val="center"/>
              <w:rPr>
                <w:rFonts w:ascii="宋体" w:hAnsi="宋体"/>
                <w:b w:val="0"/>
                <w:szCs w:val="21"/>
              </w:rPr>
            </w:pPr>
          </w:p>
        </w:tc>
        <w:tc>
          <w:tcPr>
            <w:tcW w:w="1433" w:type="pct"/>
            <w:vAlign w:val="center"/>
          </w:tcPr>
          <w:p w14:paraId="4A3B356D">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5C7D653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1A01DC2">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06A27937">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383A9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7EBBF8C8">
            <w:pPr>
              <w:spacing w:line="240" w:lineRule="exact"/>
              <w:jc w:val="center"/>
              <w:rPr>
                <w:rFonts w:ascii="宋体" w:hAnsi="宋体"/>
                <w:b w:val="0"/>
                <w:szCs w:val="21"/>
              </w:rPr>
            </w:pPr>
          </w:p>
        </w:tc>
        <w:tc>
          <w:tcPr>
            <w:tcW w:w="450" w:type="pct"/>
            <w:vMerge w:val="continue"/>
            <w:vAlign w:val="center"/>
          </w:tcPr>
          <w:p w14:paraId="0C4418BB">
            <w:pPr>
              <w:spacing w:line="240" w:lineRule="exact"/>
              <w:jc w:val="center"/>
              <w:rPr>
                <w:rFonts w:ascii="宋体" w:hAnsi="宋体"/>
                <w:b w:val="0"/>
                <w:szCs w:val="21"/>
              </w:rPr>
            </w:pPr>
          </w:p>
        </w:tc>
        <w:tc>
          <w:tcPr>
            <w:tcW w:w="1433" w:type="pct"/>
            <w:vAlign w:val="center"/>
          </w:tcPr>
          <w:p w14:paraId="2B756C04">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52BDA421">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04E5530">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826EC0D">
            <w:pPr>
              <w:spacing w:line="240" w:lineRule="exact"/>
              <w:rPr>
                <w:rFonts w:ascii="宋体" w:hAnsi="宋体"/>
                <w:b w:val="0"/>
                <w:szCs w:val="21"/>
              </w:rPr>
            </w:pPr>
            <w:r>
              <w:rPr>
                <w:rFonts w:hint="eastAsia" w:ascii="宋体" w:hAnsi="宋体"/>
                <w:b w:val="0"/>
                <w:szCs w:val="21"/>
              </w:rPr>
              <w:t>使用铜、铝、木、竹材质制作的操作工器具</w:t>
            </w:r>
          </w:p>
        </w:tc>
      </w:tr>
      <w:tr w14:paraId="3A799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39FA3DF3">
            <w:pPr>
              <w:spacing w:line="240" w:lineRule="exact"/>
              <w:jc w:val="center"/>
              <w:rPr>
                <w:rFonts w:ascii="宋体" w:hAnsi="宋体"/>
                <w:b w:val="0"/>
                <w:szCs w:val="21"/>
              </w:rPr>
            </w:pPr>
          </w:p>
        </w:tc>
        <w:tc>
          <w:tcPr>
            <w:tcW w:w="450" w:type="pct"/>
            <w:vMerge w:val="continue"/>
            <w:vAlign w:val="center"/>
          </w:tcPr>
          <w:p w14:paraId="50276061">
            <w:pPr>
              <w:spacing w:line="240" w:lineRule="exact"/>
              <w:jc w:val="center"/>
              <w:rPr>
                <w:rFonts w:ascii="宋体" w:hAnsi="宋体"/>
                <w:b w:val="0"/>
                <w:szCs w:val="21"/>
              </w:rPr>
            </w:pPr>
          </w:p>
        </w:tc>
        <w:tc>
          <w:tcPr>
            <w:tcW w:w="1433" w:type="pct"/>
            <w:vAlign w:val="center"/>
          </w:tcPr>
          <w:p w14:paraId="11A93F8F">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24F80E05">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B3E8AB7">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095C7177">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17F51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652375EA">
            <w:pPr>
              <w:spacing w:line="240" w:lineRule="exact"/>
              <w:jc w:val="center"/>
              <w:rPr>
                <w:rFonts w:ascii="宋体" w:hAnsi="宋体"/>
                <w:b w:val="0"/>
                <w:szCs w:val="21"/>
              </w:rPr>
            </w:pPr>
          </w:p>
        </w:tc>
        <w:tc>
          <w:tcPr>
            <w:tcW w:w="450" w:type="pct"/>
            <w:vMerge w:val="continue"/>
            <w:vAlign w:val="center"/>
          </w:tcPr>
          <w:p w14:paraId="1C6F8DF1">
            <w:pPr>
              <w:spacing w:line="240" w:lineRule="exact"/>
              <w:jc w:val="center"/>
              <w:rPr>
                <w:rFonts w:ascii="宋体" w:hAnsi="宋体"/>
                <w:b w:val="0"/>
                <w:szCs w:val="21"/>
              </w:rPr>
            </w:pPr>
          </w:p>
        </w:tc>
        <w:tc>
          <w:tcPr>
            <w:tcW w:w="1433" w:type="pct"/>
            <w:vAlign w:val="center"/>
          </w:tcPr>
          <w:p w14:paraId="7EA51AA8">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1EFCA38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D196B18">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32E72C1">
            <w:pPr>
              <w:spacing w:line="240" w:lineRule="exact"/>
              <w:rPr>
                <w:rFonts w:ascii="宋体" w:hAnsi="宋体"/>
                <w:b w:val="0"/>
                <w:szCs w:val="21"/>
              </w:rPr>
            </w:pPr>
            <w:r>
              <w:rPr>
                <w:rFonts w:hint="eastAsia" w:ascii="宋体" w:hAnsi="宋体"/>
                <w:b w:val="0"/>
                <w:szCs w:val="21"/>
              </w:rPr>
              <w:t>及时清洗地面</w:t>
            </w:r>
          </w:p>
        </w:tc>
      </w:tr>
      <w:tr w14:paraId="07755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FF366B7">
            <w:pPr>
              <w:spacing w:line="240" w:lineRule="exact"/>
              <w:jc w:val="center"/>
              <w:rPr>
                <w:rFonts w:ascii="宋体" w:hAnsi="宋体"/>
                <w:b w:val="0"/>
                <w:szCs w:val="21"/>
              </w:rPr>
            </w:pPr>
          </w:p>
        </w:tc>
        <w:tc>
          <w:tcPr>
            <w:tcW w:w="450" w:type="pct"/>
            <w:vMerge w:val="continue"/>
            <w:vAlign w:val="center"/>
          </w:tcPr>
          <w:p w14:paraId="27B85538">
            <w:pPr>
              <w:spacing w:line="240" w:lineRule="exact"/>
              <w:jc w:val="center"/>
              <w:rPr>
                <w:rFonts w:ascii="宋体" w:hAnsi="宋体"/>
                <w:b w:val="0"/>
                <w:szCs w:val="21"/>
              </w:rPr>
            </w:pPr>
          </w:p>
        </w:tc>
        <w:tc>
          <w:tcPr>
            <w:tcW w:w="1433" w:type="pct"/>
            <w:vAlign w:val="center"/>
          </w:tcPr>
          <w:p w14:paraId="65AA1DE8">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4A4A41F2">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1DD0B3A3">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6A883C12">
            <w:pPr>
              <w:spacing w:line="240" w:lineRule="exact"/>
              <w:rPr>
                <w:rFonts w:ascii="宋体" w:hAnsi="宋体"/>
                <w:b w:val="0"/>
                <w:szCs w:val="21"/>
              </w:rPr>
            </w:pPr>
            <w:r>
              <w:rPr>
                <w:rFonts w:hint="eastAsia" w:ascii="宋体" w:hAnsi="宋体"/>
                <w:b w:val="0"/>
                <w:szCs w:val="21"/>
              </w:rPr>
              <w:t>按规定穿戴好口罩、工作服等个人防护用品</w:t>
            </w:r>
          </w:p>
        </w:tc>
      </w:tr>
      <w:tr w14:paraId="6D663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3CE8E61B">
            <w:pPr>
              <w:spacing w:line="240" w:lineRule="exact"/>
              <w:jc w:val="center"/>
              <w:rPr>
                <w:rFonts w:ascii="宋体" w:hAnsi="宋体"/>
                <w:b w:val="0"/>
                <w:szCs w:val="21"/>
              </w:rPr>
            </w:pPr>
            <w:r>
              <w:rPr>
                <w:rFonts w:hint="eastAsia" w:ascii="宋体" w:hAnsi="宋体"/>
                <w:b w:val="0"/>
                <w:szCs w:val="21"/>
              </w:rPr>
              <w:t>3</w:t>
            </w:r>
          </w:p>
        </w:tc>
        <w:tc>
          <w:tcPr>
            <w:tcW w:w="450" w:type="pct"/>
            <w:vMerge w:val="restart"/>
            <w:vAlign w:val="center"/>
          </w:tcPr>
          <w:p w14:paraId="4DD08136">
            <w:pPr>
              <w:spacing w:line="240" w:lineRule="exact"/>
              <w:jc w:val="center"/>
              <w:rPr>
                <w:rFonts w:ascii="宋体" w:hAnsi="宋体"/>
                <w:b w:val="0"/>
                <w:szCs w:val="21"/>
              </w:rPr>
            </w:pPr>
            <w:r>
              <w:rPr>
                <w:rFonts w:hint="eastAsia" w:ascii="宋体" w:hAnsi="宋体"/>
                <w:b w:val="0"/>
                <w:szCs w:val="21"/>
              </w:rPr>
              <w:t>二味球磨</w:t>
            </w:r>
          </w:p>
        </w:tc>
        <w:tc>
          <w:tcPr>
            <w:tcW w:w="1433" w:type="pct"/>
            <w:vAlign w:val="center"/>
          </w:tcPr>
          <w:p w14:paraId="52F9C191">
            <w:pPr>
              <w:spacing w:line="240" w:lineRule="exact"/>
              <w:rPr>
                <w:rFonts w:ascii="宋体" w:hAnsi="宋体"/>
                <w:b w:val="0"/>
                <w:szCs w:val="21"/>
              </w:rPr>
            </w:pPr>
            <w:r>
              <w:rPr>
                <w:rFonts w:hint="eastAsia" w:ascii="宋体" w:hAnsi="宋体"/>
                <w:b w:val="0"/>
                <w:szCs w:val="21"/>
              </w:rPr>
              <w:t>物料混入铁屑、砂石硬质杂质；磨球部件磕碰；设备超时长、超转速运行，内部蓄热</w:t>
            </w:r>
          </w:p>
        </w:tc>
        <w:tc>
          <w:tcPr>
            <w:tcW w:w="729" w:type="pct"/>
            <w:vAlign w:val="center"/>
          </w:tcPr>
          <w:p w14:paraId="5283C66B">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45FE28C">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0D82C903">
            <w:pPr>
              <w:spacing w:line="240" w:lineRule="exact"/>
              <w:rPr>
                <w:rFonts w:ascii="宋体" w:hAnsi="宋体"/>
                <w:b w:val="0"/>
                <w:szCs w:val="21"/>
              </w:rPr>
            </w:pPr>
            <w:r>
              <w:rPr>
                <w:rFonts w:hint="eastAsia" w:ascii="宋体" w:hAnsi="宋体"/>
                <w:b w:val="0"/>
                <w:szCs w:val="21"/>
              </w:rPr>
              <w:t>使用铜、铝、木、竹材质制作的操作工器具；严控球磨时间、转速，严禁超装料；投料前对原料除杂，清除铁屑砂石；作业结束充分散热再开盖</w:t>
            </w:r>
          </w:p>
        </w:tc>
      </w:tr>
      <w:tr w14:paraId="4249E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1" w:type="pct"/>
            <w:vMerge w:val="continue"/>
            <w:vAlign w:val="center"/>
          </w:tcPr>
          <w:p w14:paraId="060F0F6B">
            <w:pPr>
              <w:spacing w:line="240" w:lineRule="exact"/>
              <w:jc w:val="center"/>
              <w:rPr>
                <w:rFonts w:ascii="宋体" w:hAnsi="宋体"/>
                <w:b w:val="0"/>
                <w:szCs w:val="21"/>
              </w:rPr>
            </w:pPr>
          </w:p>
        </w:tc>
        <w:tc>
          <w:tcPr>
            <w:tcW w:w="450" w:type="pct"/>
            <w:vMerge w:val="continue"/>
            <w:vAlign w:val="center"/>
          </w:tcPr>
          <w:p w14:paraId="0ACF2742">
            <w:pPr>
              <w:spacing w:line="240" w:lineRule="exact"/>
              <w:jc w:val="center"/>
              <w:rPr>
                <w:rFonts w:ascii="宋体" w:hAnsi="宋体"/>
                <w:b w:val="0"/>
                <w:szCs w:val="21"/>
              </w:rPr>
            </w:pPr>
          </w:p>
        </w:tc>
        <w:tc>
          <w:tcPr>
            <w:tcW w:w="1433" w:type="pct"/>
            <w:vAlign w:val="center"/>
          </w:tcPr>
          <w:p w14:paraId="4821C8F9">
            <w:pPr>
              <w:spacing w:line="240" w:lineRule="exact"/>
              <w:rPr>
                <w:rFonts w:ascii="宋体" w:hAnsi="宋体"/>
                <w:b w:val="0"/>
                <w:szCs w:val="21"/>
              </w:rPr>
            </w:pPr>
            <w:r>
              <w:rPr>
                <w:rFonts w:hint="eastAsia" w:ascii="宋体" w:hAnsi="宋体"/>
                <w:b w:val="0"/>
                <w:szCs w:val="21"/>
              </w:rPr>
              <w:t>环境湿度偏低；设备防静电接地失效；物料摩擦积聚静电</w:t>
            </w:r>
          </w:p>
        </w:tc>
        <w:tc>
          <w:tcPr>
            <w:tcW w:w="729" w:type="pct"/>
            <w:vAlign w:val="center"/>
          </w:tcPr>
          <w:p w14:paraId="5327C28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75FDA71">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734BE981">
            <w:pPr>
              <w:spacing w:line="240" w:lineRule="exact"/>
              <w:rPr>
                <w:rFonts w:ascii="宋体" w:hAnsi="宋体"/>
                <w:b w:val="0"/>
                <w:szCs w:val="21"/>
              </w:rPr>
            </w:pPr>
            <w:r>
              <w:rPr>
                <w:rFonts w:hint="eastAsia" w:ascii="宋体" w:hAnsi="宋体"/>
                <w:b w:val="0"/>
                <w:szCs w:val="21"/>
              </w:rPr>
              <w:t>设置增湿设施，控制相对湿度≥6</w:t>
            </w:r>
            <w:r>
              <w:rPr>
                <w:rFonts w:ascii="宋体" w:hAnsi="宋体"/>
                <w:b w:val="0"/>
                <w:szCs w:val="21"/>
              </w:rPr>
              <w:t>5</w:t>
            </w:r>
            <w:r>
              <w:rPr>
                <w:rFonts w:hint="eastAsia" w:ascii="宋体" w:hAnsi="宋体"/>
                <w:b w:val="0"/>
                <w:szCs w:val="21"/>
              </w:rPr>
              <w:t>%；球磨机可靠防静电接地；作业人员穿戴防静电工作服</w:t>
            </w:r>
          </w:p>
        </w:tc>
      </w:tr>
      <w:tr w14:paraId="470D7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51" w:type="pct"/>
            <w:vMerge w:val="continue"/>
            <w:vAlign w:val="center"/>
          </w:tcPr>
          <w:p w14:paraId="2902E768">
            <w:pPr>
              <w:spacing w:line="240" w:lineRule="exact"/>
              <w:jc w:val="center"/>
              <w:rPr>
                <w:rFonts w:ascii="宋体" w:hAnsi="宋体"/>
                <w:b w:val="0"/>
                <w:szCs w:val="21"/>
              </w:rPr>
            </w:pPr>
          </w:p>
        </w:tc>
        <w:tc>
          <w:tcPr>
            <w:tcW w:w="450" w:type="pct"/>
            <w:vMerge w:val="continue"/>
            <w:vAlign w:val="center"/>
          </w:tcPr>
          <w:p w14:paraId="6F7452C0">
            <w:pPr>
              <w:spacing w:line="240" w:lineRule="exact"/>
              <w:jc w:val="center"/>
              <w:rPr>
                <w:rFonts w:ascii="宋体" w:hAnsi="宋体"/>
                <w:b w:val="0"/>
                <w:szCs w:val="21"/>
              </w:rPr>
            </w:pPr>
          </w:p>
        </w:tc>
        <w:tc>
          <w:tcPr>
            <w:tcW w:w="1433" w:type="pct"/>
            <w:vAlign w:val="center"/>
          </w:tcPr>
          <w:p w14:paraId="5C978503">
            <w:pPr>
              <w:spacing w:line="240" w:lineRule="exact"/>
              <w:rPr>
                <w:rFonts w:ascii="宋体" w:hAnsi="宋体"/>
                <w:b w:val="0"/>
                <w:szCs w:val="21"/>
              </w:rPr>
            </w:pPr>
            <w:r>
              <w:rPr>
                <w:rFonts w:hint="eastAsia" w:ascii="宋体" w:hAnsi="宋体"/>
                <w:b w:val="0"/>
                <w:szCs w:val="21"/>
              </w:rPr>
              <w:t>设备传动部位防护缺失；无检修自锁；检修清理未停机断电，误启动设备</w:t>
            </w:r>
          </w:p>
        </w:tc>
        <w:tc>
          <w:tcPr>
            <w:tcW w:w="729" w:type="pct"/>
            <w:vAlign w:val="center"/>
          </w:tcPr>
          <w:p w14:paraId="3BD6A845">
            <w:pPr>
              <w:spacing w:line="240" w:lineRule="exact"/>
              <w:jc w:val="left"/>
              <w:rPr>
                <w:rFonts w:ascii="宋体" w:hAnsi="宋体"/>
                <w:b w:val="0"/>
                <w:szCs w:val="21"/>
              </w:rPr>
            </w:pPr>
            <w:r>
              <w:rPr>
                <w:rFonts w:hint="eastAsia" w:ascii="宋体" w:hAnsi="宋体"/>
                <w:b w:val="0"/>
                <w:szCs w:val="21"/>
              </w:rPr>
              <w:t>机械致害</w:t>
            </w:r>
          </w:p>
        </w:tc>
        <w:tc>
          <w:tcPr>
            <w:tcW w:w="443" w:type="pct"/>
            <w:vAlign w:val="center"/>
          </w:tcPr>
          <w:p w14:paraId="35023349">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307657A7">
            <w:pPr>
              <w:spacing w:line="240" w:lineRule="exact"/>
              <w:rPr>
                <w:rFonts w:ascii="宋体" w:hAnsi="宋体"/>
                <w:b w:val="0"/>
                <w:szCs w:val="21"/>
              </w:rPr>
            </w:pPr>
            <w:r>
              <w:rPr>
                <w:rFonts w:hint="eastAsia" w:ascii="宋体" w:hAnsi="宋体"/>
                <w:b w:val="0"/>
                <w:szCs w:val="21"/>
              </w:rPr>
              <w:t>转动传动部件设置完好防护装置；设备设置检修自锁装置；检修、进出料执行停机、断电挂牌制度；作业时人员远离机械设备</w:t>
            </w:r>
          </w:p>
        </w:tc>
      </w:tr>
      <w:tr w14:paraId="051DC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B8A18EC">
            <w:pPr>
              <w:spacing w:line="240" w:lineRule="exact"/>
              <w:jc w:val="center"/>
              <w:rPr>
                <w:rFonts w:ascii="宋体" w:hAnsi="宋体"/>
                <w:b w:val="0"/>
                <w:szCs w:val="21"/>
              </w:rPr>
            </w:pPr>
          </w:p>
        </w:tc>
        <w:tc>
          <w:tcPr>
            <w:tcW w:w="450" w:type="pct"/>
            <w:vMerge w:val="continue"/>
            <w:vAlign w:val="center"/>
          </w:tcPr>
          <w:p w14:paraId="2BEB036E">
            <w:pPr>
              <w:spacing w:line="240" w:lineRule="exact"/>
              <w:jc w:val="center"/>
              <w:rPr>
                <w:rFonts w:ascii="宋体" w:hAnsi="宋体"/>
                <w:b w:val="0"/>
                <w:szCs w:val="21"/>
              </w:rPr>
            </w:pPr>
          </w:p>
        </w:tc>
        <w:tc>
          <w:tcPr>
            <w:tcW w:w="1433" w:type="pct"/>
            <w:vAlign w:val="center"/>
          </w:tcPr>
          <w:p w14:paraId="71EF69CD">
            <w:pPr>
              <w:spacing w:line="240" w:lineRule="exact"/>
              <w:rPr>
                <w:rFonts w:ascii="宋体" w:hAnsi="宋体"/>
                <w:b w:val="0"/>
                <w:szCs w:val="21"/>
              </w:rPr>
            </w:pPr>
            <w:r>
              <w:rPr>
                <w:rFonts w:hint="eastAsia" w:ascii="宋体" w:hAnsi="宋体"/>
                <w:b w:val="0"/>
                <w:szCs w:val="21"/>
              </w:rPr>
              <w:t>未使用防爆电气；线路破损绝缘损坏；药粉粉尘侵入电气部位</w:t>
            </w:r>
          </w:p>
        </w:tc>
        <w:tc>
          <w:tcPr>
            <w:tcW w:w="729" w:type="pct"/>
            <w:vAlign w:val="center"/>
          </w:tcPr>
          <w:p w14:paraId="08BACB52">
            <w:pPr>
              <w:spacing w:line="240" w:lineRule="exact"/>
              <w:jc w:val="left"/>
              <w:rPr>
                <w:rFonts w:ascii="宋体" w:hAnsi="宋体"/>
                <w:b w:val="0"/>
                <w:szCs w:val="21"/>
              </w:rPr>
            </w:pPr>
            <w:r>
              <w:rPr>
                <w:rFonts w:hint="eastAsia" w:ascii="宋体" w:hAnsi="宋体"/>
                <w:b w:val="0"/>
                <w:szCs w:val="21"/>
              </w:rPr>
              <w:t>触电、火灾、爆炸</w:t>
            </w:r>
          </w:p>
        </w:tc>
        <w:tc>
          <w:tcPr>
            <w:tcW w:w="443" w:type="pct"/>
            <w:vAlign w:val="center"/>
          </w:tcPr>
          <w:p w14:paraId="0116C75C">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1EABB3C">
            <w:pPr>
              <w:spacing w:line="240" w:lineRule="exact"/>
              <w:rPr>
                <w:rFonts w:ascii="宋体" w:hAnsi="宋体"/>
                <w:b w:val="0"/>
                <w:szCs w:val="21"/>
              </w:rPr>
            </w:pPr>
            <w:r>
              <w:rPr>
                <w:rFonts w:hint="eastAsia" w:ascii="宋体" w:hAnsi="宋体"/>
                <w:b w:val="0"/>
                <w:szCs w:val="21"/>
              </w:rPr>
              <w:t>电气管线采用D</w:t>
            </w:r>
            <w:r>
              <w:rPr>
                <w:rFonts w:ascii="宋体" w:hAnsi="宋体"/>
                <w:b w:val="0"/>
                <w:szCs w:val="21"/>
              </w:rPr>
              <w:t>N15</w:t>
            </w:r>
            <w:r>
              <w:rPr>
                <w:rFonts w:hint="eastAsia" w:ascii="宋体" w:hAnsi="宋体"/>
                <w:b w:val="0"/>
                <w:szCs w:val="21"/>
              </w:rPr>
              <w:t>及以上镀锌焊接钢管，螺纹有效扣数不少于5扣并做好接地跨接；定期检查电气绝缘，及时修复破损线路</w:t>
            </w:r>
          </w:p>
        </w:tc>
      </w:tr>
      <w:tr w14:paraId="6E65A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2DE7266">
            <w:pPr>
              <w:spacing w:line="240" w:lineRule="exact"/>
              <w:jc w:val="center"/>
              <w:rPr>
                <w:rFonts w:ascii="宋体" w:hAnsi="宋体"/>
                <w:b w:val="0"/>
                <w:szCs w:val="21"/>
              </w:rPr>
            </w:pPr>
          </w:p>
        </w:tc>
        <w:tc>
          <w:tcPr>
            <w:tcW w:w="450" w:type="pct"/>
            <w:vMerge w:val="continue"/>
            <w:vAlign w:val="center"/>
          </w:tcPr>
          <w:p w14:paraId="0AD7AD0B">
            <w:pPr>
              <w:spacing w:line="240" w:lineRule="exact"/>
              <w:jc w:val="center"/>
              <w:rPr>
                <w:rFonts w:ascii="宋体" w:hAnsi="宋体"/>
                <w:b w:val="0"/>
                <w:szCs w:val="21"/>
              </w:rPr>
            </w:pPr>
          </w:p>
        </w:tc>
        <w:tc>
          <w:tcPr>
            <w:tcW w:w="1433" w:type="pct"/>
            <w:vAlign w:val="center"/>
          </w:tcPr>
          <w:p w14:paraId="0F162763">
            <w:pPr>
              <w:spacing w:line="240" w:lineRule="exact"/>
              <w:rPr>
                <w:rFonts w:ascii="宋体" w:hAnsi="宋体"/>
                <w:b w:val="0"/>
                <w:szCs w:val="21"/>
              </w:rPr>
            </w:pPr>
            <w:r>
              <w:rPr>
                <w:rFonts w:hint="eastAsia" w:ascii="宋体" w:hAnsi="宋体"/>
                <w:b w:val="0"/>
                <w:szCs w:val="21"/>
              </w:rPr>
              <w:t>除尘通风失效；粉尘大量逸散积聚，作业人员长期吸入</w:t>
            </w:r>
          </w:p>
        </w:tc>
        <w:tc>
          <w:tcPr>
            <w:tcW w:w="729" w:type="pct"/>
            <w:vAlign w:val="center"/>
          </w:tcPr>
          <w:p w14:paraId="5FF1B0C4">
            <w:pPr>
              <w:spacing w:line="240" w:lineRule="exact"/>
              <w:jc w:val="left"/>
              <w:rPr>
                <w:rFonts w:ascii="宋体" w:hAnsi="宋体"/>
                <w:b w:val="0"/>
                <w:szCs w:val="21"/>
              </w:rPr>
            </w:pPr>
            <w:r>
              <w:rPr>
                <w:rFonts w:hint="eastAsia" w:ascii="宋体" w:hAnsi="宋体"/>
                <w:b w:val="0"/>
                <w:szCs w:val="21"/>
              </w:rPr>
              <w:t>健康伤害、火灾、爆炸</w:t>
            </w:r>
          </w:p>
        </w:tc>
        <w:tc>
          <w:tcPr>
            <w:tcW w:w="443" w:type="pct"/>
            <w:vAlign w:val="center"/>
          </w:tcPr>
          <w:p w14:paraId="56174B0F">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56A761F4">
            <w:pPr>
              <w:spacing w:line="240" w:lineRule="exact"/>
              <w:rPr>
                <w:rFonts w:ascii="宋体" w:hAnsi="宋体"/>
                <w:b w:val="0"/>
                <w:szCs w:val="21"/>
              </w:rPr>
            </w:pPr>
            <w:r>
              <w:rPr>
                <w:rFonts w:hint="eastAsia" w:ascii="宋体" w:hAnsi="宋体"/>
                <w:b w:val="0"/>
                <w:szCs w:val="21"/>
              </w:rPr>
              <w:t>设计通风除尘设施；及时清扫地面、墙面、设备表面除尘</w:t>
            </w:r>
          </w:p>
        </w:tc>
      </w:tr>
      <w:tr w14:paraId="1F1E0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4E18DCDF">
            <w:pPr>
              <w:spacing w:line="240" w:lineRule="exact"/>
              <w:jc w:val="center"/>
              <w:rPr>
                <w:rFonts w:ascii="宋体" w:hAnsi="宋体"/>
                <w:b w:val="0"/>
                <w:szCs w:val="21"/>
              </w:rPr>
            </w:pPr>
            <w:r>
              <w:rPr>
                <w:rFonts w:hint="eastAsia" w:ascii="宋体" w:hAnsi="宋体"/>
                <w:b w:val="0"/>
                <w:szCs w:val="21"/>
              </w:rPr>
              <w:t>4</w:t>
            </w:r>
          </w:p>
        </w:tc>
        <w:tc>
          <w:tcPr>
            <w:tcW w:w="450" w:type="pct"/>
            <w:vMerge w:val="restart"/>
            <w:vAlign w:val="center"/>
          </w:tcPr>
          <w:p w14:paraId="2ADE2F5B">
            <w:pPr>
              <w:spacing w:line="240" w:lineRule="exact"/>
              <w:jc w:val="center"/>
              <w:rPr>
                <w:rFonts w:ascii="宋体" w:hAnsi="宋体"/>
                <w:b w:val="0"/>
                <w:szCs w:val="21"/>
              </w:rPr>
            </w:pPr>
            <w:r>
              <w:rPr>
                <w:rFonts w:hint="eastAsia" w:ascii="宋体" w:hAnsi="宋体"/>
                <w:b w:val="0"/>
                <w:szCs w:val="21"/>
              </w:rPr>
              <w:t>自动混合/上潮/装模制片（粒状）</w:t>
            </w:r>
          </w:p>
        </w:tc>
        <w:tc>
          <w:tcPr>
            <w:tcW w:w="1433" w:type="pct"/>
            <w:vAlign w:val="center"/>
          </w:tcPr>
          <w:p w14:paraId="28CB6F75">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1F7F943A">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C663BCD">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7911134B">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2CE3F4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EDCCA64">
            <w:pPr>
              <w:spacing w:line="240" w:lineRule="exact"/>
              <w:jc w:val="center"/>
              <w:rPr>
                <w:rFonts w:ascii="宋体" w:hAnsi="宋体"/>
                <w:b w:val="0"/>
                <w:szCs w:val="21"/>
              </w:rPr>
            </w:pPr>
          </w:p>
        </w:tc>
        <w:tc>
          <w:tcPr>
            <w:tcW w:w="450" w:type="pct"/>
            <w:vMerge w:val="continue"/>
            <w:vAlign w:val="center"/>
          </w:tcPr>
          <w:p w14:paraId="574D3C96">
            <w:pPr>
              <w:spacing w:line="240" w:lineRule="exact"/>
              <w:jc w:val="center"/>
              <w:rPr>
                <w:rFonts w:ascii="宋体" w:hAnsi="宋体"/>
                <w:b w:val="0"/>
                <w:szCs w:val="21"/>
              </w:rPr>
            </w:pPr>
          </w:p>
        </w:tc>
        <w:tc>
          <w:tcPr>
            <w:tcW w:w="1433" w:type="pct"/>
            <w:vAlign w:val="center"/>
          </w:tcPr>
          <w:p w14:paraId="491A33AA">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0D3CCD30">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0986867">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1EA1994">
            <w:pPr>
              <w:spacing w:line="240" w:lineRule="exact"/>
              <w:rPr>
                <w:rFonts w:ascii="宋体" w:hAnsi="宋体"/>
                <w:b w:val="0"/>
                <w:szCs w:val="21"/>
              </w:rPr>
            </w:pPr>
            <w:r>
              <w:rPr>
                <w:rFonts w:hint="eastAsia" w:ascii="宋体" w:hAnsi="宋体"/>
                <w:b w:val="0"/>
                <w:szCs w:val="21"/>
              </w:rPr>
              <w:t>使用铜、铝、木、竹材质制作的操作工器具</w:t>
            </w:r>
          </w:p>
        </w:tc>
      </w:tr>
      <w:tr w14:paraId="65284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0257D4D">
            <w:pPr>
              <w:spacing w:line="240" w:lineRule="exact"/>
              <w:jc w:val="center"/>
              <w:rPr>
                <w:rFonts w:ascii="宋体" w:hAnsi="宋体"/>
                <w:b w:val="0"/>
                <w:szCs w:val="21"/>
              </w:rPr>
            </w:pPr>
          </w:p>
        </w:tc>
        <w:tc>
          <w:tcPr>
            <w:tcW w:w="450" w:type="pct"/>
            <w:vMerge w:val="continue"/>
            <w:vAlign w:val="center"/>
          </w:tcPr>
          <w:p w14:paraId="7944BC2D">
            <w:pPr>
              <w:spacing w:line="240" w:lineRule="exact"/>
              <w:jc w:val="center"/>
              <w:rPr>
                <w:rFonts w:ascii="宋体" w:hAnsi="宋体"/>
                <w:b w:val="0"/>
                <w:szCs w:val="21"/>
              </w:rPr>
            </w:pPr>
          </w:p>
        </w:tc>
        <w:tc>
          <w:tcPr>
            <w:tcW w:w="1433" w:type="pct"/>
            <w:vAlign w:val="center"/>
          </w:tcPr>
          <w:p w14:paraId="5CF3F5F1">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162F1876">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7CA2EA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126C7099">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10595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6056644">
            <w:pPr>
              <w:spacing w:line="240" w:lineRule="exact"/>
              <w:jc w:val="center"/>
              <w:rPr>
                <w:rFonts w:ascii="宋体" w:hAnsi="宋体"/>
                <w:b w:val="0"/>
                <w:szCs w:val="21"/>
              </w:rPr>
            </w:pPr>
          </w:p>
        </w:tc>
        <w:tc>
          <w:tcPr>
            <w:tcW w:w="450" w:type="pct"/>
            <w:vMerge w:val="continue"/>
            <w:vAlign w:val="center"/>
          </w:tcPr>
          <w:p w14:paraId="2831358B">
            <w:pPr>
              <w:spacing w:line="240" w:lineRule="exact"/>
              <w:jc w:val="center"/>
              <w:rPr>
                <w:rFonts w:ascii="宋体" w:hAnsi="宋体"/>
                <w:b w:val="0"/>
                <w:szCs w:val="21"/>
              </w:rPr>
            </w:pPr>
          </w:p>
        </w:tc>
        <w:tc>
          <w:tcPr>
            <w:tcW w:w="1433" w:type="pct"/>
            <w:vAlign w:val="center"/>
          </w:tcPr>
          <w:p w14:paraId="02DFCC1F">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5EA684B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53D8CCA">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154EEFFC">
            <w:pPr>
              <w:spacing w:line="240" w:lineRule="exact"/>
              <w:rPr>
                <w:rFonts w:ascii="宋体" w:hAnsi="宋体"/>
                <w:b w:val="0"/>
                <w:szCs w:val="21"/>
              </w:rPr>
            </w:pPr>
            <w:r>
              <w:rPr>
                <w:rFonts w:hint="eastAsia" w:ascii="宋体" w:hAnsi="宋体"/>
                <w:b w:val="0"/>
                <w:szCs w:val="21"/>
              </w:rPr>
              <w:t>及时清洗地面</w:t>
            </w:r>
          </w:p>
        </w:tc>
      </w:tr>
      <w:tr w14:paraId="701135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F95D607">
            <w:pPr>
              <w:spacing w:line="240" w:lineRule="exact"/>
              <w:jc w:val="center"/>
              <w:rPr>
                <w:rFonts w:ascii="宋体" w:hAnsi="宋体"/>
                <w:b w:val="0"/>
                <w:szCs w:val="21"/>
              </w:rPr>
            </w:pPr>
          </w:p>
        </w:tc>
        <w:tc>
          <w:tcPr>
            <w:tcW w:w="450" w:type="pct"/>
            <w:vMerge w:val="continue"/>
            <w:vAlign w:val="center"/>
          </w:tcPr>
          <w:p w14:paraId="4240AD4C">
            <w:pPr>
              <w:spacing w:line="240" w:lineRule="exact"/>
              <w:jc w:val="center"/>
              <w:rPr>
                <w:rFonts w:ascii="宋体" w:hAnsi="宋体"/>
                <w:b w:val="0"/>
                <w:szCs w:val="21"/>
              </w:rPr>
            </w:pPr>
          </w:p>
        </w:tc>
        <w:tc>
          <w:tcPr>
            <w:tcW w:w="1433" w:type="pct"/>
            <w:vAlign w:val="center"/>
          </w:tcPr>
          <w:p w14:paraId="464525E2">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65CB30CE">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3F1C49A5">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3B420D9E">
            <w:pPr>
              <w:spacing w:line="240" w:lineRule="exact"/>
              <w:rPr>
                <w:rFonts w:ascii="宋体" w:hAnsi="宋体"/>
                <w:b w:val="0"/>
                <w:szCs w:val="21"/>
              </w:rPr>
            </w:pPr>
            <w:r>
              <w:rPr>
                <w:rFonts w:hint="eastAsia" w:ascii="宋体" w:hAnsi="宋体"/>
                <w:b w:val="0"/>
                <w:szCs w:val="21"/>
              </w:rPr>
              <w:t>按规定穿戴好口罩、工作服等个人防护用品</w:t>
            </w:r>
          </w:p>
        </w:tc>
      </w:tr>
      <w:tr w14:paraId="5D6C5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5F420832">
            <w:pPr>
              <w:spacing w:line="240" w:lineRule="exact"/>
              <w:jc w:val="center"/>
              <w:rPr>
                <w:rFonts w:ascii="宋体" w:hAnsi="宋体"/>
                <w:b w:val="0"/>
                <w:szCs w:val="21"/>
              </w:rPr>
            </w:pPr>
            <w:r>
              <w:rPr>
                <w:rFonts w:hint="eastAsia" w:ascii="宋体" w:hAnsi="宋体"/>
                <w:b w:val="0"/>
                <w:szCs w:val="21"/>
              </w:rPr>
              <w:t>5</w:t>
            </w:r>
          </w:p>
        </w:tc>
        <w:tc>
          <w:tcPr>
            <w:tcW w:w="450" w:type="pct"/>
            <w:vMerge w:val="restart"/>
            <w:vAlign w:val="center"/>
          </w:tcPr>
          <w:p w14:paraId="0341494C">
            <w:pPr>
              <w:spacing w:line="240" w:lineRule="exact"/>
              <w:jc w:val="center"/>
              <w:rPr>
                <w:rFonts w:ascii="宋体" w:hAnsi="宋体"/>
                <w:b w:val="0"/>
                <w:szCs w:val="21"/>
              </w:rPr>
            </w:pPr>
            <w:r>
              <w:rPr>
                <w:rFonts w:hint="eastAsia" w:ascii="宋体" w:hAnsi="宋体"/>
                <w:b w:val="0"/>
                <w:szCs w:val="21"/>
              </w:rPr>
              <w:t>压药（油压）</w:t>
            </w:r>
          </w:p>
        </w:tc>
        <w:tc>
          <w:tcPr>
            <w:tcW w:w="1433" w:type="pct"/>
            <w:vAlign w:val="center"/>
          </w:tcPr>
          <w:p w14:paraId="7AA5A7FF">
            <w:pPr>
              <w:spacing w:line="240" w:lineRule="exact"/>
              <w:rPr>
                <w:rFonts w:ascii="宋体" w:hAnsi="宋体"/>
                <w:b w:val="0"/>
                <w:szCs w:val="21"/>
              </w:rPr>
            </w:pPr>
            <w:r>
              <w:rPr>
                <w:rFonts w:hint="eastAsia" w:ascii="宋体" w:hAnsi="宋体"/>
                <w:b w:val="0"/>
                <w:szCs w:val="21"/>
              </w:rPr>
              <w:t>药物中混入机械杂质</w:t>
            </w:r>
          </w:p>
        </w:tc>
        <w:tc>
          <w:tcPr>
            <w:tcW w:w="729" w:type="pct"/>
            <w:vAlign w:val="center"/>
          </w:tcPr>
          <w:p w14:paraId="402AD51B">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63E33C4">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5B54C091">
            <w:pPr>
              <w:spacing w:line="240" w:lineRule="exact"/>
              <w:rPr>
                <w:rFonts w:ascii="宋体" w:hAnsi="宋体"/>
                <w:b w:val="0"/>
                <w:szCs w:val="21"/>
              </w:rPr>
            </w:pPr>
            <w:r>
              <w:rPr>
                <w:rFonts w:hint="eastAsia" w:ascii="宋体" w:hAnsi="宋体"/>
                <w:b w:val="0"/>
                <w:szCs w:val="21"/>
              </w:rPr>
              <w:t>按规程操作，防止杂质混入</w:t>
            </w:r>
          </w:p>
        </w:tc>
      </w:tr>
      <w:tr w14:paraId="23BE1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04959BF">
            <w:pPr>
              <w:spacing w:line="240" w:lineRule="exact"/>
              <w:jc w:val="center"/>
              <w:rPr>
                <w:rFonts w:ascii="宋体" w:hAnsi="宋体"/>
                <w:b w:val="0"/>
                <w:szCs w:val="21"/>
              </w:rPr>
            </w:pPr>
          </w:p>
        </w:tc>
        <w:tc>
          <w:tcPr>
            <w:tcW w:w="450" w:type="pct"/>
            <w:vMerge w:val="continue"/>
            <w:vAlign w:val="center"/>
          </w:tcPr>
          <w:p w14:paraId="3904C53C">
            <w:pPr>
              <w:spacing w:line="240" w:lineRule="exact"/>
              <w:jc w:val="center"/>
              <w:rPr>
                <w:rFonts w:ascii="宋体" w:hAnsi="宋体"/>
                <w:b w:val="0"/>
                <w:szCs w:val="21"/>
              </w:rPr>
            </w:pPr>
          </w:p>
        </w:tc>
        <w:tc>
          <w:tcPr>
            <w:tcW w:w="1433" w:type="pct"/>
            <w:vAlign w:val="center"/>
          </w:tcPr>
          <w:p w14:paraId="070F6844">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751FA788">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A6AFA6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55150DC5">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15F11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F423960">
            <w:pPr>
              <w:spacing w:line="240" w:lineRule="exact"/>
              <w:jc w:val="center"/>
              <w:rPr>
                <w:rFonts w:ascii="宋体" w:hAnsi="宋体"/>
                <w:b w:val="0"/>
                <w:szCs w:val="21"/>
              </w:rPr>
            </w:pPr>
          </w:p>
        </w:tc>
        <w:tc>
          <w:tcPr>
            <w:tcW w:w="450" w:type="pct"/>
            <w:vMerge w:val="continue"/>
            <w:vAlign w:val="center"/>
          </w:tcPr>
          <w:p w14:paraId="3A9FEF64">
            <w:pPr>
              <w:spacing w:line="240" w:lineRule="exact"/>
              <w:jc w:val="center"/>
              <w:rPr>
                <w:rFonts w:ascii="宋体" w:hAnsi="宋体"/>
                <w:b w:val="0"/>
                <w:szCs w:val="21"/>
              </w:rPr>
            </w:pPr>
          </w:p>
        </w:tc>
        <w:tc>
          <w:tcPr>
            <w:tcW w:w="1433" w:type="pct"/>
            <w:vAlign w:val="center"/>
          </w:tcPr>
          <w:p w14:paraId="24AFAF2A">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02DF9DF3">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7BB35E3">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40F31AA">
            <w:pPr>
              <w:spacing w:line="240" w:lineRule="exact"/>
              <w:rPr>
                <w:rFonts w:ascii="宋体" w:hAnsi="宋体"/>
                <w:b w:val="0"/>
                <w:szCs w:val="21"/>
              </w:rPr>
            </w:pPr>
            <w:r>
              <w:rPr>
                <w:rFonts w:hint="eastAsia" w:ascii="宋体" w:hAnsi="宋体"/>
                <w:b w:val="0"/>
                <w:szCs w:val="21"/>
              </w:rPr>
              <w:t>使用铜、铝、木、竹材质制作的操作工器具</w:t>
            </w:r>
          </w:p>
        </w:tc>
      </w:tr>
      <w:tr w14:paraId="03566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DD886A0">
            <w:pPr>
              <w:spacing w:line="240" w:lineRule="exact"/>
              <w:jc w:val="center"/>
              <w:rPr>
                <w:rFonts w:ascii="宋体" w:hAnsi="宋体"/>
                <w:b w:val="0"/>
                <w:szCs w:val="21"/>
              </w:rPr>
            </w:pPr>
          </w:p>
        </w:tc>
        <w:tc>
          <w:tcPr>
            <w:tcW w:w="450" w:type="pct"/>
            <w:vMerge w:val="continue"/>
            <w:vAlign w:val="center"/>
          </w:tcPr>
          <w:p w14:paraId="56B1863C">
            <w:pPr>
              <w:spacing w:line="240" w:lineRule="exact"/>
              <w:jc w:val="center"/>
              <w:rPr>
                <w:rFonts w:ascii="宋体" w:hAnsi="宋体"/>
                <w:b w:val="0"/>
                <w:szCs w:val="21"/>
              </w:rPr>
            </w:pPr>
          </w:p>
        </w:tc>
        <w:tc>
          <w:tcPr>
            <w:tcW w:w="1433" w:type="pct"/>
            <w:vAlign w:val="center"/>
          </w:tcPr>
          <w:p w14:paraId="73778B07">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4C1D8693">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3C09922">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EBF7E20">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59B08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44BD294">
            <w:pPr>
              <w:spacing w:line="240" w:lineRule="exact"/>
              <w:jc w:val="center"/>
              <w:rPr>
                <w:rFonts w:ascii="宋体" w:hAnsi="宋体"/>
                <w:b w:val="0"/>
                <w:szCs w:val="21"/>
              </w:rPr>
            </w:pPr>
          </w:p>
        </w:tc>
        <w:tc>
          <w:tcPr>
            <w:tcW w:w="450" w:type="pct"/>
            <w:vMerge w:val="continue"/>
            <w:vAlign w:val="center"/>
          </w:tcPr>
          <w:p w14:paraId="0BDA3F07">
            <w:pPr>
              <w:spacing w:line="240" w:lineRule="exact"/>
              <w:jc w:val="center"/>
              <w:rPr>
                <w:rFonts w:ascii="宋体" w:hAnsi="宋体"/>
                <w:b w:val="0"/>
                <w:szCs w:val="21"/>
              </w:rPr>
            </w:pPr>
          </w:p>
        </w:tc>
        <w:tc>
          <w:tcPr>
            <w:tcW w:w="1433" w:type="pct"/>
            <w:vAlign w:val="center"/>
          </w:tcPr>
          <w:p w14:paraId="4EB0990D">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67EC79B0">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6053957">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175A7BB">
            <w:pPr>
              <w:spacing w:line="240" w:lineRule="exact"/>
              <w:rPr>
                <w:rFonts w:ascii="宋体" w:hAnsi="宋体"/>
                <w:b w:val="0"/>
                <w:szCs w:val="21"/>
              </w:rPr>
            </w:pPr>
            <w:r>
              <w:rPr>
                <w:rFonts w:hint="eastAsia" w:ascii="宋体" w:hAnsi="宋体"/>
                <w:b w:val="0"/>
                <w:szCs w:val="21"/>
              </w:rPr>
              <w:t>及时清洗地面</w:t>
            </w:r>
          </w:p>
        </w:tc>
      </w:tr>
      <w:tr w14:paraId="54589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3E2A9F2">
            <w:pPr>
              <w:spacing w:line="240" w:lineRule="exact"/>
              <w:jc w:val="center"/>
              <w:rPr>
                <w:rFonts w:ascii="宋体" w:hAnsi="宋体"/>
                <w:b w:val="0"/>
                <w:szCs w:val="21"/>
              </w:rPr>
            </w:pPr>
          </w:p>
        </w:tc>
        <w:tc>
          <w:tcPr>
            <w:tcW w:w="450" w:type="pct"/>
            <w:vMerge w:val="continue"/>
            <w:vAlign w:val="center"/>
          </w:tcPr>
          <w:p w14:paraId="099E9916">
            <w:pPr>
              <w:spacing w:line="240" w:lineRule="exact"/>
              <w:jc w:val="center"/>
              <w:rPr>
                <w:rFonts w:ascii="宋体" w:hAnsi="宋体"/>
                <w:b w:val="0"/>
                <w:szCs w:val="21"/>
              </w:rPr>
            </w:pPr>
          </w:p>
        </w:tc>
        <w:tc>
          <w:tcPr>
            <w:tcW w:w="1433" w:type="pct"/>
            <w:vAlign w:val="center"/>
          </w:tcPr>
          <w:p w14:paraId="2463913F">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1AC7F6D4">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0454EDCC">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4933693A">
            <w:pPr>
              <w:spacing w:line="240" w:lineRule="exact"/>
              <w:rPr>
                <w:rFonts w:ascii="宋体" w:hAnsi="宋体"/>
                <w:b w:val="0"/>
                <w:szCs w:val="21"/>
              </w:rPr>
            </w:pPr>
            <w:r>
              <w:rPr>
                <w:rFonts w:hint="eastAsia" w:ascii="宋体" w:hAnsi="宋体"/>
                <w:b w:val="0"/>
                <w:szCs w:val="21"/>
              </w:rPr>
              <w:t>按规定穿戴好口罩、工作服等个人防护用品</w:t>
            </w:r>
          </w:p>
        </w:tc>
      </w:tr>
      <w:tr w14:paraId="5ED54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66F74B1F">
            <w:pPr>
              <w:spacing w:line="240" w:lineRule="exact"/>
              <w:jc w:val="center"/>
              <w:rPr>
                <w:rFonts w:ascii="宋体" w:hAnsi="宋体"/>
                <w:b w:val="0"/>
                <w:szCs w:val="21"/>
              </w:rPr>
            </w:pPr>
            <w:r>
              <w:rPr>
                <w:rFonts w:hint="eastAsia" w:ascii="宋体" w:hAnsi="宋体"/>
                <w:b w:val="0"/>
                <w:szCs w:val="21"/>
              </w:rPr>
              <w:t>6</w:t>
            </w:r>
          </w:p>
        </w:tc>
        <w:tc>
          <w:tcPr>
            <w:tcW w:w="450" w:type="pct"/>
            <w:vMerge w:val="restart"/>
            <w:vAlign w:val="center"/>
          </w:tcPr>
          <w:p w14:paraId="3809C153">
            <w:pPr>
              <w:spacing w:line="240" w:lineRule="exact"/>
              <w:jc w:val="center"/>
              <w:rPr>
                <w:rFonts w:ascii="宋体" w:hAnsi="宋体"/>
                <w:b w:val="0"/>
                <w:szCs w:val="21"/>
              </w:rPr>
            </w:pPr>
            <w:r>
              <w:rPr>
                <w:rFonts w:hint="eastAsia" w:ascii="宋体" w:hAnsi="宋体"/>
                <w:b w:val="0"/>
                <w:szCs w:val="21"/>
              </w:rPr>
              <w:t>散热</w:t>
            </w:r>
          </w:p>
        </w:tc>
        <w:tc>
          <w:tcPr>
            <w:tcW w:w="1433" w:type="pct"/>
            <w:vAlign w:val="center"/>
          </w:tcPr>
          <w:p w14:paraId="694A578E">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640DCA96">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021BAD5">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90924CB">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6A984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373A0DD0">
            <w:pPr>
              <w:spacing w:line="240" w:lineRule="exact"/>
              <w:jc w:val="center"/>
              <w:rPr>
                <w:rFonts w:ascii="宋体" w:hAnsi="宋体"/>
                <w:b w:val="0"/>
                <w:szCs w:val="21"/>
              </w:rPr>
            </w:pPr>
          </w:p>
        </w:tc>
        <w:tc>
          <w:tcPr>
            <w:tcW w:w="450" w:type="pct"/>
            <w:vMerge w:val="continue"/>
            <w:vAlign w:val="center"/>
          </w:tcPr>
          <w:p w14:paraId="4930BE67">
            <w:pPr>
              <w:spacing w:line="240" w:lineRule="exact"/>
              <w:jc w:val="center"/>
              <w:rPr>
                <w:rFonts w:ascii="宋体" w:hAnsi="宋体"/>
                <w:b w:val="0"/>
                <w:szCs w:val="21"/>
              </w:rPr>
            </w:pPr>
          </w:p>
        </w:tc>
        <w:tc>
          <w:tcPr>
            <w:tcW w:w="1433" w:type="pct"/>
            <w:vAlign w:val="center"/>
          </w:tcPr>
          <w:p w14:paraId="6E054716">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5B8516B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BC66BB0">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61E11A9">
            <w:pPr>
              <w:spacing w:line="240" w:lineRule="exact"/>
              <w:rPr>
                <w:rFonts w:ascii="宋体" w:hAnsi="宋体"/>
                <w:b w:val="0"/>
                <w:szCs w:val="21"/>
              </w:rPr>
            </w:pPr>
            <w:r>
              <w:rPr>
                <w:rFonts w:hint="eastAsia" w:ascii="宋体" w:hAnsi="宋体"/>
                <w:b w:val="0"/>
                <w:szCs w:val="21"/>
              </w:rPr>
              <w:t>使用铜、铝、木、竹材质制作的操作工器具</w:t>
            </w:r>
          </w:p>
        </w:tc>
      </w:tr>
      <w:tr w14:paraId="7E36D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F18A081">
            <w:pPr>
              <w:spacing w:line="240" w:lineRule="exact"/>
              <w:jc w:val="center"/>
              <w:rPr>
                <w:rFonts w:ascii="宋体" w:hAnsi="宋体"/>
                <w:b w:val="0"/>
                <w:szCs w:val="21"/>
              </w:rPr>
            </w:pPr>
          </w:p>
        </w:tc>
        <w:tc>
          <w:tcPr>
            <w:tcW w:w="450" w:type="pct"/>
            <w:vMerge w:val="continue"/>
            <w:vAlign w:val="center"/>
          </w:tcPr>
          <w:p w14:paraId="1ED26C3A">
            <w:pPr>
              <w:spacing w:line="240" w:lineRule="exact"/>
              <w:jc w:val="center"/>
              <w:rPr>
                <w:rFonts w:ascii="宋体" w:hAnsi="宋体"/>
                <w:b w:val="0"/>
                <w:szCs w:val="21"/>
              </w:rPr>
            </w:pPr>
          </w:p>
        </w:tc>
        <w:tc>
          <w:tcPr>
            <w:tcW w:w="1433" w:type="pct"/>
            <w:vAlign w:val="center"/>
          </w:tcPr>
          <w:p w14:paraId="098EAE30">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41BD14F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DDB3EE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F08C33D">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026F9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1828F797">
            <w:pPr>
              <w:spacing w:line="240" w:lineRule="exact"/>
              <w:jc w:val="center"/>
              <w:rPr>
                <w:rFonts w:ascii="宋体" w:hAnsi="宋体"/>
                <w:b w:val="0"/>
                <w:szCs w:val="21"/>
              </w:rPr>
            </w:pPr>
          </w:p>
        </w:tc>
        <w:tc>
          <w:tcPr>
            <w:tcW w:w="450" w:type="pct"/>
            <w:vMerge w:val="continue"/>
            <w:vAlign w:val="center"/>
          </w:tcPr>
          <w:p w14:paraId="76AF1207">
            <w:pPr>
              <w:spacing w:line="240" w:lineRule="exact"/>
              <w:jc w:val="center"/>
              <w:rPr>
                <w:rFonts w:ascii="宋体" w:hAnsi="宋体"/>
                <w:b w:val="0"/>
                <w:szCs w:val="21"/>
              </w:rPr>
            </w:pPr>
          </w:p>
        </w:tc>
        <w:tc>
          <w:tcPr>
            <w:tcW w:w="1433" w:type="pct"/>
            <w:vAlign w:val="center"/>
          </w:tcPr>
          <w:p w14:paraId="35537CE5">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5EEB3BD3">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162F74E">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CB62328">
            <w:pPr>
              <w:spacing w:line="240" w:lineRule="exact"/>
              <w:rPr>
                <w:rFonts w:ascii="宋体" w:hAnsi="宋体"/>
                <w:b w:val="0"/>
                <w:szCs w:val="21"/>
              </w:rPr>
            </w:pPr>
            <w:r>
              <w:rPr>
                <w:rFonts w:hint="eastAsia" w:ascii="宋体" w:hAnsi="宋体"/>
                <w:b w:val="0"/>
                <w:szCs w:val="21"/>
              </w:rPr>
              <w:t>及时清洗地面</w:t>
            </w:r>
          </w:p>
        </w:tc>
      </w:tr>
      <w:tr w14:paraId="4438D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0EB65750">
            <w:pPr>
              <w:spacing w:line="240" w:lineRule="exact"/>
              <w:jc w:val="center"/>
              <w:rPr>
                <w:rFonts w:ascii="宋体" w:hAnsi="宋体"/>
                <w:b w:val="0"/>
                <w:szCs w:val="21"/>
              </w:rPr>
            </w:pPr>
          </w:p>
        </w:tc>
        <w:tc>
          <w:tcPr>
            <w:tcW w:w="450" w:type="pct"/>
            <w:vMerge w:val="continue"/>
            <w:vAlign w:val="center"/>
          </w:tcPr>
          <w:p w14:paraId="04404DA4">
            <w:pPr>
              <w:spacing w:line="240" w:lineRule="exact"/>
              <w:jc w:val="center"/>
              <w:rPr>
                <w:rFonts w:ascii="宋体" w:hAnsi="宋体"/>
                <w:b w:val="0"/>
                <w:szCs w:val="21"/>
              </w:rPr>
            </w:pPr>
          </w:p>
        </w:tc>
        <w:tc>
          <w:tcPr>
            <w:tcW w:w="1433" w:type="pct"/>
            <w:vAlign w:val="center"/>
          </w:tcPr>
          <w:p w14:paraId="31EF5230">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4530CB76">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7BFA4767">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4B923CF1">
            <w:pPr>
              <w:spacing w:line="240" w:lineRule="exact"/>
              <w:rPr>
                <w:rFonts w:ascii="宋体" w:hAnsi="宋体"/>
                <w:b w:val="0"/>
                <w:szCs w:val="21"/>
              </w:rPr>
            </w:pPr>
            <w:r>
              <w:rPr>
                <w:rFonts w:hint="eastAsia" w:ascii="宋体" w:hAnsi="宋体"/>
                <w:b w:val="0"/>
                <w:szCs w:val="21"/>
              </w:rPr>
              <w:t>按规定穿戴好口罩、工作服等个人防护用品</w:t>
            </w:r>
          </w:p>
        </w:tc>
      </w:tr>
      <w:tr w14:paraId="021DF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53198911">
            <w:pPr>
              <w:spacing w:line="240" w:lineRule="exact"/>
              <w:jc w:val="center"/>
              <w:rPr>
                <w:rFonts w:ascii="宋体" w:hAnsi="宋体"/>
                <w:b w:val="0"/>
                <w:szCs w:val="21"/>
              </w:rPr>
            </w:pPr>
            <w:r>
              <w:rPr>
                <w:rFonts w:hint="eastAsia" w:ascii="宋体" w:hAnsi="宋体"/>
                <w:b w:val="0"/>
                <w:szCs w:val="21"/>
              </w:rPr>
              <w:t>7</w:t>
            </w:r>
          </w:p>
        </w:tc>
        <w:tc>
          <w:tcPr>
            <w:tcW w:w="450" w:type="pct"/>
            <w:vMerge w:val="restart"/>
            <w:vAlign w:val="center"/>
          </w:tcPr>
          <w:p w14:paraId="15AC22C7">
            <w:pPr>
              <w:spacing w:line="240" w:lineRule="exact"/>
              <w:jc w:val="center"/>
              <w:rPr>
                <w:rFonts w:ascii="宋体" w:hAnsi="宋体"/>
                <w:b w:val="0"/>
                <w:szCs w:val="21"/>
              </w:rPr>
            </w:pPr>
            <w:r>
              <w:rPr>
                <w:rFonts w:hint="eastAsia" w:ascii="宋体" w:hAnsi="宋体"/>
                <w:b w:val="0"/>
                <w:szCs w:val="21"/>
              </w:rPr>
              <w:t>造粒</w:t>
            </w:r>
          </w:p>
        </w:tc>
        <w:tc>
          <w:tcPr>
            <w:tcW w:w="1433" w:type="pct"/>
            <w:vAlign w:val="center"/>
          </w:tcPr>
          <w:p w14:paraId="07BED85B">
            <w:pPr>
              <w:spacing w:line="240" w:lineRule="exact"/>
              <w:rPr>
                <w:rFonts w:ascii="宋体" w:hAnsi="宋体"/>
                <w:b w:val="0"/>
                <w:szCs w:val="21"/>
              </w:rPr>
            </w:pPr>
            <w:r>
              <w:rPr>
                <w:rFonts w:hint="eastAsia" w:ascii="宋体" w:hAnsi="宋体"/>
                <w:b w:val="0"/>
                <w:szCs w:val="21"/>
              </w:rPr>
              <w:t>操作时用力过大</w:t>
            </w:r>
          </w:p>
        </w:tc>
        <w:tc>
          <w:tcPr>
            <w:tcW w:w="729" w:type="pct"/>
            <w:vAlign w:val="center"/>
          </w:tcPr>
          <w:p w14:paraId="3F7EC70B">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DA6BC5F">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00957E61">
            <w:pPr>
              <w:spacing w:line="240" w:lineRule="exact"/>
              <w:rPr>
                <w:rFonts w:ascii="宋体" w:hAnsi="宋体"/>
                <w:b w:val="0"/>
                <w:szCs w:val="21"/>
              </w:rPr>
            </w:pPr>
            <w:r>
              <w:rPr>
                <w:rFonts w:hint="eastAsia" w:ascii="宋体" w:hAnsi="宋体"/>
                <w:b w:val="0"/>
                <w:szCs w:val="21"/>
              </w:rPr>
              <w:t>轻缓、小心操作</w:t>
            </w:r>
          </w:p>
        </w:tc>
      </w:tr>
      <w:tr w14:paraId="4ACA3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2C2CA84">
            <w:pPr>
              <w:spacing w:line="240" w:lineRule="exact"/>
              <w:jc w:val="center"/>
              <w:rPr>
                <w:rFonts w:ascii="宋体" w:hAnsi="宋体"/>
                <w:b w:val="0"/>
                <w:szCs w:val="21"/>
              </w:rPr>
            </w:pPr>
          </w:p>
        </w:tc>
        <w:tc>
          <w:tcPr>
            <w:tcW w:w="450" w:type="pct"/>
            <w:vMerge w:val="continue"/>
            <w:vAlign w:val="center"/>
          </w:tcPr>
          <w:p w14:paraId="15E01896">
            <w:pPr>
              <w:spacing w:line="240" w:lineRule="exact"/>
              <w:jc w:val="center"/>
              <w:rPr>
                <w:rFonts w:ascii="宋体" w:hAnsi="宋体"/>
                <w:b w:val="0"/>
                <w:szCs w:val="21"/>
              </w:rPr>
            </w:pPr>
          </w:p>
        </w:tc>
        <w:tc>
          <w:tcPr>
            <w:tcW w:w="1433" w:type="pct"/>
            <w:vAlign w:val="center"/>
          </w:tcPr>
          <w:p w14:paraId="511BE990">
            <w:pPr>
              <w:spacing w:line="240" w:lineRule="exact"/>
              <w:rPr>
                <w:rFonts w:ascii="宋体" w:hAnsi="宋体"/>
                <w:b w:val="0"/>
                <w:szCs w:val="21"/>
              </w:rPr>
            </w:pPr>
            <w:r>
              <w:rPr>
                <w:rFonts w:hint="eastAsia" w:ascii="宋体" w:hAnsi="宋体"/>
                <w:b w:val="0"/>
                <w:szCs w:val="21"/>
              </w:rPr>
              <w:t>药物混入机械杂质</w:t>
            </w:r>
          </w:p>
        </w:tc>
        <w:tc>
          <w:tcPr>
            <w:tcW w:w="729" w:type="pct"/>
            <w:vAlign w:val="center"/>
          </w:tcPr>
          <w:p w14:paraId="36DC268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6C00F58">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0119832E">
            <w:pPr>
              <w:spacing w:line="240" w:lineRule="exact"/>
              <w:rPr>
                <w:rFonts w:ascii="宋体" w:hAnsi="宋体"/>
                <w:b w:val="0"/>
                <w:szCs w:val="21"/>
              </w:rPr>
            </w:pPr>
            <w:r>
              <w:rPr>
                <w:rFonts w:hint="eastAsia" w:ascii="宋体" w:hAnsi="宋体"/>
                <w:b w:val="0"/>
                <w:szCs w:val="21"/>
              </w:rPr>
              <w:t>按规程操作，防止杂质混入</w:t>
            </w:r>
          </w:p>
        </w:tc>
      </w:tr>
      <w:tr w14:paraId="749A8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ACE871C">
            <w:pPr>
              <w:spacing w:line="240" w:lineRule="exact"/>
              <w:jc w:val="center"/>
              <w:rPr>
                <w:rFonts w:ascii="宋体" w:hAnsi="宋体"/>
                <w:b w:val="0"/>
                <w:szCs w:val="21"/>
              </w:rPr>
            </w:pPr>
          </w:p>
        </w:tc>
        <w:tc>
          <w:tcPr>
            <w:tcW w:w="450" w:type="pct"/>
            <w:vMerge w:val="continue"/>
            <w:vAlign w:val="center"/>
          </w:tcPr>
          <w:p w14:paraId="70221057">
            <w:pPr>
              <w:spacing w:line="240" w:lineRule="exact"/>
              <w:jc w:val="center"/>
              <w:rPr>
                <w:rFonts w:ascii="宋体" w:hAnsi="宋体"/>
                <w:b w:val="0"/>
                <w:szCs w:val="21"/>
              </w:rPr>
            </w:pPr>
          </w:p>
        </w:tc>
        <w:tc>
          <w:tcPr>
            <w:tcW w:w="1433" w:type="pct"/>
            <w:vAlign w:val="center"/>
          </w:tcPr>
          <w:p w14:paraId="65D9CB45">
            <w:pPr>
              <w:spacing w:line="240" w:lineRule="exact"/>
              <w:rPr>
                <w:rFonts w:ascii="宋体" w:hAnsi="宋体"/>
                <w:b w:val="0"/>
                <w:szCs w:val="21"/>
              </w:rPr>
            </w:pPr>
            <w:r>
              <w:rPr>
                <w:rFonts w:hint="eastAsia" w:ascii="宋体" w:hAnsi="宋体"/>
                <w:b w:val="0"/>
                <w:szCs w:val="21"/>
              </w:rPr>
              <w:t>造粒机使用铁质等黑色金属工具</w:t>
            </w:r>
          </w:p>
        </w:tc>
        <w:tc>
          <w:tcPr>
            <w:tcW w:w="729" w:type="pct"/>
            <w:vAlign w:val="center"/>
          </w:tcPr>
          <w:p w14:paraId="6F580508">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EC6047C">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DA6D733">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41243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6D2C129">
            <w:pPr>
              <w:spacing w:line="240" w:lineRule="exact"/>
              <w:jc w:val="center"/>
              <w:rPr>
                <w:rFonts w:ascii="宋体" w:hAnsi="宋体"/>
                <w:b w:val="0"/>
                <w:szCs w:val="21"/>
              </w:rPr>
            </w:pPr>
          </w:p>
        </w:tc>
        <w:tc>
          <w:tcPr>
            <w:tcW w:w="450" w:type="pct"/>
            <w:vMerge w:val="continue"/>
            <w:vAlign w:val="center"/>
          </w:tcPr>
          <w:p w14:paraId="3E49227A">
            <w:pPr>
              <w:spacing w:line="240" w:lineRule="exact"/>
              <w:jc w:val="center"/>
              <w:rPr>
                <w:rFonts w:ascii="宋体" w:hAnsi="宋体"/>
                <w:b w:val="0"/>
                <w:szCs w:val="21"/>
              </w:rPr>
            </w:pPr>
          </w:p>
        </w:tc>
        <w:tc>
          <w:tcPr>
            <w:tcW w:w="1433" w:type="pct"/>
            <w:vAlign w:val="center"/>
          </w:tcPr>
          <w:p w14:paraId="16BC8155">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58BA59A4">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00DD88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E384E65">
            <w:pPr>
              <w:spacing w:line="240" w:lineRule="exact"/>
              <w:rPr>
                <w:rFonts w:ascii="宋体" w:hAnsi="宋体"/>
                <w:b w:val="0"/>
                <w:szCs w:val="21"/>
              </w:rPr>
            </w:pPr>
            <w:r>
              <w:rPr>
                <w:rFonts w:hint="eastAsia" w:ascii="宋体" w:hAnsi="宋体"/>
                <w:b w:val="0"/>
                <w:szCs w:val="21"/>
              </w:rPr>
              <w:t>使用铜、铝、木、竹材质制作的操作工器具</w:t>
            </w:r>
          </w:p>
        </w:tc>
      </w:tr>
      <w:tr w14:paraId="31280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5771925">
            <w:pPr>
              <w:spacing w:line="240" w:lineRule="exact"/>
              <w:jc w:val="center"/>
              <w:rPr>
                <w:rFonts w:ascii="宋体" w:hAnsi="宋体"/>
                <w:b w:val="0"/>
                <w:szCs w:val="21"/>
              </w:rPr>
            </w:pPr>
          </w:p>
        </w:tc>
        <w:tc>
          <w:tcPr>
            <w:tcW w:w="450" w:type="pct"/>
            <w:vMerge w:val="continue"/>
            <w:vAlign w:val="center"/>
          </w:tcPr>
          <w:p w14:paraId="650C6B5E">
            <w:pPr>
              <w:spacing w:line="240" w:lineRule="exact"/>
              <w:jc w:val="center"/>
              <w:rPr>
                <w:rFonts w:ascii="宋体" w:hAnsi="宋体"/>
                <w:b w:val="0"/>
                <w:szCs w:val="21"/>
              </w:rPr>
            </w:pPr>
          </w:p>
        </w:tc>
        <w:tc>
          <w:tcPr>
            <w:tcW w:w="1433" w:type="pct"/>
            <w:vAlign w:val="center"/>
          </w:tcPr>
          <w:p w14:paraId="287FE791">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4DE3672A">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7F986A8">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AAFB10D">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0F2CE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7AC1A8A">
            <w:pPr>
              <w:spacing w:line="240" w:lineRule="exact"/>
              <w:jc w:val="center"/>
              <w:rPr>
                <w:rFonts w:ascii="宋体" w:hAnsi="宋体"/>
                <w:b w:val="0"/>
                <w:szCs w:val="21"/>
              </w:rPr>
            </w:pPr>
          </w:p>
        </w:tc>
        <w:tc>
          <w:tcPr>
            <w:tcW w:w="450" w:type="pct"/>
            <w:vMerge w:val="continue"/>
            <w:vAlign w:val="center"/>
          </w:tcPr>
          <w:p w14:paraId="5083019D">
            <w:pPr>
              <w:spacing w:line="240" w:lineRule="exact"/>
              <w:jc w:val="center"/>
              <w:rPr>
                <w:rFonts w:ascii="宋体" w:hAnsi="宋体"/>
                <w:b w:val="0"/>
                <w:szCs w:val="21"/>
              </w:rPr>
            </w:pPr>
          </w:p>
        </w:tc>
        <w:tc>
          <w:tcPr>
            <w:tcW w:w="1433" w:type="pct"/>
            <w:vAlign w:val="center"/>
          </w:tcPr>
          <w:p w14:paraId="4CE1C9F0">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0D0CD73B">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0A99A25">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58B619F">
            <w:pPr>
              <w:spacing w:line="240" w:lineRule="exact"/>
              <w:rPr>
                <w:rFonts w:ascii="宋体" w:hAnsi="宋体"/>
                <w:b w:val="0"/>
                <w:szCs w:val="21"/>
              </w:rPr>
            </w:pPr>
            <w:r>
              <w:rPr>
                <w:rFonts w:hint="eastAsia" w:ascii="宋体" w:hAnsi="宋体"/>
                <w:b w:val="0"/>
                <w:szCs w:val="21"/>
              </w:rPr>
              <w:t>及时清洗地面</w:t>
            </w:r>
          </w:p>
        </w:tc>
      </w:tr>
      <w:tr w14:paraId="6E6D4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8595151">
            <w:pPr>
              <w:spacing w:line="240" w:lineRule="exact"/>
              <w:jc w:val="center"/>
              <w:rPr>
                <w:rFonts w:ascii="宋体" w:hAnsi="宋体"/>
                <w:b w:val="0"/>
                <w:szCs w:val="21"/>
              </w:rPr>
            </w:pPr>
          </w:p>
        </w:tc>
        <w:tc>
          <w:tcPr>
            <w:tcW w:w="450" w:type="pct"/>
            <w:vMerge w:val="continue"/>
            <w:vAlign w:val="center"/>
          </w:tcPr>
          <w:p w14:paraId="25916BFD">
            <w:pPr>
              <w:spacing w:line="240" w:lineRule="exact"/>
              <w:jc w:val="center"/>
              <w:rPr>
                <w:rFonts w:ascii="宋体" w:hAnsi="宋体"/>
                <w:b w:val="0"/>
                <w:szCs w:val="21"/>
              </w:rPr>
            </w:pPr>
          </w:p>
        </w:tc>
        <w:tc>
          <w:tcPr>
            <w:tcW w:w="1433" w:type="pct"/>
            <w:vAlign w:val="center"/>
          </w:tcPr>
          <w:p w14:paraId="56E8A166">
            <w:pPr>
              <w:spacing w:line="240" w:lineRule="exact"/>
              <w:rPr>
                <w:rFonts w:ascii="宋体" w:hAnsi="宋体"/>
                <w:b w:val="0"/>
                <w:szCs w:val="21"/>
              </w:rPr>
            </w:pPr>
            <w:r>
              <w:rPr>
                <w:rFonts w:hint="eastAsia" w:ascii="宋体" w:hAnsi="宋体"/>
                <w:b w:val="0"/>
                <w:szCs w:val="21"/>
              </w:rPr>
              <w:t>电气线路因破损、过载、短路等故障导致的高温、电火花</w:t>
            </w:r>
          </w:p>
        </w:tc>
        <w:tc>
          <w:tcPr>
            <w:tcW w:w="729" w:type="pct"/>
            <w:vAlign w:val="center"/>
          </w:tcPr>
          <w:p w14:paraId="3584B3C0">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EF0A398">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30C0C5B4">
            <w:pPr>
              <w:spacing w:line="240" w:lineRule="exact"/>
              <w:rPr>
                <w:rFonts w:ascii="宋体" w:hAnsi="宋体"/>
                <w:b w:val="0"/>
                <w:szCs w:val="21"/>
              </w:rPr>
            </w:pPr>
            <w:r>
              <w:rPr>
                <w:rFonts w:hint="eastAsia" w:ascii="宋体" w:hAnsi="宋体"/>
                <w:b w:val="0"/>
                <w:szCs w:val="21"/>
              </w:rPr>
              <w:t>线路穿管保护，设置过载保护装置</w:t>
            </w:r>
          </w:p>
        </w:tc>
      </w:tr>
      <w:tr w14:paraId="71921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718EEC70">
            <w:pPr>
              <w:spacing w:line="240" w:lineRule="exact"/>
              <w:jc w:val="center"/>
              <w:rPr>
                <w:rFonts w:ascii="宋体" w:hAnsi="宋体"/>
                <w:b w:val="0"/>
                <w:szCs w:val="21"/>
              </w:rPr>
            </w:pPr>
          </w:p>
        </w:tc>
        <w:tc>
          <w:tcPr>
            <w:tcW w:w="450" w:type="pct"/>
            <w:vMerge w:val="continue"/>
            <w:vAlign w:val="center"/>
          </w:tcPr>
          <w:p w14:paraId="13116A38">
            <w:pPr>
              <w:spacing w:line="240" w:lineRule="exact"/>
              <w:jc w:val="center"/>
              <w:rPr>
                <w:rFonts w:ascii="宋体" w:hAnsi="宋体"/>
                <w:b w:val="0"/>
                <w:szCs w:val="21"/>
              </w:rPr>
            </w:pPr>
          </w:p>
        </w:tc>
        <w:tc>
          <w:tcPr>
            <w:tcW w:w="1433" w:type="pct"/>
            <w:vAlign w:val="center"/>
          </w:tcPr>
          <w:p w14:paraId="1E249E9E">
            <w:pPr>
              <w:spacing w:line="240" w:lineRule="exact"/>
              <w:rPr>
                <w:rFonts w:ascii="宋体" w:hAnsi="宋体"/>
                <w:b w:val="0"/>
                <w:szCs w:val="21"/>
              </w:rPr>
            </w:pPr>
            <w:r>
              <w:rPr>
                <w:rFonts w:hint="eastAsia" w:ascii="宋体" w:hAnsi="宋体"/>
                <w:b w:val="0"/>
                <w:szCs w:val="21"/>
              </w:rPr>
              <w:t>不防爆电机未隔墙设置</w:t>
            </w:r>
          </w:p>
        </w:tc>
        <w:tc>
          <w:tcPr>
            <w:tcW w:w="729" w:type="pct"/>
            <w:vAlign w:val="center"/>
          </w:tcPr>
          <w:p w14:paraId="7DE5D6A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569D5C2">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783A59C0">
            <w:pPr>
              <w:spacing w:line="240" w:lineRule="exact"/>
              <w:rPr>
                <w:rFonts w:ascii="宋体" w:hAnsi="宋体"/>
                <w:b w:val="0"/>
                <w:szCs w:val="21"/>
              </w:rPr>
            </w:pPr>
            <w:r>
              <w:rPr>
                <w:rFonts w:hint="eastAsia" w:ascii="宋体" w:hAnsi="宋体"/>
                <w:b w:val="0"/>
                <w:szCs w:val="21"/>
              </w:rPr>
              <w:t>不防爆机隔墙设置，传动孔封闭严实</w:t>
            </w:r>
          </w:p>
        </w:tc>
      </w:tr>
      <w:tr w14:paraId="46E26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0CCA9845">
            <w:pPr>
              <w:spacing w:line="240" w:lineRule="exact"/>
              <w:jc w:val="center"/>
              <w:rPr>
                <w:rFonts w:ascii="宋体" w:hAnsi="宋体"/>
                <w:b w:val="0"/>
                <w:szCs w:val="21"/>
              </w:rPr>
            </w:pPr>
          </w:p>
        </w:tc>
        <w:tc>
          <w:tcPr>
            <w:tcW w:w="450" w:type="pct"/>
            <w:vMerge w:val="continue"/>
            <w:vAlign w:val="center"/>
          </w:tcPr>
          <w:p w14:paraId="534051AD">
            <w:pPr>
              <w:spacing w:line="240" w:lineRule="exact"/>
              <w:jc w:val="center"/>
              <w:rPr>
                <w:rFonts w:ascii="宋体" w:hAnsi="宋体"/>
                <w:b w:val="0"/>
                <w:szCs w:val="21"/>
              </w:rPr>
            </w:pPr>
          </w:p>
        </w:tc>
        <w:tc>
          <w:tcPr>
            <w:tcW w:w="1433" w:type="pct"/>
            <w:vAlign w:val="center"/>
          </w:tcPr>
          <w:p w14:paraId="658A460B">
            <w:pPr>
              <w:spacing w:line="240" w:lineRule="exact"/>
              <w:rPr>
                <w:rFonts w:ascii="宋体" w:hAnsi="宋体"/>
                <w:b w:val="0"/>
                <w:szCs w:val="21"/>
              </w:rPr>
            </w:pPr>
            <w:r>
              <w:rPr>
                <w:rFonts w:hint="eastAsia" w:ascii="宋体" w:hAnsi="宋体"/>
                <w:b w:val="0"/>
                <w:szCs w:val="21"/>
              </w:rPr>
              <w:t>造粒机无接地或接地不良</w:t>
            </w:r>
          </w:p>
        </w:tc>
        <w:tc>
          <w:tcPr>
            <w:tcW w:w="729" w:type="pct"/>
            <w:vAlign w:val="center"/>
          </w:tcPr>
          <w:p w14:paraId="04ADF8E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1336947">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4C5A7FB7">
            <w:pPr>
              <w:spacing w:line="240" w:lineRule="exact"/>
              <w:rPr>
                <w:rFonts w:ascii="宋体" w:hAnsi="宋体"/>
                <w:b w:val="0"/>
                <w:szCs w:val="21"/>
              </w:rPr>
            </w:pPr>
            <w:r>
              <w:rPr>
                <w:rFonts w:hint="eastAsia" w:ascii="宋体" w:hAnsi="宋体"/>
                <w:b w:val="0"/>
                <w:szCs w:val="21"/>
              </w:rPr>
              <w:t>造粒机须妥善接地，并定期检测</w:t>
            </w:r>
          </w:p>
        </w:tc>
      </w:tr>
      <w:tr w14:paraId="48BFFD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77C11704">
            <w:pPr>
              <w:spacing w:line="240" w:lineRule="exact"/>
              <w:jc w:val="center"/>
              <w:rPr>
                <w:rFonts w:ascii="宋体" w:hAnsi="宋体"/>
                <w:b w:val="0"/>
                <w:szCs w:val="21"/>
              </w:rPr>
            </w:pPr>
          </w:p>
        </w:tc>
        <w:tc>
          <w:tcPr>
            <w:tcW w:w="450" w:type="pct"/>
            <w:vMerge w:val="continue"/>
            <w:vAlign w:val="center"/>
          </w:tcPr>
          <w:p w14:paraId="459CFA46">
            <w:pPr>
              <w:spacing w:line="240" w:lineRule="exact"/>
              <w:jc w:val="center"/>
              <w:rPr>
                <w:rFonts w:ascii="宋体" w:hAnsi="宋体"/>
                <w:b w:val="0"/>
                <w:szCs w:val="21"/>
              </w:rPr>
            </w:pPr>
          </w:p>
        </w:tc>
        <w:tc>
          <w:tcPr>
            <w:tcW w:w="1433" w:type="pct"/>
            <w:vAlign w:val="center"/>
          </w:tcPr>
          <w:p w14:paraId="323A3928">
            <w:pPr>
              <w:spacing w:line="240" w:lineRule="exact"/>
              <w:rPr>
                <w:rFonts w:ascii="宋体" w:hAnsi="宋体"/>
                <w:b w:val="0"/>
                <w:szCs w:val="21"/>
              </w:rPr>
            </w:pPr>
            <w:r>
              <w:rPr>
                <w:rFonts w:hint="eastAsia" w:ascii="宋体" w:hAnsi="宋体"/>
                <w:b w:val="0"/>
                <w:szCs w:val="21"/>
              </w:rPr>
              <w:t>超药物限量操作或没有及时中转</w:t>
            </w:r>
          </w:p>
        </w:tc>
        <w:tc>
          <w:tcPr>
            <w:tcW w:w="729" w:type="pct"/>
            <w:vAlign w:val="center"/>
          </w:tcPr>
          <w:p w14:paraId="7EAF7251">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BC195DF">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3C9F5D02">
            <w:pPr>
              <w:spacing w:line="240" w:lineRule="exact"/>
              <w:rPr>
                <w:rFonts w:ascii="宋体" w:hAnsi="宋体"/>
                <w:b w:val="0"/>
                <w:szCs w:val="21"/>
              </w:rPr>
            </w:pPr>
            <w:r>
              <w:rPr>
                <w:rFonts w:hint="eastAsia" w:ascii="宋体" w:hAnsi="宋体"/>
                <w:b w:val="0"/>
                <w:szCs w:val="21"/>
              </w:rPr>
              <w:t>严禁超量生产，生产好的药物及时中转</w:t>
            </w:r>
          </w:p>
        </w:tc>
      </w:tr>
      <w:tr w14:paraId="2031D6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085EA7F2">
            <w:pPr>
              <w:spacing w:line="240" w:lineRule="exact"/>
              <w:jc w:val="center"/>
              <w:rPr>
                <w:rFonts w:ascii="宋体" w:hAnsi="宋体"/>
                <w:b w:val="0"/>
                <w:szCs w:val="21"/>
              </w:rPr>
            </w:pPr>
          </w:p>
        </w:tc>
        <w:tc>
          <w:tcPr>
            <w:tcW w:w="450" w:type="pct"/>
            <w:vMerge w:val="continue"/>
            <w:vAlign w:val="center"/>
          </w:tcPr>
          <w:p w14:paraId="325D90EF">
            <w:pPr>
              <w:spacing w:line="240" w:lineRule="exact"/>
              <w:jc w:val="center"/>
              <w:rPr>
                <w:rFonts w:ascii="宋体" w:hAnsi="宋体"/>
                <w:b w:val="0"/>
                <w:szCs w:val="21"/>
              </w:rPr>
            </w:pPr>
          </w:p>
        </w:tc>
        <w:tc>
          <w:tcPr>
            <w:tcW w:w="1433" w:type="pct"/>
            <w:vAlign w:val="center"/>
          </w:tcPr>
          <w:p w14:paraId="4A8DE622">
            <w:pPr>
              <w:spacing w:line="240" w:lineRule="exact"/>
              <w:rPr>
                <w:rFonts w:ascii="宋体" w:hAnsi="宋体"/>
                <w:b w:val="0"/>
                <w:szCs w:val="21"/>
              </w:rPr>
            </w:pPr>
            <w:r>
              <w:rPr>
                <w:rFonts w:hint="eastAsia" w:ascii="宋体" w:hAnsi="宋体"/>
                <w:b w:val="0"/>
                <w:szCs w:val="21"/>
              </w:rPr>
              <w:t>操作错误、失误</w:t>
            </w:r>
          </w:p>
        </w:tc>
        <w:tc>
          <w:tcPr>
            <w:tcW w:w="729" w:type="pct"/>
            <w:vAlign w:val="center"/>
          </w:tcPr>
          <w:p w14:paraId="40C280DD">
            <w:pPr>
              <w:spacing w:line="240" w:lineRule="exact"/>
              <w:jc w:val="left"/>
              <w:rPr>
                <w:rFonts w:ascii="宋体" w:hAnsi="宋体"/>
                <w:b w:val="0"/>
                <w:szCs w:val="21"/>
              </w:rPr>
            </w:pPr>
            <w:r>
              <w:rPr>
                <w:rFonts w:hint="eastAsia" w:ascii="宋体" w:hAnsi="宋体"/>
                <w:b w:val="0"/>
                <w:szCs w:val="21"/>
              </w:rPr>
              <w:t>机械致害</w:t>
            </w:r>
          </w:p>
        </w:tc>
        <w:tc>
          <w:tcPr>
            <w:tcW w:w="443" w:type="pct"/>
            <w:vAlign w:val="center"/>
          </w:tcPr>
          <w:p w14:paraId="00D68850">
            <w:pPr>
              <w:spacing w:line="240" w:lineRule="exact"/>
              <w:jc w:val="center"/>
              <w:rPr>
                <w:rFonts w:ascii="宋体" w:hAnsi="宋体" w:cs="宋体"/>
                <w:b w:val="0"/>
                <w:szCs w:val="21"/>
              </w:rPr>
            </w:pPr>
            <w:r>
              <w:rPr>
                <w:rFonts w:hint="eastAsia" w:ascii="宋体" w:hAnsi="宋体" w:cs="宋体"/>
                <w:b w:val="0"/>
                <w:szCs w:val="21"/>
              </w:rPr>
              <w:t>Ⅱ</w:t>
            </w:r>
          </w:p>
        </w:tc>
        <w:tc>
          <w:tcPr>
            <w:tcW w:w="1694" w:type="pct"/>
            <w:vAlign w:val="center"/>
          </w:tcPr>
          <w:p w14:paraId="4138195D">
            <w:pPr>
              <w:spacing w:line="240" w:lineRule="exact"/>
              <w:rPr>
                <w:rFonts w:ascii="宋体" w:hAnsi="宋体"/>
                <w:b w:val="0"/>
                <w:szCs w:val="21"/>
              </w:rPr>
            </w:pPr>
            <w:r>
              <w:rPr>
                <w:rFonts w:hint="eastAsia" w:ascii="宋体" w:hAnsi="宋体"/>
                <w:b w:val="0"/>
                <w:szCs w:val="21"/>
              </w:rPr>
              <w:t>严格按规程操作</w:t>
            </w:r>
          </w:p>
        </w:tc>
      </w:tr>
      <w:tr w14:paraId="20655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32FA4B7D">
            <w:pPr>
              <w:spacing w:line="240" w:lineRule="exact"/>
              <w:jc w:val="center"/>
              <w:rPr>
                <w:rFonts w:ascii="宋体" w:hAnsi="宋体"/>
                <w:b w:val="0"/>
                <w:szCs w:val="21"/>
              </w:rPr>
            </w:pPr>
          </w:p>
        </w:tc>
        <w:tc>
          <w:tcPr>
            <w:tcW w:w="450" w:type="pct"/>
            <w:vMerge w:val="continue"/>
            <w:vAlign w:val="center"/>
          </w:tcPr>
          <w:p w14:paraId="472EC4BD">
            <w:pPr>
              <w:spacing w:line="240" w:lineRule="exact"/>
              <w:jc w:val="center"/>
              <w:rPr>
                <w:rFonts w:ascii="宋体" w:hAnsi="宋体"/>
                <w:b w:val="0"/>
                <w:szCs w:val="21"/>
              </w:rPr>
            </w:pPr>
          </w:p>
        </w:tc>
        <w:tc>
          <w:tcPr>
            <w:tcW w:w="1433" w:type="pct"/>
            <w:vAlign w:val="center"/>
          </w:tcPr>
          <w:p w14:paraId="683E67B1">
            <w:pPr>
              <w:spacing w:line="240" w:lineRule="exact"/>
              <w:rPr>
                <w:rFonts w:ascii="宋体" w:hAnsi="宋体"/>
                <w:b w:val="0"/>
                <w:szCs w:val="21"/>
              </w:rPr>
            </w:pPr>
            <w:r>
              <w:rPr>
                <w:rFonts w:hint="eastAsia" w:ascii="宋体" w:hAnsi="宋体"/>
                <w:b w:val="0"/>
                <w:szCs w:val="21"/>
              </w:rPr>
              <w:t>操作工无个体防护用品或个体防护用品使用不当</w:t>
            </w:r>
          </w:p>
        </w:tc>
        <w:tc>
          <w:tcPr>
            <w:tcW w:w="729" w:type="pct"/>
            <w:vAlign w:val="center"/>
          </w:tcPr>
          <w:p w14:paraId="3D1CD3C2">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15F486E1">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60E73190">
            <w:pPr>
              <w:spacing w:line="240" w:lineRule="exact"/>
              <w:rPr>
                <w:rFonts w:ascii="宋体" w:hAnsi="宋体"/>
                <w:b w:val="0"/>
                <w:szCs w:val="21"/>
              </w:rPr>
            </w:pPr>
            <w:r>
              <w:rPr>
                <w:rFonts w:hint="eastAsia" w:ascii="宋体" w:hAnsi="宋体"/>
                <w:b w:val="0"/>
                <w:szCs w:val="21"/>
              </w:rPr>
              <w:t>按照规定穿戴好口罩、工作服等个人防护用品</w:t>
            </w:r>
          </w:p>
        </w:tc>
      </w:tr>
      <w:tr w14:paraId="3E579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6B526285">
            <w:pPr>
              <w:spacing w:line="240" w:lineRule="exact"/>
              <w:jc w:val="center"/>
              <w:rPr>
                <w:rFonts w:ascii="宋体" w:hAnsi="宋体"/>
                <w:b w:val="0"/>
                <w:szCs w:val="21"/>
              </w:rPr>
            </w:pPr>
            <w:r>
              <w:rPr>
                <w:rFonts w:hint="eastAsia" w:ascii="宋体" w:hAnsi="宋体"/>
                <w:b w:val="0"/>
                <w:szCs w:val="21"/>
              </w:rPr>
              <w:t>8</w:t>
            </w:r>
          </w:p>
        </w:tc>
        <w:tc>
          <w:tcPr>
            <w:tcW w:w="450" w:type="pct"/>
            <w:vMerge w:val="restart"/>
            <w:vAlign w:val="center"/>
          </w:tcPr>
          <w:p w14:paraId="529A8393">
            <w:pPr>
              <w:spacing w:line="240" w:lineRule="exact"/>
              <w:jc w:val="center"/>
              <w:rPr>
                <w:rFonts w:ascii="宋体" w:hAnsi="宋体"/>
                <w:b w:val="0"/>
                <w:szCs w:val="21"/>
              </w:rPr>
            </w:pPr>
            <w:r>
              <w:rPr>
                <w:rFonts w:hint="eastAsia" w:ascii="宋体" w:hAnsi="宋体"/>
                <w:b w:val="0"/>
                <w:szCs w:val="21"/>
              </w:rPr>
              <w:t>抛光</w:t>
            </w:r>
          </w:p>
        </w:tc>
        <w:tc>
          <w:tcPr>
            <w:tcW w:w="1433" w:type="pct"/>
            <w:vAlign w:val="center"/>
          </w:tcPr>
          <w:p w14:paraId="0CB6709A">
            <w:pPr>
              <w:spacing w:line="240" w:lineRule="exact"/>
              <w:rPr>
                <w:rFonts w:ascii="宋体" w:hAnsi="宋体"/>
                <w:b w:val="0"/>
                <w:szCs w:val="21"/>
              </w:rPr>
            </w:pPr>
            <w:r>
              <w:rPr>
                <w:rFonts w:hint="eastAsia" w:ascii="宋体" w:hAnsi="宋体"/>
                <w:b w:val="0"/>
                <w:szCs w:val="21"/>
              </w:rPr>
              <w:t>药物混入机械杂质</w:t>
            </w:r>
          </w:p>
        </w:tc>
        <w:tc>
          <w:tcPr>
            <w:tcW w:w="729" w:type="pct"/>
            <w:vAlign w:val="center"/>
          </w:tcPr>
          <w:p w14:paraId="4E0A8163">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4128AB6">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56601021">
            <w:pPr>
              <w:spacing w:line="240" w:lineRule="exact"/>
              <w:rPr>
                <w:rFonts w:ascii="宋体" w:hAnsi="宋体"/>
                <w:b w:val="0"/>
                <w:szCs w:val="21"/>
              </w:rPr>
            </w:pPr>
            <w:r>
              <w:rPr>
                <w:rFonts w:hint="eastAsia" w:ascii="宋体" w:hAnsi="宋体"/>
                <w:b w:val="0"/>
                <w:szCs w:val="21"/>
              </w:rPr>
              <w:t>按规程操作，防止杂质混入</w:t>
            </w:r>
          </w:p>
        </w:tc>
      </w:tr>
      <w:tr w14:paraId="302F3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1FC25F2">
            <w:pPr>
              <w:spacing w:line="240" w:lineRule="exact"/>
              <w:jc w:val="center"/>
              <w:rPr>
                <w:rFonts w:ascii="宋体" w:hAnsi="宋体"/>
                <w:b w:val="0"/>
                <w:szCs w:val="21"/>
              </w:rPr>
            </w:pPr>
          </w:p>
        </w:tc>
        <w:tc>
          <w:tcPr>
            <w:tcW w:w="450" w:type="pct"/>
            <w:vMerge w:val="continue"/>
            <w:vAlign w:val="center"/>
          </w:tcPr>
          <w:p w14:paraId="0148968D">
            <w:pPr>
              <w:spacing w:line="240" w:lineRule="exact"/>
              <w:jc w:val="center"/>
              <w:rPr>
                <w:rFonts w:ascii="宋体" w:hAnsi="宋体"/>
                <w:b w:val="0"/>
                <w:szCs w:val="21"/>
              </w:rPr>
            </w:pPr>
          </w:p>
        </w:tc>
        <w:tc>
          <w:tcPr>
            <w:tcW w:w="1433" w:type="pct"/>
            <w:vAlign w:val="center"/>
          </w:tcPr>
          <w:p w14:paraId="58C44656">
            <w:pPr>
              <w:spacing w:line="240" w:lineRule="exact"/>
              <w:rPr>
                <w:rFonts w:ascii="宋体" w:hAnsi="宋体"/>
                <w:b w:val="0"/>
                <w:szCs w:val="21"/>
              </w:rPr>
            </w:pPr>
            <w:r>
              <w:rPr>
                <w:rFonts w:hint="eastAsia" w:ascii="宋体" w:hAnsi="宋体"/>
                <w:b w:val="0"/>
                <w:szCs w:val="21"/>
              </w:rPr>
              <w:t>抛光机使用铁质等黑色金属工具</w:t>
            </w:r>
          </w:p>
        </w:tc>
        <w:tc>
          <w:tcPr>
            <w:tcW w:w="729" w:type="pct"/>
            <w:vAlign w:val="center"/>
          </w:tcPr>
          <w:p w14:paraId="7CCB2409">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8326DED">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1AFCBED">
            <w:pPr>
              <w:spacing w:line="240" w:lineRule="exact"/>
              <w:rPr>
                <w:rFonts w:ascii="宋体" w:hAnsi="宋体"/>
                <w:b w:val="0"/>
                <w:szCs w:val="21"/>
              </w:rPr>
            </w:pPr>
            <w:r>
              <w:rPr>
                <w:rFonts w:hint="eastAsia" w:ascii="宋体" w:hAnsi="宋体"/>
                <w:b w:val="0"/>
                <w:szCs w:val="21"/>
              </w:rPr>
              <w:t>禁止使用</w:t>
            </w:r>
            <w:r>
              <w:rPr>
                <w:rFonts w:hint="eastAsia" w:ascii="宋体" w:hAnsi="宋体"/>
                <w:b w:val="0"/>
                <w:bCs/>
                <w:szCs w:val="21"/>
              </w:rPr>
              <w:t>黑色金属工具</w:t>
            </w:r>
          </w:p>
        </w:tc>
      </w:tr>
      <w:tr w14:paraId="1F373148">
        <w:tblPrEx>
          <w:tblCellMar>
            <w:top w:w="0" w:type="dxa"/>
            <w:left w:w="108" w:type="dxa"/>
            <w:bottom w:w="0" w:type="dxa"/>
            <w:right w:w="108" w:type="dxa"/>
          </w:tblCellMar>
        </w:tblPrEx>
        <w:trPr>
          <w:trHeight w:val="503" w:hRule="atLeast"/>
        </w:trPr>
        <w:tc>
          <w:tcPr>
            <w:tcW w:w="251" w:type="pct"/>
            <w:vMerge w:val="continue"/>
            <w:vAlign w:val="center"/>
          </w:tcPr>
          <w:p w14:paraId="1D7B3213">
            <w:pPr>
              <w:spacing w:line="240" w:lineRule="exact"/>
              <w:jc w:val="center"/>
              <w:rPr>
                <w:rFonts w:ascii="宋体" w:hAnsi="宋体"/>
                <w:b w:val="0"/>
                <w:szCs w:val="21"/>
              </w:rPr>
            </w:pPr>
          </w:p>
        </w:tc>
        <w:tc>
          <w:tcPr>
            <w:tcW w:w="450" w:type="pct"/>
            <w:vMerge w:val="continue"/>
            <w:vAlign w:val="center"/>
          </w:tcPr>
          <w:p w14:paraId="1A3CB9E7">
            <w:pPr>
              <w:spacing w:line="240" w:lineRule="exact"/>
              <w:jc w:val="center"/>
              <w:rPr>
                <w:rFonts w:ascii="宋体" w:hAnsi="宋体"/>
                <w:b w:val="0"/>
                <w:szCs w:val="21"/>
              </w:rPr>
            </w:pPr>
          </w:p>
        </w:tc>
        <w:tc>
          <w:tcPr>
            <w:tcW w:w="1433" w:type="pct"/>
            <w:vAlign w:val="center"/>
          </w:tcPr>
          <w:p w14:paraId="26B492D5">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7871CCE4">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0CE4D0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56DC54F">
            <w:pPr>
              <w:spacing w:line="240" w:lineRule="exact"/>
              <w:rPr>
                <w:rFonts w:ascii="宋体" w:hAnsi="宋体"/>
                <w:b w:val="0"/>
                <w:szCs w:val="21"/>
              </w:rPr>
            </w:pPr>
            <w:r>
              <w:rPr>
                <w:rFonts w:hint="eastAsia" w:ascii="宋体" w:hAnsi="宋体"/>
                <w:b w:val="0"/>
                <w:szCs w:val="21"/>
              </w:rPr>
              <w:t>使用铜、铝、木、竹材质制作的操作工器具</w:t>
            </w:r>
          </w:p>
        </w:tc>
      </w:tr>
      <w:tr w14:paraId="35688F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36A58DF">
            <w:pPr>
              <w:spacing w:line="240" w:lineRule="exact"/>
              <w:jc w:val="center"/>
              <w:rPr>
                <w:rFonts w:ascii="宋体" w:hAnsi="宋体"/>
                <w:b w:val="0"/>
                <w:szCs w:val="21"/>
              </w:rPr>
            </w:pPr>
          </w:p>
        </w:tc>
        <w:tc>
          <w:tcPr>
            <w:tcW w:w="450" w:type="pct"/>
            <w:vMerge w:val="continue"/>
            <w:vAlign w:val="center"/>
          </w:tcPr>
          <w:p w14:paraId="41E021F4">
            <w:pPr>
              <w:spacing w:line="240" w:lineRule="exact"/>
              <w:jc w:val="center"/>
              <w:rPr>
                <w:rFonts w:ascii="宋体" w:hAnsi="宋体"/>
                <w:b w:val="0"/>
                <w:szCs w:val="21"/>
              </w:rPr>
            </w:pPr>
          </w:p>
        </w:tc>
        <w:tc>
          <w:tcPr>
            <w:tcW w:w="1433" w:type="pct"/>
            <w:vAlign w:val="center"/>
          </w:tcPr>
          <w:p w14:paraId="4E83574B">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1FB8C74B">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EC24311">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4D93AD34">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6B8BE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0752A217">
            <w:pPr>
              <w:spacing w:line="240" w:lineRule="exact"/>
              <w:jc w:val="center"/>
              <w:rPr>
                <w:rFonts w:ascii="宋体" w:hAnsi="宋体"/>
                <w:b w:val="0"/>
                <w:szCs w:val="21"/>
              </w:rPr>
            </w:pPr>
          </w:p>
        </w:tc>
        <w:tc>
          <w:tcPr>
            <w:tcW w:w="450" w:type="pct"/>
            <w:vMerge w:val="continue"/>
            <w:vAlign w:val="center"/>
          </w:tcPr>
          <w:p w14:paraId="0820F1E6">
            <w:pPr>
              <w:spacing w:line="240" w:lineRule="exact"/>
              <w:jc w:val="center"/>
              <w:rPr>
                <w:rFonts w:ascii="宋体" w:hAnsi="宋体"/>
                <w:b w:val="0"/>
                <w:szCs w:val="21"/>
              </w:rPr>
            </w:pPr>
          </w:p>
        </w:tc>
        <w:tc>
          <w:tcPr>
            <w:tcW w:w="1433" w:type="pct"/>
            <w:vAlign w:val="center"/>
          </w:tcPr>
          <w:p w14:paraId="72ECB81A">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7E5FBC7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9CD5D1F">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167A43E8">
            <w:pPr>
              <w:spacing w:line="240" w:lineRule="exact"/>
              <w:rPr>
                <w:rFonts w:ascii="宋体" w:hAnsi="宋体"/>
                <w:b w:val="0"/>
                <w:szCs w:val="21"/>
              </w:rPr>
            </w:pPr>
            <w:r>
              <w:rPr>
                <w:rFonts w:hint="eastAsia" w:ascii="宋体" w:hAnsi="宋体"/>
                <w:b w:val="0"/>
                <w:szCs w:val="21"/>
              </w:rPr>
              <w:t>及时清洗地面</w:t>
            </w:r>
          </w:p>
        </w:tc>
      </w:tr>
      <w:tr w14:paraId="6F86E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71113168">
            <w:pPr>
              <w:spacing w:line="240" w:lineRule="exact"/>
              <w:jc w:val="center"/>
              <w:rPr>
                <w:rFonts w:ascii="宋体" w:hAnsi="宋体"/>
                <w:b w:val="0"/>
                <w:szCs w:val="21"/>
              </w:rPr>
            </w:pPr>
          </w:p>
        </w:tc>
        <w:tc>
          <w:tcPr>
            <w:tcW w:w="450" w:type="pct"/>
            <w:vMerge w:val="continue"/>
            <w:vAlign w:val="center"/>
          </w:tcPr>
          <w:p w14:paraId="3BA168D4">
            <w:pPr>
              <w:spacing w:line="240" w:lineRule="exact"/>
              <w:jc w:val="center"/>
              <w:rPr>
                <w:rFonts w:ascii="宋体" w:hAnsi="宋体"/>
                <w:b w:val="0"/>
                <w:szCs w:val="21"/>
              </w:rPr>
            </w:pPr>
          </w:p>
        </w:tc>
        <w:tc>
          <w:tcPr>
            <w:tcW w:w="1433" w:type="pct"/>
            <w:vAlign w:val="center"/>
          </w:tcPr>
          <w:p w14:paraId="3A3F6535">
            <w:pPr>
              <w:spacing w:line="240" w:lineRule="exact"/>
              <w:rPr>
                <w:rFonts w:ascii="宋体" w:hAnsi="宋体"/>
                <w:b w:val="0"/>
                <w:szCs w:val="21"/>
              </w:rPr>
            </w:pPr>
            <w:r>
              <w:rPr>
                <w:rFonts w:hint="eastAsia" w:ascii="宋体" w:hAnsi="宋体"/>
                <w:b w:val="0"/>
                <w:szCs w:val="21"/>
              </w:rPr>
              <w:t>电气线路因破损、过载、短路等故障导致的高温、电火花</w:t>
            </w:r>
          </w:p>
        </w:tc>
        <w:tc>
          <w:tcPr>
            <w:tcW w:w="729" w:type="pct"/>
            <w:vAlign w:val="center"/>
          </w:tcPr>
          <w:p w14:paraId="2D1A7414">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6AE3E43A">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43B7716B">
            <w:pPr>
              <w:spacing w:line="240" w:lineRule="exact"/>
              <w:rPr>
                <w:rFonts w:ascii="宋体" w:hAnsi="宋体"/>
                <w:b w:val="0"/>
                <w:szCs w:val="21"/>
              </w:rPr>
            </w:pPr>
            <w:r>
              <w:rPr>
                <w:rFonts w:hint="eastAsia" w:ascii="宋体" w:hAnsi="宋体"/>
                <w:b w:val="0"/>
                <w:szCs w:val="21"/>
              </w:rPr>
              <w:t>线路穿管保护，设置过载保护装置</w:t>
            </w:r>
          </w:p>
        </w:tc>
      </w:tr>
      <w:tr w14:paraId="1B00A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4AD018D">
            <w:pPr>
              <w:spacing w:line="240" w:lineRule="exact"/>
              <w:jc w:val="center"/>
              <w:rPr>
                <w:rFonts w:ascii="宋体" w:hAnsi="宋体"/>
                <w:b w:val="0"/>
                <w:szCs w:val="21"/>
              </w:rPr>
            </w:pPr>
          </w:p>
        </w:tc>
        <w:tc>
          <w:tcPr>
            <w:tcW w:w="450" w:type="pct"/>
            <w:vMerge w:val="continue"/>
            <w:vAlign w:val="center"/>
          </w:tcPr>
          <w:p w14:paraId="1C21542B">
            <w:pPr>
              <w:spacing w:line="240" w:lineRule="exact"/>
              <w:jc w:val="center"/>
              <w:rPr>
                <w:rFonts w:ascii="宋体" w:hAnsi="宋体"/>
                <w:b w:val="0"/>
                <w:szCs w:val="21"/>
              </w:rPr>
            </w:pPr>
          </w:p>
        </w:tc>
        <w:tc>
          <w:tcPr>
            <w:tcW w:w="1433" w:type="pct"/>
            <w:vAlign w:val="center"/>
          </w:tcPr>
          <w:p w14:paraId="45A6B636">
            <w:pPr>
              <w:spacing w:line="240" w:lineRule="exact"/>
              <w:rPr>
                <w:rFonts w:ascii="宋体" w:hAnsi="宋体"/>
                <w:b w:val="0"/>
                <w:szCs w:val="21"/>
              </w:rPr>
            </w:pPr>
            <w:r>
              <w:rPr>
                <w:rFonts w:hint="eastAsia" w:ascii="宋体" w:hAnsi="宋体"/>
                <w:b w:val="0"/>
                <w:szCs w:val="21"/>
              </w:rPr>
              <w:t>不防爆电机未隔墙设置</w:t>
            </w:r>
          </w:p>
        </w:tc>
        <w:tc>
          <w:tcPr>
            <w:tcW w:w="729" w:type="pct"/>
            <w:vAlign w:val="center"/>
          </w:tcPr>
          <w:p w14:paraId="27A8FF20">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950295F">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334FE493">
            <w:pPr>
              <w:spacing w:line="240" w:lineRule="exact"/>
              <w:rPr>
                <w:rFonts w:ascii="宋体" w:hAnsi="宋体"/>
                <w:b w:val="0"/>
                <w:szCs w:val="21"/>
              </w:rPr>
            </w:pPr>
            <w:r>
              <w:rPr>
                <w:rFonts w:hint="eastAsia" w:ascii="宋体" w:hAnsi="宋体"/>
                <w:b w:val="0"/>
                <w:szCs w:val="21"/>
              </w:rPr>
              <w:t>不防爆机隔墙设置，传动孔封闭严实</w:t>
            </w:r>
          </w:p>
        </w:tc>
      </w:tr>
      <w:tr w14:paraId="7DE91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02BA99C8">
            <w:pPr>
              <w:spacing w:line="240" w:lineRule="exact"/>
              <w:jc w:val="center"/>
              <w:rPr>
                <w:rFonts w:ascii="宋体" w:hAnsi="宋体"/>
                <w:b w:val="0"/>
                <w:szCs w:val="21"/>
              </w:rPr>
            </w:pPr>
          </w:p>
        </w:tc>
        <w:tc>
          <w:tcPr>
            <w:tcW w:w="450" w:type="pct"/>
            <w:vMerge w:val="continue"/>
            <w:vAlign w:val="center"/>
          </w:tcPr>
          <w:p w14:paraId="4BAA36B7">
            <w:pPr>
              <w:spacing w:line="240" w:lineRule="exact"/>
              <w:jc w:val="center"/>
              <w:rPr>
                <w:rFonts w:ascii="宋体" w:hAnsi="宋体"/>
                <w:b w:val="0"/>
                <w:szCs w:val="21"/>
              </w:rPr>
            </w:pPr>
          </w:p>
        </w:tc>
        <w:tc>
          <w:tcPr>
            <w:tcW w:w="1433" w:type="pct"/>
            <w:vAlign w:val="center"/>
          </w:tcPr>
          <w:p w14:paraId="5C01F900">
            <w:pPr>
              <w:spacing w:line="240" w:lineRule="exact"/>
              <w:rPr>
                <w:rFonts w:ascii="宋体" w:hAnsi="宋体"/>
                <w:b w:val="0"/>
                <w:szCs w:val="21"/>
              </w:rPr>
            </w:pPr>
            <w:r>
              <w:rPr>
                <w:rFonts w:hint="eastAsia" w:ascii="宋体" w:hAnsi="宋体"/>
                <w:b w:val="0"/>
                <w:szCs w:val="21"/>
              </w:rPr>
              <w:t>抛光机无接地或接地不良</w:t>
            </w:r>
          </w:p>
        </w:tc>
        <w:tc>
          <w:tcPr>
            <w:tcW w:w="729" w:type="pct"/>
            <w:vAlign w:val="center"/>
          </w:tcPr>
          <w:p w14:paraId="52BA62C5">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36BFD60">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70E43599">
            <w:pPr>
              <w:spacing w:line="240" w:lineRule="exact"/>
              <w:rPr>
                <w:rFonts w:ascii="宋体" w:hAnsi="宋体"/>
                <w:b w:val="0"/>
                <w:szCs w:val="21"/>
              </w:rPr>
            </w:pPr>
            <w:r>
              <w:rPr>
                <w:rFonts w:hint="eastAsia" w:ascii="宋体" w:hAnsi="宋体"/>
                <w:b w:val="0"/>
                <w:szCs w:val="21"/>
              </w:rPr>
              <w:t>造粒机须妥善接地，并定期检测</w:t>
            </w:r>
          </w:p>
        </w:tc>
      </w:tr>
      <w:tr w14:paraId="2519A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71A6F586">
            <w:pPr>
              <w:spacing w:line="240" w:lineRule="exact"/>
              <w:jc w:val="center"/>
              <w:rPr>
                <w:rFonts w:ascii="宋体" w:hAnsi="宋体"/>
                <w:b w:val="0"/>
                <w:szCs w:val="21"/>
              </w:rPr>
            </w:pPr>
            <w:r>
              <w:rPr>
                <w:rFonts w:hint="eastAsia" w:ascii="宋体" w:hAnsi="宋体"/>
                <w:b w:val="0"/>
                <w:szCs w:val="21"/>
              </w:rPr>
              <w:t>9</w:t>
            </w:r>
          </w:p>
        </w:tc>
        <w:tc>
          <w:tcPr>
            <w:tcW w:w="450" w:type="pct"/>
            <w:vMerge w:val="restart"/>
            <w:vAlign w:val="center"/>
          </w:tcPr>
          <w:p w14:paraId="2D261AFB">
            <w:pPr>
              <w:spacing w:line="240" w:lineRule="exact"/>
              <w:jc w:val="center"/>
              <w:rPr>
                <w:rFonts w:ascii="宋体" w:hAnsi="宋体"/>
                <w:b w:val="0"/>
                <w:szCs w:val="21"/>
              </w:rPr>
            </w:pPr>
            <w:r>
              <w:rPr>
                <w:rFonts w:hint="eastAsia" w:ascii="宋体" w:hAnsi="宋体"/>
                <w:b w:val="0"/>
                <w:szCs w:val="21"/>
              </w:rPr>
              <w:t>筛选</w:t>
            </w:r>
          </w:p>
        </w:tc>
        <w:tc>
          <w:tcPr>
            <w:tcW w:w="1433" w:type="pct"/>
            <w:vAlign w:val="center"/>
          </w:tcPr>
          <w:p w14:paraId="29E5C80E">
            <w:pPr>
              <w:spacing w:line="240" w:lineRule="exact"/>
              <w:rPr>
                <w:rFonts w:ascii="宋体" w:hAnsi="宋体"/>
                <w:b w:val="0"/>
                <w:szCs w:val="21"/>
              </w:rPr>
            </w:pPr>
            <w:r>
              <w:rPr>
                <w:rFonts w:hint="eastAsia" w:ascii="宋体" w:hAnsi="宋体"/>
                <w:b w:val="0"/>
                <w:szCs w:val="21"/>
              </w:rPr>
              <w:t>无个体防护用品或个体防护用品使用不当</w:t>
            </w:r>
          </w:p>
        </w:tc>
        <w:tc>
          <w:tcPr>
            <w:tcW w:w="729" w:type="pct"/>
            <w:vAlign w:val="center"/>
          </w:tcPr>
          <w:p w14:paraId="6F3895C1">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68D5F0B1">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727F9F93">
            <w:pPr>
              <w:spacing w:line="240" w:lineRule="exact"/>
              <w:rPr>
                <w:rFonts w:ascii="宋体" w:hAnsi="宋体"/>
                <w:b w:val="0"/>
                <w:szCs w:val="21"/>
              </w:rPr>
            </w:pPr>
            <w:r>
              <w:rPr>
                <w:rFonts w:hint="eastAsia" w:ascii="宋体" w:hAnsi="宋体"/>
                <w:b w:val="0"/>
                <w:szCs w:val="21"/>
              </w:rPr>
              <w:t>按规定穿戴好口罩、工作服等个人防护用品</w:t>
            </w:r>
          </w:p>
        </w:tc>
      </w:tr>
      <w:tr w14:paraId="2527B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4EC829D">
            <w:pPr>
              <w:spacing w:line="240" w:lineRule="exact"/>
              <w:jc w:val="center"/>
              <w:rPr>
                <w:rFonts w:ascii="宋体" w:hAnsi="宋体"/>
                <w:b w:val="0"/>
                <w:szCs w:val="21"/>
              </w:rPr>
            </w:pPr>
          </w:p>
        </w:tc>
        <w:tc>
          <w:tcPr>
            <w:tcW w:w="450" w:type="pct"/>
            <w:vMerge w:val="continue"/>
            <w:vAlign w:val="center"/>
          </w:tcPr>
          <w:p w14:paraId="605BB612">
            <w:pPr>
              <w:spacing w:line="240" w:lineRule="exact"/>
              <w:jc w:val="center"/>
              <w:rPr>
                <w:rFonts w:ascii="宋体" w:hAnsi="宋体"/>
                <w:b w:val="0"/>
                <w:szCs w:val="21"/>
              </w:rPr>
            </w:pPr>
          </w:p>
        </w:tc>
        <w:tc>
          <w:tcPr>
            <w:tcW w:w="1433" w:type="pct"/>
            <w:vAlign w:val="center"/>
          </w:tcPr>
          <w:p w14:paraId="3964C61A">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6A10AD0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CCBFB95">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587F4284">
            <w:pPr>
              <w:spacing w:line="240" w:lineRule="exact"/>
              <w:rPr>
                <w:rFonts w:ascii="宋体" w:hAnsi="宋体"/>
                <w:b w:val="0"/>
                <w:szCs w:val="21"/>
              </w:rPr>
            </w:pPr>
            <w:r>
              <w:rPr>
                <w:rFonts w:hint="eastAsia" w:ascii="宋体" w:hAnsi="宋体"/>
                <w:b w:val="0"/>
                <w:szCs w:val="21"/>
              </w:rPr>
              <w:t>按规定穿戴防静电劳保用品并在进入工房前消除人体静电</w:t>
            </w:r>
          </w:p>
        </w:tc>
      </w:tr>
      <w:tr w14:paraId="55557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7F67A02F">
            <w:pPr>
              <w:spacing w:line="240" w:lineRule="exact"/>
              <w:jc w:val="center"/>
              <w:rPr>
                <w:rFonts w:ascii="宋体" w:hAnsi="宋体"/>
                <w:b w:val="0"/>
                <w:szCs w:val="21"/>
              </w:rPr>
            </w:pPr>
          </w:p>
        </w:tc>
        <w:tc>
          <w:tcPr>
            <w:tcW w:w="450" w:type="pct"/>
            <w:vMerge w:val="continue"/>
            <w:vAlign w:val="center"/>
          </w:tcPr>
          <w:p w14:paraId="457934DE">
            <w:pPr>
              <w:spacing w:line="240" w:lineRule="exact"/>
              <w:jc w:val="center"/>
              <w:rPr>
                <w:rFonts w:ascii="宋体" w:hAnsi="宋体"/>
                <w:b w:val="0"/>
                <w:szCs w:val="21"/>
              </w:rPr>
            </w:pPr>
          </w:p>
        </w:tc>
        <w:tc>
          <w:tcPr>
            <w:tcW w:w="1433" w:type="pct"/>
            <w:vAlign w:val="center"/>
          </w:tcPr>
          <w:p w14:paraId="55EE03FC">
            <w:pPr>
              <w:spacing w:line="240" w:lineRule="exact"/>
              <w:rPr>
                <w:rFonts w:ascii="宋体" w:hAnsi="宋体"/>
                <w:b w:val="0"/>
                <w:szCs w:val="21"/>
              </w:rPr>
            </w:pPr>
            <w:r>
              <w:rPr>
                <w:rFonts w:hint="eastAsia" w:ascii="宋体" w:hAnsi="宋体"/>
                <w:b w:val="0"/>
                <w:szCs w:val="21"/>
              </w:rPr>
              <w:t>地面有晒落药粉</w:t>
            </w:r>
          </w:p>
        </w:tc>
        <w:tc>
          <w:tcPr>
            <w:tcW w:w="729" w:type="pct"/>
            <w:vAlign w:val="center"/>
          </w:tcPr>
          <w:p w14:paraId="271BC47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6F4E0FD4">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20C23419">
            <w:pPr>
              <w:spacing w:line="240" w:lineRule="exact"/>
              <w:rPr>
                <w:rFonts w:ascii="宋体" w:hAnsi="宋体"/>
                <w:b w:val="0"/>
                <w:szCs w:val="21"/>
              </w:rPr>
            </w:pPr>
            <w:r>
              <w:rPr>
                <w:rFonts w:hint="eastAsia" w:ascii="宋体" w:hAnsi="宋体"/>
                <w:b w:val="0"/>
                <w:szCs w:val="21"/>
              </w:rPr>
              <w:t>及时清洗地面</w:t>
            </w:r>
          </w:p>
        </w:tc>
      </w:tr>
      <w:tr w14:paraId="6D686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A7B48DB">
            <w:pPr>
              <w:spacing w:line="240" w:lineRule="exact"/>
              <w:jc w:val="center"/>
              <w:rPr>
                <w:rFonts w:ascii="宋体" w:hAnsi="宋体"/>
                <w:b w:val="0"/>
                <w:szCs w:val="21"/>
              </w:rPr>
            </w:pPr>
          </w:p>
        </w:tc>
        <w:tc>
          <w:tcPr>
            <w:tcW w:w="450" w:type="pct"/>
            <w:vMerge w:val="continue"/>
            <w:vAlign w:val="center"/>
          </w:tcPr>
          <w:p w14:paraId="76A6D98A">
            <w:pPr>
              <w:spacing w:line="240" w:lineRule="exact"/>
              <w:jc w:val="center"/>
              <w:rPr>
                <w:rFonts w:ascii="宋体" w:hAnsi="宋体"/>
                <w:b w:val="0"/>
                <w:szCs w:val="21"/>
              </w:rPr>
            </w:pPr>
          </w:p>
        </w:tc>
        <w:tc>
          <w:tcPr>
            <w:tcW w:w="1433" w:type="pct"/>
            <w:vAlign w:val="center"/>
          </w:tcPr>
          <w:p w14:paraId="79F4771E">
            <w:pPr>
              <w:spacing w:line="240" w:lineRule="exact"/>
              <w:rPr>
                <w:rFonts w:ascii="宋体" w:hAnsi="宋体"/>
                <w:b w:val="0"/>
                <w:szCs w:val="21"/>
              </w:rPr>
            </w:pPr>
            <w:r>
              <w:rPr>
                <w:rFonts w:hint="eastAsia" w:ascii="宋体" w:hAnsi="宋体"/>
                <w:b w:val="0"/>
                <w:szCs w:val="21"/>
              </w:rPr>
              <w:t>电气线路因破损、过载、短路等故障导致的高温、电火花</w:t>
            </w:r>
          </w:p>
        </w:tc>
        <w:tc>
          <w:tcPr>
            <w:tcW w:w="729" w:type="pct"/>
            <w:vAlign w:val="center"/>
          </w:tcPr>
          <w:p w14:paraId="328AC0F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01ABD4C">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6CDCCB19">
            <w:pPr>
              <w:spacing w:line="240" w:lineRule="exact"/>
              <w:rPr>
                <w:rFonts w:ascii="宋体" w:hAnsi="宋体"/>
                <w:b w:val="0"/>
                <w:szCs w:val="21"/>
              </w:rPr>
            </w:pPr>
            <w:r>
              <w:rPr>
                <w:rFonts w:hint="eastAsia" w:ascii="宋体" w:hAnsi="宋体"/>
                <w:b w:val="0"/>
                <w:szCs w:val="21"/>
              </w:rPr>
              <w:t>线路穿管保护，设置过载保护装置</w:t>
            </w:r>
          </w:p>
        </w:tc>
      </w:tr>
      <w:tr w14:paraId="5970D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9D06A26">
            <w:pPr>
              <w:spacing w:line="240" w:lineRule="exact"/>
              <w:jc w:val="center"/>
              <w:rPr>
                <w:rFonts w:ascii="宋体" w:hAnsi="宋体"/>
                <w:b w:val="0"/>
                <w:szCs w:val="21"/>
              </w:rPr>
            </w:pPr>
          </w:p>
        </w:tc>
        <w:tc>
          <w:tcPr>
            <w:tcW w:w="450" w:type="pct"/>
            <w:vMerge w:val="continue"/>
            <w:vAlign w:val="center"/>
          </w:tcPr>
          <w:p w14:paraId="2B8519C9">
            <w:pPr>
              <w:spacing w:line="240" w:lineRule="exact"/>
              <w:jc w:val="center"/>
              <w:rPr>
                <w:rFonts w:ascii="宋体" w:hAnsi="宋体"/>
                <w:b w:val="0"/>
                <w:szCs w:val="21"/>
              </w:rPr>
            </w:pPr>
          </w:p>
        </w:tc>
        <w:tc>
          <w:tcPr>
            <w:tcW w:w="1433" w:type="pct"/>
            <w:vAlign w:val="center"/>
          </w:tcPr>
          <w:p w14:paraId="2C3AEFAA">
            <w:pPr>
              <w:spacing w:line="240" w:lineRule="exact"/>
              <w:rPr>
                <w:rFonts w:ascii="宋体" w:hAnsi="宋体"/>
                <w:b w:val="0"/>
                <w:szCs w:val="21"/>
              </w:rPr>
            </w:pPr>
            <w:r>
              <w:rPr>
                <w:rFonts w:hint="eastAsia" w:ascii="宋体" w:hAnsi="宋体"/>
                <w:b w:val="0"/>
                <w:szCs w:val="21"/>
              </w:rPr>
              <w:t>不防爆电机未隔墙设置</w:t>
            </w:r>
          </w:p>
        </w:tc>
        <w:tc>
          <w:tcPr>
            <w:tcW w:w="729" w:type="pct"/>
            <w:vAlign w:val="center"/>
          </w:tcPr>
          <w:p w14:paraId="6C0916B6">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3B928AC">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615A1F55">
            <w:pPr>
              <w:spacing w:line="240" w:lineRule="exact"/>
              <w:rPr>
                <w:rFonts w:ascii="宋体" w:hAnsi="宋体"/>
                <w:b w:val="0"/>
                <w:szCs w:val="21"/>
              </w:rPr>
            </w:pPr>
            <w:r>
              <w:rPr>
                <w:rFonts w:hint="eastAsia" w:ascii="宋体" w:hAnsi="宋体"/>
                <w:b w:val="0"/>
                <w:szCs w:val="21"/>
              </w:rPr>
              <w:t>不防爆机隔墙设置，传动孔封闭严实</w:t>
            </w:r>
          </w:p>
        </w:tc>
      </w:tr>
      <w:tr w14:paraId="60137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94EDA29">
            <w:pPr>
              <w:spacing w:line="240" w:lineRule="exact"/>
              <w:jc w:val="center"/>
              <w:rPr>
                <w:rFonts w:ascii="宋体" w:hAnsi="宋体"/>
                <w:b w:val="0"/>
                <w:szCs w:val="21"/>
              </w:rPr>
            </w:pPr>
          </w:p>
        </w:tc>
        <w:tc>
          <w:tcPr>
            <w:tcW w:w="450" w:type="pct"/>
            <w:vMerge w:val="continue"/>
            <w:vAlign w:val="center"/>
          </w:tcPr>
          <w:p w14:paraId="411444E4">
            <w:pPr>
              <w:spacing w:line="240" w:lineRule="exact"/>
              <w:jc w:val="center"/>
              <w:rPr>
                <w:rFonts w:ascii="宋体" w:hAnsi="宋体"/>
                <w:b w:val="0"/>
                <w:szCs w:val="21"/>
              </w:rPr>
            </w:pPr>
          </w:p>
        </w:tc>
        <w:tc>
          <w:tcPr>
            <w:tcW w:w="1433" w:type="pct"/>
            <w:vAlign w:val="center"/>
          </w:tcPr>
          <w:p w14:paraId="41A3AB2E">
            <w:pPr>
              <w:spacing w:line="240" w:lineRule="exact"/>
              <w:rPr>
                <w:rFonts w:ascii="宋体" w:hAnsi="宋体"/>
                <w:b w:val="0"/>
                <w:szCs w:val="21"/>
              </w:rPr>
            </w:pPr>
            <w:r>
              <w:rPr>
                <w:rFonts w:hint="eastAsia" w:ascii="宋体" w:hAnsi="宋体"/>
                <w:b w:val="0"/>
                <w:szCs w:val="21"/>
              </w:rPr>
              <w:t>筛选机无接地或接地不良</w:t>
            </w:r>
          </w:p>
        </w:tc>
        <w:tc>
          <w:tcPr>
            <w:tcW w:w="729" w:type="pct"/>
            <w:vAlign w:val="center"/>
          </w:tcPr>
          <w:p w14:paraId="3EEAE11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3C955D1">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6DEE0A71">
            <w:pPr>
              <w:spacing w:line="240" w:lineRule="exact"/>
              <w:rPr>
                <w:rFonts w:ascii="宋体" w:hAnsi="宋体"/>
                <w:b w:val="0"/>
                <w:szCs w:val="21"/>
              </w:rPr>
            </w:pPr>
            <w:r>
              <w:rPr>
                <w:rFonts w:hint="eastAsia" w:ascii="宋体" w:hAnsi="宋体"/>
                <w:b w:val="0"/>
                <w:szCs w:val="21"/>
              </w:rPr>
              <w:t>造粒机须妥善接地，并定期检测</w:t>
            </w:r>
          </w:p>
        </w:tc>
      </w:tr>
      <w:tr w14:paraId="1F7F1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4DE743A">
            <w:pPr>
              <w:spacing w:line="240" w:lineRule="exact"/>
              <w:jc w:val="center"/>
              <w:rPr>
                <w:rFonts w:ascii="宋体" w:hAnsi="宋体"/>
                <w:b w:val="0"/>
                <w:szCs w:val="21"/>
              </w:rPr>
            </w:pPr>
          </w:p>
        </w:tc>
        <w:tc>
          <w:tcPr>
            <w:tcW w:w="450" w:type="pct"/>
            <w:vMerge w:val="continue"/>
            <w:vAlign w:val="center"/>
          </w:tcPr>
          <w:p w14:paraId="451DC503">
            <w:pPr>
              <w:spacing w:line="240" w:lineRule="exact"/>
              <w:jc w:val="center"/>
              <w:rPr>
                <w:rFonts w:ascii="宋体" w:hAnsi="宋体"/>
                <w:b w:val="0"/>
                <w:szCs w:val="21"/>
              </w:rPr>
            </w:pPr>
          </w:p>
        </w:tc>
        <w:tc>
          <w:tcPr>
            <w:tcW w:w="1433" w:type="pct"/>
            <w:vAlign w:val="center"/>
          </w:tcPr>
          <w:p w14:paraId="221BEC2B">
            <w:pPr>
              <w:spacing w:line="240" w:lineRule="exact"/>
              <w:rPr>
                <w:rFonts w:ascii="宋体" w:hAnsi="宋体"/>
                <w:b w:val="0"/>
                <w:szCs w:val="21"/>
              </w:rPr>
            </w:pPr>
            <w:r>
              <w:rPr>
                <w:rFonts w:hint="eastAsia" w:ascii="宋体" w:hAnsi="宋体"/>
                <w:b w:val="0"/>
                <w:szCs w:val="21"/>
              </w:rPr>
              <w:t>超药物限量操作或没有及时中转</w:t>
            </w:r>
          </w:p>
        </w:tc>
        <w:tc>
          <w:tcPr>
            <w:tcW w:w="729" w:type="pct"/>
            <w:vAlign w:val="center"/>
          </w:tcPr>
          <w:p w14:paraId="243FEC90">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36319F8">
            <w:pPr>
              <w:spacing w:line="240" w:lineRule="exact"/>
              <w:jc w:val="center"/>
              <w:rPr>
                <w:rFonts w:ascii="宋体" w:hAnsi="宋体" w:cs="宋体"/>
                <w:b w:val="0"/>
                <w:szCs w:val="21"/>
              </w:rPr>
            </w:pPr>
            <w:r>
              <w:rPr>
                <w:rFonts w:hint="eastAsia" w:ascii="宋体" w:hAnsi="宋体" w:cs="宋体"/>
                <w:b w:val="0"/>
                <w:szCs w:val="21"/>
              </w:rPr>
              <w:t>Ⅲ</w:t>
            </w:r>
          </w:p>
        </w:tc>
        <w:tc>
          <w:tcPr>
            <w:tcW w:w="1694" w:type="pct"/>
            <w:vAlign w:val="center"/>
          </w:tcPr>
          <w:p w14:paraId="4BE807C6">
            <w:pPr>
              <w:spacing w:line="240" w:lineRule="exact"/>
              <w:rPr>
                <w:rFonts w:ascii="宋体" w:hAnsi="宋体"/>
                <w:b w:val="0"/>
                <w:szCs w:val="21"/>
              </w:rPr>
            </w:pPr>
            <w:r>
              <w:rPr>
                <w:rFonts w:hint="eastAsia" w:ascii="宋体" w:hAnsi="宋体"/>
                <w:b w:val="0"/>
                <w:szCs w:val="21"/>
              </w:rPr>
              <w:t>严禁超量生产，生产好的药物及时中转</w:t>
            </w:r>
          </w:p>
        </w:tc>
      </w:tr>
      <w:tr w14:paraId="57A7E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69CCDA90">
            <w:pPr>
              <w:spacing w:line="240" w:lineRule="exact"/>
              <w:jc w:val="center"/>
              <w:rPr>
                <w:rFonts w:ascii="宋体" w:hAnsi="宋体"/>
                <w:b w:val="0"/>
                <w:szCs w:val="21"/>
              </w:rPr>
            </w:pPr>
          </w:p>
        </w:tc>
        <w:tc>
          <w:tcPr>
            <w:tcW w:w="450" w:type="pct"/>
            <w:vMerge w:val="continue"/>
            <w:vAlign w:val="center"/>
          </w:tcPr>
          <w:p w14:paraId="72E9B1D5">
            <w:pPr>
              <w:spacing w:line="240" w:lineRule="exact"/>
              <w:jc w:val="center"/>
              <w:rPr>
                <w:rFonts w:ascii="宋体" w:hAnsi="宋体"/>
                <w:b w:val="0"/>
                <w:szCs w:val="21"/>
              </w:rPr>
            </w:pPr>
          </w:p>
        </w:tc>
        <w:tc>
          <w:tcPr>
            <w:tcW w:w="1433" w:type="pct"/>
            <w:vAlign w:val="center"/>
          </w:tcPr>
          <w:p w14:paraId="0A582B53">
            <w:pPr>
              <w:spacing w:line="240" w:lineRule="exact"/>
              <w:rPr>
                <w:rFonts w:ascii="宋体" w:hAnsi="宋体"/>
                <w:b w:val="0"/>
                <w:szCs w:val="21"/>
              </w:rPr>
            </w:pPr>
            <w:r>
              <w:rPr>
                <w:rFonts w:hint="eastAsia" w:ascii="宋体" w:hAnsi="宋体"/>
                <w:b w:val="0"/>
                <w:szCs w:val="21"/>
              </w:rPr>
              <w:t>操作错误、失误</w:t>
            </w:r>
          </w:p>
        </w:tc>
        <w:tc>
          <w:tcPr>
            <w:tcW w:w="729" w:type="pct"/>
            <w:vAlign w:val="center"/>
          </w:tcPr>
          <w:p w14:paraId="7382B4D7">
            <w:pPr>
              <w:spacing w:line="240" w:lineRule="exact"/>
              <w:jc w:val="left"/>
              <w:rPr>
                <w:rFonts w:ascii="宋体" w:hAnsi="宋体"/>
                <w:b w:val="0"/>
                <w:szCs w:val="21"/>
              </w:rPr>
            </w:pPr>
            <w:r>
              <w:rPr>
                <w:rFonts w:hint="eastAsia" w:ascii="宋体" w:hAnsi="宋体"/>
                <w:b w:val="0"/>
                <w:szCs w:val="21"/>
              </w:rPr>
              <w:t>机械致害</w:t>
            </w:r>
          </w:p>
        </w:tc>
        <w:tc>
          <w:tcPr>
            <w:tcW w:w="443" w:type="pct"/>
            <w:vAlign w:val="center"/>
          </w:tcPr>
          <w:p w14:paraId="786083F4">
            <w:pPr>
              <w:spacing w:line="240" w:lineRule="exact"/>
              <w:jc w:val="center"/>
              <w:rPr>
                <w:rFonts w:ascii="宋体" w:hAnsi="宋体" w:cs="宋体"/>
                <w:b w:val="0"/>
                <w:szCs w:val="21"/>
              </w:rPr>
            </w:pPr>
            <w:r>
              <w:rPr>
                <w:rFonts w:hint="eastAsia" w:ascii="宋体" w:hAnsi="宋体" w:cs="宋体"/>
                <w:b w:val="0"/>
                <w:szCs w:val="21"/>
              </w:rPr>
              <w:t>Ⅱ</w:t>
            </w:r>
          </w:p>
        </w:tc>
        <w:tc>
          <w:tcPr>
            <w:tcW w:w="1694" w:type="pct"/>
            <w:vAlign w:val="center"/>
          </w:tcPr>
          <w:p w14:paraId="29B31E8E">
            <w:pPr>
              <w:spacing w:line="240" w:lineRule="exact"/>
              <w:rPr>
                <w:rFonts w:ascii="宋体" w:hAnsi="宋体"/>
                <w:b w:val="0"/>
                <w:szCs w:val="21"/>
              </w:rPr>
            </w:pPr>
            <w:r>
              <w:rPr>
                <w:rFonts w:hint="eastAsia" w:ascii="宋体" w:hAnsi="宋体"/>
                <w:b w:val="0"/>
                <w:szCs w:val="21"/>
              </w:rPr>
              <w:t>严格按规程操作</w:t>
            </w:r>
          </w:p>
        </w:tc>
      </w:tr>
      <w:tr w14:paraId="51833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FF8E2E5">
            <w:pPr>
              <w:spacing w:line="240" w:lineRule="exact"/>
              <w:jc w:val="center"/>
              <w:rPr>
                <w:rFonts w:ascii="宋体" w:hAnsi="宋体"/>
                <w:b w:val="0"/>
                <w:szCs w:val="21"/>
              </w:rPr>
            </w:pPr>
          </w:p>
        </w:tc>
        <w:tc>
          <w:tcPr>
            <w:tcW w:w="450" w:type="pct"/>
            <w:vMerge w:val="continue"/>
            <w:vAlign w:val="center"/>
          </w:tcPr>
          <w:p w14:paraId="6A255390">
            <w:pPr>
              <w:spacing w:line="240" w:lineRule="exact"/>
              <w:jc w:val="center"/>
              <w:rPr>
                <w:rFonts w:ascii="宋体" w:hAnsi="宋体"/>
                <w:b w:val="0"/>
                <w:szCs w:val="21"/>
              </w:rPr>
            </w:pPr>
          </w:p>
        </w:tc>
        <w:tc>
          <w:tcPr>
            <w:tcW w:w="1433" w:type="pct"/>
            <w:vAlign w:val="center"/>
          </w:tcPr>
          <w:p w14:paraId="3503BC7D">
            <w:pPr>
              <w:spacing w:line="240" w:lineRule="exact"/>
              <w:rPr>
                <w:rFonts w:ascii="宋体" w:hAnsi="宋体"/>
                <w:b w:val="0"/>
                <w:szCs w:val="21"/>
              </w:rPr>
            </w:pPr>
            <w:r>
              <w:rPr>
                <w:rFonts w:hint="eastAsia" w:ascii="宋体" w:hAnsi="宋体"/>
                <w:b w:val="0"/>
                <w:szCs w:val="21"/>
              </w:rPr>
              <w:t>使用塑料、尼龙等易产生静电材料制作的工器具</w:t>
            </w:r>
          </w:p>
        </w:tc>
        <w:tc>
          <w:tcPr>
            <w:tcW w:w="729" w:type="pct"/>
            <w:vAlign w:val="center"/>
          </w:tcPr>
          <w:p w14:paraId="6B62E6F1">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C429C18">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26B17F7">
            <w:pPr>
              <w:spacing w:line="240" w:lineRule="exact"/>
              <w:rPr>
                <w:rFonts w:ascii="宋体" w:hAnsi="宋体"/>
                <w:b w:val="0"/>
                <w:szCs w:val="21"/>
              </w:rPr>
            </w:pPr>
            <w:r>
              <w:rPr>
                <w:rFonts w:hint="eastAsia" w:ascii="宋体" w:hAnsi="宋体"/>
                <w:b w:val="0"/>
                <w:szCs w:val="21"/>
              </w:rPr>
              <w:t>使用铜、铝、木、竹材质制作的操作工器具</w:t>
            </w:r>
          </w:p>
        </w:tc>
      </w:tr>
      <w:tr w14:paraId="15F9A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30FBB7C6">
            <w:pPr>
              <w:spacing w:line="240" w:lineRule="exact"/>
              <w:jc w:val="center"/>
              <w:rPr>
                <w:rFonts w:ascii="宋体" w:hAnsi="宋体"/>
                <w:b w:val="0"/>
                <w:szCs w:val="21"/>
              </w:rPr>
            </w:pPr>
            <w:r>
              <w:rPr>
                <w:rFonts w:hint="eastAsia" w:ascii="宋体" w:hAnsi="宋体"/>
                <w:b w:val="0"/>
                <w:szCs w:val="21"/>
              </w:rPr>
              <w:t>1</w:t>
            </w:r>
            <w:r>
              <w:rPr>
                <w:rFonts w:ascii="宋体" w:hAnsi="宋体"/>
                <w:b w:val="0"/>
                <w:szCs w:val="21"/>
              </w:rPr>
              <w:t>0</w:t>
            </w:r>
          </w:p>
        </w:tc>
        <w:tc>
          <w:tcPr>
            <w:tcW w:w="450" w:type="pct"/>
            <w:vMerge w:val="restart"/>
            <w:vAlign w:val="center"/>
          </w:tcPr>
          <w:p w14:paraId="43C5FA8D">
            <w:pPr>
              <w:spacing w:line="240" w:lineRule="exact"/>
              <w:jc w:val="center"/>
              <w:rPr>
                <w:rFonts w:ascii="宋体" w:hAnsi="宋体"/>
                <w:b w:val="0"/>
                <w:szCs w:val="21"/>
              </w:rPr>
            </w:pPr>
            <w:r>
              <w:rPr>
                <w:rFonts w:hint="eastAsia" w:ascii="宋体" w:hAnsi="宋体"/>
                <w:b w:val="0"/>
                <w:szCs w:val="21"/>
              </w:rPr>
              <w:t>三味球磨/筛选（粉状）</w:t>
            </w:r>
          </w:p>
        </w:tc>
        <w:tc>
          <w:tcPr>
            <w:tcW w:w="1433" w:type="pct"/>
            <w:vAlign w:val="center"/>
          </w:tcPr>
          <w:p w14:paraId="1D29C1FA">
            <w:pPr>
              <w:spacing w:line="240" w:lineRule="exact"/>
              <w:rPr>
                <w:rFonts w:ascii="宋体" w:hAnsi="宋体"/>
                <w:b w:val="0"/>
                <w:szCs w:val="21"/>
              </w:rPr>
            </w:pPr>
            <w:r>
              <w:rPr>
                <w:rFonts w:hint="eastAsia" w:ascii="宋体" w:hAnsi="宋体"/>
                <w:b w:val="0"/>
                <w:szCs w:val="21"/>
              </w:rPr>
              <w:t>物料混入铁屑、砂石硬质杂质；磨球部件磕碰；设备超时长、超转速运行，内部蓄热</w:t>
            </w:r>
          </w:p>
        </w:tc>
        <w:tc>
          <w:tcPr>
            <w:tcW w:w="729" w:type="pct"/>
            <w:vAlign w:val="center"/>
          </w:tcPr>
          <w:p w14:paraId="6603439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2646269F">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C445EE7">
            <w:pPr>
              <w:spacing w:line="240" w:lineRule="exact"/>
              <w:rPr>
                <w:rFonts w:ascii="宋体" w:hAnsi="宋体"/>
                <w:b w:val="0"/>
                <w:szCs w:val="21"/>
              </w:rPr>
            </w:pPr>
            <w:r>
              <w:rPr>
                <w:rFonts w:hint="eastAsia" w:ascii="宋体" w:hAnsi="宋体"/>
                <w:b w:val="0"/>
                <w:szCs w:val="21"/>
              </w:rPr>
              <w:t>使用铜、铝、木、竹材质制作的操作工器具；严控球磨时间、转速，严禁超装料；投料前对原料除杂，清除铁屑砂石；作业结束充分散热再开盖</w:t>
            </w:r>
          </w:p>
        </w:tc>
      </w:tr>
      <w:tr w14:paraId="74096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567DEBE">
            <w:pPr>
              <w:spacing w:line="240" w:lineRule="exact"/>
              <w:jc w:val="center"/>
              <w:rPr>
                <w:rFonts w:ascii="宋体" w:hAnsi="宋体"/>
                <w:b w:val="0"/>
                <w:szCs w:val="21"/>
              </w:rPr>
            </w:pPr>
          </w:p>
        </w:tc>
        <w:tc>
          <w:tcPr>
            <w:tcW w:w="450" w:type="pct"/>
            <w:vMerge w:val="continue"/>
            <w:vAlign w:val="center"/>
          </w:tcPr>
          <w:p w14:paraId="1CD8D7D2">
            <w:pPr>
              <w:spacing w:line="240" w:lineRule="exact"/>
              <w:jc w:val="center"/>
              <w:rPr>
                <w:rFonts w:ascii="宋体" w:hAnsi="宋体"/>
                <w:b w:val="0"/>
                <w:szCs w:val="21"/>
              </w:rPr>
            </w:pPr>
          </w:p>
        </w:tc>
        <w:tc>
          <w:tcPr>
            <w:tcW w:w="1433" w:type="pct"/>
            <w:vAlign w:val="center"/>
          </w:tcPr>
          <w:p w14:paraId="45DC60FD">
            <w:pPr>
              <w:spacing w:line="240" w:lineRule="exact"/>
              <w:rPr>
                <w:rFonts w:ascii="宋体" w:hAnsi="宋体"/>
                <w:b w:val="0"/>
                <w:szCs w:val="21"/>
              </w:rPr>
            </w:pPr>
            <w:r>
              <w:rPr>
                <w:rFonts w:hint="eastAsia" w:ascii="宋体" w:hAnsi="宋体"/>
                <w:b w:val="0"/>
                <w:szCs w:val="21"/>
              </w:rPr>
              <w:t>环境湿度偏低；设备防静电接地失效；物料摩擦积聚静电</w:t>
            </w:r>
          </w:p>
        </w:tc>
        <w:tc>
          <w:tcPr>
            <w:tcW w:w="729" w:type="pct"/>
            <w:vAlign w:val="center"/>
          </w:tcPr>
          <w:p w14:paraId="3281B19D">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487967F">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50A56465">
            <w:pPr>
              <w:spacing w:line="240" w:lineRule="exact"/>
              <w:rPr>
                <w:rFonts w:ascii="宋体" w:hAnsi="宋体"/>
                <w:b w:val="0"/>
                <w:szCs w:val="21"/>
              </w:rPr>
            </w:pPr>
            <w:r>
              <w:rPr>
                <w:rFonts w:hint="eastAsia" w:ascii="宋体" w:hAnsi="宋体"/>
                <w:b w:val="0"/>
                <w:szCs w:val="21"/>
              </w:rPr>
              <w:t>设置增湿设施，控制相对湿度≥6</w:t>
            </w:r>
            <w:r>
              <w:rPr>
                <w:rFonts w:ascii="宋体" w:hAnsi="宋体"/>
                <w:b w:val="0"/>
                <w:szCs w:val="21"/>
              </w:rPr>
              <w:t>5</w:t>
            </w:r>
            <w:r>
              <w:rPr>
                <w:rFonts w:hint="eastAsia" w:ascii="宋体" w:hAnsi="宋体"/>
                <w:b w:val="0"/>
                <w:szCs w:val="21"/>
              </w:rPr>
              <w:t>%；球磨机可靠防静电接地；作业人员穿戴防静电工作服</w:t>
            </w:r>
          </w:p>
        </w:tc>
      </w:tr>
      <w:tr w14:paraId="5EA07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748E1B7">
            <w:pPr>
              <w:spacing w:line="240" w:lineRule="exact"/>
              <w:jc w:val="center"/>
              <w:rPr>
                <w:rFonts w:ascii="宋体" w:hAnsi="宋体"/>
                <w:b w:val="0"/>
                <w:szCs w:val="21"/>
              </w:rPr>
            </w:pPr>
          </w:p>
        </w:tc>
        <w:tc>
          <w:tcPr>
            <w:tcW w:w="450" w:type="pct"/>
            <w:vMerge w:val="continue"/>
            <w:vAlign w:val="center"/>
          </w:tcPr>
          <w:p w14:paraId="3207E773">
            <w:pPr>
              <w:spacing w:line="240" w:lineRule="exact"/>
              <w:jc w:val="center"/>
              <w:rPr>
                <w:rFonts w:ascii="宋体" w:hAnsi="宋体"/>
                <w:b w:val="0"/>
                <w:szCs w:val="21"/>
              </w:rPr>
            </w:pPr>
          </w:p>
        </w:tc>
        <w:tc>
          <w:tcPr>
            <w:tcW w:w="1433" w:type="pct"/>
            <w:vAlign w:val="center"/>
          </w:tcPr>
          <w:p w14:paraId="7446E291">
            <w:pPr>
              <w:spacing w:line="240" w:lineRule="exact"/>
              <w:rPr>
                <w:rFonts w:ascii="宋体" w:hAnsi="宋体"/>
                <w:b w:val="0"/>
                <w:szCs w:val="21"/>
              </w:rPr>
            </w:pPr>
            <w:r>
              <w:rPr>
                <w:rFonts w:hint="eastAsia" w:ascii="宋体" w:hAnsi="宋体"/>
                <w:b w:val="0"/>
                <w:szCs w:val="21"/>
              </w:rPr>
              <w:t>设备传动部位防护缺失；无检修自锁；检修清理未停机断电，误启动设备</w:t>
            </w:r>
          </w:p>
        </w:tc>
        <w:tc>
          <w:tcPr>
            <w:tcW w:w="729" w:type="pct"/>
            <w:vAlign w:val="center"/>
          </w:tcPr>
          <w:p w14:paraId="5E6ED2EE">
            <w:pPr>
              <w:spacing w:line="240" w:lineRule="exact"/>
              <w:jc w:val="left"/>
              <w:rPr>
                <w:rFonts w:ascii="宋体" w:hAnsi="宋体"/>
                <w:b w:val="0"/>
                <w:szCs w:val="21"/>
              </w:rPr>
            </w:pPr>
            <w:r>
              <w:rPr>
                <w:rFonts w:hint="eastAsia" w:ascii="宋体" w:hAnsi="宋体"/>
                <w:b w:val="0"/>
                <w:szCs w:val="21"/>
              </w:rPr>
              <w:t>机械致害</w:t>
            </w:r>
          </w:p>
        </w:tc>
        <w:tc>
          <w:tcPr>
            <w:tcW w:w="443" w:type="pct"/>
            <w:vAlign w:val="center"/>
          </w:tcPr>
          <w:p w14:paraId="5C9ED0D9">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53BEED3F">
            <w:pPr>
              <w:spacing w:line="240" w:lineRule="exact"/>
              <w:rPr>
                <w:rFonts w:ascii="宋体" w:hAnsi="宋体"/>
                <w:b w:val="0"/>
                <w:szCs w:val="21"/>
              </w:rPr>
            </w:pPr>
            <w:r>
              <w:rPr>
                <w:rFonts w:hint="eastAsia" w:ascii="宋体" w:hAnsi="宋体"/>
                <w:b w:val="0"/>
                <w:szCs w:val="21"/>
              </w:rPr>
              <w:t>转动传动部件设置完好防护装置；设备设置检修自锁装置；检修、进出料执行停机、断电挂牌制度；作业时人员远离机械设备</w:t>
            </w:r>
          </w:p>
        </w:tc>
      </w:tr>
      <w:tr w14:paraId="3166F0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4C0D11FF">
            <w:pPr>
              <w:spacing w:line="240" w:lineRule="exact"/>
              <w:jc w:val="center"/>
              <w:rPr>
                <w:rFonts w:ascii="宋体" w:hAnsi="宋体"/>
                <w:b w:val="0"/>
                <w:szCs w:val="21"/>
              </w:rPr>
            </w:pPr>
          </w:p>
        </w:tc>
        <w:tc>
          <w:tcPr>
            <w:tcW w:w="450" w:type="pct"/>
            <w:vMerge w:val="continue"/>
            <w:vAlign w:val="center"/>
          </w:tcPr>
          <w:p w14:paraId="2C78511C">
            <w:pPr>
              <w:spacing w:line="240" w:lineRule="exact"/>
              <w:jc w:val="center"/>
              <w:rPr>
                <w:rFonts w:ascii="宋体" w:hAnsi="宋体"/>
                <w:b w:val="0"/>
                <w:szCs w:val="21"/>
              </w:rPr>
            </w:pPr>
          </w:p>
        </w:tc>
        <w:tc>
          <w:tcPr>
            <w:tcW w:w="1433" w:type="pct"/>
            <w:vAlign w:val="center"/>
          </w:tcPr>
          <w:p w14:paraId="1ECC611C">
            <w:pPr>
              <w:spacing w:line="240" w:lineRule="exact"/>
              <w:rPr>
                <w:rFonts w:ascii="宋体" w:hAnsi="宋体"/>
                <w:b w:val="0"/>
                <w:szCs w:val="21"/>
              </w:rPr>
            </w:pPr>
            <w:r>
              <w:rPr>
                <w:rFonts w:hint="eastAsia" w:ascii="宋体" w:hAnsi="宋体"/>
                <w:b w:val="0"/>
                <w:szCs w:val="21"/>
              </w:rPr>
              <w:t>未使用防爆电气；线路破损绝缘损坏；药粉粉尘侵入电气部位</w:t>
            </w:r>
          </w:p>
        </w:tc>
        <w:tc>
          <w:tcPr>
            <w:tcW w:w="729" w:type="pct"/>
            <w:vAlign w:val="center"/>
          </w:tcPr>
          <w:p w14:paraId="21B64305">
            <w:pPr>
              <w:spacing w:line="240" w:lineRule="exact"/>
              <w:jc w:val="left"/>
              <w:rPr>
                <w:rFonts w:ascii="宋体" w:hAnsi="宋体"/>
                <w:b w:val="0"/>
                <w:szCs w:val="21"/>
              </w:rPr>
            </w:pPr>
            <w:r>
              <w:rPr>
                <w:rFonts w:hint="eastAsia" w:ascii="宋体" w:hAnsi="宋体"/>
                <w:b w:val="0"/>
                <w:szCs w:val="21"/>
              </w:rPr>
              <w:t>触电、火灾、爆炸</w:t>
            </w:r>
          </w:p>
        </w:tc>
        <w:tc>
          <w:tcPr>
            <w:tcW w:w="443" w:type="pct"/>
            <w:vAlign w:val="center"/>
          </w:tcPr>
          <w:p w14:paraId="6835D41B">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7416FFF9">
            <w:pPr>
              <w:spacing w:line="240" w:lineRule="exact"/>
              <w:rPr>
                <w:rFonts w:ascii="宋体" w:hAnsi="宋体"/>
                <w:b w:val="0"/>
                <w:szCs w:val="21"/>
              </w:rPr>
            </w:pPr>
            <w:r>
              <w:rPr>
                <w:rFonts w:hint="eastAsia" w:ascii="宋体" w:hAnsi="宋体"/>
                <w:b w:val="0"/>
                <w:szCs w:val="21"/>
              </w:rPr>
              <w:t>电气管线采用D</w:t>
            </w:r>
            <w:r>
              <w:rPr>
                <w:rFonts w:ascii="宋体" w:hAnsi="宋体"/>
                <w:b w:val="0"/>
                <w:szCs w:val="21"/>
              </w:rPr>
              <w:t>N15</w:t>
            </w:r>
            <w:r>
              <w:rPr>
                <w:rFonts w:hint="eastAsia" w:ascii="宋体" w:hAnsi="宋体"/>
                <w:b w:val="0"/>
                <w:szCs w:val="21"/>
              </w:rPr>
              <w:t>及以上镀锌焊接钢管，螺纹有效扣数不少于5扣并做好接地跨接；定期检查电气绝缘，及时修复破损线路</w:t>
            </w:r>
          </w:p>
        </w:tc>
      </w:tr>
      <w:tr w14:paraId="76714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522D1A0">
            <w:pPr>
              <w:spacing w:line="240" w:lineRule="exact"/>
              <w:jc w:val="center"/>
              <w:rPr>
                <w:rFonts w:ascii="宋体" w:hAnsi="宋体"/>
                <w:b w:val="0"/>
                <w:szCs w:val="21"/>
              </w:rPr>
            </w:pPr>
          </w:p>
        </w:tc>
        <w:tc>
          <w:tcPr>
            <w:tcW w:w="450" w:type="pct"/>
            <w:vMerge w:val="continue"/>
            <w:vAlign w:val="center"/>
          </w:tcPr>
          <w:p w14:paraId="33D0D845">
            <w:pPr>
              <w:spacing w:line="240" w:lineRule="exact"/>
              <w:jc w:val="center"/>
              <w:rPr>
                <w:rFonts w:ascii="宋体" w:hAnsi="宋体"/>
                <w:b w:val="0"/>
                <w:szCs w:val="21"/>
              </w:rPr>
            </w:pPr>
          </w:p>
        </w:tc>
        <w:tc>
          <w:tcPr>
            <w:tcW w:w="1433" w:type="pct"/>
            <w:vAlign w:val="center"/>
          </w:tcPr>
          <w:p w14:paraId="6E058D2E">
            <w:pPr>
              <w:spacing w:line="240" w:lineRule="exact"/>
              <w:rPr>
                <w:rFonts w:ascii="宋体" w:hAnsi="宋体"/>
                <w:b w:val="0"/>
                <w:szCs w:val="21"/>
              </w:rPr>
            </w:pPr>
            <w:r>
              <w:rPr>
                <w:rFonts w:hint="eastAsia" w:ascii="宋体" w:hAnsi="宋体"/>
                <w:b w:val="0"/>
                <w:szCs w:val="21"/>
              </w:rPr>
              <w:t>除尘通风失效；粉尘大量逸散积聚，作业人员长期吸入</w:t>
            </w:r>
          </w:p>
        </w:tc>
        <w:tc>
          <w:tcPr>
            <w:tcW w:w="729" w:type="pct"/>
            <w:vAlign w:val="center"/>
          </w:tcPr>
          <w:p w14:paraId="66060DCD">
            <w:pPr>
              <w:spacing w:line="240" w:lineRule="exact"/>
              <w:jc w:val="left"/>
              <w:rPr>
                <w:rFonts w:ascii="宋体" w:hAnsi="宋体"/>
                <w:b w:val="0"/>
                <w:szCs w:val="21"/>
              </w:rPr>
            </w:pPr>
            <w:r>
              <w:rPr>
                <w:rFonts w:hint="eastAsia" w:ascii="宋体" w:hAnsi="宋体"/>
                <w:b w:val="0"/>
                <w:szCs w:val="21"/>
              </w:rPr>
              <w:t>健康伤害、火灾、爆炸</w:t>
            </w:r>
          </w:p>
        </w:tc>
        <w:tc>
          <w:tcPr>
            <w:tcW w:w="443" w:type="pct"/>
            <w:vAlign w:val="center"/>
          </w:tcPr>
          <w:p w14:paraId="114C677D">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3B2ADD1C">
            <w:pPr>
              <w:spacing w:line="240" w:lineRule="exact"/>
              <w:rPr>
                <w:rFonts w:ascii="宋体" w:hAnsi="宋体"/>
                <w:b w:val="0"/>
                <w:szCs w:val="21"/>
              </w:rPr>
            </w:pPr>
            <w:r>
              <w:rPr>
                <w:rFonts w:hint="eastAsia" w:ascii="宋体" w:hAnsi="宋体"/>
                <w:b w:val="0"/>
                <w:szCs w:val="21"/>
              </w:rPr>
              <w:t>设计通风除尘设施；及时清扫地面、墙面、设备表面除尘</w:t>
            </w:r>
          </w:p>
        </w:tc>
      </w:tr>
      <w:tr w14:paraId="26FBD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restart"/>
            <w:vAlign w:val="center"/>
          </w:tcPr>
          <w:p w14:paraId="72870066">
            <w:pPr>
              <w:spacing w:line="240" w:lineRule="exact"/>
              <w:jc w:val="center"/>
              <w:rPr>
                <w:rFonts w:ascii="宋体" w:hAnsi="宋体"/>
                <w:b w:val="0"/>
                <w:szCs w:val="21"/>
              </w:rPr>
            </w:pPr>
            <w:r>
              <w:rPr>
                <w:rFonts w:hint="eastAsia" w:ascii="宋体" w:hAnsi="宋体"/>
                <w:b w:val="0"/>
                <w:szCs w:val="21"/>
              </w:rPr>
              <w:t>1</w:t>
            </w:r>
            <w:r>
              <w:rPr>
                <w:rFonts w:ascii="宋体" w:hAnsi="宋体"/>
                <w:b w:val="0"/>
                <w:szCs w:val="21"/>
              </w:rPr>
              <w:t>1</w:t>
            </w:r>
          </w:p>
        </w:tc>
        <w:tc>
          <w:tcPr>
            <w:tcW w:w="450" w:type="pct"/>
            <w:vMerge w:val="restart"/>
            <w:vAlign w:val="center"/>
          </w:tcPr>
          <w:p w14:paraId="40274DC1">
            <w:pPr>
              <w:spacing w:line="240" w:lineRule="exact"/>
              <w:jc w:val="center"/>
              <w:rPr>
                <w:rFonts w:ascii="宋体" w:hAnsi="宋体"/>
                <w:b w:val="0"/>
                <w:szCs w:val="21"/>
              </w:rPr>
            </w:pPr>
            <w:r>
              <w:rPr>
                <w:rFonts w:hint="eastAsia" w:ascii="宋体" w:hAnsi="宋体"/>
                <w:b w:val="0"/>
                <w:szCs w:val="21"/>
              </w:rPr>
              <w:t>中转</w:t>
            </w:r>
          </w:p>
        </w:tc>
        <w:tc>
          <w:tcPr>
            <w:tcW w:w="1433" w:type="pct"/>
            <w:vAlign w:val="center"/>
          </w:tcPr>
          <w:p w14:paraId="3EDEB2F7">
            <w:pPr>
              <w:spacing w:line="240" w:lineRule="exact"/>
              <w:rPr>
                <w:rFonts w:ascii="宋体" w:hAnsi="宋体"/>
                <w:b w:val="0"/>
                <w:szCs w:val="21"/>
              </w:rPr>
            </w:pPr>
            <w:r>
              <w:rPr>
                <w:rFonts w:hint="eastAsia" w:ascii="宋体" w:hAnsi="宋体"/>
                <w:b w:val="0"/>
                <w:szCs w:val="21"/>
              </w:rPr>
              <w:t>搬运时用力过大</w:t>
            </w:r>
          </w:p>
        </w:tc>
        <w:tc>
          <w:tcPr>
            <w:tcW w:w="729" w:type="pct"/>
            <w:vAlign w:val="center"/>
          </w:tcPr>
          <w:p w14:paraId="00847D0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5BC6FF1">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591F75EC">
            <w:pPr>
              <w:spacing w:line="240" w:lineRule="exact"/>
              <w:rPr>
                <w:rFonts w:ascii="宋体" w:hAnsi="宋体"/>
                <w:b w:val="0"/>
                <w:szCs w:val="21"/>
              </w:rPr>
            </w:pPr>
            <w:r>
              <w:rPr>
                <w:rFonts w:hint="eastAsia" w:ascii="宋体" w:hAnsi="宋体"/>
                <w:b w:val="0"/>
                <w:szCs w:val="21"/>
              </w:rPr>
              <w:t xml:space="preserve">轻缓、小心操作 </w:t>
            </w:r>
          </w:p>
        </w:tc>
      </w:tr>
      <w:tr w14:paraId="4C847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2576C7F3">
            <w:pPr>
              <w:spacing w:line="240" w:lineRule="exact"/>
              <w:jc w:val="center"/>
              <w:rPr>
                <w:rFonts w:ascii="宋体" w:hAnsi="宋体"/>
                <w:b w:val="0"/>
                <w:szCs w:val="21"/>
              </w:rPr>
            </w:pPr>
          </w:p>
        </w:tc>
        <w:tc>
          <w:tcPr>
            <w:tcW w:w="450" w:type="pct"/>
            <w:vMerge w:val="continue"/>
            <w:vAlign w:val="center"/>
          </w:tcPr>
          <w:p w14:paraId="58E18885">
            <w:pPr>
              <w:spacing w:line="240" w:lineRule="exact"/>
              <w:jc w:val="center"/>
              <w:rPr>
                <w:rFonts w:ascii="宋体" w:hAnsi="宋体"/>
                <w:b w:val="0"/>
                <w:szCs w:val="21"/>
              </w:rPr>
            </w:pPr>
          </w:p>
        </w:tc>
        <w:tc>
          <w:tcPr>
            <w:tcW w:w="1433" w:type="pct"/>
            <w:vAlign w:val="center"/>
          </w:tcPr>
          <w:p w14:paraId="5F3F4EF3">
            <w:pPr>
              <w:spacing w:line="240" w:lineRule="exact"/>
              <w:rPr>
                <w:rFonts w:ascii="宋体" w:hAnsi="宋体"/>
                <w:b w:val="0"/>
                <w:szCs w:val="21"/>
              </w:rPr>
            </w:pPr>
            <w:r>
              <w:rPr>
                <w:rFonts w:hint="eastAsia" w:ascii="宋体" w:hAnsi="宋体"/>
                <w:b w:val="0"/>
                <w:szCs w:val="21"/>
              </w:rPr>
              <w:t>使用铁质等黑色金属工具</w:t>
            </w:r>
          </w:p>
        </w:tc>
        <w:tc>
          <w:tcPr>
            <w:tcW w:w="729" w:type="pct"/>
            <w:vAlign w:val="center"/>
          </w:tcPr>
          <w:p w14:paraId="1AC4AB0E">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05E2E559">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C852FB7">
            <w:pPr>
              <w:spacing w:line="240" w:lineRule="exact"/>
              <w:rPr>
                <w:rFonts w:ascii="宋体" w:hAnsi="宋体"/>
                <w:b w:val="0"/>
                <w:szCs w:val="21"/>
              </w:rPr>
            </w:pPr>
            <w:r>
              <w:rPr>
                <w:rFonts w:hint="eastAsia" w:ascii="宋体" w:hAnsi="宋体"/>
                <w:b w:val="0"/>
                <w:bCs/>
                <w:szCs w:val="21"/>
              </w:rPr>
              <w:t>禁止使用黑色金属工具</w:t>
            </w:r>
          </w:p>
        </w:tc>
      </w:tr>
      <w:tr w14:paraId="7ADF0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119654BC">
            <w:pPr>
              <w:spacing w:line="240" w:lineRule="exact"/>
              <w:jc w:val="center"/>
              <w:rPr>
                <w:rFonts w:ascii="宋体" w:hAnsi="宋体"/>
                <w:b w:val="0"/>
                <w:szCs w:val="21"/>
              </w:rPr>
            </w:pPr>
          </w:p>
        </w:tc>
        <w:tc>
          <w:tcPr>
            <w:tcW w:w="450" w:type="pct"/>
            <w:vMerge w:val="continue"/>
            <w:vAlign w:val="center"/>
          </w:tcPr>
          <w:p w14:paraId="4F3D7B60">
            <w:pPr>
              <w:spacing w:line="240" w:lineRule="exact"/>
              <w:jc w:val="center"/>
              <w:rPr>
                <w:rFonts w:ascii="宋体" w:hAnsi="宋体"/>
                <w:b w:val="0"/>
                <w:szCs w:val="21"/>
              </w:rPr>
            </w:pPr>
          </w:p>
        </w:tc>
        <w:tc>
          <w:tcPr>
            <w:tcW w:w="1433" w:type="pct"/>
            <w:vAlign w:val="center"/>
          </w:tcPr>
          <w:p w14:paraId="04B2EBDE">
            <w:pPr>
              <w:spacing w:line="240" w:lineRule="exact"/>
              <w:rPr>
                <w:rFonts w:ascii="宋体" w:hAnsi="宋体"/>
                <w:b w:val="0"/>
                <w:szCs w:val="21"/>
              </w:rPr>
            </w:pPr>
            <w:r>
              <w:rPr>
                <w:rFonts w:hint="eastAsia" w:ascii="宋体" w:hAnsi="宋体"/>
                <w:b w:val="0"/>
                <w:szCs w:val="21"/>
              </w:rPr>
              <w:t>使用塑料、尼龙等易产生静电的材料制作的工器具</w:t>
            </w:r>
          </w:p>
        </w:tc>
        <w:tc>
          <w:tcPr>
            <w:tcW w:w="729" w:type="pct"/>
            <w:vAlign w:val="center"/>
          </w:tcPr>
          <w:p w14:paraId="5F0F5CE4">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6B6B8E56">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18406E95">
            <w:pPr>
              <w:spacing w:line="240" w:lineRule="exact"/>
              <w:rPr>
                <w:rFonts w:ascii="宋体" w:hAnsi="宋体"/>
                <w:b w:val="0"/>
                <w:szCs w:val="21"/>
              </w:rPr>
            </w:pPr>
            <w:r>
              <w:rPr>
                <w:rFonts w:hint="eastAsia" w:ascii="宋体" w:hAnsi="宋体"/>
                <w:b w:val="0"/>
                <w:szCs w:val="21"/>
              </w:rPr>
              <w:t>使用铜、铝、木、竹质工器具和导电橡胶或木质工作台</w:t>
            </w:r>
          </w:p>
        </w:tc>
      </w:tr>
      <w:tr w14:paraId="75FF0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5A4ED6FA">
            <w:pPr>
              <w:spacing w:line="240" w:lineRule="exact"/>
              <w:jc w:val="center"/>
              <w:rPr>
                <w:rFonts w:ascii="宋体" w:hAnsi="宋体"/>
                <w:b w:val="0"/>
                <w:szCs w:val="21"/>
              </w:rPr>
            </w:pPr>
          </w:p>
        </w:tc>
        <w:tc>
          <w:tcPr>
            <w:tcW w:w="450" w:type="pct"/>
            <w:vMerge w:val="continue"/>
            <w:vAlign w:val="center"/>
          </w:tcPr>
          <w:p w14:paraId="1D9A115C">
            <w:pPr>
              <w:spacing w:line="240" w:lineRule="exact"/>
              <w:jc w:val="center"/>
              <w:rPr>
                <w:rFonts w:ascii="宋体" w:hAnsi="宋体"/>
                <w:b w:val="0"/>
                <w:szCs w:val="21"/>
              </w:rPr>
            </w:pPr>
          </w:p>
        </w:tc>
        <w:tc>
          <w:tcPr>
            <w:tcW w:w="1433" w:type="pct"/>
            <w:vAlign w:val="center"/>
          </w:tcPr>
          <w:p w14:paraId="3A98B669">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0F9AB8A2">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3DA9D433">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73E8EF5">
            <w:pPr>
              <w:spacing w:line="240" w:lineRule="exact"/>
              <w:rPr>
                <w:rFonts w:ascii="宋体" w:hAnsi="宋体"/>
                <w:b w:val="0"/>
                <w:szCs w:val="21"/>
              </w:rPr>
            </w:pPr>
            <w:r>
              <w:rPr>
                <w:rFonts w:hint="eastAsia" w:ascii="宋体" w:hAnsi="宋体"/>
                <w:b w:val="0"/>
                <w:szCs w:val="21"/>
              </w:rPr>
              <w:t>穿戴防静电劳保用品并在进入库房前消除人体静电</w:t>
            </w:r>
          </w:p>
        </w:tc>
      </w:tr>
      <w:tr w14:paraId="64652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547FCC4F">
            <w:pPr>
              <w:spacing w:line="240" w:lineRule="exact"/>
              <w:jc w:val="center"/>
              <w:rPr>
                <w:rFonts w:ascii="宋体" w:hAnsi="宋体"/>
                <w:b w:val="0"/>
                <w:szCs w:val="21"/>
              </w:rPr>
            </w:pPr>
          </w:p>
        </w:tc>
        <w:tc>
          <w:tcPr>
            <w:tcW w:w="450" w:type="pct"/>
            <w:vMerge w:val="continue"/>
            <w:vAlign w:val="center"/>
          </w:tcPr>
          <w:p w14:paraId="45CDD993">
            <w:pPr>
              <w:spacing w:line="240" w:lineRule="exact"/>
              <w:jc w:val="center"/>
              <w:rPr>
                <w:rFonts w:ascii="宋体" w:hAnsi="宋体"/>
                <w:b w:val="0"/>
                <w:szCs w:val="21"/>
              </w:rPr>
            </w:pPr>
          </w:p>
        </w:tc>
        <w:tc>
          <w:tcPr>
            <w:tcW w:w="1433" w:type="pct"/>
            <w:vAlign w:val="center"/>
          </w:tcPr>
          <w:p w14:paraId="0520C54E">
            <w:pPr>
              <w:spacing w:line="240" w:lineRule="exact"/>
              <w:rPr>
                <w:rFonts w:ascii="宋体" w:hAnsi="宋体"/>
                <w:b w:val="0"/>
                <w:szCs w:val="21"/>
              </w:rPr>
            </w:pPr>
            <w:r>
              <w:rPr>
                <w:rFonts w:hint="eastAsia" w:ascii="宋体" w:hAnsi="宋体"/>
                <w:b w:val="0"/>
                <w:szCs w:val="21"/>
              </w:rPr>
              <w:t>地面有洒落药粉</w:t>
            </w:r>
          </w:p>
        </w:tc>
        <w:tc>
          <w:tcPr>
            <w:tcW w:w="729" w:type="pct"/>
            <w:vAlign w:val="center"/>
          </w:tcPr>
          <w:p w14:paraId="553E0033">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69A8D94">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2363391">
            <w:pPr>
              <w:spacing w:line="240" w:lineRule="exact"/>
              <w:rPr>
                <w:rFonts w:ascii="宋体" w:hAnsi="宋体"/>
                <w:b w:val="0"/>
                <w:szCs w:val="21"/>
              </w:rPr>
            </w:pPr>
            <w:r>
              <w:rPr>
                <w:rFonts w:hint="eastAsia" w:ascii="宋体" w:hAnsi="宋体"/>
                <w:b w:val="0"/>
                <w:szCs w:val="21"/>
              </w:rPr>
              <w:t>及时清洗地面</w:t>
            </w:r>
          </w:p>
        </w:tc>
      </w:tr>
      <w:tr w14:paraId="77B74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16E8BC9A">
            <w:pPr>
              <w:spacing w:line="240" w:lineRule="exact"/>
              <w:jc w:val="center"/>
              <w:rPr>
                <w:rFonts w:ascii="宋体" w:hAnsi="宋体"/>
                <w:b w:val="0"/>
                <w:szCs w:val="21"/>
              </w:rPr>
            </w:pPr>
          </w:p>
        </w:tc>
        <w:tc>
          <w:tcPr>
            <w:tcW w:w="450" w:type="pct"/>
            <w:vMerge w:val="continue"/>
            <w:vAlign w:val="center"/>
          </w:tcPr>
          <w:p w14:paraId="79981358">
            <w:pPr>
              <w:spacing w:line="240" w:lineRule="exact"/>
              <w:jc w:val="center"/>
              <w:rPr>
                <w:rFonts w:ascii="宋体" w:hAnsi="宋体"/>
                <w:b w:val="0"/>
                <w:szCs w:val="21"/>
              </w:rPr>
            </w:pPr>
          </w:p>
        </w:tc>
        <w:tc>
          <w:tcPr>
            <w:tcW w:w="1433" w:type="pct"/>
            <w:vAlign w:val="center"/>
          </w:tcPr>
          <w:p w14:paraId="5A2B0809">
            <w:pPr>
              <w:spacing w:line="240" w:lineRule="exact"/>
              <w:rPr>
                <w:rFonts w:ascii="宋体" w:hAnsi="宋体"/>
                <w:b w:val="0"/>
                <w:szCs w:val="21"/>
              </w:rPr>
            </w:pPr>
            <w:r>
              <w:rPr>
                <w:rFonts w:hint="eastAsia" w:ascii="宋体" w:hAnsi="宋体"/>
                <w:b w:val="0"/>
                <w:szCs w:val="21"/>
              </w:rPr>
              <w:t>操作工无个体防护用品或个体防护用品使用不当</w:t>
            </w:r>
          </w:p>
        </w:tc>
        <w:tc>
          <w:tcPr>
            <w:tcW w:w="729" w:type="pct"/>
            <w:vAlign w:val="center"/>
          </w:tcPr>
          <w:p w14:paraId="3FE01EDB">
            <w:pPr>
              <w:spacing w:line="240" w:lineRule="exact"/>
              <w:jc w:val="left"/>
              <w:rPr>
                <w:rFonts w:ascii="宋体" w:hAnsi="宋体"/>
                <w:b w:val="0"/>
                <w:szCs w:val="21"/>
              </w:rPr>
            </w:pPr>
            <w:r>
              <w:rPr>
                <w:rFonts w:hint="eastAsia" w:ascii="宋体" w:hAnsi="宋体"/>
                <w:b w:val="0"/>
                <w:szCs w:val="21"/>
              </w:rPr>
              <w:t>健康伤害</w:t>
            </w:r>
          </w:p>
        </w:tc>
        <w:tc>
          <w:tcPr>
            <w:tcW w:w="443" w:type="pct"/>
            <w:vAlign w:val="center"/>
          </w:tcPr>
          <w:p w14:paraId="140C8C61">
            <w:pPr>
              <w:spacing w:line="240" w:lineRule="exact"/>
              <w:jc w:val="center"/>
              <w:rPr>
                <w:rFonts w:ascii="宋体" w:hAnsi="宋体"/>
                <w:b w:val="0"/>
                <w:szCs w:val="21"/>
              </w:rPr>
            </w:pPr>
            <w:r>
              <w:rPr>
                <w:rFonts w:hint="eastAsia" w:ascii="宋体" w:hAnsi="宋体" w:cs="宋体"/>
                <w:b w:val="0"/>
                <w:szCs w:val="21"/>
              </w:rPr>
              <w:t>Ⅱ</w:t>
            </w:r>
          </w:p>
        </w:tc>
        <w:tc>
          <w:tcPr>
            <w:tcW w:w="1694" w:type="pct"/>
            <w:vAlign w:val="center"/>
          </w:tcPr>
          <w:p w14:paraId="40723064">
            <w:pPr>
              <w:spacing w:line="240" w:lineRule="exact"/>
              <w:rPr>
                <w:rFonts w:ascii="宋体" w:hAnsi="宋体"/>
                <w:b w:val="0"/>
                <w:szCs w:val="21"/>
              </w:rPr>
            </w:pPr>
            <w:r>
              <w:rPr>
                <w:rFonts w:hint="eastAsia" w:ascii="宋体" w:hAnsi="宋体"/>
                <w:b w:val="0"/>
                <w:szCs w:val="21"/>
              </w:rPr>
              <w:t>按照规定穿戴好口罩、工作服等个人防护用品</w:t>
            </w:r>
          </w:p>
        </w:tc>
      </w:tr>
      <w:tr w14:paraId="449E0C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51" w:type="pct"/>
            <w:vMerge w:val="restart"/>
            <w:vAlign w:val="center"/>
          </w:tcPr>
          <w:p w14:paraId="4E1CC502">
            <w:pPr>
              <w:spacing w:line="240" w:lineRule="exact"/>
              <w:jc w:val="center"/>
              <w:rPr>
                <w:rFonts w:ascii="宋体" w:hAnsi="宋体"/>
                <w:b w:val="0"/>
                <w:szCs w:val="21"/>
              </w:rPr>
            </w:pPr>
            <w:r>
              <w:rPr>
                <w:rFonts w:hint="eastAsia" w:ascii="宋体" w:hAnsi="宋体"/>
                <w:b w:val="0"/>
                <w:szCs w:val="21"/>
              </w:rPr>
              <w:t>1</w:t>
            </w:r>
            <w:r>
              <w:rPr>
                <w:rFonts w:ascii="宋体" w:hAnsi="宋体"/>
                <w:b w:val="0"/>
                <w:szCs w:val="21"/>
              </w:rPr>
              <w:t>2</w:t>
            </w:r>
          </w:p>
        </w:tc>
        <w:tc>
          <w:tcPr>
            <w:tcW w:w="450" w:type="pct"/>
            <w:vMerge w:val="restart"/>
            <w:vAlign w:val="center"/>
          </w:tcPr>
          <w:p w14:paraId="40BEAF53">
            <w:pPr>
              <w:spacing w:line="240" w:lineRule="exact"/>
              <w:jc w:val="center"/>
              <w:rPr>
                <w:rFonts w:ascii="宋体" w:hAnsi="宋体"/>
                <w:b w:val="0"/>
                <w:szCs w:val="21"/>
              </w:rPr>
            </w:pPr>
            <w:r>
              <w:rPr>
                <w:rFonts w:hint="eastAsia" w:ascii="宋体" w:hAnsi="宋体"/>
                <w:b w:val="0"/>
                <w:szCs w:val="21"/>
              </w:rPr>
              <w:t>包装</w:t>
            </w:r>
          </w:p>
        </w:tc>
        <w:tc>
          <w:tcPr>
            <w:tcW w:w="1433" w:type="pct"/>
            <w:vAlign w:val="center"/>
          </w:tcPr>
          <w:p w14:paraId="6E58D592">
            <w:pPr>
              <w:spacing w:line="240" w:lineRule="exact"/>
              <w:rPr>
                <w:rFonts w:ascii="宋体" w:hAnsi="宋体"/>
                <w:b w:val="0"/>
                <w:szCs w:val="21"/>
              </w:rPr>
            </w:pPr>
            <w:r>
              <w:rPr>
                <w:rFonts w:hint="eastAsia" w:ascii="宋体" w:hAnsi="宋体"/>
                <w:b w:val="0"/>
                <w:szCs w:val="21"/>
              </w:rPr>
              <w:t>操作过程中用力过大或操作失误，产生较强摩擦、撞击</w:t>
            </w:r>
          </w:p>
        </w:tc>
        <w:tc>
          <w:tcPr>
            <w:tcW w:w="729" w:type="pct"/>
            <w:vAlign w:val="center"/>
          </w:tcPr>
          <w:p w14:paraId="61063ABF">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4708A334">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169D85C">
            <w:pPr>
              <w:spacing w:line="240" w:lineRule="exact"/>
              <w:rPr>
                <w:rFonts w:ascii="宋体" w:hAnsi="宋体"/>
                <w:b w:val="0"/>
                <w:szCs w:val="21"/>
              </w:rPr>
            </w:pPr>
            <w:r>
              <w:rPr>
                <w:rFonts w:hint="eastAsia" w:ascii="宋体" w:hAnsi="宋体"/>
                <w:b w:val="0"/>
                <w:szCs w:val="21"/>
              </w:rPr>
              <w:t>轻缓、小心操作</w:t>
            </w:r>
          </w:p>
        </w:tc>
      </w:tr>
      <w:tr w14:paraId="1A560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1" w:type="pct"/>
            <w:vMerge w:val="continue"/>
            <w:vAlign w:val="center"/>
          </w:tcPr>
          <w:p w14:paraId="7E4F849D">
            <w:pPr>
              <w:spacing w:line="240" w:lineRule="exact"/>
              <w:jc w:val="center"/>
              <w:rPr>
                <w:rFonts w:ascii="宋体" w:hAnsi="宋体"/>
                <w:b w:val="0"/>
                <w:szCs w:val="21"/>
              </w:rPr>
            </w:pPr>
          </w:p>
        </w:tc>
        <w:tc>
          <w:tcPr>
            <w:tcW w:w="450" w:type="pct"/>
            <w:vMerge w:val="continue"/>
            <w:vAlign w:val="center"/>
          </w:tcPr>
          <w:p w14:paraId="4B9F8521">
            <w:pPr>
              <w:spacing w:line="240" w:lineRule="exact"/>
              <w:jc w:val="center"/>
              <w:rPr>
                <w:rFonts w:ascii="宋体" w:hAnsi="宋体"/>
                <w:b w:val="0"/>
                <w:szCs w:val="21"/>
              </w:rPr>
            </w:pPr>
          </w:p>
        </w:tc>
        <w:tc>
          <w:tcPr>
            <w:tcW w:w="1433" w:type="pct"/>
            <w:vAlign w:val="center"/>
          </w:tcPr>
          <w:p w14:paraId="41C313D6">
            <w:pPr>
              <w:spacing w:line="240" w:lineRule="exact"/>
              <w:rPr>
                <w:rFonts w:ascii="宋体" w:hAnsi="宋体"/>
                <w:b w:val="0"/>
                <w:szCs w:val="21"/>
              </w:rPr>
            </w:pPr>
            <w:r>
              <w:rPr>
                <w:rFonts w:hint="eastAsia" w:ascii="宋体" w:hAnsi="宋体"/>
                <w:b w:val="0"/>
                <w:szCs w:val="21"/>
              </w:rPr>
              <w:t>地面有掉落药粉</w:t>
            </w:r>
          </w:p>
        </w:tc>
        <w:tc>
          <w:tcPr>
            <w:tcW w:w="729" w:type="pct"/>
            <w:vAlign w:val="center"/>
          </w:tcPr>
          <w:p w14:paraId="73DCD234">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79791072">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3478D37C">
            <w:pPr>
              <w:spacing w:line="240" w:lineRule="exact"/>
              <w:rPr>
                <w:rFonts w:ascii="宋体" w:hAnsi="宋体"/>
                <w:b w:val="0"/>
                <w:szCs w:val="21"/>
              </w:rPr>
            </w:pPr>
            <w:r>
              <w:rPr>
                <w:rFonts w:hint="eastAsia" w:ascii="宋体" w:hAnsi="宋体"/>
                <w:b w:val="0"/>
                <w:szCs w:val="21"/>
              </w:rPr>
              <w:t>及时清扫地面</w:t>
            </w:r>
          </w:p>
        </w:tc>
      </w:tr>
      <w:tr w14:paraId="2FA0A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51" w:type="pct"/>
            <w:vMerge w:val="continue"/>
            <w:vAlign w:val="center"/>
          </w:tcPr>
          <w:p w14:paraId="729B4242">
            <w:pPr>
              <w:spacing w:line="240" w:lineRule="exact"/>
              <w:jc w:val="center"/>
              <w:rPr>
                <w:rFonts w:ascii="宋体" w:hAnsi="宋体"/>
                <w:b w:val="0"/>
                <w:szCs w:val="21"/>
              </w:rPr>
            </w:pPr>
          </w:p>
        </w:tc>
        <w:tc>
          <w:tcPr>
            <w:tcW w:w="450" w:type="pct"/>
            <w:vMerge w:val="continue"/>
            <w:vAlign w:val="center"/>
          </w:tcPr>
          <w:p w14:paraId="4949C082">
            <w:pPr>
              <w:spacing w:line="240" w:lineRule="exact"/>
              <w:jc w:val="center"/>
              <w:rPr>
                <w:rFonts w:ascii="宋体" w:hAnsi="宋体"/>
                <w:b w:val="0"/>
                <w:szCs w:val="21"/>
              </w:rPr>
            </w:pPr>
          </w:p>
        </w:tc>
        <w:tc>
          <w:tcPr>
            <w:tcW w:w="1433" w:type="pct"/>
            <w:vAlign w:val="center"/>
          </w:tcPr>
          <w:p w14:paraId="2D6B0FAC">
            <w:pPr>
              <w:spacing w:line="240" w:lineRule="exact"/>
              <w:rPr>
                <w:rFonts w:ascii="宋体" w:hAnsi="宋体"/>
                <w:b w:val="0"/>
                <w:szCs w:val="21"/>
              </w:rPr>
            </w:pPr>
            <w:r>
              <w:rPr>
                <w:rFonts w:hint="eastAsia" w:ascii="宋体" w:hAnsi="宋体"/>
                <w:b w:val="0"/>
                <w:szCs w:val="21"/>
              </w:rPr>
              <w:t>使用塑料、尼龙等易产生静电的材料制作的工器具及包装袋</w:t>
            </w:r>
          </w:p>
        </w:tc>
        <w:tc>
          <w:tcPr>
            <w:tcW w:w="729" w:type="pct"/>
            <w:vAlign w:val="center"/>
          </w:tcPr>
          <w:p w14:paraId="7F450828">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1656DC19">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1D465E69">
            <w:pPr>
              <w:spacing w:line="240" w:lineRule="exact"/>
              <w:rPr>
                <w:rFonts w:ascii="宋体" w:hAnsi="宋体"/>
                <w:b w:val="0"/>
                <w:szCs w:val="21"/>
              </w:rPr>
            </w:pPr>
            <w:r>
              <w:rPr>
                <w:rFonts w:hint="eastAsia" w:ascii="宋体" w:hAnsi="宋体"/>
                <w:b w:val="0"/>
                <w:szCs w:val="21"/>
              </w:rPr>
              <w:t>使用铜、铝、木、竹质工器具</w:t>
            </w:r>
          </w:p>
        </w:tc>
      </w:tr>
      <w:tr w14:paraId="3A5E6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1" w:type="pct"/>
            <w:vMerge w:val="continue"/>
            <w:vAlign w:val="center"/>
          </w:tcPr>
          <w:p w14:paraId="41088A5F">
            <w:pPr>
              <w:spacing w:line="240" w:lineRule="exact"/>
              <w:jc w:val="center"/>
              <w:rPr>
                <w:rFonts w:ascii="宋体" w:hAnsi="宋体"/>
                <w:b w:val="0"/>
                <w:szCs w:val="21"/>
              </w:rPr>
            </w:pPr>
          </w:p>
        </w:tc>
        <w:tc>
          <w:tcPr>
            <w:tcW w:w="450" w:type="pct"/>
            <w:vMerge w:val="continue"/>
            <w:vAlign w:val="center"/>
          </w:tcPr>
          <w:p w14:paraId="7FB12BFC">
            <w:pPr>
              <w:spacing w:line="240" w:lineRule="exact"/>
              <w:jc w:val="center"/>
              <w:rPr>
                <w:rFonts w:ascii="宋体" w:hAnsi="宋体"/>
                <w:b w:val="0"/>
                <w:szCs w:val="21"/>
              </w:rPr>
            </w:pPr>
          </w:p>
        </w:tc>
        <w:tc>
          <w:tcPr>
            <w:tcW w:w="1433" w:type="pct"/>
            <w:vAlign w:val="center"/>
          </w:tcPr>
          <w:p w14:paraId="4AF15BB5">
            <w:pPr>
              <w:spacing w:line="240" w:lineRule="exact"/>
              <w:rPr>
                <w:rFonts w:ascii="宋体" w:hAnsi="宋体"/>
                <w:b w:val="0"/>
                <w:szCs w:val="21"/>
              </w:rPr>
            </w:pPr>
            <w:r>
              <w:rPr>
                <w:rFonts w:hint="eastAsia" w:ascii="宋体" w:hAnsi="宋体"/>
                <w:b w:val="0"/>
                <w:szCs w:val="21"/>
              </w:rPr>
              <w:t>人体带静电</w:t>
            </w:r>
          </w:p>
        </w:tc>
        <w:tc>
          <w:tcPr>
            <w:tcW w:w="729" w:type="pct"/>
            <w:vAlign w:val="center"/>
          </w:tcPr>
          <w:p w14:paraId="2857FDA8">
            <w:pPr>
              <w:spacing w:line="240" w:lineRule="exact"/>
              <w:jc w:val="left"/>
              <w:rPr>
                <w:rFonts w:ascii="宋体" w:hAnsi="宋体"/>
                <w:b w:val="0"/>
                <w:szCs w:val="21"/>
              </w:rPr>
            </w:pPr>
            <w:r>
              <w:rPr>
                <w:rFonts w:hint="eastAsia" w:ascii="宋体" w:hAnsi="宋体"/>
                <w:b w:val="0"/>
                <w:szCs w:val="21"/>
              </w:rPr>
              <w:t>火灾、爆炸</w:t>
            </w:r>
          </w:p>
        </w:tc>
        <w:tc>
          <w:tcPr>
            <w:tcW w:w="443" w:type="pct"/>
            <w:vAlign w:val="center"/>
          </w:tcPr>
          <w:p w14:paraId="52AAD3C5">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7E8B202D">
            <w:pPr>
              <w:spacing w:line="240" w:lineRule="exact"/>
              <w:rPr>
                <w:rFonts w:ascii="宋体" w:hAnsi="宋体"/>
                <w:b w:val="0"/>
                <w:szCs w:val="21"/>
              </w:rPr>
            </w:pPr>
            <w:r>
              <w:rPr>
                <w:rFonts w:hint="eastAsia" w:ascii="宋体" w:hAnsi="宋体"/>
                <w:b w:val="0"/>
                <w:szCs w:val="21"/>
              </w:rPr>
              <w:t>穿戴防静电劳保用品并在进入工房前消除人体静电</w:t>
            </w:r>
          </w:p>
        </w:tc>
      </w:tr>
      <w:tr w14:paraId="1478D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51" w:type="pct"/>
            <w:vMerge w:val="continue"/>
            <w:vAlign w:val="center"/>
          </w:tcPr>
          <w:p w14:paraId="52EDA711">
            <w:pPr>
              <w:spacing w:line="240" w:lineRule="exact"/>
              <w:jc w:val="center"/>
              <w:rPr>
                <w:rFonts w:ascii="宋体" w:hAnsi="宋体"/>
                <w:b w:val="0"/>
                <w:szCs w:val="21"/>
              </w:rPr>
            </w:pPr>
          </w:p>
        </w:tc>
        <w:tc>
          <w:tcPr>
            <w:tcW w:w="450" w:type="pct"/>
            <w:vMerge w:val="continue"/>
            <w:vAlign w:val="center"/>
          </w:tcPr>
          <w:p w14:paraId="022F2121">
            <w:pPr>
              <w:spacing w:line="240" w:lineRule="exact"/>
              <w:jc w:val="center"/>
              <w:rPr>
                <w:rFonts w:ascii="宋体" w:hAnsi="宋体"/>
                <w:b w:val="0"/>
                <w:szCs w:val="21"/>
              </w:rPr>
            </w:pPr>
          </w:p>
        </w:tc>
        <w:tc>
          <w:tcPr>
            <w:tcW w:w="1433" w:type="pct"/>
            <w:vAlign w:val="center"/>
          </w:tcPr>
          <w:p w14:paraId="65169C51">
            <w:pPr>
              <w:spacing w:line="240" w:lineRule="exact"/>
              <w:rPr>
                <w:rFonts w:ascii="宋体" w:hAnsi="宋体"/>
                <w:b w:val="0"/>
                <w:szCs w:val="21"/>
              </w:rPr>
            </w:pPr>
            <w:r>
              <w:rPr>
                <w:rFonts w:hint="eastAsia" w:ascii="宋体" w:hAnsi="宋体"/>
                <w:b w:val="0"/>
                <w:szCs w:val="21"/>
              </w:rPr>
              <w:t>超药物限量操作或没有及时中转</w:t>
            </w:r>
          </w:p>
        </w:tc>
        <w:tc>
          <w:tcPr>
            <w:tcW w:w="729" w:type="pct"/>
            <w:vAlign w:val="center"/>
          </w:tcPr>
          <w:p w14:paraId="2F77CB83">
            <w:pPr>
              <w:spacing w:line="240" w:lineRule="exact"/>
              <w:jc w:val="center"/>
              <w:rPr>
                <w:rFonts w:ascii="宋体" w:hAnsi="宋体"/>
                <w:b w:val="0"/>
                <w:szCs w:val="21"/>
              </w:rPr>
            </w:pPr>
            <w:r>
              <w:rPr>
                <w:rFonts w:hint="eastAsia" w:ascii="宋体" w:hAnsi="宋体"/>
                <w:b w:val="0"/>
                <w:szCs w:val="21"/>
              </w:rPr>
              <w:t>火灾、爆炸</w:t>
            </w:r>
          </w:p>
        </w:tc>
        <w:tc>
          <w:tcPr>
            <w:tcW w:w="443" w:type="pct"/>
            <w:vAlign w:val="center"/>
          </w:tcPr>
          <w:p w14:paraId="21C72347">
            <w:pPr>
              <w:spacing w:line="240" w:lineRule="exact"/>
              <w:jc w:val="center"/>
              <w:rPr>
                <w:rFonts w:ascii="宋体" w:hAnsi="宋体"/>
                <w:b w:val="0"/>
                <w:szCs w:val="21"/>
              </w:rPr>
            </w:pPr>
            <w:r>
              <w:rPr>
                <w:rFonts w:hint="eastAsia" w:ascii="宋体" w:hAnsi="宋体" w:cs="宋体"/>
                <w:b w:val="0"/>
                <w:szCs w:val="21"/>
              </w:rPr>
              <w:t>Ⅲ</w:t>
            </w:r>
          </w:p>
        </w:tc>
        <w:tc>
          <w:tcPr>
            <w:tcW w:w="1694" w:type="pct"/>
            <w:vAlign w:val="center"/>
          </w:tcPr>
          <w:p w14:paraId="6FA12798">
            <w:pPr>
              <w:spacing w:line="240" w:lineRule="exact"/>
              <w:rPr>
                <w:rFonts w:ascii="宋体" w:hAnsi="宋体"/>
                <w:b w:val="0"/>
                <w:szCs w:val="21"/>
              </w:rPr>
            </w:pPr>
            <w:r>
              <w:rPr>
                <w:rFonts w:hint="eastAsia" w:ascii="宋体" w:hAnsi="宋体"/>
                <w:b w:val="0"/>
                <w:szCs w:val="21"/>
              </w:rPr>
              <w:t>严禁超量生产，生产好的药柱及时中转</w:t>
            </w:r>
          </w:p>
        </w:tc>
      </w:tr>
    </w:tbl>
    <w:p w14:paraId="7A448117">
      <w:pPr>
        <w:spacing w:before="120" w:beforeLines="50" w:line="360" w:lineRule="auto"/>
        <w:ind w:firstLine="560" w:firstLineChars="200"/>
        <w:rPr>
          <w:rFonts w:ascii="宋体" w:hAnsi="宋体"/>
          <w:b w:val="0"/>
          <w:bCs/>
          <w:sz w:val="28"/>
          <w:szCs w:val="28"/>
        </w:rPr>
      </w:pPr>
      <w:r>
        <w:rPr>
          <w:rFonts w:hint="eastAsia" w:ascii="宋体" w:hAnsi="宋体"/>
          <w:b w:val="0"/>
          <w:bCs/>
          <w:sz w:val="28"/>
          <w:szCs w:val="28"/>
        </w:rPr>
        <w:t>根据以上分析判定，该项目工艺过程各工序都存在危险有害因素，事故类型主要为火灾、爆炸。危险级别主要为Ⅲ级，明确了发生事故的触发条件并确定了应采取的相应工艺安全对策措施。</w:t>
      </w:r>
    </w:p>
    <w:p w14:paraId="31194F7C">
      <w:pPr>
        <w:keepNext/>
        <w:keepLines/>
        <w:spacing w:before="120" w:beforeLines="50" w:line="360" w:lineRule="auto"/>
        <w:outlineLvl w:val="1"/>
        <w:rPr>
          <w:rFonts w:ascii="黑体" w:hAnsi="宋体" w:eastAsia="黑体"/>
          <w:b w:val="0"/>
          <w:bCs/>
          <w:snapToGrid w:val="0"/>
          <w:sz w:val="30"/>
          <w:szCs w:val="30"/>
        </w:rPr>
      </w:pPr>
      <w:bookmarkStart w:id="517" w:name="_Toc239191522"/>
      <w:r>
        <w:rPr>
          <w:rFonts w:hint="eastAsia" w:ascii="黑体" w:hAnsi="宋体" w:eastAsia="黑体"/>
          <w:b w:val="0"/>
          <w:bCs/>
          <w:snapToGrid w:val="0"/>
          <w:sz w:val="30"/>
          <w:szCs w:val="30"/>
        </w:rPr>
        <w:t>5.6建筑施工单元</w:t>
      </w:r>
      <w:bookmarkEnd w:id="517"/>
    </w:p>
    <w:p w14:paraId="330B12E7">
      <w:pPr>
        <w:spacing w:line="360" w:lineRule="auto"/>
        <w:ind w:firstLine="560" w:firstLineChars="200"/>
        <w:rPr>
          <w:rFonts w:ascii="宋体" w:hAnsi="宋体"/>
          <w:b w:val="0"/>
          <w:bCs/>
          <w:sz w:val="28"/>
          <w:szCs w:val="28"/>
        </w:rPr>
      </w:pPr>
      <w:r>
        <w:rPr>
          <w:rFonts w:hint="eastAsia" w:ascii="宋体" w:hAnsi="宋体"/>
          <w:b w:val="0"/>
          <w:bCs/>
          <w:sz w:val="28"/>
          <w:szCs w:val="28"/>
        </w:rPr>
        <w:t>采用预先危险性分析法对本单元进行评价。</w:t>
      </w:r>
    </w:p>
    <w:p w14:paraId="4AE0ED00">
      <w:pPr>
        <w:spacing w:line="360" w:lineRule="auto"/>
        <w:ind w:firstLine="560" w:firstLineChars="200"/>
        <w:rPr>
          <w:rFonts w:ascii="宋体" w:hAnsi="宋体"/>
          <w:b w:val="0"/>
          <w:bCs/>
          <w:sz w:val="28"/>
          <w:szCs w:val="28"/>
        </w:rPr>
      </w:pPr>
      <w:r>
        <w:rPr>
          <w:rFonts w:hint="eastAsia" w:ascii="宋体" w:hAnsi="宋体"/>
          <w:b w:val="0"/>
          <w:bCs/>
          <w:sz w:val="28"/>
          <w:szCs w:val="28"/>
        </w:rPr>
        <w:t>新建需要进行建筑施工。建筑施工阶段存在的潜在的主要危险有害因素有：高处坠落、物体打击、起重致害、机械致害、厂（场）内车辆致害、火灾、触电</w:t>
      </w:r>
      <w:r>
        <w:rPr>
          <w:rFonts w:hint="eastAsia" w:ascii="宋体" w:hAnsi="宋体"/>
          <w:b w:val="0"/>
          <w:bCs/>
          <w:sz w:val="28"/>
          <w:szCs w:val="28"/>
          <w:lang w:val="en-GB"/>
        </w:rPr>
        <w:t>和</w:t>
      </w:r>
      <w:r>
        <w:rPr>
          <w:rFonts w:hint="eastAsia" w:ascii="宋体" w:hAnsi="宋体"/>
          <w:b w:val="0"/>
          <w:bCs/>
          <w:sz w:val="28"/>
          <w:szCs w:val="28"/>
        </w:rPr>
        <w:t>坍塌等，其危险有害程度见下表</w:t>
      </w:r>
      <w:r>
        <w:rPr>
          <w:rFonts w:ascii="宋体" w:hAnsi="宋体"/>
          <w:b w:val="0"/>
          <w:bCs/>
          <w:sz w:val="28"/>
          <w:szCs w:val="28"/>
        </w:rPr>
        <w:t>5.</w:t>
      </w:r>
      <w:r>
        <w:rPr>
          <w:rFonts w:hint="eastAsia" w:ascii="宋体" w:hAnsi="宋体"/>
          <w:b w:val="0"/>
          <w:bCs/>
          <w:sz w:val="28"/>
          <w:szCs w:val="28"/>
        </w:rPr>
        <w:t>6</w:t>
      </w:r>
      <w:r>
        <w:rPr>
          <w:rFonts w:ascii="宋体" w:hAnsi="宋体"/>
          <w:b w:val="0"/>
          <w:bCs/>
          <w:sz w:val="28"/>
          <w:szCs w:val="28"/>
        </w:rPr>
        <w:t>-1</w:t>
      </w:r>
      <w:r>
        <w:rPr>
          <w:rFonts w:hint="eastAsia" w:ascii="宋体" w:hAnsi="宋体"/>
          <w:b w:val="0"/>
          <w:bCs/>
          <w:sz w:val="28"/>
          <w:szCs w:val="28"/>
        </w:rPr>
        <w:t>：</w:t>
      </w:r>
    </w:p>
    <w:p w14:paraId="538AE8FA">
      <w:pPr>
        <w:rPr>
          <w:rFonts w:hint="eastAsia" w:ascii="黑体" w:hAnsi="黑体" w:eastAsia="黑体"/>
          <w:b w:val="0"/>
          <w:bCs/>
          <w:sz w:val="24"/>
        </w:rPr>
      </w:pPr>
      <w:r>
        <w:rPr>
          <w:rFonts w:hint="eastAsia" w:ascii="黑体" w:hAnsi="黑体" w:eastAsia="黑体"/>
          <w:b w:val="0"/>
          <w:bCs/>
          <w:sz w:val="24"/>
        </w:rPr>
        <w:br w:type="page"/>
      </w:r>
    </w:p>
    <w:p w14:paraId="31F104F9">
      <w:pPr>
        <w:jc w:val="center"/>
        <w:rPr>
          <w:rFonts w:ascii="黑体" w:hAnsi="黑体" w:eastAsia="黑体"/>
          <w:b w:val="0"/>
          <w:bCs/>
          <w:sz w:val="24"/>
        </w:rPr>
      </w:pPr>
      <w:r>
        <w:rPr>
          <w:rFonts w:hint="eastAsia" w:ascii="黑体" w:hAnsi="黑体" w:eastAsia="黑体"/>
          <w:b w:val="0"/>
          <w:bCs/>
          <w:sz w:val="24"/>
        </w:rPr>
        <w:t>表5.6-1 建筑施工阶段的危险有害程度</w:t>
      </w:r>
    </w:p>
    <w:tbl>
      <w:tblPr>
        <w:tblStyle w:val="88"/>
        <w:tblW w:w="95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874"/>
        <w:gridCol w:w="2329"/>
        <w:gridCol w:w="1867"/>
        <w:gridCol w:w="623"/>
        <w:gridCol w:w="567"/>
        <w:gridCol w:w="567"/>
        <w:gridCol w:w="2694"/>
      </w:tblGrid>
      <w:tr w14:paraId="21092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34" w:hRule="atLeast"/>
          <w:tblHeader/>
          <w:jc w:val="center"/>
        </w:trPr>
        <w:tc>
          <w:tcPr>
            <w:tcW w:w="874" w:type="dxa"/>
            <w:vAlign w:val="center"/>
          </w:tcPr>
          <w:p w14:paraId="0658947C">
            <w:pPr>
              <w:wordWrap w:val="0"/>
              <w:adjustRightInd w:val="0"/>
              <w:snapToGrid w:val="0"/>
              <w:jc w:val="center"/>
              <w:rPr>
                <w:rFonts w:ascii="宋体" w:hAnsi="宋体" w:cs="宋体"/>
                <w:color w:val="000000"/>
                <w:szCs w:val="21"/>
              </w:rPr>
            </w:pPr>
            <w:bookmarkStart w:id="518" w:name="_Toc246908236"/>
            <w:bookmarkStart w:id="519" w:name="_Toc216179940"/>
            <w:r>
              <w:rPr>
                <w:rFonts w:hint="eastAsia" w:ascii="宋体" w:hAnsi="宋体" w:cs="宋体"/>
                <w:color w:val="000000"/>
                <w:szCs w:val="21"/>
              </w:rPr>
              <w:t>危险有害因素</w:t>
            </w:r>
          </w:p>
        </w:tc>
        <w:tc>
          <w:tcPr>
            <w:tcW w:w="2329" w:type="dxa"/>
            <w:vAlign w:val="center"/>
          </w:tcPr>
          <w:p w14:paraId="0F450C3A">
            <w:pPr>
              <w:wordWrap w:val="0"/>
              <w:adjustRightInd w:val="0"/>
              <w:snapToGrid w:val="0"/>
              <w:jc w:val="center"/>
              <w:rPr>
                <w:rFonts w:ascii="宋体" w:hAnsi="宋体" w:cs="宋体"/>
                <w:color w:val="000000"/>
                <w:szCs w:val="21"/>
              </w:rPr>
            </w:pPr>
            <w:r>
              <w:rPr>
                <w:rFonts w:hint="eastAsia" w:ascii="宋体" w:hAnsi="宋体" w:cs="宋体"/>
                <w:color w:val="000000"/>
                <w:szCs w:val="21"/>
              </w:rPr>
              <w:t>触发事件</w:t>
            </w:r>
          </w:p>
        </w:tc>
        <w:tc>
          <w:tcPr>
            <w:tcW w:w="1867" w:type="dxa"/>
            <w:vAlign w:val="center"/>
          </w:tcPr>
          <w:p w14:paraId="66F2C2DE">
            <w:pPr>
              <w:wordWrap w:val="0"/>
              <w:adjustRightInd w:val="0"/>
              <w:snapToGrid w:val="0"/>
              <w:jc w:val="center"/>
              <w:rPr>
                <w:rFonts w:ascii="宋体" w:hAnsi="宋体" w:cs="宋体"/>
                <w:color w:val="000000"/>
                <w:szCs w:val="21"/>
              </w:rPr>
            </w:pPr>
            <w:r>
              <w:rPr>
                <w:rFonts w:hint="eastAsia" w:ascii="宋体" w:hAnsi="宋体" w:cs="宋体"/>
                <w:color w:val="000000"/>
                <w:szCs w:val="21"/>
              </w:rPr>
              <w:t>原因事件</w:t>
            </w:r>
          </w:p>
        </w:tc>
        <w:tc>
          <w:tcPr>
            <w:tcW w:w="623" w:type="dxa"/>
            <w:vAlign w:val="center"/>
          </w:tcPr>
          <w:p w14:paraId="0A2AA887">
            <w:pPr>
              <w:wordWrap w:val="0"/>
              <w:adjustRightInd w:val="0"/>
              <w:snapToGrid w:val="0"/>
              <w:jc w:val="center"/>
              <w:rPr>
                <w:rFonts w:ascii="宋体" w:hAnsi="宋体" w:cs="宋体"/>
                <w:color w:val="000000"/>
                <w:szCs w:val="21"/>
              </w:rPr>
            </w:pPr>
            <w:r>
              <w:rPr>
                <w:rFonts w:hint="eastAsia" w:ascii="宋体" w:hAnsi="宋体" w:cs="宋体"/>
                <w:color w:val="000000"/>
                <w:szCs w:val="21"/>
              </w:rPr>
              <w:t>事故后果</w:t>
            </w:r>
          </w:p>
        </w:tc>
        <w:tc>
          <w:tcPr>
            <w:tcW w:w="567" w:type="dxa"/>
            <w:vAlign w:val="center"/>
          </w:tcPr>
          <w:p w14:paraId="218FE969">
            <w:pPr>
              <w:wordWrap w:val="0"/>
              <w:adjustRightInd w:val="0"/>
              <w:snapToGrid w:val="0"/>
              <w:jc w:val="center"/>
              <w:rPr>
                <w:rFonts w:ascii="宋体" w:hAnsi="宋体" w:cs="宋体"/>
                <w:color w:val="000000"/>
                <w:szCs w:val="21"/>
              </w:rPr>
            </w:pPr>
            <w:r>
              <w:rPr>
                <w:rFonts w:hint="eastAsia" w:ascii="宋体" w:hAnsi="宋体" w:cs="宋体"/>
                <w:color w:val="000000"/>
                <w:szCs w:val="21"/>
              </w:rPr>
              <w:t>危险等级</w:t>
            </w:r>
          </w:p>
        </w:tc>
        <w:tc>
          <w:tcPr>
            <w:tcW w:w="567" w:type="dxa"/>
            <w:vAlign w:val="center"/>
          </w:tcPr>
          <w:p w14:paraId="28FA149F">
            <w:pPr>
              <w:wordWrap w:val="0"/>
              <w:adjustRightInd w:val="0"/>
              <w:snapToGrid w:val="0"/>
              <w:jc w:val="center"/>
              <w:rPr>
                <w:rFonts w:ascii="宋体" w:hAnsi="宋体" w:cs="宋体"/>
                <w:color w:val="000000"/>
                <w:szCs w:val="21"/>
              </w:rPr>
            </w:pPr>
            <w:r>
              <w:rPr>
                <w:rFonts w:hint="eastAsia" w:ascii="宋体" w:hAnsi="宋体" w:cs="宋体"/>
                <w:color w:val="000000"/>
                <w:szCs w:val="21"/>
              </w:rPr>
              <w:t>危险程度</w:t>
            </w:r>
          </w:p>
        </w:tc>
        <w:tc>
          <w:tcPr>
            <w:tcW w:w="2694" w:type="dxa"/>
            <w:vAlign w:val="center"/>
          </w:tcPr>
          <w:p w14:paraId="1CF5E970">
            <w:pPr>
              <w:wordWrap w:val="0"/>
              <w:adjustRightInd w:val="0"/>
              <w:snapToGrid w:val="0"/>
              <w:jc w:val="center"/>
              <w:rPr>
                <w:rFonts w:ascii="宋体" w:hAnsi="宋体" w:cs="宋体"/>
                <w:color w:val="000000"/>
                <w:szCs w:val="21"/>
              </w:rPr>
            </w:pPr>
            <w:r>
              <w:rPr>
                <w:rFonts w:hint="eastAsia" w:ascii="宋体" w:hAnsi="宋体" w:cs="宋体"/>
                <w:color w:val="000000"/>
                <w:szCs w:val="21"/>
              </w:rPr>
              <w:t>防范措施</w:t>
            </w:r>
          </w:p>
        </w:tc>
      </w:tr>
      <w:tr w14:paraId="5B226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373" w:hRule="atLeast"/>
          <w:jc w:val="center"/>
        </w:trPr>
        <w:tc>
          <w:tcPr>
            <w:tcW w:w="874" w:type="dxa"/>
            <w:vAlign w:val="center"/>
          </w:tcPr>
          <w:p w14:paraId="7638DAB4">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高处</w:t>
            </w:r>
          </w:p>
          <w:p w14:paraId="7E2B1D81">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坠落</w:t>
            </w:r>
          </w:p>
        </w:tc>
        <w:tc>
          <w:tcPr>
            <w:tcW w:w="2329" w:type="dxa"/>
            <w:vAlign w:val="center"/>
          </w:tcPr>
          <w:p w14:paraId="5717D04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1）高处作业、临边无栏，不小心坠落；</w:t>
            </w:r>
          </w:p>
          <w:p w14:paraId="479E1BB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2）无脚手架、板或脚手架、板固定不牢，造成高处坠落；</w:t>
            </w:r>
          </w:p>
          <w:p w14:paraId="179A393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3）梯子无防滑措施，或强度不够、固定不牢造成跌落；</w:t>
            </w:r>
          </w:p>
          <w:p w14:paraId="12919E8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4）高处行道、管线架桥及护栏锈蚀，或强度不够造成坠落；</w:t>
            </w:r>
          </w:p>
          <w:p w14:paraId="777AF5E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5）未穿防滑鞋或防护用品穿戴不当，造成滑跌坠落；</w:t>
            </w:r>
          </w:p>
          <w:p w14:paraId="4337C75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6）在大风、暴雨、雷电、霜冻、积雪的条件下登高作业，不慎坠落；</w:t>
            </w:r>
          </w:p>
          <w:p w14:paraId="4DE6AE7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7）身体不适造成坠落；</w:t>
            </w:r>
          </w:p>
          <w:p w14:paraId="25BFF9F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8）作业时嬉笑打闹。</w:t>
            </w:r>
          </w:p>
        </w:tc>
        <w:tc>
          <w:tcPr>
            <w:tcW w:w="1867" w:type="dxa"/>
            <w:vAlign w:val="center"/>
          </w:tcPr>
          <w:p w14:paraId="50E5B12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1）无脚手架和防滑防坠落措施，踩空或支撑物倒塌；</w:t>
            </w:r>
          </w:p>
          <w:p w14:paraId="16C9198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2）高处作业时未系安全带，或安全带挂系不牢；</w:t>
            </w:r>
          </w:p>
          <w:p w14:paraId="3BE42D86">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3）安全带不合格、脚手架固定不牢或强度不够；</w:t>
            </w:r>
          </w:p>
          <w:p w14:paraId="3BB3485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4）违反“十不登高”制度；</w:t>
            </w:r>
          </w:p>
          <w:p w14:paraId="67EB299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5）未穿防滑鞋、紧身工作服；</w:t>
            </w:r>
          </w:p>
          <w:p w14:paraId="43A6721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6）违章作业、违章指挥、违反劳动纪律；</w:t>
            </w:r>
          </w:p>
          <w:p w14:paraId="6373FB6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7）情绪不稳定，疲劳作业，身体有疾病、工作时精力不集中。</w:t>
            </w:r>
          </w:p>
        </w:tc>
        <w:tc>
          <w:tcPr>
            <w:tcW w:w="623" w:type="dxa"/>
            <w:vAlign w:val="center"/>
          </w:tcPr>
          <w:p w14:paraId="73817656">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人员伤害</w:t>
            </w:r>
          </w:p>
        </w:tc>
        <w:tc>
          <w:tcPr>
            <w:tcW w:w="567" w:type="dxa"/>
            <w:vAlign w:val="center"/>
          </w:tcPr>
          <w:p w14:paraId="48A5B71B">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Ⅱ</w:t>
            </w:r>
          </w:p>
        </w:tc>
        <w:tc>
          <w:tcPr>
            <w:tcW w:w="567" w:type="dxa"/>
            <w:vAlign w:val="center"/>
          </w:tcPr>
          <w:p w14:paraId="186E5603">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临界的</w:t>
            </w:r>
          </w:p>
        </w:tc>
        <w:tc>
          <w:tcPr>
            <w:tcW w:w="2694" w:type="dxa"/>
            <w:vAlign w:val="center"/>
          </w:tcPr>
          <w:p w14:paraId="5BE6645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1）登高作业人员必须在身心健康状态下登高作业，必须严格执行“十不登高”；2）登高作业人员必须穿戴防滑鞋、紧身工作服、安全帽，系好安全带；</w:t>
            </w:r>
          </w:p>
          <w:p w14:paraId="30A440B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3）事先搭设脚手架等安全设施；</w:t>
            </w:r>
          </w:p>
          <w:p w14:paraId="2854520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4）在屋顶等高处作业顶设防护栏杆、安全网；</w:t>
            </w:r>
          </w:p>
          <w:p w14:paraId="45DC89D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5）安全带安全网、栏杆、护墙要定期检查确保完好；</w:t>
            </w:r>
          </w:p>
          <w:p w14:paraId="38A039F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6）六级以上大风、暴雨、雷电、霜冻、大雾、积雪等恶劣气候条件下尽可能避免高处作业；</w:t>
            </w:r>
          </w:p>
          <w:p w14:paraId="75DCC285">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7）可以在地面做的作业，尽量不要安排在高处做，即"尽可能高处作业平地做；</w:t>
            </w:r>
          </w:p>
          <w:p w14:paraId="311F69F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8）加强对登高作业人员的安全教育、</w:t>
            </w:r>
            <w:r>
              <w:fldChar w:fldCharType="begin"/>
            </w:r>
            <w:r>
              <w:instrText xml:space="preserve"> HYPERLINK "http://www.aqpx.cn/" \t "_blank" </w:instrText>
            </w:r>
            <w:r>
              <w:fldChar w:fldCharType="separate"/>
            </w:r>
            <w:r>
              <w:rPr>
                <w:rFonts w:hint="eastAsia" w:ascii="宋体" w:hAnsi="宋体" w:cs="宋体"/>
                <w:b w:val="0"/>
                <w:bCs/>
                <w:color w:val="000000"/>
                <w:szCs w:val="21"/>
              </w:rPr>
              <w:t>培训</w:t>
            </w:r>
            <w:r>
              <w:rPr>
                <w:rFonts w:hint="eastAsia" w:ascii="宋体" w:hAnsi="宋体" w:cs="宋体"/>
                <w:b w:val="0"/>
                <w:bCs/>
                <w:color w:val="000000"/>
                <w:szCs w:val="21"/>
              </w:rPr>
              <w:fldChar w:fldCharType="end"/>
            </w:r>
            <w:r>
              <w:rPr>
                <w:rFonts w:hint="eastAsia" w:ascii="宋体" w:hAnsi="宋体" w:cs="宋体"/>
                <w:b w:val="0"/>
                <w:bCs/>
                <w:color w:val="000000"/>
                <w:szCs w:val="21"/>
              </w:rPr>
              <w:t>、考核工作；</w:t>
            </w:r>
          </w:p>
          <w:p w14:paraId="1D3025AF">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8）坚决杜绝登高作业中的"三违"。</w:t>
            </w:r>
          </w:p>
        </w:tc>
      </w:tr>
      <w:tr w14:paraId="5C75C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328" w:hRule="atLeast"/>
          <w:jc w:val="center"/>
        </w:trPr>
        <w:tc>
          <w:tcPr>
            <w:tcW w:w="874" w:type="dxa"/>
            <w:vAlign w:val="center"/>
          </w:tcPr>
          <w:p w14:paraId="5247F5D5">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物体</w:t>
            </w:r>
          </w:p>
          <w:p w14:paraId="2DAEC2B3">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打击</w:t>
            </w:r>
          </w:p>
        </w:tc>
        <w:tc>
          <w:tcPr>
            <w:tcW w:w="2329" w:type="dxa"/>
            <w:vAlign w:val="center"/>
          </w:tcPr>
          <w:p w14:paraId="24700A1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1）高处有未被固定的物体被碰撞或风吹等坠落；</w:t>
            </w:r>
          </w:p>
          <w:p w14:paraId="794015F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2）工具、器具等抛掷；</w:t>
            </w:r>
          </w:p>
          <w:p w14:paraId="2A98212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3）违章作业、违章指挥、违法操作规范</w:t>
            </w:r>
          </w:p>
          <w:p w14:paraId="293D202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4）设施坍塌；</w:t>
            </w:r>
          </w:p>
          <w:p w14:paraId="29072E1E">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5）碎片抛掷、飞溅；</w:t>
            </w:r>
          </w:p>
          <w:p w14:paraId="1381065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6）防护用品和工具质量缺陷或使用不当。</w:t>
            </w:r>
          </w:p>
        </w:tc>
        <w:tc>
          <w:tcPr>
            <w:tcW w:w="1867" w:type="dxa"/>
            <w:vAlign w:val="center"/>
          </w:tcPr>
          <w:p w14:paraId="57DD48D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1）未戴安全帽；</w:t>
            </w:r>
          </w:p>
          <w:p w14:paraId="5F3F548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2）在起重或高处作业区域行进、停留；</w:t>
            </w:r>
          </w:p>
          <w:p w14:paraId="1B9A1696">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3）堆垛不稳，叉车操作发生失误；</w:t>
            </w:r>
          </w:p>
          <w:p w14:paraId="016128A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4）燃爆事故波及。</w:t>
            </w:r>
          </w:p>
        </w:tc>
        <w:tc>
          <w:tcPr>
            <w:tcW w:w="623" w:type="dxa"/>
            <w:vMerge w:val="restart"/>
            <w:vAlign w:val="center"/>
          </w:tcPr>
          <w:p w14:paraId="07622076">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人员伤亡财产损失</w:t>
            </w:r>
          </w:p>
        </w:tc>
        <w:tc>
          <w:tcPr>
            <w:tcW w:w="567" w:type="dxa"/>
            <w:vMerge w:val="restart"/>
            <w:vAlign w:val="center"/>
          </w:tcPr>
          <w:p w14:paraId="5A83F767">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Ⅱ</w:t>
            </w:r>
          </w:p>
        </w:tc>
        <w:tc>
          <w:tcPr>
            <w:tcW w:w="567" w:type="dxa"/>
            <w:vMerge w:val="restart"/>
            <w:vAlign w:val="center"/>
          </w:tcPr>
          <w:p w14:paraId="13B71A07">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临界的</w:t>
            </w:r>
          </w:p>
        </w:tc>
        <w:tc>
          <w:tcPr>
            <w:tcW w:w="2694" w:type="dxa"/>
            <w:vMerge w:val="restart"/>
            <w:vAlign w:val="center"/>
          </w:tcPr>
          <w:p w14:paraId="726E340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1）起重设备按规定进行检查、检测、保持完好状态；</w:t>
            </w:r>
          </w:p>
          <w:p w14:paraId="08CF580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2）起重作业人员持证上岗，严格遵守"十不吊"；</w:t>
            </w:r>
          </w:p>
          <w:p w14:paraId="156FAEE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3）高处作业要严格遵守"十不登高"；</w:t>
            </w:r>
          </w:p>
          <w:p w14:paraId="7896730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4）避免起重、高处作业区和其它有规范危险区域行进和停留；</w:t>
            </w:r>
          </w:p>
          <w:p w14:paraId="3EC848A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5）高处需要的物件必须合理摆放并固定牢靠；</w:t>
            </w:r>
          </w:p>
          <w:p w14:paraId="24974E6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6）及时清除、加固可能倒塌的设施；</w:t>
            </w:r>
          </w:p>
          <w:p w14:paraId="5BA6F62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7）堆垛要齐、稳、牢，常检查铲车，不能故障运行；8）加强对员工的安全意识教育，杜绝"三违"；</w:t>
            </w:r>
          </w:p>
          <w:p w14:paraId="2F3DBC8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9）加强防止物体打击的检查和安全管理工作；</w:t>
            </w:r>
          </w:p>
          <w:p w14:paraId="6E76BE7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10）作业人员、进入现场的其他人员都应穿戴必要的防护用品，特别是安全帽。</w:t>
            </w:r>
          </w:p>
        </w:tc>
      </w:tr>
      <w:tr w14:paraId="5A234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3" w:hRule="atLeast"/>
          <w:jc w:val="center"/>
        </w:trPr>
        <w:tc>
          <w:tcPr>
            <w:tcW w:w="874" w:type="dxa"/>
            <w:vAlign w:val="center"/>
          </w:tcPr>
          <w:p w14:paraId="2E7619D5">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起重</w:t>
            </w:r>
          </w:p>
          <w:p w14:paraId="03C9DD25">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致害</w:t>
            </w:r>
          </w:p>
        </w:tc>
        <w:tc>
          <w:tcPr>
            <w:tcW w:w="2329" w:type="dxa"/>
            <w:vAlign w:val="center"/>
          </w:tcPr>
          <w:p w14:paraId="723582F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1）起重作业，因捆扎不牢或有浮物、吊具强度不足、斜吊斜拉致使物体倾斜；</w:t>
            </w:r>
          </w:p>
          <w:p w14:paraId="09EE5C95">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2）吊装作业时物品坠落。</w:t>
            </w:r>
          </w:p>
        </w:tc>
        <w:tc>
          <w:tcPr>
            <w:tcW w:w="1867" w:type="dxa"/>
            <w:vAlign w:val="center"/>
          </w:tcPr>
          <w:p w14:paraId="1862769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1）吊装作业存在疏忽、吊具存在缺陷而未进行检查</w:t>
            </w:r>
          </w:p>
          <w:p w14:paraId="146CCDCF">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2）违法“十不吊”制度。</w:t>
            </w:r>
          </w:p>
        </w:tc>
        <w:tc>
          <w:tcPr>
            <w:tcW w:w="623" w:type="dxa"/>
            <w:vMerge w:val="continue"/>
            <w:vAlign w:val="center"/>
          </w:tcPr>
          <w:p w14:paraId="2D204C33">
            <w:pPr>
              <w:wordWrap w:val="0"/>
              <w:adjustRightInd w:val="0"/>
              <w:snapToGrid w:val="0"/>
              <w:jc w:val="center"/>
              <w:rPr>
                <w:rFonts w:ascii="宋体" w:hAnsi="宋体" w:cs="宋体"/>
                <w:b w:val="0"/>
                <w:bCs/>
                <w:color w:val="000000"/>
                <w:szCs w:val="21"/>
              </w:rPr>
            </w:pPr>
          </w:p>
        </w:tc>
        <w:tc>
          <w:tcPr>
            <w:tcW w:w="567" w:type="dxa"/>
            <w:vMerge w:val="continue"/>
            <w:vAlign w:val="center"/>
          </w:tcPr>
          <w:p w14:paraId="4B181DBD">
            <w:pPr>
              <w:wordWrap w:val="0"/>
              <w:adjustRightInd w:val="0"/>
              <w:snapToGrid w:val="0"/>
              <w:jc w:val="center"/>
              <w:rPr>
                <w:rFonts w:ascii="宋体" w:hAnsi="宋体" w:cs="宋体"/>
                <w:b w:val="0"/>
                <w:bCs/>
                <w:color w:val="000000"/>
                <w:szCs w:val="21"/>
              </w:rPr>
            </w:pPr>
          </w:p>
        </w:tc>
        <w:tc>
          <w:tcPr>
            <w:tcW w:w="567" w:type="dxa"/>
            <w:vMerge w:val="continue"/>
            <w:vAlign w:val="center"/>
          </w:tcPr>
          <w:p w14:paraId="7739B3FF">
            <w:pPr>
              <w:wordWrap w:val="0"/>
              <w:adjustRightInd w:val="0"/>
              <w:snapToGrid w:val="0"/>
              <w:jc w:val="center"/>
              <w:rPr>
                <w:rFonts w:ascii="宋体" w:hAnsi="宋体" w:cs="宋体"/>
                <w:b w:val="0"/>
                <w:bCs/>
                <w:color w:val="000000"/>
                <w:szCs w:val="21"/>
              </w:rPr>
            </w:pPr>
          </w:p>
        </w:tc>
        <w:tc>
          <w:tcPr>
            <w:tcW w:w="2694" w:type="dxa"/>
            <w:vMerge w:val="continue"/>
            <w:vAlign w:val="center"/>
          </w:tcPr>
          <w:p w14:paraId="7BBB43C1">
            <w:pPr>
              <w:wordWrap w:val="0"/>
              <w:adjustRightInd w:val="0"/>
              <w:snapToGrid w:val="0"/>
              <w:jc w:val="left"/>
              <w:rPr>
                <w:rFonts w:ascii="宋体" w:hAnsi="宋体" w:cs="宋体"/>
                <w:b w:val="0"/>
                <w:bCs/>
                <w:color w:val="000000"/>
                <w:szCs w:val="21"/>
              </w:rPr>
            </w:pPr>
          </w:p>
        </w:tc>
      </w:tr>
      <w:tr w14:paraId="6DCB8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578" w:hRule="atLeast"/>
          <w:jc w:val="center"/>
        </w:trPr>
        <w:tc>
          <w:tcPr>
            <w:tcW w:w="874" w:type="dxa"/>
            <w:vAlign w:val="center"/>
          </w:tcPr>
          <w:p w14:paraId="16A942DD">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机械</w:t>
            </w:r>
          </w:p>
          <w:p w14:paraId="7676DC78">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致害</w:t>
            </w:r>
          </w:p>
        </w:tc>
        <w:tc>
          <w:tcPr>
            <w:tcW w:w="2329" w:type="dxa"/>
            <w:vAlign w:val="center"/>
          </w:tcPr>
          <w:p w14:paraId="48F4CCA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1）在土建施工、设备安装时，不注意而被碰、割、砸；</w:t>
            </w:r>
          </w:p>
          <w:p w14:paraId="725CBDA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2）衣物等被绞入转动设备；</w:t>
            </w:r>
          </w:p>
          <w:p w14:paraId="6AE54B7E">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3）旋转、往复、滑动设备、物体撞击伤人；</w:t>
            </w:r>
          </w:p>
          <w:p w14:paraId="798E231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4）切割刀具、突出的机械部分、毛坯及工具设备边缘毛刺或锋利处碰伤；</w:t>
            </w:r>
          </w:p>
          <w:p w14:paraId="5CE464F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5）运转设备或部件发生意外损坏飞溅伤人。</w:t>
            </w:r>
          </w:p>
        </w:tc>
        <w:tc>
          <w:tcPr>
            <w:tcW w:w="1867" w:type="dxa"/>
            <w:vAlign w:val="center"/>
          </w:tcPr>
          <w:p w14:paraId="4101780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1）工作中注意力不集中；</w:t>
            </w:r>
          </w:p>
          <w:p w14:paraId="70673FE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2）劳动防护用品未正确穿戴；</w:t>
            </w:r>
          </w:p>
          <w:p w14:paraId="440C193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3）违章作业；</w:t>
            </w:r>
          </w:p>
          <w:p w14:paraId="1F308D7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4）设备或部件存在故障、缺陷。</w:t>
            </w:r>
          </w:p>
        </w:tc>
        <w:tc>
          <w:tcPr>
            <w:tcW w:w="623" w:type="dxa"/>
            <w:vAlign w:val="center"/>
          </w:tcPr>
          <w:p w14:paraId="24B05F22">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人体伤害</w:t>
            </w:r>
          </w:p>
        </w:tc>
        <w:tc>
          <w:tcPr>
            <w:tcW w:w="567" w:type="dxa"/>
            <w:vAlign w:val="center"/>
          </w:tcPr>
          <w:p w14:paraId="1D3E5EB7">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Ⅱ</w:t>
            </w:r>
          </w:p>
        </w:tc>
        <w:tc>
          <w:tcPr>
            <w:tcW w:w="567" w:type="dxa"/>
            <w:vAlign w:val="center"/>
          </w:tcPr>
          <w:p w14:paraId="7CC45144">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临界的</w:t>
            </w:r>
          </w:p>
        </w:tc>
        <w:tc>
          <w:tcPr>
            <w:tcW w:w="2694" w:type="dxa"/>
            <w:vAlign w:val="center"/>
          </w:tcPr>
          <w:p w14:paraId="126EA62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1）工作时注意力要集中，要注意观察；</w:t>
            </w:r>
          </w:p>
          <w:p w14:paraId="39E8D0CE">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2）正确穿戴好劳动防护用品；</w:t>
            </w:r>
          </w:p>
          <w:p w14:paraId="339F2FE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3）作业过程中严格遵守操作规程；</w:t>
            </w:r>
          </w:p>
          <w:p w14:paraId="7CFC715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4）设备转动部分设置防护罩（如外露轴等）；</w:t>
            </w:r>
          </w:p>
          <w:p w14:paraId="7B946BE5">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5）危险运动部位的周围应设置防护栅栏；</w:t>
            </w:r>
          </w:p>
          <w:p w14:paraId="07FC1C0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6）机器设备要定期检查、检修，保证其完好状态。</w:t>
            </w:r>
          </w:p>
        </w:tc>
      </w:tr>
      <w:tr w14:paraId="38B04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405" w:hRule="atLeast"/>
          <w:jc w:val="center"/>
        </w:trPr>
        <w:tc>
          <w:tcPr>
            <w:tcW w:w="874" w:type="dxa"/>
            <w:vAlign w:val="center"/>
          </w:tcPr>
          <w:p w14:paraId="341E7AC9">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厂(场)内车辆致害</w:t>
            </w:r>
          </w:p>
        </w:tc>
        <w:tc>
          <w:tcPr>
            <w:tcW w:w="2329" w:type="dxa"/>
            <w:vAlign w:val="center"/>
          </w:tcPr>
          <w:p w14:paraId="1059487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1）车辆有故障，如刹车、阻火器不灵、无效等；</w:t>
            </w:r>
          </w:p>
          <w:p w14:paraId="4C3DAFB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2）车速太快；</w:t>
            </w:r>
          </w:p>
          <w:p w14:paraId="758B831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3）路面不好，如有缺陷、障碍物、冰雪等；</w:t>
            </w:r>
          </w:p>
          <w:p w14:paraId="04318B6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4）超载驾驶。</w:t>
            </w:r>
          </w:p>
        </w:tc>
        <w:tc>
          <w:tcPr>
            <w:tcW w:w="1867" w:type="dxa"/>
            <w:vAlign w:val="center"/>
          </w:tcPr>
          <w:p w14:paraId="7BBE047F">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1）驾驶员违章行驶；</w:t>
            </w:r>
          </w:p>
          <w:p w14:paraId="43BF75A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2）驾驶员精力不集中；</w:t>
            </w:r>
          </w:p>
          <w:p w14:paraId="231212F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3）酒后驾车；</w:t>
            </w:r>
          </w:p>
          <w:p w14:paraId="076D57A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4）疲劳驾车；</w:t>
            </w:r>
          </w:p>
          <w:p w14:paraId="08C8930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5）驾驶员心境差，激情驾驶等。</w:t>
            </w:r>
          </w:p>
        </w:tc>
        <w:tc>
          <w:tcPr>
            <w:tcW w:w="623" w:type="dxa"/>
            <w:vAlign w:val="center"/>
          </w:tcPr>
          <w:p w14:paraId="11BD934B">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人员伤害撞坏管线设备等，造成泄漏引发二次事故</w:t>
            </w:r>
          </w:p>
        </w:tc>
        <w:tc>
          <w:tcPr>
            <w:tcW w:w="567" w:type="dxa"/>
            <w:vAlign w:val="center"/>
          </w:tcPr>
          <w:p w14:paraId="30C8619D">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Ⅱ</w:t>
            </w:r>
          </w:p>
        </w:tc>
        <w:tc>
          <w:tcPr>
            <w:tcW w:w="567" w:type="dxa"/>
            <w:vAlign w:val="center"/>
          </w:tcPr>
          <w:p w14:paraId="125594D0">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临界的</w:t>
            </w:r>
          </w:p>
        </w:tc>
        <w:tc>
          <w:tcPr>
            <w:tcW w:w="2694" w:type="dxa"/>
            <w:vAlign w:val="center"/>
          </w:tcPr>
          <w:p w14:paraId="783A9BB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1）增设交通标志（特别是限速行驶标志）；</w:t>
            </w:r>
          </w:p>
          <w:p w14:paraId="7B73D4F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2）保持路面状态良好；</w:t>
            </w:r>
          </w:p>
          <w:p w14:paraId="25BE687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3）管线等不设在紧靠路边；</w:t>
            </w:r>
          </w:p>
          <w:p w14:paraId="14B9870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4）驾驶员遵守交通规则，道路行驶不违章；</w:t>
            </w:r>
          </w:p>
          <w:p w14:paraId="2C7CDD9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5）加强驾驶员的教育、培训和管理（如要求行驶时不吸烟、不谈话、不疲劳驾驶、不酒后驾驶、不激情加速，行驶时注意观察、集中注意力等）；</w:t>
            </w:r>
          </w:p>
          <w:p w14:paraId="4D4D0A5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6）行驶车辆无故障，保持完好状态；</w:t>
            </w:r>
          </w:p>
          <w:p w14:paraId="1F91D54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7）车辆不超载、不超速行驶。</w:t>
            </w:r>
          </w:p>
        </w:tc>
      </w:tr>
      <w:tr w14:paraId="2BB8F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37" w:hRule="atLeast"/>
          <w:jc w:val="center"/>
        </w:trPr>
        <w:tc>
          <w:tcPr>
            <w:tcW w:w="874" w:type="dxa"/>
            <w:vAlign w:val="center"/>
          </w:tcPr>
          <w:p w14:paraId="24217790">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火灾</w:t>
            </w:r>
          </w:p>
        </w:tc>
        <w:tc>
          <w:tcPr>
            <w:tcW w:w="2329" w:type="dxa"/>
            <w:vAlign w:val="center"/>
          </w:tcPr>
          <w:p w14:paraId="32F498AB">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明火、火花</w:t>
            </w:r>
          </w:p>
        </w:tc>
        <w:tc>
          <w:tcPr>
            <w:tcW w:w="1867" w:type="dxa"/>
            <w:vAlign w:val="center"/>
          </w:tcPr>
          <w:p w14:paraId="6C91AB4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1）电火花；</w:t>
            </w:r>
          </w:p>
          <w:p w14:paraId="2B65278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2）吸烟；</w:t>
            </w:r>
          </w:p>
          <w:p w14:paraId="62AB14D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3）使用明火。</w:t>
            </w:r>
          </w:p>
        </w:tc>
        <w:tc>
          <w:tcPr>
            <w:tcW w:w="623" w:type="dxa"/>
            <w:vAlign w:val="center"/>
          </w:tcPr>
          <w:p w14:paraId="584AE33A">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人员伤亡造成严重经济损失</w:t>
            </w:r>
          </w:p>
        </w:tc>
        <w:tc>
          <w:tcPr>
            <w:tcW w:w="567" w:type="dxa"/>
            <w:vAlign w:val="center"/>
          </w:tcPr>
          <w:p w14:paraId="4BFC1C95">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Ⅲ</w:t>
            </w:r>
          </w:p>
        </w:tc>
        <w:tc>
          <w:tcPr>
            <w:tcW w:w="567" w:type="dxa"/>
            <w:vAlign w:val="center"/>
          </w:tcPr>
          <w:p w14:paraId="21E16B47">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危险的</w:t>
            </w:r>
          </w:p>
        </w:tc>
        <w:tc>
          <w:tcPr>
            <w:tcW w:w="2694" w:type="dxa"/>
            <w:vAlign w:val="center"/>
          </w:tcPr>
          <w:p w14:paraId="5FDD52E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1）控制与消除火源：电焊、氧割、切割不设在易燃物料区；</w:t>
            </w:r>
          </w:p>
          <w:p w14:paraId="48C1D556">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2）加强用电安全管理，临时线路安装符合规范要求；3）加强巡回检查，发现问题及时处理；</w:t>
            </w:r>
          </w:p>
          <w:p w14:paraId="4F221C4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4）严格执行动火作业票制度；</w:t>
            </w:r>
          </w:p>
          <w:p w14:paraId="6AA3E06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5）杜绝“三违”（违章作业、违章指挥、违反劳动纪律）；</w:t>
            </w:r>
          </w:p>
          <w:p w14:paraId="2BE4BEF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6）严防车辆撞坏管线；</w:t>
            </w:r>
          </w:p>
          <w:p w14:paraId="017FB526">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7）易燃易爆物料区域严禁烟火；</w:t>
            </w:r>
          </w:p>
          <w:p w14:paraId="1B551FF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8）制定应急处置措施，做好消防演练和应急救援工作。</w:t>
            </w:r>
          </w:p>
        </w:tc>
      </w:tr>
      <w:tr w14:paraId="5B2A2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874" w:type="dxa"/>
            <w:vAlign w:val="center"/>
          </w:tcPr>
          <w:p w14:paraId="71901017">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触电</w:t>
            </w:r>
          </w:p>
        </w:tc>
        <w:tc>
          <w:tcPr>
            <w:tcW w:w="2329" w:type="dxa"/>
            <w:vAlign w:val="center"/>
          </w:tcPr>
          <w:p w14:paraId="3EC6261F">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1）电气设备、临时电源漏电；</w:t>
            </w:r>
          </w:p>
          <w:p w14:paraId="52B15ABD">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2）安全距离不够；</w:t>
            </w:r>
          </w:p>
          <w:p w14:paraId="78F2D89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3）绝缘损坏、老化；</w:t>
            </w:r>
          </w:p>
          <w:p w14:paraId="176B906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4）保护接地、接零不当；</w:t>
            </w:r>
          </w:p>
          <w:p w14:paraId="148F121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5）防护用品和工具质量缺陷或使用不当；</w:t>
            </w:r>
          </w:p>
          <w:p w14:paraId="4FB5B3F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6）手动电动工具类别选择不当或使用不当，疏于管理；</w:t>
            </w:r>
          </w:p>
          <w:p w14:paraId="08C568F1">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7）雷击。</w:t>
            </w:r>
          </w:p>
        </w:tc>
        <w:tc>
          <w:tcPr>
            <w:tcW w:w="1867" w:type="dxa"/>
            <w:vAlign w:val="center"/>
          </w:tcPr>
          <w:p w14:paraId="18579C1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1）手及人体其它部位、随身金属物品触及带电体，或因空气潮湿，安全距离不够，造成电击穿；</w:t>
            </w:r>
          </w:p>
          <w:p w14:paraId="740C4DE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2）电气设备漏电、绝缘损坏，接地不良；</w:t>
            </w:r>
          </w:p>
          <w:p w14:paraId="1715D3E4">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3）防护用品、电动工具有缺陷，使用方法违反规程、规定；</w:t>
            </w:r>
          </w:p>
          <w:p w14:paraId="3B6E8933">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4）电工违章作业或非电工违章操作；</w:t>
            </w:r>
          </w:p>
          <w:p w14:paraId="1A924C4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5）雷击。</w:t>
            </w:r>
          </w:p>
        </w:tc>
        <w:tc>
          <w:tcPr>
            <w:tcW w:w="623" w:type="dxa"/>
            <w:vAlign w:val="center"/>
          </w:tcPr>
          <w:p w14:paraId="79854F6D">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人员伤亡引发二次事故</w:t>
            </w:r>
          </w:p>
        </w:tc>
        <w:tc>
          <w:tcPr>
            <w:tcW w:w="567" w:type="dxa"/>
            <w:vAlign w:val="center"/>
          </w:tcPr>
          <w:p w14:paraId="0A4510AC">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Ⅱ</w:t>
            </w:r>
          </w:p>
        </w:tc>
        <w:tc>
          <w:tcPr>
            <w:tcW w:w="567" w:type="dxa"/>
            <w:vAlign w:val="center"/>
          </w:tcPr>
          <w:p w14:paraId="169D4491">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临界的</w:t>
            </w:r>
          </w:p>
        </w:tc>
        <w:tc>
          <w:tcPr>
            <w:tcW w:w="2694" w:type="dxa"/>
            <w:vAlign w:val="center"/>
          </w:tcPr>
          <w:p w14:paraId="2A5C3D5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1）电气绝缘等级要与使用电压、环境动作条件相符，并定期检查、检测、维护、维修、保持完好状态；</w:t>
            </w:r>
          </w:p>
          <w:p w14:paraId="2FAA74E5">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2）采用遮拦、护罩、箱匣等防护措施，防止人体接触带电体；</w:t>
            </w:r>
          </w:p>
          <w:p w14:paraId="39534ECE">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3）临时架空、室内线、所有漏电设备及其检修作业要有安全距离；</w:t>
            </w:r>
          </w:p>
          <w:p w14:paraId="4C0317F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4）严格按标准要求对电气设备做好保护接地和接零保护；</w:t>
            </w:r>
          </w:p>
          <w:p w14:paraId="2DBB447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5）电焊机绝缘完好、接线不裸露，定期检测漏电，电焊作业者穿戴防护用品，注意夏季防触电，有监护和应急措施；</w:t>
            </w:r>
          </w:p>
          <w:p w14:paraId="043F162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6）根据作业场所特点正确选择Ⅰ、Ⅱ、Ⅲ类手持电动工具，确保安全可靠，并根据要求严格执行安全操作规程；</w:t>
            </w:r>
          </w:p>
          <w:p w14:paraId="0341862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7）建立、健全并严格执行电气安全规章制度和电气操作规程；</w:t>
            </w:r>
          </w:p>
          <w:p w14:paraId="03C336B2">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8）坚持对员工的电气安全操作和急救方法的培训、教育；</w:t>
            </w:r>
          </w:p>
          <w:p w14:paraId="7315FF90">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9）定期进行电气安全检查，严禁"三违"；</w:t>
            </w:r>
          </w:p>
          <w:p w14:paraId="2DFA314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10）特种气设备执行培训、持证上岗，专人使用制度；</w:t>
            </w:r>
          </w:p>
          <w:p w14:paraId="7241A37F">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11）按制度对强电线路加强管理、巡查、检修。</w:t>
            </w:r>
          </w:p>
        </w:tc>
      </w:tr>
      <w:tr w14:paraId="031DD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874" w:type="dxa"/>
            <w:vAlign w:val="center"/>
          </w:tcPr>
          <w:p w14:paraId="7A465264">
            <w:pPr>
              <w:adjustRightInd w:val="0"/>
              <w:snapToGrid w:val="0"/>
              <w:jc w:val="center"/>
              <w:rPr>
                <w:rFonts w:ascii="宋体" w:hAnsi="宋体" w:cs="宋体"/>
                <w:b w:val="0"/>
                <w:bCs/>
                <w:color w:val="000000"/>
                <w:szCs w:val="21"/>
              </w:rPr>
            </w:pPr>
            <w:r>
              <w:rPr>
                <w:rFonts w:hint="eastAsia" w:ascii="宋体" w:hAnsi="宋体" w:cs="宋体"/>
                <w:b w:val="0"/>
                <w:bCs/>
                <w:color w:val="000000"/>
                <w:szCs w:val="21"/>
              </w:rPr>
              <w:t>坍塌</w:t>
            </w:r>
          </w:p>
        </w:tc>
        <w:tc>
          <w:tcPr>
            <w:tcW w:w="2329" w:type="dxa"/>
            <w:vAlign w:val="center"/>
          </w:tcPr>
          <w:p w14:paraId="76D3D13E">
            <w:pPr>
              <w:wordWrap w:val="0"/>
              <w:adjustRightInd w:val="0"/>
              <w:snapToGrid w:val="0"/>
              <w:jc w:val="center"/>
              <w:rPr>
                <w:rFonts w:ascii="宋体" w:hAnsi="宋体" w:cs="宋体"/>
                <w:b w:val="0"/>
                <w:bCs/>
                <w:color w:val="000000"/>
                <w:szCs w:val="21"/>
              </w:rPr>
            </w:pPr>
            <w:r>
              <w:rPr>
                <w:rFonts w:hint="eastAsia" w:ascii="宋体" w:hAnsi="宋体" w:cs="宋体"/>
                <w:b w:val="0"/>
                <w:bCs/>
                <w:color w:val="000000"/>
                <w:szCs w:val="21"/>
              </w:rPr>
              <w:t>房屋坍塌</w:t>
            </w:r>
          </w:p>
        </w:tc>
        <w:tc>
          <w:tcPr>
            <w:tcW w:w="1867" w:type="dxa"/>
            <w:vAlign w:val="center"/>
          </w:tcPr>
          <w:p w14:paraId="370F2EB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拆除工房时得不到有效支撑。</w:t>
            </w:r>
          </w:p>
        </w:tc>
        <w:tc>
          <w:tcPr>
            <w:tcW w:w="623" w:type="dxa"/>
            <w:vAlign w:val="center"/>
          </w:tcPr>
          <w:p w14:paraId="5C80BBD6">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人员伤亡财产损失</w:t>
            </w:r>
          </w:p>
        </w:tc>
        <w:tc>
          <w:tcPr>
            <w:tcW w:w="567" w:type="dxa"/>
            <w:vAlign w:val="center"/>
          </w:tcPr>
          <w:p w14:paraId="51B2DCE7">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Ⅱ</w:t>
            </w:r>
          </w:p>
        </w:tc>
        <w:tc>
          <w:tcPr>
            <w:tcW w:w="567" w:type="dxa"/>
            <w:vAlign w:val="center"/>
          </w:tcPr>
          <w:p w14:paraId="55D173CA">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临界的</w:t>
            </w:r>
          </w:p>
        </w:tc>
        <w:tc>
          <w:tcPr>
            <w:tcW w:w="2694" w:type="dxa"/>
            <w:vAlign w:val="center"/>
          </w:tcPr>
          <w:p w14:paraId="5F53FF79">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1）增设安全标识、加强安全监管，无关人员不得进入作业现场；</w:t>
            </w:r>
          </w:p>
          <w:p w14:paraId="347C9ECC">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2）作业时应有专人看护、确保作业时工房内无人员；</w:t>
            </w:r>
          </w:p>
          <w:p w14:paraId="2BE4C9C8">
            <w:pPr>
              <w:wordWrap w:val="0"/>
              <w:adjustRightInd w:val="0"/>
              <w:snapToGrid w:val="0"/>
              <w:jc w:val="left"/>
              <w:rPr>
                <w:rFonts w:ascii="宋体" w:hAnsi="宋体" w:cs="宋体"/>
                <w:b w:val="0"/>
                <w:bCs/>
                <w:color w:val="000000"/>
                <w:szCs w:val="21"/>
              </w:rPr>
            </w:pPr>
            <w:r>
              <w:rPr>
                <w:rFonts w:hint="eastAsia" w:ascii="宋体" w:hAnsi="宋体" w:cs="宋体"/>
                <w:b w:val="0"/>
                <w:bCs/>
                <w:color w:val="000000"/>
                <w:szCs w:val="21"/>
              </w:rPr>
              <w:t>3）作业过程中严格遵守操作规程。</w:t>
            </w:r>
          </w:p>
        </w:tc>
      </w:tr>
    </w:tbl>
    <w:p w14:paraId="2ACFB596">
      <w:pPr>
        <w:spacing w:before="120" w:beforeLines="50" w:line="360" w:lineRule="auto"/>
        <w:ind w:firstLine="560" w:firstLineChars="200"/>
        <w:rPr>
          <w:rFonts w:ascii="宋体" w:hAnsi="宋体"/>
          <w:b w:val="0"/>
          <w:bCs/>
          <w:sz w:val="28"/>
          <w:szCs w:val="28"/>
        </w:rPr>
      </w:pPr>
      <w:r>
        <w:rPr>
          <w:rFonts w:hint="eastAsia" w:ascii="宋体" w:hAnsi="宋体"/>
          <w:b w:val="0"/>
          <w:bCs/>
          <w:sz w:val="28"/>
          <w:szCs w:val="28"/>
        </w:rPr>
        <w:t>由上述可知，建筑施工阶段存在的潜在的主要危险有害因素有：高处坠落、物体打击、起重致害、机械致害、厂（场）内车辆致害、火灾、触电和坍塌，其风险可以接受。施工过程中采取安全措施后其风险可以接受。</w:t>
      </w:r>
    </w:p>
    <w:p w14:paraId="7D76073E">
      <w:pPr>
        <w:keepNext/>
        <w:keepLines/>
        <w:spacing w:before="120" w:beforeLines="50" w:line="360" w:lineRule="auto"/>
        <w:outlineLvl w:val="1"/>
        <w:rPr>
          <w:rFonts w:ascii="黑体" w:hAnsi="宋体" w:eastAsia="黑体"/>
          <w:b w:val="0"/>
          <w:bCs/>
          <w:snapToGrid w:val="0"/>
          <w:sz w:val="30"/>
          <w:szCs w:val="30"/>
        </w:rPr>
      </w:pPr>
      <w:bookmarkStart w:id="520" w:name="_Toc239191523"/>
      <w:r>
        <w:rPr>
          <w:rFonts w:hint="eastAsia" w:ascii="黑体" w:hAnsi="宋体" w:eastAsia="黑体"/>
          <w:b w:val="0"/>
          <w:bCs/>
          <w:snapToGrid w:val="0"/>
          <w:sz w:val="30"/>
          <w:szCs w:val="30"/>
        </w:rPr>
        <w:t>5.7事故后果模拟分析（定量评价）</w:t>
      </w:r>
      <w:bookmarkEnd w:id="520"/>
    </w:p>
    <w:p w14:paraId="3400DEDE">
      <w:pPr>
        <w:spacing w:line="360" w:lineRule="auto"/>
        <w:ind w:firstLine="560" w:firstLineChars="200"/>
        <w:rPr>
          <w:rFonts w:ascii="宋体" w:hAnsi="宋体"/>
          <w:b w:val="0"/>
          <w:bCs/>
          <w:sz w:val="28"/>
          <w:szCs w:val="28"/>
        </w:rPr>
      </w:pPr>
      <w:r>
        <w:rPr>
          <w:rFonts w:hint="eastAsia" w:ascii="宋体" w:hAnsi="宋体"/>
          <w:b w:val="0"/>
          <w:bCs/>
          <w:sz w:val="28"/>
          <w:szCs w:val="28"/>
        </w:rPr>
        <w:t>事故后果模拟分析，也称为伤害、破坏范围分析，是根据事故的数学模型，应用计算数学方法，求取事故对人的伤害范围或对物体的破坏范围。液体泄漏模型、气体泄漏模型、气体绝热扩散模型、火球爆炸伤害模型、爆炸冲击波超压伤害模型、毒物泄漏扩散模型等都是事故后果模拟分析中常用的计算模型。该分析方法结果直观、可靠，可用于危险性分区、计算伤害区域内的人员及其人员的伤害程度、计算破坏范围内物体损坏的程度和直接经济损失等。</w:t>
      </w:r>
    </w:p>
    <w:p w14:paraId="2072C28B">
      <w:pPr>
        <w:spacing w:line="360" w:lineRule="auto"/>
        <w:ind w:firstLine="560" w:firstLineChars="200"/>
        <w:rPr>
          <w:rFonts w:ascii="宋体" w:hAnsi="宋体"/>
          <w:b w:val="0"/>
          <w:bCs/>
          <w:sz w:val="28"/>
          <w:szCs w:val="28"/>
        </w:rPr>
      </w:pPr>
      <w:r>
        <w:rPr>
          <w:rFonts w:hint="eastAsia" w:ascii="宋体" w:hAnsi="宋体"/>
          <w:b w:val="0"/>
          <w:bCs/>
          <w:sz w:val="28"/>
          <w:szCs w:val="28"/>
        </w:rPr>
        <w:t>该项目存在的主要事故为火灾、爆炸，其中爆炸事故后果最为严重，因此选用爆炸冲击波超压伤害模型作为事故后果模拟分析计算模型，对模拟爆炸点应用爆炸冲击波超压计算公式，用TNT当量法计算出一定量烟火药爆炸所产生的冲击波超压值，依据该冲击波超压值对人员产生伤害的程度和对建筑物产生破坏的程度，对事故造成的后果进行分析。</w:t>
      </w:r>
    </w:p>
    <w:p w14:paraId="6D9E0471">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1.模拟爆炸点的选定</w:t>
      </w:r>
    </w:p>
    <w:p w14:paraId="621D5ADC">
      <w:pPr>
        <w:spacing w:line="360" w:lineRule="auto"/>
        <w:ind w:firstLine="560" w:firstLineChars="200"/>
        <w:rPr>
          <w:rFonts w:ascii="宋体" w:hAnsi="宋体"/>
          <w:b w:val="0"/>
          <w:bCs/>
          <w:sz w:val="28"/>
          <w:szCs w:val="28"/>
        </w:rPr>
      </w:pPr>
      <w:r>
        <w:rPr>
          <w:rFonts w:hint="eastAsia" w:ascii="宋体" w:hAnsi="宋体"/>
          <w:b w:val="0"/>
          <w:bCs/>
          <w:sz w:val="28"/>
          <w:szCs w:val="28"/>
        </w:rPr>
        <w:t>本报告选择该企业危险性相对较大的</w:t>
      </w:r>
      <w:bookmarkStart w:id="521" w:name="OLE_LINK198"/>
      <w:bookmarkStart w:id="522" w:name="OLE_LINK201"/>
      <w:r>
        <w:rPr>
          <w:rFonts w:ascii="宋体" w:hAnsi="宋体" w:cs="宋体"/>
          <w:b w:val="0"/>
          <w:bCs/>
          <w:sz w:val="28"/>
          <w:szCs w:val="28"/>
        </w:rPr>
        <w:t>63</w:t>
      </w:r>
      <w:r>
        <w:rPr>
          <w:rFonts w:hint="eastAsia" w:ascii="宋体" w:hAnsi="宋体" w:cs="宋体"/>
          <w:b w:val="0"/>
          <w:bCs/>
          <w:sz w:val="28"/>
          <w:szCs w:val="28"/>
        </w:rPr>
        <w:t>#黑火药库（计算药量</w:t>
      </w:r>
      <w:r>
        <w:rPr>
          <w:rFonts w:ascii="宋体" w:hAnsi="宋体" w:cs="宋体"/>
          <w:b w:val="0"/>
          <w:bCs/>
          <w:sz w:val="28"/>
          <w:szCs w:val="28"/>
        </w:rPr>
        <w:t>700</w:t>
      </w:r>
      <w:r>
        <w:rPr>
          <w:rFonts w:hint="eastAsia" w:ascii="宋体" w:hAnsi="宋体" w:cs="宋体"/>
          <w:b w:val="0"/>
          <w:bCs/>
          <w:sz w:val="28"/>
          <w:szCs w:val="28"/>
        </w:rPr>
        <w:t>0kg）</w:t>
      </w:r>
      <w:bookmarkEnd w:id="521"/>
      <w:bookmarkEnd w:id="522"/>
      <w:r>
        <w:rPr>
          <w:rFonts w:hint="eastAsia" w:ascii="宋体" w:hAnsi="宋体"/>
          <w:b w:val="0"/>
          <w:bCs/>
          <w:sz w:val="28"/>
          <w:szCs w:val="28"/>
        </w:rPr>
        <w:t>进行事故后果（爆炸）模拟计算，并根据计算结果进行后果分析。</w:t>
      </w:r>
    </w:p>
    <w:p w14:paraId="1B3394D9">
      <w:pPr>
        <w:spacing w:line="360" w:lineRule="auto"/>
        <w:ind w:firstLine="560" w:firstLineChars="200"/>
        <w:jc w:val="left"/>
        <w:rPr>
          <w:rFonts w:ascii="宋体" w:hAnsi="宋体"/>
          <w:b w:val="0"/>
          <w:bCs/>
          <w:snapToGrid w:val="0"/>
          <w:sz w:val="28"/>
          <w:szCs w:val="28"/>
        </w:rPr>
      </w:pPr>
      <w:r>
        <w:rPr>
          <w:rFonts w:hint="eastAsia" w:ascii="宋体" w:hAnsi="宋体"/>
          <w:b w:val="0"/>
          <w:bCs/>
          <w:snapToGrid w:val="0"/>
          <w:sz w:val="28"/>
          <w:szCs w:val="28"/>
        </w:rPr>
        <w:t>（1）冲击波超压对人体的伤害</w:t>
      </w:r>
    </w:p>
    <w:p w14:paraId="24E20407">
      <w:pPr>
        <w:snapToGrid w:val="0"/>
        <w:spacing w:line="360" w:lineRule="auto"/>
        <w:ind w:firstLine="560" w:firstLineChars="200"/>
        <w:jc w:val="left"/>
        <w:rPr>
          <w:rFonts w:ascii="宋体" w:hAnsi="宋体"/>
          <w:b w:val="0"/>
          <w:bCs/>
          <w:sz w:val="28"/>
          <w:szCs w:val="28"/>
        </w:rPr>
      </w:pPr>
      <w:r>
        <w:rPr>
          <w:rFonts w:hint="eastAsia" w:ascii="宋体" w:hAnsi="宋体"/>
          <w:b w:val="0"/>
          <w:bCs/>
          <w:sz w:val="28"/>
          <w:szCs w:val="28"/>
        </w:rPr>
        <w:t>冲击波超压对人体的伤害程度见表5</w:t>
      </w:r>
      <w:r>
        <w:rPr>
          <w:rFonts w:ascii="宋体" w:hAnsi="宋体"/>
          <w:b w:val="0"/>
          <w:bCs/>
          <w:sz w:val="28"/>
          <w:szCs w:val="28"/>
        </w:rPr>
        <w:t>.7</w:t>
      </w:r>
      <w:r>
        <w:rPr>
          <w:rFonts w:hint="eastAsia" w:ascii="宋体" w:hAnsi="宋体"/>
          <w:b w:val="0"/>
          <w:bCs/>
          <w:sz w:val="28"/>
          <w:szCs w:val="28"/>
        </w:rPr>
        <w:t>-</w:t>
      </w:r>
      <w:r>
        <w:rPr>
          <w:rFonts w:ascii="宋体" w:hAnsi="宋体"/>
          <w:b w:val="0"/>
          <w:bCs/>
          <w:sz w:val="28"/>
          <w:szCs w:val="28"/>
        </w:rPr>
        <w:t>1</w:t>
      </w:r>
      <w:r>
        <w:rPr>
          <w:rFonts w:hint="eastAsia" w:ascii="宋体" w:hAnsi="宋体"/>
          <w:b w:val="0"/>
          <w:bCs/>
          <w:sz w:val="28"/>
          <w:szCs w:val="28"/>
        </w:rPr>
        <w:t>。</w:t>
      </w:r>
    </w:p>
    <w:p w14:paraId="0DC1470E">
      <w:pPr>
        <w:snapToGrid w:val="0"/>
        <w:jc w:val="center"/>
        <w:rPr>
          <w:rFonts w:ascii="黑体" w:hAnsi="黑体" w:eastAsia="黑体"/>
          <w:b w:val="0"/>
          <w:bCs/>
          <w:sz w:val="24"/>
        </w:rPr>
      </w:pPr>
      <w:r>
        <w:rPr>
          <w:rFonts w:hint="eastAsia" w:ascii="黑体" w:hAnsi="黑体" w:eastAsia="黑体"/>
          <w:b w:val="0"/>
          <w:bCs/>
          <w:sz w:val="24"/>
        </w:rPr>
        <w:t>表5</w:t>
      </w:r>
      <w:r>
        <w:rPr>
          <w:rFonts w:ascii="黑体" w:hAnsi="黑体" w:eastAsia="黑体"/>
          <w:b w:val="0"/>
          <w:bCs/>
          <w:sz w:val="24"/>
        </w:rPr>
        <w:t>.7</w:t>
      </w:r>
      <w:r>
        <w:rPr>
          <w:rFonts w:hint="eastAsia" w:ascii="黑体" w:hAnsi="黑体" w:eastAsia="黑体"/>
          <w:b w:val="0"/>
          <w:bCs/>
          <w:sz w:val="24"/>
        </w:rPr>
        <w:t>-</w:t>
      </w:r>
      <w:r>
        <w:rPr>
          <w:rFonts w:ascii="黑体" w:hAnsi="黑体" w:eastAsia="黑体"/>
          <w:b w:val="0"/>
          <w:bCs/>
          <w:sz w:val="24"/>
        </w:rPr>
        <w:t>1</w:t>
      </w:r>
      <w:r>
        <w:rPr>
          <w:rFonts w:hint="eastAsia" w:ascii="黑体" w:hAnsi="黑体" w:eastAsia="黑体"/>
          <w:b w:val="0"/>
          <w:bCs/>
          <w:sz w:val="24"/>
        </w:rPr>
        <w:t xml:space="preserve">  冲击波超压对人体的伤害程度</w:t>
      </w:r>
    </w:p>
    <w:tbl>
      <w:tblPr>
        <w:tblStyle w:val="88"/>
        <w:tblW w:w="49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37"/>
        <w:gridCol w:w="4680"/>
      </w:tblGrid>
      <w:tr w14:paraId="6D6DBB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1" w:hRule="atLeast"/>
          <w:tblHeader/>
          <w:jc w:val="center"/>
        </w:trPr>
        <w:tc>
          <w:tcPr>
            <w:tcW w:w="2461" w:type="pct"/>
            <w:tcBorders>
              <w:top w:val="single" w:color="auto" w:sz="12" w:space="0"/>
              <w:left w:val="single" w:color="auto" w:sz="12" w:space="0"/>
              <w:bottom w:val="single" w:color="auto" w:sz="6" w:space="0"/>
              <w:right w:val="single" w:color="auto" w:sz="6" w:space="0"/>
            </w:tcBorders>
            <w:vAlign w:val="center"/>
          </w:tcPr>
          <w:p w14:paraId="4ACF94A4">
            <w:pPr>
              <w:spacing w:line="400" w:lineRule="exact"/>
              <w:jc w:val="center"/>
              <w:rPr>
                <w:rFonts w:ascii="宋体" w:hAnsi="宋体"/>
                <w:bCs/>
                <w:szCs w:val="21"/>
              </w:rPr>
            </w:pPr>
            <w:r>
              <w:rPr>
                <w:rFonts w:hint="eastAsia" w:ascii="宋体" w:hAnsi="宋体"/>
                <w:bCs/>
                <w:szCs w:val="21"/>
              </w:rPr>
              <w:t>超压ΔP/10</w:t>
            </w:r>
            <w:r>
              <w:rPr>
                <w:rFonts w:hint="eastAsia" w:ascii="宋体" w:hAnsi="宋体"/>
                <w:bCs/>
                <w:szCs w:val="21"/>
                <w:vertAlign w:val="superscript"/>
              </w:rPr>
              <w:t>5</w:t>
            </w:r>
            <w:r>
              <w:rPr>
                <w:rFonts w:hint="eastAsia" w:ascii="宋体" w:hAnsi="宋体"/>
                <w:bCs/>
                <w:szCs w:val="21"/>
              </w:rPr>
              <w:t>Pa</w:t>
            </w:r>
          </w:p>
        </w:tc>
        <w:tc>
          <w:tcPr>
            <w:tcW w:w="2538" w:type="pct"/>
            <w:tcBorders>
              <w:top w:val="single" w:color="auto" w:sz="12" w:space="0"/>
              <w:left w:val="single" w:color="auto" w:sz="6" w:space="0"/>
              <w:bottom w:val="single" w:color="auto" w:sz="6" w:space="0"/>
              <w:right w:val="single" w:color="auto" w:sz="12" w:space="0"/>
            </w:tcBorders>
            <w:vAlign w:val="center"/>
          </w:tcPr>
          <w:p w14:paraId="18862608">
            <w:pPr>
              <w:spacing w:line="400" w:lineRule="exact"/>
              <w:jc w:val="center"/>
              <w:rPr>
                <w:rFonts w:ascii="宋体" w:hAnsi="宋体"/>
                <w:bCs/>
                <w:szCs w:val="21"/>
              </w:rPr>
            </w:pPr>
            <w:r>
              <w:rPr>
                <w:rFonts w:hint="eastAsia" w:ascii="宋体" w:hAnsi="宋体"/>
                <w:bCs/>
                <w:szCs w:val="21"/>
              </w:rPr>
              <w:t>伤害程度</w:t>
            </w:r>
          </w:p>
        </w:tc>
      </w:tr>
      <w:tr w14:paraId="1F27B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2461" w:type="pct"/>
            <w:tcBorders>
              <w:top w:val="single" w:color="auto" w:sz="6" w:space="0"/>
              <w:left w:val="single" w:color="auto" w:sz="12" w:space="0"/>
              <w:bottom w:val="single" w:color="auto" w:sz="6" w:space="0"/>
              <w:right w:val="single" w:color="auto" w:sz="6" w:space="0"/>
            </w:tcBorders>
            <w:vAlign w:val="center"/>
          </w:tcPr>
          <w:p w14:paraId="25B37982">
            <w:pPr>
              <w:spacing w:line="400" w:lineRule="exact"/>
              <w:jc w:val="center"/>
              <w:rPr>
                <w:rFonts w:ascii="宋体" w:hAnsi="宋体"/>
                <w:b w:val="0"/>
                <w:szCs w:val="21"/>
              </w:rPr>
            </w:pPr>
            <w:r>
              <w:rPr>
                <w:rFonts w:hint="eastAsia" w:ascii="宋体" w:hAnsi="宋体"/>
                <w:b w:val="0"/>
                <w:szCs w:val="21"/>
              </w:rPr>
              <w:t>＜ 0.2</w:t>
            </w:r>
          </w:p>
        </w:tc>
        <w:tc>
          <w:tcPr>
            <w:tcW w:w="2538" w:type="pct"/>
            <w:tcBorders>
              <w:top w:val="single" w:color="auto" w:sz="6" w:space="0"/>
              <w:left w:val="single" w:color="auto" w:sz="6" w:space="0"/>
              <w:bottom w:val="single" w:color="auto" w:sz="6" w:space="0"/>
              <w:right w:val="single" w:color="auto" w:sz="12" w:space="0"/>
            </w:tcBorders>
            <w:vAlign w:val="center"/>
          </w:tcPr>
          <w:p w14:paraId="71492BF1">
            <w:pPr>
              <w:spacing w:line="400" w:lineRule="exact"/>
              <w:jc w:val="center"/>
              <w:rPr>
                <w:rFonts w:ascii="宋体" w:hAnsi="宋体"/>
                <w:b w:val="0"/>
                <w:szCs w:val="21"/>
              </w:rPr>
            </w:pPr>
            <w:r>
              <w:rPr>
                <w:rFonts w:hint="eastAsia" w:ascii="宋体" w:hAnsi="宋体"/>
                <w:b w:val="0"/>
                <w:szCs w:val="21"/>
              </w:rPr>
              <w:t>无伤但被吓一跳</w:t>
            </w:r>
          </w:p>
        </w:tc>
      </w:tr>
      <w:tr w14:paraId="14046B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2461" w:type="pct"/>
            <w:tcBorders>
              <w:top w:val="single" w:color="auto" w:sz="6" w:space="0"/>
              <w:left w:val="single" w:color="auto" w:sz="12" w:space="0"/>
              <w:bottom w:val="single" w:color="auto" w:sz="6" w:space="0"/>
              <w:right w:val="single" w:color="auto" w:sz="6" w:space="0"/>
            </w:tcBorders>
            <w:vAlign w:val="center"/>
          </w:tcPr>
          <w:p w14:paraId="512AF92D">
            <w:pPr>
              <w:spacing w:line="400" w:lineRule="exact"/>
              <w:jc w:val="center"/>
              <w:rPr>
                <w:rFonts w:ascii="宋体" w:hAnsi="宋体"/>
                <w:b w:val="0"/>
                <w:szCs w:val="21"/>
              </w:rPr>
            </w:pPr>
            <w:r>
              <w:rPr>
                <w:rFonts w:hint="eastAsia" w:ascii="宋体" w:hAnsi="宋体"/>
                <w:b w:val="0"/>
                <w:szCs w:val="21"/>
              </w:rPr>
              <w:t>0.2～0.3</w:t>
            </w:r>
          </w:p>
        </w:tc>
        <w:tc>
          <w:tcPr>
            <w:tcW w:w="2538" w:type="pct"/>
            <w:tcBorders>
              <w:top w:val="single" w:color="auto" w:sz="6" w:space="0"/>
              <w:left w:val="single" w:color="auto" w:sz="6" w:space="0"/>
              <w:bottom w:val="single" w:color="auto" w:sz="6" w:space="0"/>
              <w:right w:val="single" w:color="auto" w:sz="12" w:space="0"/>
            </w:tcBorders>
            <w:vAlign w:val="center"/>
          </w:tcPr>
          <w:p w14:paraId="78A6046B">
            <w:pPr>
              <w:spacing w:line="400" w:lineRule="exact"/>
              <w:jc w:val="center"/>
              <w:rPr>
                <w:rFonts w:ascii="宋体" w:hAnsi="宋体"/>
                <w:b w:val="0"/>
                <w:szCs w:val="21"/>
              </w:rPr>
            </w:pPr>
            <w:r>
              <w:rPr>
                <w:rFonts w:hint="eastAsia" w:ascii="宋体" w:hAnsi="宋体"/>
                <w:b w:val="0"/>
                <w:szCs w:val="21"/>
              </w:rPr>
              <w:t>轻微伤害</w:t>
            </w:r>
          </w:p>
        </w:tc>
      </w:tr>
      <w:tr w14:paraId="13F75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2461" w:type="pct"/>
            <w:tcBorders>
              <w:top w:val="single" w:color="auto" w:sz="6" w:space="0"/>
              <w:left w:val="single" w:color="auto" w:sz="12" w:space="0"/>
              <w:bottom w:val="single" w:color="auto" w:sz="6" w:space="0"/>
              <w:right w:val="single" w:color="auto" w:sz="6" w:space="0"/>
            </w:tcBorders>
            <w:vAlign w:val="center"/>
          </w:tcPr>
          <w:p w14:paraId="0892F26F">
            <w:pPr>
              <w:spacing w:line="400" w:lineRule="exact"/>
              <w:jc w:val="center"/>
              <w:rPr>
                <w:rFonts w:ascii="宋体" w:hAnsi="宋体"/>
                <w:b w:val="0"/>
                <w:szCs w:val="21"/>
              </w:rPr>
            </w:pPr>
            <w:r>
              <w:rPr>
                <w:rFonts w:hint="eastAsia" w:ascii="宋体" w:hAnsi="宋体"/>
                <w:b w:val="0"/>
                <w:szCs w:val="21"/>
              </w:rPr>
              <w:t>0.3～0.5</w:t>
            </w:r>
          </w:p>
        </w:tc>
        <w:tc>
          <w:tcPr>
            <w:tcW w:w="2538" w:type="pct"/>
            <w:tcBorders>
              <w:top w:val="single" w:color="auto" w:sz="6" w:space="0"/>
              <w:left w:val="single" w:color="auto" w:sz="6" w:space="0"/>
              <w:bottom w:val="single" w:color="auto" w:sz="6" w:space="0"/>
              <w:right w:val="single" w:color="auto" w:sz="12" w:space="0"/>
            </w:tcBorders>
            <w:vAlign w:val="center"/>
          </w:tcPr>
          <w:p w14:paraId="086B35B0">
            <w:pPr>
              <w:spacing w:line="400" w:lineRule="exact"/>
              <w:jc w:val="center"/>
              <w:rPr>
                <w:rFonts w:ascii="宋体" w:hAnsi="宋体"/>
                <w:b w:val="0"/>
                <w:szCs w:val="21"/>
              </w:rPr>
            </w:pPr>
            <w:r>
              <w:rPr>
                <w:rFonts w:hint="eastAsia" w:ascii="宋体" w:hAnsi="宋体"/>
                <w:b w:val="0"/>
                <w:szCs w:val="21"/>
              </w:rPr>
              <w:t>听觉器官损伤或骨折</w:t>
            </w:r>
          </w:p>
        </w:tc>
      </w:tr>
      <w:tr w14:paraId="3FDD4D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2461" w:type="pct"/>
            <w:tcBorders>
              <w:top w:val="single" w:color="auto" w:sz="6" w:space="0"/>
              <w:left w:val="single" w:color="auto" w:sz="12" w:space="0"/>
              <w:bottom w:val="single" w:color="auto" w:sz="6" w:space="0"/>
              <w:right w:val="single" w:color="auto" w:sz="6" w:space="0"/>
            </w:tcBorders>
            <w:vAlign w:val="center"/>
          </w:tcPr>
          <w:p w14:paraId="13F52698">
            <w:pPr>
              <w:spacing w:line="400" w:lineRule="exact"/>
              <w:jc w:val="center"/>
              <w:rPr>
                <w:rFonts w:ascii="宋体" w:hAnsi="宋体"/>
                <w:b w:val="0"/>
                <w:szCs w:val="21"/>
              </w:rPr>
            </w:pPr>
            <w:r>
              <w:rPr>
                <w:rFonts w:hint="eastAsia" w:ascii="宋体" w:hAnsi="宋体"/>
                <w:b w:val="0"/>
                <w:szCs w:val="21"/>
              </w:rPr>
              <w:t>0.5～1.0</w:t>
            </w:r>
          </w:p>
        </w:tc>
        <w:tc>
          <w:tcPr>
            <w:tcW w:w="2538" w:type="pct"/>
            <w:tcBorders>
              <w:top w:val="single" w:color="auto" w:sz="6" w:space="0"/>
              <w:left w:val="single" w:color="auto" w:sz="6" w:space="0"/>
              <w:bottom w:val="single" w:color="auto" w:sz="6" w:space="0"/>
              <w:right w:val="single" w:color="auto" w:sz="12" w:space="0"/>
            </w:tcBorders>
            <w:vAlign w:val="center"/>
          </w:tcPr>
          <w:p w14:paraId="3ED6573B">
            <w:pPr>
              <w:spacing w:line="400" w:lineRule="exact"/>
              <w:jc w:val="center"/>
              <w:rPr>
                <w:rFonts w:ascii="宋体" w:hAnsi="宋体"/>
                <w:b w:val="0"/>
                <w:szCs w:val="21"/>
              </w:rPr>
            </w:pPr>
            <w:r>
              <w:rPr>
                <w:rFonts w:hint="eastAsia" w:ascii="宋体" w:hAnsi="宋体"/>
                <w:b w:val="0"/>
                <w:szCs w:val="21"/>
              </w:rPr>
              <w:t>内脏严重损伤或死亡</w:t>
            </w:r>
          </w:p>
        </w:tc>
      </w:tr>
      <w:tr w14:paraId="49A87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2461" w:type="pct"/>
            <w:tcBorders>
              <w:top w:val="single" w:color="auto" w:sz="6" w:space="0"/>
              <w:left w:val="single" w:color="auto" w:sz="12" w:space="0"/>
              <w:bottom w:val="single" w:color="auto" w:sz="12" w:space="0"/>
              <w:right w:val="single" w:color="auto" w:sz="6" w:space="0"/>
            </w:tcBorders>
            <w:vAlign w:val="center"/>
          </w:tcPr>
          <w:p w14:paraId="27E9496C">
            <w:pPr>
              <w:spacing w:line="400" w:lineRule="exact"/>
              <w:jc w:val="center"/>
              <w:rPr>
                <w:rFonts w:ascii="宋体" w:hAnsi="宋体"/>
                <w:b w:val="0"/>
                <w:szCs w:val="21"/>
              </w:rPr>
            </w:pPr>
            <w:r>
              <w:rPr>
                <w:rFonts w:hint="eastAsia" w:ascii="宋体" w:hAnsi="宋体"/>
                <w:b w:val="0"/>
                <w:szCs w:val="21"/>
              </w:rPr>
              <w:t>＞1.0</w:t>
            </w:r>
          </w:p>
        </w:tc>
        <w:tc>
          <w:tcPr>
            <w:tcW w:w="2538" w:type="pct"/>
            <w:tcBorders>
              <w:top w:val="single" w:color="auto" w:sz="6" w:space="0"/>
              <w:left w:val="single" w:color="auto" w:sz="6" w:space="0"/>
              <w:bottom w:val="single" w:color="auto" w:sz="12" w:space="0"/>
              <w:right w:val="single" w:color="auto" w:sz="12" w:space="0"/>
            </w:tcBorders>
            <w:vAlign w:val="center"/>
          </w:tcPr>
          <w:p w14:paraId="3BB27E6A">
            <w:pPr>
              <w:spacing w:line="400" w:lineRule="exact"/>
              <w:jc w:val="center"/>
              <w:rPr>
                <w:rFonts w:ascii="宋体" w:hAnsi="宋体"/>
                <w:b w:val="0"/>
                <w:szCs w:val="21"/>
              </w:rPr>
            </w:pPr>
            <w:r>
              <w:rPr>
                <w:rFonts w:hint="eastAsia" w:ascii="宋体" w:hAnsi="宋体"/>
                <w:b w:val="0"/>
                <w:szCs w:val="21"/>
              </w:rPr>
              <w:t>大部分人员死亡</w:t>
            </w:r>
          </w:p>
        </w:tc>
      </w:tr>
    </w:tbl>
    <w:p w14:paraId="1117313E">
      <w:pPr>
        <w:rPr>
          <w:rFonts w:hint="eastAsia" w:ascii="宋体" w:hAnsi="宋体"/>
          <w:b w:val="0"/>
          <w:snapToGrid w:val="0"/>
          <w:sz w:val="28"/>
          <w:szCs w:val="28"/>
        </w:rPr>
      </w:pPr>
      <w:r>
        <w:rPr>
          <w:rFonts w:hint="eastAsia" w:ascii="宋体" w:hAnsi="宋体"/>
          <w:b w:val="0"/>
          <w:snapToGrid w:val="0"/>
          <w:sz w:val="28"/>
          <w:szCs w:val="28"/>
        </w:rPr>
        <w:br w:type="page"/>
      </w:r>
    </w:p>
    <w:p w14:paraId="5F9AADA4">
      <w:pPr>
        <w:spacing w:before="120" w:beforeLines="50" w:line="360" w:lineRule="auto"/>
        <w:ind w:firstLine="560" w:firstLineChars="200"/>
        <w:rPr>
          <w:rFonts w:ascii="宋体" w:hAnsi="宋体"/>
          <w:b w:val="0"/>
          <w:snapToGrid w:val="0"/>
          <w:sz w:val="28"/>
          <w:szCs w:val="28"/>
        </w:rPr>
      </w:pPr>
      <w:r>
        <w:rPr>
          <w:rFonts w:hint="eastAsia" w:ascii="宋体" w:hAnsi="宋体"/>
          <w:b w:val="0"/>
          <w:snapToGrid w:val="0"/>
          <w:sz w:val="28"/>
          <w:szCs w:val="28"/>
        </w:rPr>
        <w:t>（2）冲击波超压对建筑物的破坏</w:t>
      </w:r>
    </w:p>
    <w:p w14:paraId="4C045F98">
      <w:pPr>
        <w:spacing w:line="360" w:lineRule="auto"/>
        <w:ind w:firstLine="560" w:firstLineChars="200"/>
        <w:jc w:val="left"/>
        <w:rPr>
          <w:rFonts w:ascii="黑体" w:hAnsi="黑体" w:eastAsia="黑体"/>
          <w:b w:val="0"/>
          <w:bCs/>
          <w:sz w:val="24"/>
        </w:rPr>
      </w:pPr>
      <w:r>
        <w:rPr>
          <w:rFonts w:hint="eastAsia" w:ascii="宋体" w:hAnsi="宋体"/>
          <w:b w:val="0"/>
          <w:sz w:val="28"/>
          <w:szCs w:val="28"/>
        </w:rPr>
        <w:t>冲击波超压对建筑物的破坏等级及对应的破坏程度见表5</w:t>
      </w:r>
      <w:r>
        <w:rPr>
          <w:rFonts w:ascii="宋体" w:hAnsi="宋体"/>
          <w:b w:val="0"/>
          <w:sz w:val="28"/>
          <w:szCs w:val="28"/>
        </w:rPr>
        <w:t>.7-2</w:t>
      </w:r>
      <w:r>
        <w:rPr>
          <w:rFonts w:hint="eastAsia" w:ascii="宋体" w:hAnsi="宋体"/>
          <w:b w:val="0"/>
          <w:sz w:val="28"/>
          <w:szCs w:val="28"/>
        </w:rPr>
        <w:t>。</w:t>
      </w:r>
    </w:p>
    <w:p w14:paraId="5ED41D16">
      <w:pPr>
        <w:snapToGrid w:val="0"/>
        <w:jc w:val="center"/>
        <w:rPr>
          <w:rFonts w:ascii="黑体" w:hAnsi="黑体" w:eastAsia="黑体"/>
          <w:b w:val="0"/>
          <w:bCs/>
          <w:sz w:val="24"/>
        </w:rPr>
      </w:pPr>
      <w:r>
        <w:rPr>
          <w:rFonts w:hint="eastAsia" w:ascii="黑体" w:hAnsi="黑体" w:eastAsia="黑体"/>
          <w:b w:val="0"/>
          <w:bCs/>
          <w:sz w:val="24"/>
        </w:rPr>
        <w:t>表5</w:t>
      </w:r>
      <w:r>
        <w:rPr>
          <w:rFonts w:ascii="黑体" w:hAnsi="黑体" w:eastAsia="黑体"/>
          <w:b w:val="0"/>
          <w:bCs/>
          <w:sz w:val="24"/>
        </w:rPr>
        <w:t>.7-2</w:t>
      </w:r>
      <w:r>
        <w:rPr>
          <w:rFonts w:hint="eastAsia" w:ascii="黑体" w:hAnsi="黑体" w:eastAsia="黑体"/>
          <w:b w:val="0"/>
          <w:bCs/>
          <w:sz w:val="24"/>
        </w:rPr>
        <w:t xml:space="preserve">  建筑物破坏等级与冲击波峰值超压关系表</w:t>
      </w:r>
    </w:p>
    <w:tbl>
      <w:tblPr>
        <w:tblStyle w:val="88"/>
        <w:tblW w:w="491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28" w:type="dxa"/>
          <w:bottom w:w="0" w:type="dxa"/>
          <w:right w:w="28" w:type="dxa"/>
        </w:tblCellMar>
      </w:tblPr>
      <w:tblGrid>
        <w:gridCol w:w="565"/>
        <w:gridCol w:w="615"/>
        <w:gridCol w:w="655"/>
        <w:gridCol w:w="651"/>
        <w:gridCol w:w="1048"/>
        <w:gridCol w:w="786"/>
        <w:gridCol w:w="913"/>
        <w:gridCol w:w="653"/>
        <w:gridCol w:w="615"/>
        <w:gridCol w:w="560"/>
        <w:gridCol w:w="759"/>
        <w:gridCol w:w="1149"/>
      </w:tblGrid>
      <w:tr w14:paraId="76480C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tblHeader/>
          <w:jc w:val="center"/>
        </w:trPr>
        <w:tc>
          <w:tcPr>
            <w:tcW w:w="315" w:type="pct"/>
            <w:vMerge w:val="restart"/>
            <w:tcBorders>
              <w:top w:val="single" w:color="000000" w:sz="12" w:space="0"/>
              <w:left w:val="single" w:color="000000" w:sz="12" w:space="0"/>
              <w:bottom w:val="single" w:color="000000" w:sz="4" w:space="0"/>
              <w:right w:val="single" w:color="000000" w:sz="4" w:space="0"/>
            </w:tcBorders>
            <w:vAlign w:val="center"/>
          </w:tcPr>
          <w:p w14:paraId="0A6CD127">
            <w:pPr>
              <w:jc w:val="center"/>
              <w:rPr>
                <w:rFonts w:ascii="宋体" w:hAnsi="宋体"/>
                <w:spacing w:val="-4"/>
                <w:szCs w:val="21"/>
              </w:rPr>
            </w:pPr>
            <w:r>
              <w:rPr>
                <w:rFonts w:hint="eastAsia" w:ascii="宋体" w:hAnsi="宋体"/>
                <w:spacing w:val="-4"/>
                <w:szCs w:val="21"/>
              </w:rPr>
              <w:t>破坏等级</w:t>
            </w:r>
          </w:p>
        </w:tc>
        <w:tc>
          <w:tcPr>
            <w:tcW w:w="343" w:type="pct"/>
            <w:vMerge w:val="restart"/>
            <w:tcBorders>
              <w:top w:val="single" w:color="000000" w:sz="12" w:space="0"/>
              <w:left w:val="single" w:color="000000" w:sz="4" w:space="0"/>
              <w:bottom w:val="single" w:color="000000" w:sz="4" w:space="0"/>
              <w:right w:val="single" w:color="000000" w:sz="4" w:space="0"/>
            </w:tcBorders>
            <w:vAlign w:val="center"/>
          </w:tcPr>
          <w:p w14:paraId="0BA077D3">
            <w:pPr>
              <w:jc w:val="center"/>
              <w:rPr>
                <w:rFonts w:ascii="宋体" w:hAnsi="宋体"/>
                <w:spacing w:val="-4"/>
                <w:szCs w:val="21"/>
              </w:rPr>
            </w:pPr>
            <w:r>
              <w:rPr>
                <w:rFonts w:hint="eastAsia" w:ascii="宋体" w:hAnsi="宋体"/>
                <w:spacing w:val="-4"/>
                <w:szCs w:val="21"/>
              </w:rPr>
              <w:t>等级名称</w:t>
            </w:r>
          </w:p>
        </w:tc>
        <w:tc>
          <w:tcPr>
            <w:tcW w:w="3701" w:type="pct"/>
            <w:gridSpan w:val="9"/>
            <w:tcBorders>
              <w:top w:val="single" w:color="000000" w:sz="12" w:space="0"/>
              <w:left w:val="single" w:color="000000" w:sz="4" w:space="0"/>
              <w:bottom w:val="single" w:color="000000" w:sz="4" w:space="0"/>
              <w:right w:val="single" w:color="000000" w:sz="4" w:space="0"/>
            </w:tcBorders>
            <w:vAlign w:val="center"/>
          </w:tcPr>
          <w:p w14:paraId="2621850A">
            <w:pPr>
              <w:jc w:val="center"/>
              <w:rPr>
                <w:rFonts w:ascii="宋体" w:hAnsi="宋体"/>
                <w:spacing w:val="-4"/>
                <w:szCs w:val="21"/>
              </w:rPr>
            </w:pPr>
            <w:r>
              <w:rPr>
                <w:rFonts w:hint="eastAsia" w:ascii="宋体" w:hAnsi="宋体"/>
                <w:spacing w:val="-4"/>
                <w:szCs w:val="21"/>
              </w:rPr>
              <w:t>破坏特征描述</w:t>
            </w:r>
          </w:p>
        </w:tc>
        <w:tc>
          <w:tcPr>
            <w:tcW w:w="640" w:type="pct"/>
            <w:vMerge w:val="restart"/>
            <w:tcBorders>
              <w:top w:val="single" w:color="000000" w:sz="12" w:space="0"/>
              <w:left w:val="single" w:color="000000" w:sz="4" w:space="0"/>
              <w:bottom w:val="single" w:color="000000" w:sz="4" w:space="0"/>
              <w:right w:val="single" w:color="000000" w:sz="12" w:space="0"/>
            </w:tcBorders>
            <w:vAlign w:val="center"/>
          </w:tcPr>
          <w:p w14:paraId="6EF98AA0">
            <w:pPr>
              <w:jc w:val="center"/>
              <w:rPr>
                <w:rFonts w:ascii="宋体" w:hAnsi="宋体"/>
                <w:b w:val="0"/>
                <w:bCs/>
                <w:spacing w:val="-4"/>
                <w:szCs w:val="21"/>
              </w:rPr>
            </w:pPr>
            <w:r>
              <w:rPr>
                <w:rFonts w:hint="eastAsia" w:ascii="宋体" w:hAnsi="宋体"/>
                <w:spacing w:val="-4"/>
                <w:szCs w:val="21"/>
              </w:rPr>
              <w:t>冲击波峰值超压（</w:t>
            </w:r>
            <w:r>
              <w:rPr>
                <w:rFonts w:hint="eastAsia" w:ascii="宋体" w:hAnsi="宋体"/>
                <w:szCs w:val="21"/>
              </w:rPr>
              <w:t>ΔP/10</w:t>
            </w:r>
            <w:r>
              <w:rPr>
                <w:rFonts w:hint="eastAsia" w:ascii="宋体" w:hAnsi="宋体"/>
                <w:szCs w:val="21"/>
                <w:vertAlign w:val="superscript"/>
              </w:rPr>
              <w:t>5</w:t>
            </w:r>
            <w:r>
              <w:rPr>
                <w:rFonts w:hint="eastAsia" w:ascii="宋体" w:hAnsi="宋体"/>
                <w:szCs w:val="21"/>
              </w:rPr>
              <w:t>Pa</w:t>
            </w:r>
            <w:r>
              <w:rPr>
                <w:rFonts w:hint="eastAsia" w:ascii="宋体" w:hAnsi="宋体"/>
                <w:b w:val="0"/>
                <w:bCs/>
                <w:szCs w:val="21"/>
              </w:rPr>
              <w:t>）</w:t>
            </w:r>
          </w:p>
        </w:tc>
      </w:tr>
      <w:tr w14:paraId="1205BB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764" w:hRule="atLeast"/>
          <w:tblHeader/>
          <w:jc w:val="center"/>
        </w:trPr>
        <w:tc>
          <w:tcPr>
            <w:tcW w:w="0" w:type="auto"/>
            <w:vMerge w:val="continue"/>
            <w:tcBorders>
              <w:top w:val="single" w:color="000000" w:sz="12" w:space="0"/>
              <w:left w:val="single" w:color="000000" w:sz="12" w:space="0"/>
              <w:bottom w:val="single" w:color="000000" w:sz="4" w:space="0"/>
              <w:right w:val="single" w:color="000000" w:sz="4" w:space="0"/>
            </w:tcBorders>
            <w:vAlign w:val="center"/>
          </w:tcPr>
          <w:p w14:paraId="4517EF6C">
            <w:pPr>
              <w:widowControl/>
              <w:jc w:val="left"/>
              <w:rPr>
                <w:rFonts w:ascii="宋体" w:hAnsi="宋体"/>
                <w:spacing w:val="-4"/>
                <w:szCs w:val="21"/>
              </w:rPr>
            </w:pPr>
          </w:p>
        </w:tc>
        <w:tc>
          <w:tcPr>
            <w:tcW w:w="0" w:type="auto"/>
            <w:vMerge w:val="continue"/>
            <w:tcBorders>
              <w:top w:val="single" w:color="000000" w:sz="12" w:space="0"/>
              <w:left w:val="single" w:color="000000" w:sz="4" w:space="0"/>
              <w:bottom w:val="single" w:color="000000" w:sz="4" w:space="0"/>
              <w:right w:val="single" w:color="000000" w:sz="4" w:space="0"/>
            </w:tcBorders>
            <w:vAlign w:val="center"/>
          </w:tcPr>
          <w:p w14:paraId="4248D1BC">
            <w:pPr>
              <w:widowControl/>
              <w:jc w:val="left"/>
              <w:rPr>
                <w:rFonts w:ascii="宋体" w:hAnsi="宋体"/>
                <w:spacing w:val="-4"/>
                <w:szCs w:val="21"/>
              </w:rPr>
            </w:pPr>
          </w:p>
        </w:tc>
        <w:tc>
          <w:tcPr>
            <w:tcW w:w="365" w:type="pct"/>
            <w:tcBorders>
              <w:top w:val="single" w:color="000000" w:sz="4" w:space="0"/>
              <w:left w:val="single" w:color="000000" w:sz="4" w:space="0"/>
              <w:bottom w:val="single" w:color="000000" w:sz="4" w:space="0"/>
              <w:right w:val="single" w:color="000000" w:sz="4" w:space="0"/>
            </w:tcBorders>
            <w:vAlign w:val="center"/>
          </w:tcPr>
          <w:p w14:paraId="7EA2E86B">
            <w:pPr>
              <w:jc w:val="center"/>
              <w:rPr>
                <w:rFonts w:ascii="宋体" w:hAnsi="宋体"/>
                <w:spacing w:val="-4"/>
                <w:szCs w:val="21"/>
              </w:rPr>
            </w:pPr>
            <w:r>
              <w:rPr>
                <w:rFonts w:hint="eastAsia" w:ascii="宋体" w:hAnsi="宋体"/>
                <w:spacing w:val="-4"/>
                <w:szCs w:val="21"/>
              </w:rPr>
              <w:t>玻璃</w:t>
            </w:r>
          </w:p>
        </w:tc>
        <w:tc>
          <w:tcPr>
            <w:tcW w:w="363" w:type="pct"/>
            <w:tcBorders>
              <w:top w:val="single" w:color="000000" w:sz="4" w:space="0"/>
              <w:left w:val="single" w:color="000000" w:sz="4" w:space="0"/>
              <w:bottom w:val="single" w:color="000000" w:sz="4" w:space="0"/>
              <w:right w:val="single" w:color="000000" w:sz="4" w:space="0"/>
            </w:tcBorders>
            <w:vAlign w:val="center"/>
          </w:tcPr>
          <w:p w14:paraId="4ABB49E1">
            <w:pPr>
              <w:jc w:val="center"/>
              <w:rPr>
                <w:rFonts w:ascii="宋体" w:hAnsi="宋体"/>
                <w:spacing w:val="-4"/>
                <w:szCs w:val="21"/>
              </w:rPr>
            </w:pPr>
            <w:r>
              <w:rPr>
                <w:rFonts w:hint="eastAsia" w:ascii="宋体" w:hAnsi="宋体"/>
                <w:spacing w:val="-4"/>
                <w:szCs w:val="21"/>
              </w:rPr>
              <w:t>木门窗</w:t>
            </w:r>
          </w:p>
        </w:tc>
        <w:tc>
          <w:tcPr>
            <w:tcW w:w="584" w:type="pct"/>
            <w:tcBorders>
              <w:top w:val="single" w:color="000000" w:sz="4" w:space="0"/>
              <w:left w:val="single" w:color="000000" w:sz="4" w:space="0"/>
              <w:bottom w:val="single" w:color="000000" w:sz="4" w:space="0"/>
              <w:right w:val="single" w:color="000000" w:sz="4" w:space="0"/>
            </w:tcBorders>
            <w:vAlign w:val="center"/>
          </w:tcPr>
          <w:p w14:paraId="0E0E2411">
            <w:pPr>
              <w:jc w:val="center"/>
              <w:rPr>
                <w:rFonts w:ascii="宋体" w:hAnsi="宋体"/>
                <w:spacing w:val="-4"/>
                <w:szCs w:val="21"/>
              </w:rPr>
            </w:pPr>
            <w:r>
              <w:rPr>
                <w:rFonts w:hint="eastAsia" w:ascii="宋体" w:hAnsi="宋体"/>
                <w:spacing w:val="-4"/>
                <w:szCs w:val="21"/>
              </w:rPr>
              <w:t>砖外墙</w:t>
            </w:r>
          </w:p>
        </w:tc>
        <w:tc>
          <w:tcPr>
            <w:tcW w:w="438" w:type="pct"/>
            <w:tcBorders>
              <w:top w:val="single" w:color="000000" w:sz="4" w:space="0"/>
              <w:left w:val="single" w:color="000000" w:sz="4" w:space="0"/>
              <w:bottom w:val="single" w:color="000000" w:sz="4" w:space="0"/>
              <w:right w:val="single" w:color="000000" w:sz="4" w:space="0"/>
            </w:tcBorders>
            <w:vAlign w:val="center"/>
          </w:tcPr>
          <w:p w14:paraId="4F8A6628">
            <w:pPr>
              <w:jc w:val="center"/>
              <w:rPr>
                <w:rFonts w:ascii="宋体" w:hAnsi="宋体"/>
                <w:spacing w:val="-4"/>
                <w:szCs w:val="21"/>
              </w:rPr>
            </w:pPr>
            <w:r>
              <w:rPr>
                <w:rFonts w:hint="eastAsia" w:ascii="宋体" w:hAnsi="宋体"/>
                <w:spacing w:val="-4"/>
                <w:szCs w:val="21"/>
              </w:rPr>
              <w:t>木屋盖</w:t>
            </w:r>
          </w:p>
        </w:tc>
        <w:tc>
          <w:tcPr>
            <w:tcW w:w="509" w:type="pct"/>
            <w:tcBorders>
              <w:top w:val="single" w:color="000000" w:sz="4" w:space="0"/>
              <w:left w:val="single" w:color="000000" w:sz="4" w:space="0"/>
              <w:bottom w:val="single" w:color="000000" w:sz="4" w:space="0"/>
              <w:right w:val="single" w:color="000000" w:sz="4" w:space="0"/>
            </w:tcBorders>
            <w:vAlign w:val="center"/>
          </w:tcPr>
          <w:p w14:paraId="0B7DFF66">
            <w:pPr>
              <w:jc w:val="center"/>
              <w:rPr>
                <w:rFonts w:ascii="宋体" w:hAnsi="宋体"/>
                <w:spacing w:val="-4"/>
                <w:szCs w:val="21"/>
              </w:rPr>
            </w:pPr>
            <w:r>
              <w:rPr>
                <w:rFonts w:hint="eastAsia" w:ascii="宋体" w:hAnsi="宋体"/>
                <w:spacing w:val="-4"/>
                <w:szCs w:val="21"/>
              </w:rPr>
              <w:t>钢筋混凝土屋盖</w:t>
            </w:r>
          </w:p>
        </w:tc>
        <w:tc>
          <w:tcPr>
            <w:tcW w:w="364" w:type="pct"/>
            <w:tcBorders>
              <w:top w:val="single" w:color="000000" w:sz="4" w:space="0"/>
              <w:left w:val="single" w:color="000000" w:sz="4" w:space="0"/>
              <w:bottom w:val="single" w:color="000000" w:sz="4" w:space="0"/>
              <w:right w:val="single" w:color="000000" w:sz="4" w:space="0"/>
            </w:tcBorders>
            <w:vAlign w:val="center"/>
          </w:tcPr>
          <w:p w14:paraId="7BBBB0FC">
            <w:pPr>
              <w:jc w:val="center"/>
              <w:rPr>
                <w:rFonts w:ascii="宋体" w:hAnsi="宋体"/>
                <w:spacing w:val="-4"/>
                <w:szCs w:val="21"/>
              </w:rPr>
            </w:pPr>
            <w:r>
              <w:rPr>
                <w:rFonts w:hint="eastAsia" w:ascii="宋体" w:hAnsi="宋体"/>
                <w:spacing w:val="-4"/>
                <w:szCs w:val="21"/>
              </w:rPr>
              <w:t>瓦屋面</w:t>
            </w:r>
          </w:p>
        </w:tc>
        <w:tc>
          <w:tcPr>
            <w:tcW w:w="343" w:type="pct"/>
            <w:tcBorders>
              <w:top w:val="single" w:color="000000" w:sz="4" w:space="0"/>
              <w:left w:val="single" w:color="000000" w:sz="4" w:space="0"/>
              <w:bottom w:val="single" w:color="000000" w:sz="4" w:space="0"/>
              <w:right w:val="single" w:color="000000" w:sz="4" w:space="0"/>
            </w:tcBorders>
            <w:vAlign w:val="center"/>
          </w:tcPr>
          <w:p w14:paraId="6A81B7F1">
            <w:pPr>
              <w:jc w:val="center"/>
              <w:rPr>
                <w:rFonts w:ascii="宋体" w:hAnsi="宋体"/>
                <w:spacing w:val="-4"/>
                <w:szCs w:val="21"/>
              </w:rPr>
            </w:pPr>
            <w:r>
              <w:rPr>
                <w:rFonts w:hint="eastAsia" w:ascii="宋体" w:hAnsi="宋体"/>
                <w:spacing w:val="-4"/>
                <w:szCs w:val="21"/>
              </w:rPr>
              <w:t>顶棚</w:t>
            </w:r>
          </w:p>
        </w:tc>
        <w:tc>
          <w:tcPr>
            <w:tcW w:w="312" w:type="pct"/>
            <w:tcBorders>
              <w:top w:val="single" w:color="000000" w:sz="4" w:space="0"/>
              <w:left w:val="single" w:color="000000" w:sz="4" w:space="0"/>
              <w:bottom w:val="single" w:color="000000" w:sz="4" w:space="0"/>
              <w:right w:val="single" w:color="000000" w:sz="4" w:space="0"/>
            </w:tcBorders>
            <w:vAlign w:val="center"/>
          </w:tcPr>
          <w:p w14:paraId="0D7A9742">
            <w:pPr>
              <w:jc w:val="center"/>
              <w:rPr>
                <w:rFonts w:ascii="宋体" w:hAnsi="宋体"/>
                <w:spacing w:val="-4"/>
                <w:szCs w:val="21"/>
              </w:rPr>
            </w:pPr>
            <w:r>
              <w:rPr>
                <w:rFonts w:hint="eastAsia" w:ascii="宋体" w:hAnsi="宋体"/>
                <w:spacing w:val="-4"/>
                <w:szCs w:val="21"/>
              </w:rPr>
              <w:t>内墙</w:t>
            </w:r>
          </w:p>
        </w:tc>
        <w:tc>
          <w:tcPr>
            <w:tcW w:w="417" w:type="pct"/>
            <w:tcBorders>
              <w:top w:val="single" w:color="000000" w:sz="4" w:space="0"/>
              <w:left w:val="single" w:color="000000" w:sz="4" w:space="0"/>
              <w:bottom w:val="single" w:color="000000" w:sz="4" w:space="0"/>
              <w:right w:val="single" w:color="000000" w:sz="4" w:space="0"/>
            </w:tcBorders>
            <w:vAlign w:val="center"/>
          </w:tcPr>
          <w:p w14:paraId="3309785F">
            <w:pPr>
              <w:jc w:val="center"/>
              <w:rPr>
                <w:rFonts w:ascii="宋体" w:hAnsi="宋体"/>
                <w:spacing w:val="-4"/>
                <w:szCs w:val="21"/>
              </w:rPr>
            </w:pPr>
            <w:r>
              <w:rPr>
                <w:rFonts w:hint="eastAsia" w:ascii="宋体" w:hAnsi="宋体"/>
                <w:spacing w:val="-4"/>
                <w:szCs w:val="21"/>
              </w:rPr>
              <w:t>钢混凝土柱</w:t>
            </w:r>
          </w:p>
        </w:tc>
        <w:tc>
          <w:tcPr>
            <w:tcW w:w="0" w:type="auto"/>
            <w:vMerge w:val="continue"/>
            <w:tcBorders>
              <w:top w:val="single" w:color="000000" w:sz="12" w:space="0"/>
              <w:left w:val="single" w:color="000000" w:sz="4" w:space="0"/>
              <w:bottom w:val="single" w:color="000000" w:sz="4" w:space="0"/>
              <w:right w:val="single" w:color="000000" w:sz="12" w:space="0"/>
            </w:tcBorders>
            <w:vAlign w:val="center"/>
          </w:tcPr>
          <w:p w14:paraId="0D5BB399">
            <w:pPr>
              <w:widowControl/>
              <w:jc w:val="left"/>
              <w:rPr>
                <w:rFonts w:ascii="宋体" w:hAnsi="宋体"/>
                <w:b w:val="0"/>
                <w:bCs/>
                <w:spacing w:val="-4"/>
                <w:szCs w:val="21"/>
              </w:rPr>
            </w:pPr>
          </w:p>
        </w:tc>
      </w:tr>
      <w:tr w14:paraId="5478A8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00EFD7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一</w:t>
            </w:r>
          </w:p>
        </w:tc>
        <w:tc>
          <w:tcPr>
            <w:tcW w:w="343" w:type="pct"/>
            <w:tcBorders>
              <w:top w:val="single" w:color="000000" w:sz="4" w:space="0"/>
              <w:left w:val="single" w:color="000000" w:sz="4" w:space="0"/>
              <w:bottom w:val="single" w:color="000000" w:sz="4" w:space="0"/>
              <w:right w:val="single" w:color="000000" w:sz="4" w:space="0"/>
            </w:tcBorders>
            <w:vAlign w:val="center"/>
          </w:tcPr>
          <w:p w14:paraId="0C39E1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基本无破坏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238EC0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偶然破坏</w:t>
            </w:r>
          </w:p>
        </w:tc>
        <w:tc>
          <w:tcPr>
            <w:tcW w:w="363" w:type="pct"/>
            <w:tcBorders>
              <w:top w:val="single" w:color="000000" w:sz="4" w:space="0"/>
              <w:left w:val="single" w:color="000000" w:sz="4" w:space="0"/>
              <w:bottom w:val="single" w:color="000000" w:sz="4" w:space="0"/>
              <w:right w:val="single" w:color="000000" w:sz="4" w:space="0"/>
            </w:tcBorders>
            <w:vAlign w:val="center"/>
          </w:tcPr>
          <w:p w14:paraId="3668CD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584" w:type="pct"/>
            <w:tcBorders>
              <w:top w:val="single" w:color="000000" w:sz="4" w:space="0"/>
              <w:left w:val="single" w:color="000000" w:sz="4" w:space="0"/>
              <w:bottom w:val="single" w:color="000000" w:sz="4" w:space="0"/>
              <w:right w:val="single" w:color="000000" w:sz="4" w:space="0"/>
            </w:tcBorders>
            <w:vAlign w:val="center"/>
          </w:tcPr>
          <w:p w14:paraId="6D97F5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438" w:type="pct"/>
            <w:tcBorders>
              <w:top w:val="single" w:color="000000" w:sz="4" w:space="0"/>
              <w:left w:val="single" w:color="000000" w:sz="4" w:space="0"/>
              <w:bottom w:val="single" w:color="000000" w:sz="4" w:space="0"/>
              <w:right w:val="single" w:color="000000" w:sz="4" w:space="0"/>
            </w:tcBorders>
            <w:vAlign w:val="center"/>
          </w:tcPr>
          <w:p w14:paraId="79C507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509" w:type="pct"/>
            <w:tcBorders>
              <w:top w:val="single" w:color="000000" w:sz="4" w:space="0"/>
              <w:left w:val="single" w:color="000000" w:sz="4" w:space="0"/>
              <w:bottom w:val="single" w:color="000000" w:sz="4" w:space="0"/>
              <w:right w:val="single" w:color="000000" w:sz="4" w:space="0"/>
            </w:tcBorders>
            <w:vAlign w:val="center"/>
          </w:tcPr>
          <w:p w14:paraId="16C3B7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64" w:type="pct"/>
            <w:tcBorders>
              <w:top w:val="single" w:color="000000" w:sz="4" w:space="0"/>
              <w:left w:val="single" w:color="000000" w:sz="4" w:space="0"/>
              <w:bottom w:val="single" w:color="000000" w:sz="4" w:space="0"/>
              <w:right w:val="single" w:color="000000" w:sz="4" w:space="0"/>
            </w:tcBorders>
            <w:vAlign w:val="center"/>
          </w:tcPr>
          <w:p w14:paraId="6D74280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43" w:type="pct"/>
            <w:tcBorders>
              <w:top w:val="single" w:color="000000" w:sz="4" w:space="0"/>
              <w:left w:val="single" w:color="000000" w:sz="4" w:space="0"/>
              <w:bottom w:val="single" w:color="000000" w:sz="4" w:space="0"/>
              <w:right w:val="single" w:color="000000" w:sz="4" w:space="0"/>
            </w:tcBorders>
            <w:vAlign w:val="center"/>
          </w:tcPr>
          <w:p w14:paraId="1C31B8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12" w:type="pct"/>
            <w:tcBorders>
              <w:top w:val="single" w:color="000000" w:sz="4" w:space="0"/>
              <w:left w:val="single" w:color="000000" w:sz="4" w:space="0"/>
              <w:bottom w:val="single" w:color="000000" w:sz="4" w:space="0"/>
              <w:right w:val="single" w:color="000000" w:sz="4" w:space="0"/>
            </w:tcBorders>
            <w:vAlign w:val="center"/>
          </w:tcPr>
          <w:p w14:paraId="3A77DE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417" w:type="pct"/>
            <w:tcBorders>
              <w:top w:val="single" w:color="000000" w:sz="4" w:space="0"/>
              <w:left w:val="single" w:color="000000" w:sz="4" w:space="0"/>
              <w:bottom w:val="single" w:color="000000" w:sz="4" w:space="0"/>
              <w:right w:val="single" w:color="000000" w:sz="4" w:space="0"/>
            </w:tcBorders>
            <w:vAlign w:val="center"/>
          </w:tcPr>
          <w:p w14:paraId="238C8E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640" w:type="pct"/>
            <w:tcBorders>
              <w:top w:val="single" w:color="000000" w:sz="4" w:space="0"/>
              <w:left w:val="single" w:color="000000" w:sz="4" w:space="0"/>
              <w:bottom w:val="single" w:color="000000" w:sz="4" w:space="0"/>
              <w:right w:val="single" w:color="000000" w:sz="12" w:space="0"/>
            </w:tcBorders>
            <w:vAlign w:val="center"/>
          </w:tcPr>
          <w:p w14:paraId="623634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zCs w:val="21"/>
              </w:rPr>
              <w:t>＜</w:t>
            </w:r>
            <w:r>
              <w:rPr>
                <w:rFonts w:hint="eastAsia" w:ascii="宋体" w:hAnsi="宋体"/>
                <w:b w:val="0"/>
                <w:bCs/>
                <w:spacing w:val="-4"/>
                <w:szCs w:val="21"/>
              </w:rPr>
              <w:t>0.02</w:t>
            </w:r>
          </w:p>
        </w:tc>
      </w:tr>
      <w:tr w14:paraId="576558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33F089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二</w:t>
            </w:r>
          </w:p>
        </w:tc>
        <w:tc>
          <w:tcPr>
            <w:tcW w:w="343" w:type="pct"/>
            <w:tcBorders>
              <w:top w:val="single" w:color="000000" w:sz="4" w:space="0"/>
              <w:left w:val="single" w:color="000000" w:sz="4" w:space="0"/>
              <w:bottom w:val="single" w:color="000000" w:sz="4" w:space="0"/>
              <w:right w:val="single" w:color="000000" w:sz="4" w:space="0"/>
            </w:tcBorders>
            <w:vAlign w:val="center"/>
          </w:tcPr>
          <w:p w14:paraId="2DD8DD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次轻度破坏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73BE1E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少部分到大部分块状破坏</w:t>
            </w:r>
          </w:p>
        </w:tc>
        <w:tc>
          <w:tcPr>
            <w:tcW w:w="363" w:type="pct"/>
            <w:tcBorders>
              <w:top w:val="single" w:color="000000" w:sz="4" w:space="0"/>
              <w:left w:val="single" w:color="000000" w:sz="4" w:space="0"/>
              <w:bottom w:val="single" w:color="000000" w:sz="4" w:space="0"/>
              <w:right w:val="single" w:color="000000" w:sz="4" w:space="0"/>
            </w:tcBorders>
            <w:vAlign w:val="center"/>
          </w:tcPr>
          <w:p w14:paraId="5F9891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窗扇少量破坏</w:t>
            </w:r>
          </w:p>
        </w:tc>
        <w:tc>
          <w:tcPr>
            <w:tcW w:w="584" w:type="pct"/>
            <w:tcBorders>
              <w:top w:val="single" w:color="000000" w:sz="4" w:space="0"/>
              <w:left w:val="single" w:color="000000" w:sz="4" w:space="0"/>
              <w:bottom w:val="single" w:color="000000" w:sz="4" w:space="0"/>
              <w:right w:val="single" w:color="000000" w:sz="4" w:space="0"/>
            </w:tcBorders>
            <w:vAlign w:val="center"/>
          </w:tcPr>
          <w:p w14:paraId="7B1C07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438" w:type="pct"/>
            <w:tcBorders>
              <w:top w:val="single" w:color="000000" w:sz="4" w:space="0"/>
              <w:left w:val="single" w:color="000000" w:sz="4" w:space="0"/>
              <w:bottom w:val="single" w:color="000000" w:sz="4" w:space="0"/>
              <w:right w:val="single" w:color="000000" w:sz="4" w:space="0"/>
            </w:tcBorders>
            <w:vAlign w:val="center"/>
          </w:tcPr>
          <w:p w14:paraId="7D53060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509" w:type="pct"/>
            <w:tcBorders>
              <w:top w:val="single" w:color="000000" w:sz="4" w:space="0"/>
              <w:left w:val="single" w:color="000000" w:sz="4" w:space="0"/>
              <w:bottom w:val="single" w:color="000000" w:sz="4" w:space="0"/>
              <w:right w:val="single" w:color="000000" w:sz="4" w:space="0"/>
            </w:tcBorders>
            <w:vAlign w:val="center"/>
          </w:tcPr>
          <w:p w14:paraId="751AF7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64" w:type="pct"/>
            <w:tcBorders>
              <w:top w:val="single" w:color="000000" w:sz="4" w:space="0"/>
              <w:left w:val="single" w:color="000000" w:sz="4" w:space="0"/>
              <w:bottom w:val="single" w:color="000000" w:sz="4" w:space="0"/>
              <w:right w:val="single" w:color="000000" w:sz="4" w:space="0"/>
            </w:tcBorders>
            <w:vAlign w:val="center"/>
          </w:tcPr>
          <w:p w14:paraId="2699F7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43" w:type="pct"/>
            <w:tcBorders>
              <w:top w:val="single" w:color="000000" w:sz="4" w:space="0"/>
              <w:left w:val="single" w:color="000000" w:sz="4" w:space="0"/>
              <w:bottom w:val="single" w:color="000000" w:sz="4" w:space="0"/>
              <w:right w:val="single" w:color="000000" w:sz="4" w:space="0"/>
            </w:tcBorders>
            <w:vAlign w:val="center"/>
          </w:tcPr>
          <w:p w14:paraId="7BA5F1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12" w:type="pct"/>
            <w:tcBorders>
              <w:top w:val="single" w:color="000000" w:sz="4" w:space="0"/>
              <w:left w:val="single" w:color="000000" w:sz="4" w:space="0"/>
              <w:bottom w:val="single" w:color="000000" w:sz="4" w:space="0"/>
              <w:right w:val="single" w:color="000000" w:sz="4" w:space="0"/>
            </w:tcBorders>
            <w:vAlign w:val="center"/>
          </w:tcPr>
          <w:p w14:paraId="28382D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417" w:type="pct"/>
            <w:tcBorders>
              <w:top w:val="single" w:color="000000" w:sz="4" w:space="0"/>
              <w:left w:val="single" w:color="000000" w:sz="4" w:space="0"/>
              <w:bottom w:val="single" w:color="000000" w:sz="4" w:space="0"/>
              <w:right w:val="single" w:color="000000" w:sz="4" w:space="0"/>
            </w:tcBorders>
            <w:vAlign w:val="center"/>
          </w:tcPr>
          <w:p w14:paraId="0E330D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640" w:type="pct"/>
            <w:tcBorders>
              <w:top w:val="single" w:color="000000" w:sz="4" w:space="0"/>
              <w:left w:val="single" w:color="000000" w:sz="4" w:space="0"/>
              <w:bottom w:val="single" w:color="000000" w:sz="4" w:space="0"/>
              <w:right w:val="single" w:color="000000" w:sz="12" w:space="0"/>
            </w:tcBorders>
            <w:vAlign w:val="center"/>
          </w:tcPr>
          <w:p w14:paraId="579056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0.09～0.02</w:t>
            </w:r>
          </w:p>
        </w:tc>
      </w:tr>
      <w:tr w14:paraId="7709AE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660358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三</w:t>
            </w:r>
          </w:p>
        </w:tc>
        <w:tc>
          <w:tcPr>
            <w:tcW w:w="343" w:type="pct"/>
            <w:tcBorders>
              <w:top w:val="single" w:color="000000" w:sz="4" w:space="0"/>
              <w:left w:val="single" w:color="000000" w:sz="4" w:space="0"/>
              <w:bottom w:val="single" w:color="000000" w:sz="4" w:space="0"/>
              <w:right w:val="single" w:color="000000" w:sz="4" w:space="0"/>
            </w:tcBorders>
            <w:vAlign w:val="center"/>
          </w:tcPr>
          <w:p w14:paraId="2964AF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轻度破坏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16ADDA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大部分被震碎</w:t>
            </w:r>
          </w:p>
        </w:tc>
        <w:tc>
          <w:tcPr>
            <w:tcW w:w="363" w:type="pct"/>
            <w:tcBorders>
              <w:top w:val="single" w:color="000000" w:sz="4" w:space="0"/>
              <w:left w:val="single" w:color="000000" w:sz="4" w:space="0"/>
              <w:bottom w:val="single" w:color="000000" w:sz="4" w:space="0"/>
              <w:right w:val="single" w:color="000000" w:sz="4" w:space="0"/>
            </w:tcBorders>
            <w:vAlign w:val="center"/>
          </w:tcPr>
          <w:p w14:paraId="26A45D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窗扇大量破坏、窗框门扇破坏</w:t>
            </w:r>
          </w:p>
        </w:tc>
        <w:tc>
          <w:tcPr>
            <w:tcW w:w="584" w:type="pct"/>
            <w:tcBorders>
              <w:top w:val="single" w:color="000000" w:sz="4" w:space="0"/>
              <w:left w:val="single" w:color="000000" w:sz="4" w:space="0"/>
              <w:bottom w:val="single" w:color="000000" w:sz="4" w:space="0"/>
              <w:right w:val="single" w:color="000000" w:sz="4" w:space="0"/>
            </w:tcBorders>
            <w:vAlign w:val="center"/>
          </w:tcPr>
          <w:p w14:paraId="0A9A71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出现较小裂缝、最大宽度小于5mm，稍有倾斜</w:t>
            </w:r>
          </w:p>
        </w:tc>
        <w:tc>
          <w:tcPr>
            <w:tcW w:w="438" w:type="pct"/>
            <w:tcBorders>
              <w:top w:val="single" w:color="000000" w:sz="4" w:space="0"/>
              <w:left w:val="single" w:color="000000" w:sz="4" w:space="0"/>
              <w:bottom w:val="single" w:color="000000" w:sz="4" w:space="0"/>
              <w:right w:val="single" w:color="000000" w:sz="4" w:space="0"/>
            </w:tcBorders>
            <w:vAlign w:val="center"/>
          </w:tcPr>
          <w:p w14:paraId="61EE57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木屋面板变形，偶然折裂</w:t>
            </w:r>
          </w:p>
        </w:tc>
        <w:tc>
          <w:tcPr>
            <w:tcW w:w="509" w:type="pct"/>
            <w:tcBorders>
              <w:top w:val="single" w:color="000000" w:sz="4" w:space="0"/>
              <w:left w:val="single" w:color="000000" w:sz="4" w:space="0"/>
              <w:bottom w:val="single" w:color="000000" w:sz="4" w:space="0"/>
              <w:right w:val="single" w:color="000000" w:sz="4" w:space="0"/>
            </w:tcBorders>
            <w:vAlign w:val="center"/>
          </w:tcPr>
          <w:p w14:paraId="0F9555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364" w:type="pct"/>
            <w:tcBorders>
              <w:top w:val="single" w:color="000000" w:sz="4" w:space="0"/>
              <w:left w:val="single" w:color="000000" w:sz="4" w:space="0"/>
              <w:bottom w:val="single" w:color="000000" w:sz="4" w:space="0"/>
              <w:right w:val="single" w:color="000000" w:sz="4" w:space="0"/>
            </w:tcBorders>
            <w:vAlign w:val="center"/>
          </w:tcPr>
          <w:p w14:paraId="6F08FA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大量移动</w:t>
            </w:r>
          </w:p>
        </w:tc>
        <w:tc>
          <w:tcPr>
            <w:tcW w:w="343" w:type="pct"/>
            <w:tcBorders>
              <w:top w:val="single" w:color="000000" w:sz="4" w:space="0"/>
              <w:left w:val="single" w:color="000000" w:sz="4" w:space="0"/>
              <w:bottom w:val="single" w:color="000000" w:sz="4" w:space="0"/>
              <w:right w:val="single" w:color="000000" w:sz="4" w:space="0"/>
            </w:tcBorders>
            <w:vAlign w:val="center"/>
          </w:tcPr>
          <w:p w14:paraId="4685A5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抹灰大量掉落</w:t>
            </w:r>
          </w:p>
        </w:tc>
        <w:tc>
          <w:tcPr>
            <w:tcW w:w="312" w:type="pct"/>
            <w:tcBorders>
              <w:top w:val="single" w:color="000000" w:sz="4" w:space="0"/>
              <w:left w:val="single" w:color="000000" w:sz="4" w:space="0"/>
              <w:bottom w:val="single" w:color="000000" w:sz="4" w:space="0"/>
              <w:right w:val="single" w:color="000000" w:sz="4" w:space="0"/>
            </w:tcBorders>
            <w:vAlign w:val="center"/>
          </w:tcPr>
          <w:p w14:paraId="103C32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板条墙抹灰大量掉落</w:t>
            </w:r>
          </w:p>
        </w:tc>
        <w:tc>
          <w:tcPr>
            <w:tcW w:w="417" w:type="pct"/>
            <w:tcBorders>
              <w:top w:val="single" w:color="000000" w:sz="4" w:space="0"/>
              <w:left w:val="single" w:color="000000" w:sz="4" w:space="0"/>
              <w:bottom w:val="single" w:color="000000" w:sz="4" w:space="0"/>
              <w:right w:val="single" w:color="000000" w:sz="4" w:space="0"/>
            </w:tcBorders>
            <w:vAlign w:val="center"/>
          </w:tcPr>
          <w:p w14:paraId="707295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640" w:type="pct"/>
            <w:tcBorders>
              <w:top w:val="single" w:color="000000" w:sz="4" w:space="0"/>
              <w:left w:val="single" w:color="000000" w:sz="4" w:space="0"/>
              <w:bottom w:val="single" w:color="000000" w:sz="4" w:space="0"/>
              <w:right w:val="single" w:color="000000" w:sz="12" w:space="0"/>
            </w:tcBorders>
            <w:vAlign w:val="center"/>
          </w:tcPr>
          <w:p w14:paraId="76E62A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0.25～0.09</w:t>
            </w:r>
          </w:p>
        </w:tc>
      </w:tr>
      <w:tr w14:paraId="3FCD5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4982B2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四</w:t>
            </w:r>
          </w:p>
        </w:tc>
        <w:tc>
          <w:tcPr>
            <w:tcW w:w="343" w:type="pct"/>
            <w:tcBorders>
              <w:top w:val="single" w:color="000000" w:sz="4" w:space="0"/>
              <w:left w:val="single" w:color="000000" w:sz="4" w:space="0"/>
              <w:bottom w:val="single" w:color="000000" w:sz="4" w:space="0"/>
              <w:right w:val="single" w:color="000000" w:sz="4" w:space="0"/>
            </w:tcBorders>
            <w:vAlign w:val="center"/>
          </w:tcPr>
          <w:p w14:paraId="360016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中等破坏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3C702D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粉碎</w:t>
            </w:r>
          </w:p>
        </w:tc>
        <w:tc>
          <w:tcPr>
            <w:tcW w:w="363" w:type="pct"/>
            <w:tcBorders>
              <w:top w:val="single" w:color="000000" w:sz="4" w:space="0"/>
              <w:left w:val="single" w:color="000000" w:sz="4" w:space="0"/>
              <w:bottom w:val="single" w:color="000000" w:sz="4" w:space="0"/>
              <w:right w:val="single" w:color="000000" w:sz="4" w:space="0"/>
            </w:tcBorders>
            <w:vAlign w:val="center"/>
          </w:tcPr>
          <w:p w14:paraId="3682BEC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窗扇掉落、内倒、窗框、门扇大量破坏</w:t>
            </w:r>
          </w:p>
        </w:tc>
        <w:tc>
          <w:tcPr>
            <w:tcW w:w="584" w:type="pct"/>
            <w:tcBorders>
              <w:top w:val="single" w:color="000000" w:sz="4" w:space="0"/>
              <w:left w:val="single" w:color="000000" w:sz="4" w:space="0"/>
              <w:bottom w:val="single" w:color="000000" w:sz="4" w:space="0"/>
              <w:right w:val="single" w:color="000000" w:sz="4" w:space="0"/>
            </w:tcBorders>
            <w:vAlign w:val="center"/>
          </w:tcPr>
          <w:p w14:paraId="50DE2D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出现较大裂缝、最大宽度在5～50mm，明显倾斜，砖跺出现小裂缝</w:t>
            </w:r>
          </w:p>
        </w:tc>
        <w:tc>
          <w:tcPr>
            <w:tcW w:w="438" w:type="pct"/>
            <w:tcBorders>
              <w:top w:val="single" w:color="000000" w:sz="4" w:space="0"/>
              <w:left w:val="single" w:color="000000" w:sz="4" w:space="0"/>
              <w:bottom w:val="single" w:color="000000" w:sz="4" w:space="0"/>
              <w:right w:val="single" w:color="000000" w:sz="4" w:space="0"/>
            </w:tcBorders>
            <w:vAlign w:val="center"/>
          </w:tcPr>
          <w:p w14:paraId="767A5F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木屋面板、木屋檀条折裂，木屋架支座松动</w:t>
            </w:r>
          </w:p>
        </w:tc>
        <w:tc>
          <w:tcPr>
            <w:tcW w:w="509" w:type="pct"/>
            <w:tcBorders>
              <w:top w:val="single" w:color="000000" w:sz="4" w:space="0"/>
              <w:left w:val="single" w:color="000000" w:sz="4" w:space="0"/>
              <w:bottom w:val="single" w:color="000000" w:sz="4" w:space="0"/>
              <w:right w:val="single" w:color="000000" w:sz="4" w:space="0"/>
            </w:tcBorders>
            <w:vAlign w:val="center"/>
          </w:tcPr>
          <w:p w14:paraId="4FB01D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出现微小裂缝、最大宽度≤1mm</w:t>
            </w:r>
          </w:p>
        </w:tc>
        <w:tc>
          <w:tcPr>
            <w:tcW w:w="364" w:type="pct"/>
            <w:tcBorders>
              <w:top w:val="single" w:color="000000" w:sz="4" w:space="0"/>
              <w:left w:val="single" w:color="000000" w:sz="4" w:space="0"/>
              <w:bottom w:val="single" w:color="000000" w:sz="4" w:space="0"/>
              <w:right w:val="single" w:color="000000" w:sz="4" w:space="0"/>
            </w:tcBorders>
            <w:vAlign w:val="center"/>
          </w:tcPr>
          <w:p w14:paraId="3279036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大量移动到全部掀掉</w:t>
            </w:r>
          </w:p>
        </w:tc>
        <w:tc>
          <w:tcPr>
            <w:tcW w:w="343" w:type="pct"/>
            <w:tcBorders>
              <w:top w:val="single" w:color="000000" w:sz="4" w:space="0"/>
              <w:left w:val="single" w:color="000000" w:sz="4" w:space="0"/>
              <w:bottom w:val="single" w:color="000000" w:sz="4" w:space="0"/>
              <w:right w:val="single" w:color="000000" w:sz="4" w:space="0"/>
            </w:tcBorders>
            <w:vAlign w:val="center"/>
          </w:tcPr>
          <w:p w14:paraId="6784A5B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木龙骨部分破坏下垂</w:t>
            </w:r>
          </w:p>
        </w:tc>
        <w:tc>
          <w:tcPr>
            <w:tcW w:w="312" w:type="pct"/>
            <w:tcBorders>
              <w:top w:val="single" w:color="000000" w:sz="4" w:space="0"/>
              <w:left w:val="single" w:color="000000" w:sz="4" w:space="0"/>
              <w:bottom w:val="single" w:color="000000" w:sz="4" w:space="0"/>
              <w:right w:val="single" w:color="000000" w:sz="4" w:space="0"/>
            </w:tcBorders>
            <w:vAlign w:val="center"/>
          </w:tcPr>
          <w:p w14:paraId="66D63D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砖内墙出现小裂缝</w:t>
            </w:r>
          </w:p>
        </w:tc>
        <w:tc>
          <w:tcPr>
            <w:tcW w:w="417" w:type="pct"/>
            <w:tcBorders>
              <w:top w:val="single" w:color="000000" w:sz="4" w:space="0"/>
              <w:left w:val="single" w:color="000000" w:sz="4" w:space="0"/>
              <w:bottom w:val="single" w:color="000000" w:sz="4" w:space="0"/>
              <w:right w:val="single" w:color="000000" w:sz="4" w:space="0"/>
            </w:tcBorders>
            <w:vAlign w:val="center"/>
          </w:tcPr>
          <w:p w14:paraId="440C4B5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640" w:type="pct"/>
            <w:tcBorders>
              <w:top w:val="single" w:color="000000" w:sz="4" w:space="0"/>
              <w:left w:val="single" w:color="000000" w:sz="4" w:space="0"/>
              <w:bottom w:val="single" w:color="000000" w:sz="4" w:space="0"/>
              <w:right w:val="single" w:color="000000" w:sz="12" w:space="0"/>
            </w:tcBorders>
            <w:vAlign w:val="center"/>
          </w:tcPr>
          <w:p w14:paraId="26B318D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0.4～0.25</w:t>
            </w:r>
          </w:p>
        </w:tc>
      </w:tr>
      <w:tr w14:paraId="2142BA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42C1D0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五</w:t>
            </w:r>
          </w:p>
        </w:tc>
        <w:tc>
          <w:tcPr>
            <w:tcW w:w="343" w:type="pct"/>
            <w:tcBorders>
              <w:top w:val="single" w:color="000000" w:sz="4" w:space="0"/>
              <w:left w:val="single" w:color="000000" w:sz="4" w:space="0"/>
              <w:bottom w:val="single" w:color="000000" w:sz="4" w:space="0"/>
              <w:right w:val="single" w:color="000000" w:sz="4" w:space="0"/>
            </w:tcBorders>
            <w:vAlign w:val="center"/>
          </w:tcPr>
          <w:p w14:paraId="2063DDE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次严重破坏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32439C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63" w:type="pct"/>
            <w:tcBorders>
              <w:top w:val="single" w:color="000000" w:sz="4" w:space="0"/>
              <w:left w:val="single" w:color="000000" w:sz="4" w:space="0"/>
              <w:bottom w:val="single" w:color="000000" w:sz="4" w:space="0"/>
              <w:right w:val="single" w:color="000000" w:sz="4" w:space="0"/>
            </w:tcBorders>
            <w:vAlign w:val="center"/>
          </w:tcPr>
          <w:p w14:paraId="66D91C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门、窗扇摧毁，窗框掉落</w:t>
            </w:r>
          </w:p>
        </w:tc>
        <w:tc>
          <w:tcPr>
            <w:tcW w:w="584" w:type="pct"/>
            <w:tcBorders>
              <w:top w:val="single" w:color="000000" w:sz="4" w:space="0"/>
              <w:left w:val="single" w:color="000000" w:sz="4" w:space="0"/>
              <w:bottom w:val="single" w:color="000000" w:sz="4" w:space="0"/>
              <w:right w:val="single" w:color="000000" w:sz="4" w:space="0"/>
            </w:tcBorders>
            <w:vAlign w:val="center"/>
          </w:tcPr>
          <w:p w14:paraId="3227F1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出现严重裂缝、最大宽度＞50mm的大裂缝，严重倾斜，砖跺出现较大裂缝</w:t>
            </w:r>
          </w:p>
        </w:tc>
        <w:tc>
          <w:tcPr>
            <w:tcW w:w="438" w:type="pct"/>
            <w:tcBorders>
              <w:top w:val="single" w:color="000000" w:sz="4" w:space="0"/>
              <w:left w:val="single" w:color="000000" w:sz="4" w:space="0"/>
              <w:bottom w:val="single" w:color="000000" w:sz="4" w:space="0"/>
              <w:right w:val="single" w:color="000000" w:sz="4" w:space="0"/>
            </w:tcBorders>
            <w:vAlign w:val="center"/>
          </w:tcPr>
          <w:p w14:paraId="416CB89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木檀条折断，木屋架杆件偶然折裂，支座错位</w:t>
            </w:r>
          </w:p>
        </w:tc>
        <w:tc>
          <w:tcPr>
            <w:tcW w:w="509" w:type="pct"/>
            <w:tcBorders>
              <w:top w:val="single" w:color="000000" w:sz="4" w:space="0"/>
              <w:left w:val="single" w:color="000000" w:sz="4" w:space="0"/>
              <w:bottom w:val="single" w:color="000000" w:sz="4" w:space="0"/>
              <w:right w:val="single" w:color="000000" w:sz="4" w:space="0"/>
            </w:tcBorders>
            <w:vAlign w:val="center"/>
          </w:tcPr>
          <w:p w14:paraId="02F2B8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出现明显裂缝、最大宽度在1～2mm，修理后能继续使用</w:t>
            </w:r>
          </w:p>
        </w:tc>
        <w:tc>
          <w:tcPr>
            <w:tcW w:w="364" w:type="pct"/>
            <w:tcBorders>
              <w:top w:val="single" w:color="000000" w:sz="4" w:space="0"/>
              <w:left w:val="single" w:color="000000" w:sz="4" w:space="0"/>
              <w:bottom w:val="single" w:color="000000" w:sz="4" w:space="0"/>
              <w:right w:val="single" w:color="000000" w:sz="4" w:space="0"/>
            </w:tcBorders>
            <w:vAlign w:val="center"/>
          </w:tcPr>
          <w:p w14:paraId="348999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43" w:type="pct"/>
            <w:tcBorders>
              <w:top w:val="single" w:color="000000" w:sz="4" w:space="0"/>
              <w:left w:val="single" w:color="000000" w:sz="4" w:space="0"/>
              <w:bottom w:val="single" w:color="000000" w:sz="4" w:space="0"/>
              <w:right w:val="single" w:color="000000" w:sz="4" w:space="0"/>
            </w:tcBorders>
            <w:vAlign w:val="center"/>
          </w:tcPr>
          <w:p w14:paraId="1DD220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塌落</w:t>
            </w:r>
          </w:p>
        </w:tc>
        <w:tc>
          <w:tcPr>
            <w:tcW w:w="312" w:type="pct"/>
            <w:tcBorders>
              <w:top w:val="single" w:color="000000" w:sz="4" w:space="0"/>
              <w:left w:val="single" w:color="000000" w:sz="4" w:space="0"/>
              <w:bottom w:val="single" w:color="000000" w:sz="4" w:space="0"/>
              <w:right w:val="single" w:color="000000" w:sz="4" w:space="0"/>
            </w:tcBorders>
            <w:vAlign w:val="center"/>
          </w:tcPr>
          <w:p w14:paraId="214192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砖内墙出现较大裂缝</w:t>
            </w:r>
          </w:p>
        </w:tc>
        <w:tc>
          <w:tcPr>
            <w:tcW w:w="417" w:type="pct"/>
            <w:tcBorders>
              <w:top w:val="single" w:color="000000" w:sz="4" w:space="0"/>
              <w:left w:val="single" w:color="000000" w:sz="4" w:space="0"/>
              <w:bottom w:val="single" w:color="000000" w:sz="4" w:space="0"/>
              <w:right w:val="single" w:color="000000" w:sz="4" w:space="0"/>
            </w:tcBorders>
            <w:vAlign w:val="center"/>
          </w:tcPr>
          <w:p w14:paraId="6B93533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无损坏</w:t>
            </w:r>
          </w:p>
        </w:tc>
        <w:tc>
          <w:tcPr>
            <w:tcW w:w="640" w:type="pct"/>
            <w:tcBorders>
              <w:top w:val="single" w:color="000000" w:sz="4" w:space="0"/>
              <w:left w:val="single" w:color="000000" w:sz="4" w:space="0"/>
              <w:bottom w:val="single" w:color="000000" w:sz="4" w:space="0"/>
              <w:right w:val="single" w:color="000000" w:sz="12" w:space="0"/>
            </w:tcBorders>
            <w:vAlign w:val="center"/>
          </w:tcPr>
          <w:p w14:paraId="0DEB91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0.55～0.4</w:t>
            </w:r>
          </w:p>
        </w:tc>
      </w:tr>
      <w:tr w14:paraId="1E5AC6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4" w:space="0"/>
              <w:right w:val="single" w:color="000000" w:sz="4" w:space="0"/>
            </w:tcBorders>
            <w:vAlign w:val="center"/>
          </w:tcPr>
          <w:p w14:paraId="18044A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六</w:t>
            </w:r>
          </w:p>
        </w:tc>
        <w:tc>
          <w:tcPr>
            <w:tcW w:w="343" w:type="pct"/>
            <w:tcBorders>
              <w:top w:val="single" w:color="000000" w:sz="4" w:space="0"/>
              <w:left w:val="single" w:color="000000" w:sz="4" w:space="0"/>
              <w:bottom w:val="single" w:color="000000" w:sz="4" w:space="0"/>
              <w:right w:val="single" w:color="000000" w:sz="4" w:space="0"/>
            </w:tcBorders>
            <w:vAlign w:val="center"/>
          </w:tcPr>
          <w:p w14:paraId="779F3B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严重破坏</w:t>
            </w:r>
          </w:p>
        </w:tc>
        <w:tc>
          <w:tcPr>
            <w:tcW w:w="365" w:type="pct"/>
            <w:tcBorders>
              <w:top w:val="single" w:color="000000" w:sz="4" w:space="0"/>
              <w:left w:val="single" w:color="000000" w:sz="4" w:space="0"/>
              <w:bottom w:val="single" w:color="000000" w:sz="4" w:space="0"/>
              <w:right w:val="single" w:color="000000" w:sz="4" w:space="0"/>
            </w:tcBorders>
            <w:vAlign w:val="center"/>
          </w:tcPr>
          <w:p w14:paraId="32AF07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63" w:type="pct"/>
            <w:tcBorders>
              <w:top w:val="single" w:color="000000" w:sz="4" w:space="0"/>
              <w:left w:val="single" w:color="000000" w:sz="4" w:space="0"/>
              <w:bottom w:val="single" w:color="000000" w:sz="4" w:space="0"/>
              <w:right w:val="single" w:color="000000" w:sz="4" w:space="0"/>
            </w:tcBorders>
            <w:vAlign w:val="center"/>
          </w:tcPr>
          <w:p w14:paraId="7FD1730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584" w:type="pct"/>
            <w:tcBorders>
              <w:top w:val="single" w:color="000000" w:sz="4" w:space="0"/>
              <w:left w:val="single" w:color="000000" w:sz="4" w:space="0"/>
              <w:bottom w:val="single" w:color="000000" w:sz="4" w:space="0"/>
              <w:right w:val="single" w:color="000000" w:sz="4" w:space="0"/>
            </w:tcBorders>
            <w:vAlign w:val="center"/>
          </w:tcPr>
          <w:p w14:paraId="2137E8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部分倒塌</w:t>
            </w:r>
          </w:p>
        </w:tc>
        <w:tc>
          <w:tcPr>
            <w:tcW w:w="438" w:type="pct"/>
            <w:tcBorders>
              <w:top w:val="single" w:color="000000" w:sz="4" w:space="0"/>
              <w:left w:val="single" w:color="000000" w:sz="4" w:space="0"/>
              <w:bottom w:val="single" w:color="000000" w:sz="4" w:space="0"/>
              <w:right w:val="single" w:color="000000" w:sz="4" w:space="0"/>
            </w:tcBorders>
            <w:vAlign w:val="center"/>
          </w:tcPr>
          <w:p w14:paraId="78E35A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部分倒塌</w:t>
            </w:r>
          </w:p>
        </w:tc>
        <w:tc>
          <w:tcPr>
            <w:tcW w:w="509" w:type="pct"/>
            <w:tcBorders>
              <w:top w:val="single" w:color="000000" w:sz="4" w:space="0"/>
              <w:left w:val="single" w:color="000000" w:sz="4" w:space="0"/>
              <w:bottom w:val="single" w:color="000000" w:sz="4" w:space="0"/>
              <w:right w:val="single" w:color="000000" w:sz="4" w:space="0"/>
            </w:tcBorders>
            <w:vAlign w:val="center"/>
          </w:tcPr>
          <w:p w14:paraId="450DF2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出现较宽裂缝、最大宽度＞2mm</w:t>
            </w:r>
          </w:p>
        </w:tc>
        <w:tc>
          <w:tcPr>
            <w:tcW w:w="364" w:type="pct"/>
            <w:tcBorders>
              <w:top w:val="single" w:color="000000" w:sz="4" w:space="0"/>
              <w:left w:val="single" w:color="000000" w:sz="4" w:space="0"/>
              <w:bottom w:val="single" w:color="000000" w:sz="4" w:space="0"/>
              <w:right w:val="single" w:color="000000" w:sz="4" w:space="0"/>
            </w:tcBorders>
            <w:vAlign w:val="center"/>
          </w:tcPr>
          <w:p w14:paraId="432007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43" w:type="pct"/>
            <w:tcBorders>
              <w:top w:val="single" w:color="000000" w:sz="4" w:space="0"/>
              <w:left w:val="single" w:color="000000" w:sz="4" w:space="0"/>
              <w:bottom w:val="single" w:color="000000" w:sz="4" w:space="0"/>
              <w:right w:val="single" w:color="000000" w:sz="4" w:space="0"/>
            </w:tcBorders>
            <w:vAlign w:val="center"/>
          </w:tcPr>
          <w:p w14:paraId="3ECBF3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12" w:type="pct"/>
            <w:tcBorders>
              <w:top w:val="single" w:color="000000" w:sz="4" w:space="0"/>
              <w:left w:val="single" w:color="000000" w:sz="4" w:space="0"/>
              <w:bottom w:val="single" w:color="000000" w:sz="4" w:space="0"/>
              <w:right w:val="single" w:color="000000" w:sz="4" w:space="0"/>
            </w:tcBorders>
            <w:vAlign w:val="center"/>
          </w:tcPr>
          <w:p w14:paraId="313E76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砖内墙出现严重裂缝到部分倒塌</w:t>
            </w:r>
          </w:p>
        </w:tc>
        <w:tc>
          <w:tcPr>
            <w:tcW w:w="417" w:type="pct"/>
            <w:tcBorders>
              <w:top w:val="single" w:color="000000" w:sz="4" w:space="0"/>
              <w:left w:val="single" w:color="000000" w:sz="4" w:space="0"/>
              <w:bottom w:val="single" w:color="000000" w:sz="4" w:space="0"/>
              <w:right w:val="single" w:color="000000" w:sz="4" w:space="0"/>
            </w:tcBorders>
            <w:vAlign w:val="center"/>
          </w:tcPr>
          <w:p w14:paraId="445A86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有倾斜</w:t>
            </w:r>
          </w:p>
        </w:tc>
        <w:tc>
          <w:tcPr>
            <w:tcW w:w="640" w:type="pct"/>
            <w:tcBorders>
              <w:top w:val="single" w:color="000000" w:sz="4" w:space="0"/>
              <w:left w:val="single" w:color="000000" w:sz="4" w:space="0"/>
              <w:bottom w:val="single" w:color="000000" w:sz="4" w:space="0"/>
              <w:right w:val="single" w:color="000000" w:sz="12" w:space="0"/>
            </w:tcBorders>
            <w:vAlign w:val="center"/>
          </w:tcPr>
          <w:p w14:paraId="5FF392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0.76～0.55</w:t>
            </w:r>
          </w:p>
        </w:tc>
      </w:tr>
      <w:tr w14:paraId="126542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315" w:type="pct"/>
            <w:tcBorders>
              <w:top w:val="single" w:color="000000" w:sz="4" w:space="0"/>
              <w:left w:val="single" w:color="000000" w:sz="12" w:space="0"/>
              <w:bottom w:val="single" w:color="000000" w:sz="12" w:space="0"/>
              <w:right w:val="single" w:color="000000" w:sz="4" w:space="0"/>
            </w:tcBorders>
            <w:vAlign w:val="center"/>
          </w:tcPr>
          <w:p w14:paraId="1B71BD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七</w:t>
            </w:r>
          </w:p>
        </w:tc>
        <w:tc>
          <w:tcPr>
            <w:tcW w:w="343" w:type="pct"/>
            <w:tcBorders>
              <w:top w:val="single" w:color="000000" w:sz="4" w:space="0"/>
              <w:left w:val="single" w:color="000000" w:sz="4" w:space="0"/>
              <w:bottom w:val="single" w:color="000000" w:sz="12" w:space="0"/>
              <w:right w:val="single" w:color="000000" w:sz="4" w:space="0"/>
            </w:tcBorders>
            <w:vAlign w:val="center"/>
          </w:tcPr>
          <w:p w14:paraId="757F11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破坏完全</w:t>
            </w:r>
          </w:p>
        </w:tc>
        <w:tc>
          <w:tcPr>
            <w:tcW w:w="365" w:type="pct"/>
            <w:tcBorders>
              <w:top w:val="single" w:color="000000" w:sz="4" w:space="0"/>
              <w:left w:val="single" w:color="000000" w:sz="4" w:space="0"/>
              <w:bottom w:val="single" w:color="000000" w:sz="12" w:space="0"/>
              <w:right w:val="single" w:color="000000" w:sz="4" w:space="0"/>
            </w:tcBorders>
            <w:vAlign w:val="center"/>
          </w:tcPr>
          <w:p w14:paraId="26D59B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63" w:type="pct"/>
            <w:tcBorders>
              <w:top w:val="single" w:color="000000" w:sz="4" w:space="0"/>
              <w:left w:val="single" w:color="000000" w:sz="4" w:space="0"/>
              <w:bottom w:val="single" w:color="000000" w:sz="12" w:space="0"/>
              <w:right w:val="single" w:color="000000" w:sz="4" w:space="0"/>
            </w:tcBorders>
            <w:vAlign w:val="center"/>
          </w:tcPr>
          <w:p w14:paraId="6BC990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584" w:type="pct"/>
            <w:tcBorders>
              <w:top w:val="single" w:color="000000" w:sz="4" w:space="0"/>
              <w:left w:val="single" w:color="000000" w:sz="4" w:space="0"/>
              <w:bottom w:val="single" w:color="000000" w:sz="12" w:space="0"/>
              <w:right w:val="single" w:color="000000" w:sz="4" w:space="0"/>
            </w:tcBorders>
            <w:vAlign w:val="center"/>
          </w:tcPr>
          <w:p w14:paraId="2EAFEA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大部分或整个倒塌</w:t>
            </w:r>
          </w:p>
        </w:tc>
        <w:tc>
          <w:tcPr>
            <w:tcW w:w="438" w:type="pct"/>
            <w:tcBorders>
              <w:top w:val="single" w:color="000000" w:sz="4" w:space="0"/>
              <w:left w:val="single" w:color="000000" w:sz="4" w:space="0"/>
              <w:bottom w:val="single" w:color="000000" w:sz="12" w:space="0"/>
              <w:right w:val="single" w:color="000000" w:sz="4" w:space="0"/>
            </w:tcBorders>
            <w:vAlign w:val="center"/>
          </w:tcPr>
          <w:p w14:paraId="2DB3BA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整个倒塌</w:t>
            </w:r>
          </w:p>
        </w:tc>
        <w:tc>
          <w:tcPr>
            <w:tcW w:w="509" w:type="pct"/>
            <w:tcBorders>
              <w:top w:val="single" w:color="000000" w:sz="4" w:space="0"/>
              <w:left w:val="single" w:color="000000" w:sz="4" w:space="0"/>
              <w:bottom w:val="single" w:color="000000" w:sz="12" w:space="0"/>
              <w:right w:val="single" w:color="000000" w:sz="4" w:space="0"/>
            </w:tcBorders>
            <w:vAlign w:val="center"/>
          </w:tcPr>
          <w:p w14:paraId="630424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砖墙承重的，大部分倒塌；钢混凝土柱的，严重破坏</w:t>
            </w:r>
          </w:p>
        </w:tc>
        <w:tc>
          <w:tcPr>
            <w:tcW w:w="364" w:type="pct"/>
            <w:tcBorders>
              <w:top w:val="single" w:color="000000" w:sz="4" w:space="0"/>
              <w:left w:val="single" w:color="000000" w:sz="4" w:space="0"/>
              <w:bottom w:val="single" w:color="000000" w:sz="12" w:space="0"/>
              <w:right w:val="single" w:color="000000" w:sz="4" w:space="0"/>
            </w:tcBorders>
            <w:vAlign w:val="center"/>
          </w:tcPr>
          <w:p w14:paraId="31072B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43" w:type="pct"/>
            <w:tcBorders>
              <w:top w:val="single" w:color="000000" w:sz="4" w:space="0"/>
              <w:left w:val="single" w:color="000000" w:sz="4" w:space="0"/>
              <w:bottom w:val="single" w:color="000000" w:sz="12" w:space="0"/>
              <w:right w:val="single" w:color="000000" w:sz="4" w:space="0"/>
            </w:tcBorders>
            <w:vAlign w:val="center"/>
          </w:tcPr>
          <w:p w14:paraId="7B2602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p>
        </w:tc>
        <w:tc>
          <w:tcPr>
            <w:tcW w:w="312" w:type="pct"/>
            <w:tcBorders>
              <w:top w:val="single" w:color="000000" w:sz="4" w:space="0"/>
              <w:left w:val="single" w:color="000000" w:sz="4" w:space="0"/>
              <w:bottom w:val="single" w:color="000000" w:sz="12" w:space="0"/>
              <w:right w:val="single" w:color="000000" w:sz="4" w:space="0"/>
            </w:tcBorders>
            <w:vAlign w:val="center"/>
          </w:tcPr>
          <w:p w14:paraId="7C433FD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大部分倒塌</w:t>
            </w:r>
          </w:p>
        </w:tc>
        <w:tc>
          <w:tcPr>
            <w:tcW w:w="417" w:type="pct"/>
            <w:tcBorders>
              <w:top w:val="single" w:color="000000" w:sz="4" w:space="0"/>
              <w:left w:val="single" w:color="000000" w:sz="4" w:space="0"/>
              <w:bottom w:val="single" w:color="000000" w:sz="12" w:space="0"/>
              <w:right w:val="single" w:color="000000" w:sz="4" w:space="0"/>
            </w:tcBorders>
            <w:vAlign w:val="center"/>
          </w:tcPr>
          <w:p w14:paraId="3AF5AD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pacing w:val="-4"/>
                <w:szCs w:val="21"/>
              </w:rPr>
              <w:t>有较大倾斜</w:t>
            </w:r>
          </w:p>
        </w:tc>
        <w:tc>
          <w:tcPr>
            <w:tcW w:w="640" w:type="pct"/>
            <w:tcBorders>
              <w:top w:val="single" w:color="000000" w:sz="4" w:space="0"/>
              <w:left w:val="single" w:color="000000" w:sz="4" w:space="0"/>
              <w:bottom w:val="single" w:color="000000" w:sz="12" w:space="0"/>
              <w:right w:val="single" w:color="000000" w:sz="12" w:space="0"/>
            </w:tcBorders>
            <w:vAlign w:val="center"/>
          </w:tcPr>
          <w:p w14:paraId="7E1BFA7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spacing w:val="-4"/>
                <w:szCs w:val="21"/>
              </w:rPr>
            </w:pPr>
            <w:r>
              <w:rPr>
                <w:rFonts w:hint="eastAsia" w:ascii="宋体" w:hAnsi="宋体"/>
                <w:b w:val="0"/>
                <w:bCs/>
                <w:szCs w:val="21"/>
              </w:rPr>
              <w:t>＞</w:t>
            </w:r>
            <w:r>
              <w:rPr>
                <w:rFonts w:hint="eastAsia" w:ascii="宋体" w:hAnsi="宋体"/>
                <w:b w:val="0"/>
                <w:bCs/>
                <w:spacing w:val="-4"/>
                <w:szCs w:val="21"/>
              </w:rPr>
              <w:t>0.76</w:t>
            </w:r>
          </w:p>
        </w:tc>
      </w:tr>
    </w:tbl>
    <w:p w14:paraId="01E4A1D0">
      <w:pPr>
        <w:rPr>
          <w:rFonts w:hint="eastAsia" w:ascii="宋体" w:hAnsi="宋体" w:cs="宋体"/>
          <w:b w:val="0"/>
          <w:bCs/>
          <w:sz w:val="28"/>
          <w:szCs w:val="28"/>
        </w:rPr>
      </w:pPr>
      <w:r>
        <w:rPr>
          <w:rFonts w:hint="eastAsia" w:ascii="宋体" w:hAnsi="宋体" w:cs="宋体"/>
          <w:b w:val="0"/>
          <w:bCs/>
          <w:sz w:val="28"/>
          <w:szCs w:val="28"/>
        </w:rPr>
        <w:br w:type="page"/>
      </w:r>
    </w:p>
    <w:p w14:paraId="51C4B2CB">
      <w:pPr>
        <w:spacing w:before="120" w:beforeLines="50" w:line="360" w:lineRule="auto"/>
        <w:ind w:firstLine="560" w:firstLineChars="200"/>
        <w:rPr>
          <w:rFonts w:ascii="宋体" w:hAnsi="宋体" w:cs="宋体"/>
          <w:b w:val="0"/>
          <w:bCs/>
          <w:sz w:val="28"/>
          <w:szCs w:val="28"/>
        </w:rPr>
      </w:pPr>
      <w:r>
        <w:rPr>
          <w:rFonts w:hint="eastAsia" w:ascii="宋体" w:hAnsi="宋体" w:cs="宋体"/>
          <w:b w:val="0"/>
          <w:bCs/>
          <w:sz w:val="28"/>
          <w:szCs w:val="28"/>
        </w:rPr>
        <w:t>2.冲击波超压计算</w:t>
      </w:r>
    </w:p>
    <w:p w14:paraId="020C00E6">
      <w:pPr>
        <w:tabs>
          <w:tab w:val="left" w:pos="993"/>
        </w:tabs>
        <w:spacing w:line="360" w:lineRule="auto"/>
        <w:ind w:firstLine="560" w:firstLineChars="200"/>
        <w:rPr>
          <w:rFonts w:ascii="宋体" w:hAnsi="宋体" w:cs="宋体"/>
          <w:b w:val="0"/>
          <w:bCs/>
          <w:sz w:val="28"/>
          <w:szCs w:val="28"/>
        </w:rPr>
      </w:pPr>
      <w:r>
        <w:rPr>
          <w:rFonts w:hint="eastAsia" w:ascii="宋体" w:hAnsi="宋体" w:cs="宋体"/>
          <w:b w:val="0"/>
          <w:bCs/>
          <w:sz w:val="28"/>
          <w:szCs w:val="28"/>
        </w:rPr>
        <w:t>（1）对于有防护土堤的水泥硬地面危险建筑物，一旦其中的危险品发生爆炸事故，其冲击波峰值超压值用下式计算：</w:t>
      </w:r>
    </w:p>
    <w:p w14:paraId="218B214B">
      <w:pPr>
        <w:spacing w:line="360" w:lineRule="auto"/>
        <w:ind w:firstLine="560" w:firstLineChars="200"/>
        <w:rPr>
          <w:rFonts w:ascii="宋体" w:hAnsi="宋体" w:cs="宋体"/>
          <w:b w:val="0"/>
          <w:bCs/>
          <w:sz w:val="28"/>
          <w:szCs w:val="28"/>
        </w:rPr>
      </w:pPr>
      <w:r>
        <w:rPr>
          <w:rFonts w:hint="eastAsia" w:ascii="宋体" w:hAnsi="宋体" w:cs="宋体"/>
          <w:b w:val="0"/>
          <w:bCs/>
          <w:sz w:val="28"/>
          <w:szCs w:val="28"/>
          <w:lang w:bidi="en-US"/>
        </w:rPr>
        <w:t xml:space="preserve">    △P</w:t>
      </w:r>
      <w:r>
        <w:rPr>
          <w:rFonts w:hint="eastAsia" w:ascii="宋体" w:hAnsi="宋体" w:cs="宋体"/>
          <w:b w:val="0"/>
          <w:bCs/>
          <w:sz w:val="28"/>
          <w:szCs w:val="28"/>
          <w:vertAlign w:val="subscript"/>
          <w:lang w:bidi="en-US"/>
        </w:rPr>
        <w:t>土堤</w:t>
      </w:r>
      <w:r>
        <w:rPr>
          <w:rFonts w:hint="eastAsia" w:ascii="宋体" w:hAnsi="宋体" w:cs="宋体"/>
          <w:b w:val="0"/>
          <w:bCs/>
          <w:sz w:val="28"/>
          <w:szCs w:val="28"/>
          <w:lang w:bidi="en-US"/>
        </w:rPr>
        <w:t>= 0.23/R+7.73/R</w:t>
      </w:r>
      <w:r>
        <w:rPr>
          <w:rFonts w:hint="eastAsia" w:ascii="宋体" w:hAnsi="宋体" w:cs="宋体"/>
          <w:b w:val="0"/>
          <w:bCs/>
          <w:sz w:val="28"/>
          <w:szCs w:val="28"/>
          <w:vertAlign w:val="superscript"/>
          <w:lang w:bidi="en-US"/>
        </w:rPr>
        <w:t>2</w:t>
      </w:r>
      <w:r>
        <w:rPr>
          <w:rFonts w:hint="eastAsia" w:ascii="宋体" w:hAnsi="宋体" w:cs="宋体"/>
          <w:b w:val="0"/>
          <w:bCs/>
          <w:sz w:val="28"/>
          <w:szCs w:val="28"/>
          <w:lang w:bidi="en-US"/>
        </w:rPr>
        <w:t>+6.81/R</w:t>
      </w:r>
      <w:r>
        <w:rPr>
          <w:rFonts w:hint="eastAsia" w:ascii="宋体" w:hAnsi="宋体" w:cs="宋体"/>
          <w:b w:val="0"/>
          <w:bCs/>
          <w:sz w:val="28"/>
          <w:szCs w:val="28"/>
          <w:vertAlign w:val="superscript"/>
          <w:lang w:bidi="en-US"/>
        </w:rPr>
        <w:t>3    （</w:t>
      </w:r>
      <w:r>
        <w:rPr>
          <w:rFonts w:hint="eastAsia" w:ascii="宋体" w:hAnsi="宋体" w:cs="宋体"/>
          <w:b w:val="0"/>
          <w:bCs/>
          <w:sz w:val="28"/>
          <w:szCs w:val="28"/>
        </w:rPr>
        <w:t>适用范围：3≤R≤18)………①</w:t>
      </w:r>
    </w:p>
    <w:p w14:paraId="7188F464">
      <w:pPr>
        <w:tabs>
          <w:tab w:val="left" w:pos="993"/>
        </w:tabs>
        <w:spacing w:line="360" w:lineRule="auto"/>
        <w:ind w:firstLine="560" w:firstLineChars="200"/>
        <w:rPr>
          <w:rFonts w:ascii="宋体" w:hAnsi="宋体" w:cs="宋体"/>
          <w:b w:val="0"/>
          <w:bCs/>
          <w:sz w:val="28"/>
          <w:szCs w:val="28"/>
        </w:rPr>
      </w:pPr>
      <w:r>
        <w:rPr>
          <w:rFonts w:hint="eastAsia" w:ascii="宋体" w:hAnsi="宋体" w:cs="宋体"/>
          <w:b w:val="0"/>
          <w:bCs/>
          <w:sz w:val="28"/>
          <w:szCs w:val="28"/>
        </w:rPr>
        <w:t>（2）在平坦地形条件下，一旦其中的危险品发生爆炸事故，冲击波峰值超压值用下式计算:</w:t>
      </w:r>
    </w:p>
    <w:p w14:paraId="2E148F60">
      <w:pPr>
        <w:tabs>
          <w:tab w:val="left" w:pos="993"/>
        </w:tabs>
        <w:spacing w:line="360" w:lineRule="auto"/>
        <w:ind w:firstLine="560" w:firstLineChars="200"/>
        <w:jc w:val="center"/>
        <w:rPr>
          <w:rFonts w:ascii="宋体" w:hAnsi="宋体" w:cs="宋体"/>
          <w:b w:val="0"/>
          <w:bCs/>
          <w:sz w:val="28"/>
          <w:szCs w:val="28"/>
        </w:rPr>
      </w:pPr>
      <w:r>
        <w:rPr>
          <w:rFonts w:hint="eastAsia" w:ascii="宋体" w:hAnsi="宋体" w:cs="宋体"/>
          <w:b w:val="0"/>
          <w:bCs/>
          <w:sz w:val="28"/>
          <w:szCs w:val="28"/>
        </w:rPr>
        <w:t xml:space="preserve">   △P</w:t>
      </w:r>
      <w:r>
        <w:rPr>
          <w:rFonts w:hint="eastAsia" w:ascii="宋体" w:hAnsi="宋体" w:cs="宋体"/>
          <w:b w:val="0"/>
          <w:bCs/>
          <w:sz w:val="28"/>
          <w:szCs w:val="28"/>
          <w:vertAlign w:val="subscript"/>
        </w:rPr>
        <w:t>地面</w:t>
      </w:r>
      <w:r>
        <w:rPr>
          <w:rFonts w:hint="eastAsia" w:ascii="宋体" w:hAnsi="宋体" w:cs="宋体"/>
          <w:b w:val="0"/>
          <w:bCs/>
          <w:sz w:val="28"/>
          <w:szCs w:val="28"/>
        </w:rPr>
        <w:t xml:space="preserve"> = 1.06/R+4.3/R</w:t>
      </w:r>
      <w:r>
        <w:rPr>
          <w:rFonts w:hint="eastAsia" w:ascii="宋体" w:hAnsi="宋体" w:cs="宋体"/>
          <w:b w:val="0"/>
          <w:bCs/>
          <w:sz w:val="28"/>
          <w:szCs w:val="28"/>
          <w:vertAlign w:val="superscript"/>
        </w:rPr>
        <w:t>2</w:t>
      </w:r>
      <w:r>
        <w:rPr>
          <w:rFonts w:hint="eastAsia" w:ascii="宋体" w:hAnsi="宋体" w:cs="宋体"/>
          <w:b w:val="0"/>
          <w:bCs/>
          <w:sz w:val="28"/>
          <w:szCs w:val="28"/>
        </w:rPr>
        <w:t>+14.0/R</w:t>
      </w:r>
      <w:r>
        <w:rPr>
          <w:rFonts w:hint="eastAsia" w:ascii="宋体" w:hAnsi="宋体" w:cs="宋体"/>
          <w:b w:val="0"/>
          <w:bCs/>
          <w:sz w:val="28"/>
          <w:szCs w:val="28"/>
          <w:vertAlign w:val="superscript"/>
        </w:rPr>
        <w:t xml:space="preserve">3  </w:t>
      </w:r>
      <w:r>
        <w:rPr>
          <w:rFonts w:hint="eastAsia" w:ascii="宋体" w:hAnsi="宋体" w:cs="宋体"/>
          <w:b w:val="0"/>
          <w:bCs/>
          <w:sz w:val="28"/>
          <w:szCs w:val="28"/>
        </w:rPr>
        <w:t>(适用范围：1≤R≤15) ………②</w:t>
      </w:r>
    </w:p>
    <w:p w14:paraId="65CD10D7">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式中：ΔP— 冲击波峰值超压，是峰值压力与环境大气压力之差即</w:t>
      </w:r>
    </w:p>
    <w:p w14:paraId="070C0670">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ΔP = PS-P0，(ΔP/10</w:t>
      </w:r>
      <w:r>
        <w:rPr>
          <w:rFonts w:hint="eastAsia" w:ascii="宋体" w:hAnsi="宋体" w:cs="宋体"/>
          <w:b w:val="0"/>
          <w:bCs/>
          <w:sz w:val="28"/>
          <w:szCs w:val="28"/>
          <w:vertAlign w:val="superscript"/>
        </w:rPr>
        <w:t>5</w:t>
      </w:r>
      <w:r>
        <w:rPr>
          <w:rFonts w:hint="eastAsia" w:ascii="宋体" w:hAnsi="宋体" w:cs="宋体"/>
          <w:b w:val="0"/>
          <w:bCs/>
          <w:sz w:val="28"/>
          <w:szCs w:val="28"/>
        </w:rPr>
        <w:t xml:space="preserve">Pa) </w:t>
      </w:r>
    </w:p>
    <w:p w14:paraId="735FB39A">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R—对比距离，是距爆炸中心的距离r与爆炸药量W的立方根之比，即R = r/W</w:t>
      </w:r>
      <w:r>
        <w:rPr>
          <w:rFonts w:hint="eastAsia" w:ascii="宋体" w:hAnsi="宋体" w:cs="宋体"/>
          <w:b w:val="0"/>
          <w:bCs/>
          <w:sz w:val="28"/>
          <w:szCs w:val="28"/>
          <w:vertAlign w:val="superscript"/>
        </w:rPr>
        <w:t>1/3</w:t>
      </w:r>
      <w:r>
        <w:rPr>
          <w:rFonts w:hint="eastAsia" w:ascii="宋体" w:hAnsi="宋体" w:cs="宋体"/>
          <w:b w:val="0"/>
          <w:bCs/>
          <w:sz w:val="28"/>
          <w:szCs w:val="28"/>
        </w:rPr>
        <w:t>，（m/kg） …………③</w:t>
      </w:r>
    </w:p>
    <w:p w14:paraId="397A0EA3">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由公式③可得：r=RW</w:t>
      </w:r>
      <w:r>
        <w:rPr>
          <w:rFonts w:hint="eastAsia" w:ascii="宋体" w:hAnsi="宋体" w:cs="宋体"/>
          <w:b w:val="0"/>
          <w:bCs/>
          <w:sz w:val="28"/>
          <w:szCs w:val="28"/>
          <w:vertAlign w:val="superscript"/>
        </w:rPr>
        <w:t>1/3</w:t>
      </w:r>
      <w:r>
        <w:rPr>
          <w:rFonts w:hint="eastAsia" w:ascii="宋体" w:hAnsi="宋体" w:cs="宋体"/>
          <w:b w:val="0"/>
          <w:bCs/>
          <w:sz w:val="28"/>
          <w:szCs w:val="28"/>
        </w:rPr>
        <w:t>(m) …………④</w:t>
      </w:r>
    </w:p>
    <w:p w14:paraId="1A904814">
      <w:pPr>
        <w:spacing w:line="360" w:lineRule="auto"/>
        <w:ind w:firstLine="560" w:firstLineChars="200"/>
        <w:rPr>
          <w:rFonts w:ascii="宋体" w:hAnsi="宋体" w:cs="宋体"/>
          <w:b w:val="0"/>
          <w:bCs/>
          <w:sz w:val="28"/>
          <w:szCs w:val="28"/>
        </w:rPr>
      </w:pPr>
      <w:r>
        <w:rPr>
          <w:rFonts w:hint="eastAsia" w:ascii="宋体" w:hAnsi="宋体" w:cs="宋体"/>
          <w:b w:val="0"/>
          <w:bCs/>
          <w:sz w:val="28"/>
          <w:szCs w:val="28"/>
        </w:rPr>
        <w:t>需要指出的是，本报告选取限制存药量作为计算药量，如果假定发生爆炸的工库房有防护土堤或天然屏障，防护土堤或天然屏障之外的地面冲击波峰值超压可折减30%～70%。烟火药的组成成分、配比以及受约束状态不同，其爆炸威力也不同，依据《烟花爆竹工程设计安全标准》GB50161-2022中的“附录A 典型配方药物的TNT当量系数”，黑火药未列入附录A，无标准给定T</w:t>
      </w:r>
      <w:r>
        <w:rPr>
          <w:rFonts w:ascii="宋体" w:hAnsi="宋体" w:cs="宋体"/>
          <w:b w:val="0"/>
          <w:bCs/>
          <w:sz w:val="28"/>
          <w:szCs w:val="28"/>
        </w:rPr>
        <w:t>NT</w:t>
      </w:r>
      <w:r>
        <w:rPr>
          <w:rFonts w:hint="eastAsia" w:ascii="宋体" w:hAnsi="宋体" w:cs="宋体"/>
          <w:b w:val="0"/>
          <w:bCs/>
          <w:sz w:val="28"/>
          <w:szCs w:val="28"/>
        </w:rPr>
        <w:t>当量系数，本次定量计算采用行业通用参考T</w:t>
      </w:r>
      <w:r>
        <w:rPr>
          <w:rFonts w:ascii="宋体" w:hAnsi="宋体" w:cs="宋体"/>
          <w:b w:val="0"/>
          <w:bCs/>
          <w:sz w:val="28"/>
          <w:szCs w:val="28"/>
        </w:rPr>
        <w:t>NT</w:t>
      </w:r>
      <w:r>
        <w:rPr>
          <w:rFonts w:hint="eastAsia" w:ascii="宋体" w:hAnsi="宋体" w:cs="宋体"/>
          <w:b w:val="0"/>
          <w:bCs/>
          <w:sz w:val="28"/>
          <w:szCs w:val="28"/>
        </w:rPr>
        <w:t>当量系数0.</w:t>
      </w:r>
      <w:r>
        <w:rPr>
          <w:rFonts w:ascii="宋体" w:hAnsi="宋体" w:cs="宋体"/>
          <w:b w:val="0"/>
          <w:bCs/>
          <w:sz w:val="28"/>
          <w:szCs w:val="28"/>
        </w:rPr>
        <w:t>13</w:t>
      </w:r>
      <w:r>
        <w:rPr>
          <w:rFonts w:hint="eastAsia" w:ascii="宋体" w:hAnsi="宋体" w:cs="宋体"/>
          <w:b w:val="0"/>
          <w:bCs/>
          <w:sz w:val="28"/>
          <w:szCs w:val="28"/>
        </w:rPr>
        <w:t>～0.</w:t>
      </w:r>
      <w:r>
        <w:rPr>
          <w:rFonts w:ascii="宋体" w:hAnsi="宋体" w:cs="宋体"/>
          <w:b w:val="0"/>
          <w:bCs/>
          <w:sz w:val="28"/>
          <w:szCs w:val="28"/>
        </w:rPr>
        <w:t>15</w:t>
      </w:r>
      <w:r>
        <w:rPr>
          <w:rFonts w:hint="eastAsia" w:ascii="宋体" w:hAnsi="宋体" w:cs="宋体"/>
          <w:b w:val="0"/>
          <w:bCs/>
          <w:sz w:val="28"/>
          <w:szCs w:val="28"/>
        </w:rPr>
        <w:t>。本次计算取中间值0</w:t>
      </w:r>
      <w:r>
        <w:rPr>
          <w:rFonts w:ascii="宋体" w:hAnsi="宋体" w:cs="宋体"/>
          <w:b w:val="0"/>
          <w:bCs/>
          <w:sz w:val="28"/>
          <w:szCs w:val="28"/>
        </w:rPr>
        <w:t>.14</w:t>
      </w:r>
      <w:r>
        <w:rPr>
          <w:rFonts w:hint="eastAsia" w:ascii="宋体" w:hAnsi="宋体" w:cs="宋体"/>
          <w:b w:val="0"/>
          <w:bCs/>
          <w:sz w:val="28"/>
          <w:szCs w:val="28"/>
        </w:rPr>
        <w:t>。</w:t>
      </w:r>
    </w:p>
    <w:p w14:paraId="2C29D7F8">
      <w:pPr>
        <w:spacing w:line="360" w:lineRule="auto"/>
        <w:ind w:firstLine="560" w:firstLineChars="200"/>
        <w:rPr>
          <w:rFonts w:ascii="黑体" w:hAnsi="黑体" w:eastAsia="黑体"/>
          <w:b w:val="0"/>
          <w:bCs/>
          <w:snapToGrid w:val="0"/>
          <w:kern w:val="0"/>
          <w:sz w:val="24"/>
          <w:szCs w:val="20"/>
        </w:rPr>
      </w:pPr>
      <w:r>
        <w:rPr>
          <w:rFonts w:hint="eastAsia" w:ascii="宋体" w:hAnsi="宋体" w:cs="宋体"/>
          <w:b w:val="0"/>
          <w:bCs/>
          <w:sz w:val="28"/>
          <w:szCs w:val="28"/>
        </w:rPr>
        <w:t>若选定的模拟爆炸点该企业</w:t>
      </w:r>
      <w:r>
        <w:rPr>
          <w:rFonts w:ascii="宋体" w:hAnsi="宋体" w:cs="宋体"/>
          <w:b w:val="0"/>
          <w:bCs/>
          <w:sz w:val="28"/>
          <w:szCs w:val="28"/>
        </w:rPr>
        <w:t>63#</w:t>
      </w:r>
      <w:r>
        <w:rPr>
          <w:rFonts w:hint="eastAsia" w:ascii="宋体" w:hAnsi="宋体" w:cs="宋体"/>
          <w:b w:val="0"/>
          <w:bCs/>
          <w:sz w:val="28"/>
          <w:szCs w:val="28"/>
        </w:rPr>
        <w:t>黑火药库（计算药量</w:t>
      </w:r>
      <w:r>
        <w:rPr>
          <w:rFonts w:ascii="宋体" w:hAnsi="宋体" w:cs="宋体"/>
          <w:b w:val="0"/>
          <w:bCs/>
          <w:sz w:val="28"/>
          <w:szCs w:val="28"/>
        </w:rPr>
        <w:t>70</w:t>
      </w:r>
      <w:r>
        <w:rPr>
          <w:rFonts w:hint="eastAsia" w:ascii="宋体" w:hAnsi="宋体" w:cs="宋体"/>
          <w:b w:val="0"/>
          <w:bCs/>
          <w:sz w:val="28"/>
          <w:szCs w:val="28"/>
        </w:rPr>
        <w:t>00kg）发生爆炸，按上述公式①计算，空气冲击波在不同距离对人体的伤害程度和对建筑物破坏程度关系对照分别见表5</w:t>
      </w:r>
      <w:r>
        <w:rPr>
          <w:rFonts w:ascii="宋体" w:hAnsi="宋体" w:cs="宋体"/>
          <w:b w:val="0"/>
          <w:bCs/>
          <w:sz w:val="28"/>
          <w:szCs w:val="28"/>
        </w:rPr>
        <w:t>.7-3</w:t>
      </w:r>
      <w:r>
        <w:rPr>
          <w:rFonts w:hint="eastAsia" w:ascii="宋体" w:hAnsi="宋体" w:cs="宋体"/>
          <w:b w:val="0"/>
          <w:bCs/>
          <w:sz w:val="28"/>
          <w:szCs w:val="28"/>
        </w:rPr>
        <w:t>和表</w:t>
      </w:r>
      <w:r>
        <w:rPr>
          <w:rFonts w:ascii="宋体" w:hAnsi="宋体" w:cs="宋体"/>
          <w:b w:val="0"/>
          <w:bCs/>
          <w:sz w:val="28"/>
          <w:szCs w:val="28"/>
        </w:rPr>
        <w:t>5.7-4</w:t>
      </w:r>
      <w:r>
        <w:rPr>
          <w:rFonts w:hint="eastAsia" w:ascii="宋体" w:hAnsi="宋体" w:cs="宋体"/>
          <w:b w:val="0"/>
          <w:bCs/>
          <w:sz w:val="28"/>
          <w:szCs w:val="28"/>
        </w:rPr>
        <w:t>。</w:t>
      </w:r>
    </w:p>
    <w:p w14:paraId="6D659B8C">
      <w:pPr>
        <w:rPr>
          <w:rFonts w:hint="eastAsia" w:ascii="黑体" w:hAnsi="黑体" w:eastAsia="黑体"/>
          <w:b w:val="0"/>
          <w:bCs/>
          <w:snapToGrid w:val="0"/>
          <w:kern w:val="0"/>
          <w:sz w:val="24"/>
          <w:szCs w:val="20"/>
        </w:rPr>
      </w:pPr>
      <w:r>
        <w:rPr>
          <w:rFonts w:hint="eastAsia" w:ascii="黑体" w:hAnsi="黑体" w:eastAsia="黑体"/>
          <w:b w:val="0"/>
          <w:bCs/>
          <w:snapToGrid w:val="0"/>
          <w:kern w:val="0"/>
          <w:sz w:val="24"/>
          <w:szCs w:val="20"/>
        </w:rPr>
        <w:br w:type="page"/>
      </w:r>
    </w:p>
    <w:p w14:paraId="5C4F217B">
      <w:pPr>
        <w:jc w:val="center"/>
        <w:rPr>
          <w:rFonts w:ascii="黑体" w:hAnsi="黑体" w:eastAsia="黑体"/>
          <w:b w:val="0"/>
          <w:bCs/>
          <w:snapToGrid w:val="0"/>
          <w:kern w:val="0"/>
          <w:sz w:val="24"/>
          <w:szCs w:val="20"/>
        </w:rPr>
      </w:pPr>
      <w:r>
        <w:rPr>
          <w:rFonts w:hint="eastAsia" w:ascii="黑体" w:hAnsi="黑体" w:eastAsia="黑体"/>
          <w:b w:val="0"/>
          <w:bCs/>
          <w:snapToGrid w:val="0"/>
          <w:kern w:val="0"/>
          <w:sz w:val="24"/>
          <w:szCs w:val="20"/>
        </w:rPr>
        <w:t>表5</w:t>
      </w:r>
      <w:r>
        <w:rPr>
          <w:rFonts w:ascii="黑体" w:hAnsi="黑体" w:eastAsia="黑体"/>
          <w:b w:val="0"/>
          <w:bCs/>
          <w:snapToGrid w:val="0"/>
          <w:kern w:val="0"/>
          <w:sz w:val="24"/>
          <w:szCs w:val="20"/>
        </w:rPr>
        <w:t>.7-3</w:t>
      </w:r>
      <w:r>
        <w:rPr>
          <w:rFonts w:hint="eastAsia" w:ascii="黑体" w:hAnsi="黑体" w:eastAsia="黑体"/>
          <w:b w:val="0"/>
          <w:bCs/>
          <w:snapToGrid w:val="0"/>
          <w:kern w:val="0"/>
          <w:sz w:val="24"/>
          <w:szCs w:val="20"/>
        </w:rPr>
        <w:t xml:space="preserve">  选定的模拟爆炸点爆炸不同距离对人体伤害程度表</w:t>
      </w:r>
    </w:p>
    <w:tbl>
      <w:tblPr>
        <w:tblStyle w:val="88"/>
        <w:tblW w:w="4864"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57" w:type="dxa"/>
          <w:bottom w:w="0" w:type="dxa"/>
          <w:right w:w="57" w:type="dxa"/>
        </w:tblCellMar>
      </w:tblPr>
      <w:tblGrid>
        <w:gridCol w:w="783"/>
        <w:gridCol w:w="2053"/>
        <w:gridCol w:w="1230"/>
        <w:gridCol w:w="1268"/>
        <w:gridCol w:w="1293"/>
        <w:gridCol w:w="1255"/>
        <w:gridCol w:w="1054"/>
      </w:tblGrid>
      <w:tr w14:paraId="0D8E6F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37" w:hRule="atLeast"/>
          <w:tblHeader/>
        </w:trPr>
        <w:tc>
          <w:tcPr>
            <w:tcW w:w="1586" w:type="pct"/>
            <w:gridSpan w:val="2"/>
            <w:tcBorders>
              <w:top w:val="single" w:color="000000" w:sz="12" w:space="0"/>
              <w:left w:val="single" w:color="000000" w:sz="12" w:space="0"/>
              <w:bottom w:val="single" w:color="000000" w:sz="4" w:space="0"/>
              <w:right w:val="single" w:color="000000" w:sz="4" w:space="0"/>
            </w:tcBorders>
            <w:vAlign w:val="center"/>
          </w:tcPr>
          <w:p w14:paraId="62C44419">
            <w:pPr>
              <w:spacing w:line="320" w:lineRule="exact"/>
              <w:jc w:val="center"/>
              <w:rPr>
                <w:rFonts w:ascii="宋体" w:hAnsi="宋体"/>
                <w:szCs w:val="21"/>
              </w:rPr>
            </w:pPr>
            <w:r>
              <w:rPr>
                <w:rFonts w:hint="eastAsia" w:ascii="宋体" w:hAnsi="宋体"/>
                <w:szCs w:val="21"/>
              </w:rPr>
              <w:t>冲击波超压ΔP/10</w:t>
            </w:r>
            <w:r>
              <w:rPr>
                <w:rFonts w:hint="eastAsia" w:ascii="宋体" w:hAnsi="宋体"/>
                <w:szCs w:val="21"/>
                <w:vertAlign w:val="superscript"/>
              </w:rPr>
              <w:t>5</w:t>
            </w:r>
            <w:r>
              <w:rPr>
                <w:rFonts w:hint="eastAsia" w:ascii="宋体" w:hAnsi="宋体"/>
                <w:szCs w:val="21"/>
              </w:rPr>
              <w:t>Pa</w:t>
            </w:r>
          </w:p>
        </w:tc>
        <w:tc>
          <w:tcPr>
            <w:tcW w:w="688" w:type="pct"/>
            <w:tcBorders>
              <w:top w:val="single" w:color="000000" w:sz="12" w:space="0"/>
              <w:left w:val="single" w:color="000000" w:sz="4" w:space="0"/>
              <w:bottom w:val="single" w:color="000000" w:sz="4" w:space="0"/>
              <w:right w:val="single" w:color="000000" w:sz="4" w:space="0"/>
            </w:tcBorders>
            <w:vAlign w:val="center"/>
          </w:tcPr>
          <w:p w14:paraId="1E7559D0">
            <w:pPr>
              <w:spacing w:line="320" w:lineRule="exact"/>
              <w:jc w:val="center"/>
              <w:rPr>
                <w:rFonts w:ascii="宋体" w:hAnsi="宋体"/>
                <w:szCs w:val="21"/>
              </w:rPr>
            </w:pPr>
            <w:r>
              <w:rPr>
                <w:rFonts w:hint="eastAsia" w:ascii="宋体" w:hAnsi="宋体"/>
                <w:szCs w:val="21"/>
              </w:rPr>
              <w:t>＜0.2</w:t>
            </w:r>
          </w:p>
        </w:tc>
        <w:tc>
          <w:tcPr>
            <w:tcW w:w="709" w:type="pct"/>
            <w:tcBorders>
              <w:top w:val="single" w:color="000000" w:sz="12" w:space="0"/>
              <w:left w:val="single" w:color="000000" w:sz="4" w:space="0"/>
              <w:bottom w:val="single" w:color="000000" w:sz="4" w:space="0"/>
              <w:right w:val="single" w:color="000000" w:sz="4" w:space="0"/>
            </w:tcBorders>
            <w:vAlign w:val="center"/>
          </w:tcPr>
          <w:p w14:paraId="1703352A">
            <w:pPr>
              <w:spacing w:line="320" w:lineRule="exact"/>
              <w:jc w:val="center"/>
              <w:rPr>
                <w:rFonts w:ascii="宋体" w:hAnsi="宋体"/>
                <w:szCs w:val="21"/>
              </w:rPr>
            </w:pPr>
            <w:r>
              <w:rPr>
                <w:rFonts w:hint="eastAsia" w:ascii="宋体" w:hAnsi="宋体"/>
                <w:szCs w:val="21"/>
              </w:rPr>
              <w:t>0.2～0.3</w:t>
            </w:r>
          </w:p>
        </w:tc>
        <w:tc>
          <w:tcPr>
            <w:tcW w:w="723" w:type="pct"/>
            <w:tcBorders>
              <w:top w:val="single" w:color="000000" w:sz="12" w:space="0"/>
              <w:left w:val="single" w:color="000000" w:sz="4" w:space="0"/>
              <w:bottom w:val="single" w:color="000000" w:sz="4" w:space="0"/>
              <w:right w:val="single" w:color="000000" w:sz="4" w:space="0"/>
            </w:tcBorders>
            <w:vAlign w:val="center"/>
          </w:tcPr>
          <w:p w14:paraId="711B535D">
            <w:pPr>
              <w:spacing w:line="320" w:lineRule="exact"/>
              <w:jc w:val="center"/>
              <w:rPr>
                <w:rFonts w:ascii="宋体" w:hAnsi="宋体"/>
                <w:szCs w:val="21"/>
              </w:rPr>
            </w:pPr>
            <w:r>
              <w:rPr>
                <w:rFonts w:hint="eastAsia" w:ascii="宋体" w:hAnsi="宋体"/>
                <w:szCs w:val="21"/>
              </w:rPr>
              <w:t>0.3～0.5</w:t>
            </w:r>
          </w:p>
        </w:tc>
        <w:tc>
          <w:tcPr>
            <w:tcW w:w="702" w:type="pct"/>
            <w:tcBorders>
              <w:top w:val="single" w:color="000000" w:sz="12" w:space="0"/>
              <w:left w:val="single" w:color="000000" w:sz="4" w:space="0"/>
              <w:bottom w:val="single" w:color="000000" w:sz="4" w:space="0"/>
              <w:right w:val="single" w:color="000000" w:sz="4" w:space="0"/>
            </w:tcBorders>
            <w:vAlign w:val="center"/>
          </w:tcPr>
          <w:p w14:paraId="4059FF16">
            <w:pPr>
              <w:spacing w:line="320" w:lineRule="exact"/>
              <w:jc w:val="center"/>
              <w:rPr>
                <w:rFonts w:ascii="宋体" w:hAnsi="宋体"/>
                <w:szCs w:val="21"/>
              </w:rPr>
            </w:pPr>
            <w:r>
              <w:rPr>
                <w:rFonts w:hint="eastAsia" w:ascii="宋体" w:hAnsi="宋体"/>
                <w:szCs w:val="21"/>
              </w:rPr>
              <w:t>0.5～1.0</w:t>
            </w:r>
          </w:p>
        </w:tc>
        <w:tc>
          <w:tcPr>
            <w:tcW w:w="589" w:type="pct"/>
            <w:tcBorders>
              <w:top w:val="single" w:color="000000" w:sz="12" w:space="0"/>
              <w:left w:val="single" w:color="000000" w:sz="4" w:space="0"/>
              <w:bottom w:val="single" w:color="000000" w:sz="4" w:space="0"/>
              <w:right w:val="single" w:color="000000" w:sz="12" w:space="0"/>
            </w:tcBorders>
            <w:vAlign w:val="center"/>
          </w:tcPr>
          <w:p w14:paraId="579BC2D6">
            <w:pPr>
              <w:spacing w:line="320" w:lineRule="exact"/>
              <w:jc w:val="center"/>
              <w:rPr>
                <w:rFonts w:ascii="宋体" w:hAnsi="宋体"/>
                <w:szCs w:val="21"/>
              </w:rPr>
            </w:pPr>
            <w:r>
              <w:rPr>
                <w:rFonts w:hint="eastAsia" w:ascii="宋体" w:hAnsi="宋体"/>
                <w:szCs w:val="21"/>
              </w:rPr>
              <w:t>＞1.0</w:t>
            </w:r>
          </w:p>
        </w:tc>
      </w:tr>
      <w:tr w14:paraId="787CFA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10" w:hRule="atLeast"/>
        </w:trPr>
        <w:tc>
          <w:tcPr>
            <w:tcW w:w="1586" w:type="pct"/>
            <w:gridSpan w:val="2"/>
            <w:tcBorders>
              <w:top w:val="single" w:color="000000" w:sz="4" w:space="0"/>
              <w:left w:val="single" w:color="000000" w:sz="12" w:space="0"/>
              <w:bottom w:val="single" w:color="000000" w:sz="4" w:space="0"/>
              <w:right w:val="single" w:color="000000" w:sz="4" w:space="0"/>
            </w:tcBorders>
            <w:vAlign w:val="center"/>
          </w:tcPr>
          <w:p w14:paraId="2C5465DC">
            <w:pPr>
              <w:spacing w:line="320" w:lineRule="exact"/>
              <w:jc w:val="center"/>
              <w:rPr>
                <w:rFonts w:ascii="宋体" w:hAnsi="宋体"/>
                <w:b w:val="0"/>
                <w:bCs/>
                <w:szCs w:val="21"/>
              </w:rPr>
            </w:pPr>
            <w:r>
              <w:rPr>
                <w:rFonts w:hint="eastAsia" w:ascii="宋体" w:hAnsi="宋体"/>
                <w:b w:val="0"/>
                <w:bCs/>
                <w:szCs w:val="21"/>
              </w:rPr>
              <w:t>R值</w:t>
            </w:r>
          </w:p>
        </w:tc>
        <w:tc>
          <w:tcPr>
            <w:tcW w:w="688" w:type="pct"/>
            <w:tcBorders>
              <w:top w:val="single" w:color="000000" w:sz="4" w:space="0"/>
              <w:left w:val="single" w:color="000000" w:sz="4" w:space="0"/>
              <w:bottom w:val="single" w:color="000000" w:sz="4" w:space="0"/>
              <w:right w:val="single" w:color="000000" w:sz="4" w:space="0"/>
            </w:tcBorders>
            <w:vAlign w:val="center"/>
          </w:tcPr>
          <w:p w14:paraId="3CD47F8A">
            <w:pPr>
              <w:spacing w:line="320" w:lineRule="exact"/>
              <w:jc w:val="center"/>
              <w:rPr>
                <w:rFonts w:ascii="宋体" w:hAnsi="宋体"/>
                <w:b w:val="0"/>
                <w:bCs/>
                <w:szCs w:val="21"/>
              </w:rPr>
            </w:pPr>
            <w:bookmarkStart w:id="523" w:name="OLE_LINK217"/>
            <w:bookmarkStart w:id="524" w:name="OLE_LINK218"/>
            <w:r>
              <w:rPr>
                <w:rFonts w:hint="eastAsia" w:ascii="宋体" w:hAnsi="宋体"/>
                <w:b w:val="0"/>
                <w:bCs/>
                <w:szCs w:val="21"/>
              </w:rPr>
              <w:t>＞</w:t>
            </w:r>
            <w:bookmarkEnd w:id="523"/>
            <w:bookmarkEnd w:id="524"/>
            <w:r>
              <w:rPr>
                <w:rFonts w:ascii="宋体" w:hAnsi="宋体"/>
                <w:b w:val="0"/>
                <w:bCs/>
                <w:szCs w:val="21"/>
              </w:rPr>
              <w:t>6.0</w:t>
            </w:r>
          </w:p>
        </w:tc>
        <w:tc>
          <w:tcPr>
            <w:tcW w:w="709" w:type="pct"/>
            <w:tcBorders>
              <w:top w:val="single" w:color="000000" w:sz="4" w:space="0"/>
              <w:left w:val="single" w:color="000000" w:sz="4" w:space="0"/>
              <w:bottom w:val="single" w:color="000000" w:sz="4" w:space="0"/>
              <w:right w:val="single" w:color="000000" w:sz="4" w:space="0"/>
            </w:tcBorders>
            <w:vAlign w:val="center"/>
          </w:tcPr>
          <w:p w14:paraId="3F2DAA13">
            <w:pPr>
              <w:spacing w:line="320" w:lineRule="exact"/>
              <w:jc w:val="center"/>
              <w:rPr>
                <w:rFonts w:ascii="宋体" w:hAnsi="宋体"/>
                <w:b w:val="0"/>
                <w:bCs/>
                <w:szCs w:val="21"/>
              </w:rPr>
            </w:pPr>
            <w:r>
              <w:rPr>
                <w:rFonts w:ascii="宋体" w:hAnsi="宋体"/>
                <w:b w:val="0"/>
                <w:bCs/>
                <w:szCs w:val="21"/>
              </w:rPr>
              <w:t>6.0</w:t>
            </w:r>
            <w:r>
              <w:rPr>
                <w:rFonts w:hint="eastAsia" w:ascii="宋体" w:hAnsi="宋体"/>
                <w:b w:val="0"/>
                <w:bCs/>
                <w:szCs w:val="21"/>
              </w:rPr>
              <w:t>～</w:t>
            </w:r>
            <w:r>
              <w:rPr>
                <w:rFonts w:ascii="宋体" w:hAnsi="宋体"/>
                <w:b w:val="0"/>
                <w:bCs/>
                <w:szCs w:val="21"/>
              </w:rPr>
              <w:t>5.0</w:t>
            </w:r>
          </w:p>
        </w:tc>
        <w:tc>
          <w:tcPr>
            <w:tcW w:w="723" w:type="pct"/>
            <w:tcBorders>
              <w:top w:val="single" w:color="000000" w:sz="4" w:space="0"/>
              <w:left w:val="single" w:color="000000" w:sz="4" w:space="0"/>
              <w:bottom w:val="single" w:color="000000" w:sz="4" w:space="0"/>
              <w:right w:val="single" w:color="000000" w:sz="4" w:space="0"/>
            </w:tcBorders>
            <w:vAlign w:val="center"/>
          </w:tcPr>
          <w:p w14:paraId="55E265AE">
            <w:pPr>
              <w:spacing w:line="320" w:lineRule="exact"/>
              <w:jc w:val="center"/>
              <w:rPr>
                <w:rFonts w:ascii="宋体" w:hAnsi="宋体"/>
                <w:b w:val="0"/>
                <w:bCs/>
                <w:szCs w:val="21"/>
              </w:rPr>
            </w:pPr>
            <w:r>
              <w:rPr>
                <w:rFonts w:ascii="宋体" w:hAnsi="宋体"/>
                <w:b w:val="0"/>
                <w:bCs/>
                <w:szCs w:val="21"/>
              </w:rPr>
              <w:t>5.0</w:t>
            </w:r>
            <w:r>
              <w:rPr>
                <w:rFonts w:hint="eastAsia" w:ascii="宋体" w:hAnsi="宋体"/>
                <w:b w:val="0"/>
                <w:bCs/>
                <w:szCs w:val="21"/>
              </w:rPr>
              <w:t>～4.</w:t>
            </w:r>
            <w:r>
              <w:rPr>
                <w:rFonts w:ascii="宋体" w:hAnsi="宋体"/>
                <w:b w:val="0"/>
                <w:bCs/>
                <w:szCs w:val="21"/>
              </w:rPr>
              <w:t>0</w:t>
            </w:r>
          </w:p>
        </w:tc>
        <w:tc>
          <w:tcPr>
            <w:tcW w:w="702" w:type="pct"/>
            <w:tcBorders>
              <w:top w:val="single" w:color="000000" w:sz="4" w:space="0"/>
              <w:left w:val="single" w:color="000000" w:sz="4" w:space="0"/>
              <w:bottom w:val="single" w:color="000000" w:sz="4" w:space="0"/>
              <w:right w:val="single" w:color="000000" w:sz="4" w:space="0"/>
            </w:tcBorders>
            <w:vAlign w:val="center"/>
          </w:tcPr>
          <w:p w14:paraId="6963A8B0">
            <w:pPr>
              <w:spacing w:line="320" w:lineRule="exact"/>
              <w:jc w:val="center"/>
              <w:rPr>
                <w:rFonts w:ascii="宋体" w:hAnsi="宋体"/>
                <w:b w:val="0"/>
                <w:bCs/>
                <w:szCs w:val="21"/>
              </w:rPr>
            </w:pPr>
            <w:r>
              <w:rPr>
                <w:rFonts w:hint="eastAsia" w:ascii="宋体" w:hAnsi="宋体"/>
                <w:b w:val="0"/>
                <w:bCs/>
                <w:szCs w:val="21"/>
              </w:rPr>
              <w:t>4.</w:t>
            </w:r>
            <w:r>
              <w:rPr>
                <w:rFonts w:ascii="宋体" w:hAnsi="宋体"/>
                <w:b w:val="0"/>
                <w:bCs/>
                <w:szCs w:val="21"/>
              </w:rPr>
              <w:t>0</w:t>
            </w:r>
            <w:r>
              <w:rPr>
                <w:rFonts w:hint="eastAsia" w:ascii="宋体" w:hAnsi="宋体"/>
                <w:b w:val="0"/>
                <w:bCs/>
                <w:szCs w:val="21"/>
              </w:rPr>
              <w:t>～3.</w:t>
            </w:r>
            <w:r>
              <w:rPr>
                <w:rFonts w:ascii="宋体" w:hAnsi="宋体"/>
                <w:b w:val="0"/>
                <w:bCs/>
                <w:szCs w:val="21"/>
              </w:rPr>
              <w:t>0</w:t>
            </w:r>
          </w:p>
        </w:tc>
        <w:tc>
          <w:tcPr>
            <w:tcW w:w="589" w:type="pct"/>
            <w:tcBorders>
              <w:top w:val="single" w:color="000000" w:sz="4" w:space="0"/>
              <w:left w:val="single" w:color="000000" w:sz="4" w:space="0"/>
              <w:bottom w:val="single" w:color="000000" w:sz="4" w:space="0"/>
              <w:right w:val="single" w:color="000000" w:sz="12" w:space="0"/>
            </w:tcBorders>
            <w:vAlign w:val="center"/>
          </w:tcPr>
          <w:p w14:paraId="2F4B5808">
            <w:pPr>
              <w:spacing w:line="320" w:lineRule="exact"/>
              <w:jc w:val="center"/>
              <w:rPr>
                <w:rFonts w:ascii="宋体" w:hAnsi="宋体"/>
                <w:b w:val="0"/>
                <w:bCs/>
                <w:szCs w:val="21"/>
              </w:rPr>
            </w:pPr>
            <w:r>
              <w:rPr>
                <w:rFonts w:hint="eastAsia" w:ascii="宋体" w:hAnsi="宋体"/>
                <w:b w:val="0"/>
                <w:bCs/>
                <w:szCs w:val="21"/>
              </w:rPr>
              <w:t>＜3</w:t>
            </w:r>
          </w:p>
        </w:tc>
      </w:tr>
      <w:tr w14:paraId="6FD4D2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59" w:hRule="atLeast"/>
        </w:trPr>
        <w:tc>
          <w:tcPr>
            <w:tcW w:w="1586" w:type="pct"/>
            <w:gridSpan w:val="2"/>
            <w:tcBorders>
              <w:top w:val="single" w:color="000000" w:sz="4" w:space="0"/>
              <w:left w:val="single" w:color="000000" w:sz="12" w:space="0"/>
              <w:bottom w:val="single" w:color="000000" w:sz="4" w:space="0"/>
              <w:right w:val="single" w:color="000000" w:sz="4" w:space="0"/>
            </w:tcBorders>
            <w:vAlign w:val="center"/>
          </w:tcPr>
          <w:p w14:paraId="6DA4F6A5">
            <w:pPr>
              <w:spacing w:line="320" w:lineRule="exact"/>
              <w:jc w:val="center"/>
              <w:rPr>
                <w:rFonts w:ascii="宋体" w:hAnsi="宋体"/>
                <w:b w:val="0"/>
                <w:bCs/>
                <w:szCs w:val="21"/>
              </w:rPr>
            </w:pPr>
            <w:bookmarkStart w:id="525" w:name="_Hlk179804148"/>
            <w:r>
              <w:rPr>
                <w:rFonts w:hint="eastAsia" w:ascii="宋体" w:hAnsi="宋体"/>
                <w:b w:val="0"/>
                <w:bCs/>
                <w:szCs w:val="21"/>
              </w:rPr>
              <w:t>对人体伤害的估计</w:t>
            </w:r>
          </w:p>
        </w:tc>
        <w:tc>
          <w:tcPr>
            <w:tcW w:w="688" w:type="pct"/>
            <w:tcBorders>
              <w:top w:val="single" w:color="000000" w:sz="4" w:space="0"/>
              <w:left w:val="single" w:color="000000" w:sz="4" w:space="0"/>
              <w:bottom w:val="single" w:color="000000" w:sz="4" w:space="0"/>
              <w:right w:val="single" w:color="000000" w:sz="4" w:space="0"/>
            </w:tcBorders>
            <w:vAlign w:val="center"/>
          </w:tcPr>
          <w:p w14:paraId="6C9708DB">
            <w:pPr>
              <w:spacing w:line="320" w:lineRule="exact"/>
              <w:jc w:val="center"/>
              <w:rPr>
                <w:rFonts w:ascii="宋体" w:hAnsi="宋体"/>
                <w:b w:val="0"/>
                <w:bCs/>
                <w:szCs w:val="21"/>
              </w:rPr>
            </w:pPr>
            <w:r>
              <w:rPr>
                <w:rFonts w:hint="eastAsia" w:ascii="宋体" w:hAnsi="宋体"/>
                <w:b w:val="0"/>
                <w:bCs/>
                <w:szCs w:val="21"/>
              </w:rPr>
              <w:t>基本无伤害</w:t>
            </w:r>
          </w:p>
        </w:tc>
        <w:tc>
          <w:tcPr>
            <w:tcW w:w="709" w:type="pct"/>
            <w:tcBorders>
              <w:top w:val="single" w:color="000000" w:sz="4" w:space="0"/>
              <w:left w:val="single" w:color="000000" w:sz="4" w:space="0"/>
              <w:bottom w:val="single" w:color="000000" w:sz="4" w:space="0"/>
              <w:right w:val="single" w:color="000000" w:sz="4" w:space="0"/>
            </w:tcBorders>
            <w:vAlign w:val="center"/>
          </w:tcPr>
          <w:p w14:paraId="793BAF91">
            <w:pPr>
              <w:spacing w:line="320" w:lineRule="exact"/>
              <w:jc w:val="center"/>
              <w:rPr>
                <w:rFonts w:ascii="宋体" w:hAnsi="宋体"/>
                <w:b w:val="0"/>
                <w:bCs/>
                <w:szCs w:val="21"/>
              </w:rPr>
            </w:pPr>
            <w:bookmarkStart w:id="526" w:name="_Hlk171495879"/>
            <w:r>
              <w:rPr>
                <w:rFonts w:hint="eastAsia" w:ascii="宋体" w:hAnsi="宋体"/>
                <w:b w:val="0"/>
                <w:bCs/>
                <w:szCs w:val="21"/>
              </w:rPr>
              <w:t>轻伤内伤、耳鸣</w:t>
            </w:r>
            <w:bookmarkEnd w:id="526"/>
          </w:p>
        </w:tc>
        <w:tc>
          <w:tcPr>
            <w:tcW w:w="723" w:type="pct"/>
            <w:tcBorders>
              <w:top w:val="single" w:color="000000" w:sz="4" w:space="0"/>
              <w:left w:val="single" w:color="000000" w:sz="4" w:space="0"/>
              <w:bottom w:val="single" w:color="000000" w:sz="4" w:space="0"/>
              <w:right w:val="single" w:color="000000" w:sz="4" w:space="0"/>
            </w:tcBorders>
            <w:vAlign w:val="center"/>
          </w:tcPr>
          <w:p w14:paraId="01CB512E">
            <w:pPr>
              <w:spacing w:line="320" w:lineRule="exact"/>
              <w:jc w:val="center"/>
              <w:rPr>
                <w:rFonts w:ascii="宋体" w:hAnsi="宋体"/>
                <w:b w:val="0"/>
                <w:bCs/>
                <w:szCs w:val="21"/>
              </w:rPr>
            </w:pPr>
            <w:bookmarkStart w:id="527" w:name="_Hlk145000154"/>
            <w:r>
              <w:rPr>
                <w:rFonts w:hint="eastAsia" w:ascii="宋体" w:hAnsi="宋体"/>
                <w:b w:val="0"/>
                <w:bCs/>
                <w:szCs w:val="21"/>
              </w:rPr>
              <w:t>中伤内伤、耳膜破裂</w:t>
            </w:r>
            <w:bookmarkEnd w:id="527"/>
          </w:p>
        </w:tc>
        <w:tc>
          <w:tcPr>
            <w:tcW w:w="702" w:type="pct"/>
            <w:tcBorders>
              <w:top w:val="single" w:color="000000" w:sz="4" w:space="0"/>
              <w:left w:val="single" w:color="000000" w:sz="4" w:space="0"/>
              <w:bottom w:val="single" w:color="000000" w:sz="4" w:space="0"/>
              <w:right w:val="single" w:color="000000" w:sz="4" w:space="0"/>
            </w:tcBorders>
            <w:vAlign w:val="center"/>
          </w:tcPr>
          <w:p w14:paraId="6FF5FCCB">
            <w:pPr>
              <w:spacing w:line="320" w:lineRule="exact"/>
              <w:jc w:val="center"/>
              <w:rPr>
                <w:rFonts w:ascii="宋体" w:hAnsi="宋体"/>
                <w:b w:val="0"/>
                <w:bCs/>
                <w:szCs w:val="21"/>
              </w:rPr>
            </w:pPr>
            <w:bookmarkStart w:id="528" w:name="_Hlk171495266"/>
            <w:r>
              <w:rPr>
                <w:rFonts w:hint="eastAsia" w:ascii="宋体" w:hAnsi="宋体"/>
                <w:b w:val="0"/>
                <w:bCs/>
                <w:szCs w:val="21"/>
              </w:rPr>
              <w:t>重伤骨折、内出血</w:t>
            </w:r>
            <w:bookmarkEnd w:id="528"/>
          </w:p>
        </w:tc>
        <w:tc>
          <w:tcPr>
            <w:tcW w:w="589" w:type="pct"/>
            <w:tcBorders>
              <w:top w:val="single" w:color="000000" w:sz="4" w:space="0"/>
              <w:left w:val="single" w:color="000000" w:sz="4" w:space="0"/>
              <w:bottom w:val="single" w:color="000000" w:sz="4" w:space="0"/>
              <w:right w:val="single" w:color="000000" w:sz="12" w:space="0"/>
            </w:tcBorders>
            <w:vAlign w:val="center"/>
          </w:tcPr>
          <w:p w14:paraId="4AEFE299">
            <w:pPr>
              <w:spacing w:line="320" w:lineRule="exact"/>
              <w:jc w:val="center"/>
              <w:rPr>
                <w:rFonts w:ascii="宋体" w:hAnsi="宋体"/>
                <w:b w:val="0"/>
                <w:bCs/>
                <w:szCs w:val="21"/>
              </w:rPr>
            </w:pPr>
            <w:bookmarkStart w:id="529" w:name="_Hlk149663503"/>
            <w:r>
              <w:rPr>
                <w:rFonts w:hint="eastAsia" w:ascii="宋体" w:hAnsi="宋体"/>
                <w:b w:val="0"/>
                <w:bCs/>
                <w:szCs w:val="21"/>
              </w:rPr>
              <w:t>死亡或致命伤</w:t>
            </w:r>
            <w:bookmarkEnd w:id="529"/>
          </w:p>
        </w:tc>
      </w:tr>
      <w:bookmarkEnd w:id="525"/>
      <w:tr w14:paraId="50B63E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81" w:hRule="atLeast"/>
        </w:trPr>
        <w:tc>
          <w:tcPr>
            <w:tcW w:w="438" w:type="pct"/>
            <w:tcBorders>
              <w:top w:val="single" w:color="000000" w:sz="4" w:space="0"/>
              <w:left w:val="single" w:color="000000" w:sz="12" w:space="0"/>
              <w:right w:val="single" w:color="000000" w:sz="4" w:space="0"/>
            </w:tcBorders>
            <w:vAlign w:val="center"/>
          </w:tcPr>
          <w:p w14:paraId="52AB16FF">
            <w:pPr>
              <w:spacing w:line="320" w:lineRule="exact"/>
              <w:jc w:val="center"/>
              <w:rPr>
                <w:rFonts w:ascii="宋体" w:hAnsi="宋体"/>
                <w:b w:val="0"/>
                <w:bCs/>
                <w:szCs w:val="21"/>
              </w:rPr>
            </w:pPr>
            <w:r>
              <w:rPr>
                <w:rFonts w:hint="eastAsia" w:ascii="宋体" w:hAnsi="宋体"/>
                <w:b w:val="0"/>
                <w:bCs/>
                <w:szCs w:val="21"/>
              </w:rPr>
              <w:t>距离r</w:t>
            </w:r>
          </w:p>
          <w:p w14:paraId="089E07E3">
            <w:pPr>
              <w:spacing w:line="320" w:lineRule="exact"/>
              <w:jc w:val="center"/>
              <w:rPr>
                <w:rFonts w:ascii="宋体" w:hAnsi="宋体"/>
                <w:b w:val="0"/>
                <w:bCs/>
                <w:szCs w:val="21"/>
              </w:rPr>
            </w:pPr>
            <w:r>
              <w:rPr>
                <w:rFonts w:hint="eastAsia" w:ascii="宋体" w:hAnsi="宋体"/>
                <w:b w:val="0"/>
                <w:bCs/>
                <w:szCs w:val="21"/>
              </w:rPr>
              <w:t>(m)</w:t>
            </w:r>
          </w:p>
        </w:tc>
        <w:tc>
          <w:tcPr>
            <w:tcW w:w="1148" w:type="pct"/>
            <w:tcBorders>
              <w:top w:val="single" w:color="000000" w:sz="4" w:space="0"/>
              <w:left w:val="single" w:color="000000" w:sz="4" w:space="0"/>
              <w:bottom w:val="single" w:color="000000" w:sz="4" w:space="0"/>
              <w:right w:val="single" w:color="000000" w:sz="4" w:space="0"/>
            </w:tcBorders>
            <w:vAlign w:val="center"/>
          </w:tcPr>
          <w:p w14:paraId="31A13B60">
            <w:pPr>
              <w:spacing w:line="320" w:lineRule="exact"/>
              <w:jc w:val="center"/>
              <w:rPr>
                <w:rFonts w:ascii="宋体" w:hAnsi="宋体"/>
                <w:b w:val="0"/>
                <w:bCs/>
                <w:szCs w:val="21"/>
              </w:rPr>
            </w:pPr>
            <w:r>
              <w:rPr>
                <w:rFonts w:ascii="宋体" w:hAnsi="宋体"/>
                <w:b w:val="0"/>
                <w:bCs/>
                <w:szCs w:val="21"/>
              </w:rPr>
              <w:t>63#</w:t>
            </w:r>
            <w:r>
              <w:rPr>
                <w:rFonts w:hint="eastAsia" w:ascii="宋体" w:hAnsi="宋体"/>
                <w:b w:val="0"/>
                <w:bCs/>
                <w:szCs w:val="21"/>
              </w:rPr>
              <w:t>黑火药库</w:t>
            </w:r>
          </w:p>
        </w:tc>
        <w:tc>
          <w:tcPr>
            <w:tcW w:w="688" w:type="pct"/>
            <w:tcBorders>
              <w:top w:val="single" w:color="000000" w:sz="4" w:space="0"/>
              <w:left w:val="single" w:color="000000" w:sz="4" w:space="0"/>
              <w:bottom w:val="single" w:color="000000" w:sz="4" w:space="0"/>
              <w:right w:val="single" w:color="000000" w:sz="4" w:space="0"/>
            </w:tcBorders>
            <w:vAlign w:val="center"/>
          </w:tcPr>
          <w:p w14:paraId="116F964A">
            <w:pPr>
              <w:spacing w:line="320" w:lineRule="exact"/>
              <w:jc w:val="center"/>
              <w:rPr>
                <w:rFonts w:ascii="宋体" w:hAnsi="宋体"/>
                <w:b w:val="0"/>
                <w:bCs/>
                <w:szCs w:val="21"/>
              </w:rPr>
            </w:pPr>
            <w:r>
              <w:rPr>
                <w:rFonts w:hint="eastAsia" w:ascii="宋体" w:hAnsi="宋体"/>
                <w:b w:val="0"/>
                <w:bCs/>
                <w:szCs w:val="21"/>
              </w:rPr>
              <w:t>＞</w:t>
            </w:r>
            <w:r>
              <w:rPr>
                <w:rFonts w:ascii="宋体" w:hAnsi="宋体"/>
                <w:b w:val="0"/>
                <w:bCs/>
                <w:szCs w:val="21"/>
              </w:rPr>
              <w:t>59.60</w:t>
            </w:r>
          </w:p>
        </w:tc>
        <w:tc>
          <w:tcPr>
            <w:tcW w:w="709" w:type="pct"/>
            <w:tcBorders>
              <w:top w:val="single" w:color="000000" w:sz="4" w:space="0"/>
              <w:left w:val="single" w:color="000000" w:sz="4" w:space="0"/>
              <w:bottom w:val="single" w:color="000000" w:sz="4" w:space="0"/>
              <w:right w:val="single" w:color="000000" w:sz="4" w:space="0"/>
            </w:tcBorders>
            <w:vAlign w:val="center"/>
          </w:tcPr>
          <w:p w14:paraId="00E54225">
            <w:pPr>
              <w:spacing w:line="320" w:lineRule="exact"/>
              <w:jc w:val="center"/>
              <w:rPr>
                <w:rFonts w:ascii="宋体" w:hAnsi="宋体"/>
                <w:b w:val="0"/>
                <w:bCs/>
                <w:szCs w:val="21"/>
              </w:rPr>
            </w:pPr>
            <w:r>
              <w:rPr>
                <w:rFonts w:ascii="宋体" w:hAnsi="宋体"/>
                <w:b w:val="0"/>
                <w:bCs/>
                <w:szCs w:val="21"/>
              </w:rPr>
              <w:t>59.60</w:t>
            </w:r>
            <w:r>
              <w:rPr>
                <w:rFonts w:hint="eastAsia" w:ascii="宋体" w:hAnsi="宋体"/>
                <w:b w:val="0"/>
                <w:bCs/>
                <w:szCs w:val="21"/>
              </w:rPr>
              <w:t>～</w:t>
            </w:r>
            <w:r>
              <w:rPr>
                <w:rFonts w:ascii="宋体" w:hAnsi="宋体"/>
                <w:b w:val="0"/>
                <w:bCs/>
                <w:szCs w:val="21"/>
              </w:rPr>
              <w:t>49.66</w:t>
            </w:r>
          </w:p>
        </w:tc>
        <w:tc>
          <w:tcPr>
            <w:tcW w:w="723" w:type="pct"/>
            <w:tcBorders>
              <w:top w:val="single" w:color="000000" w:sz="4" w:space="0"/>
              <w:left w:val="single" w:color="000000" w:sz="4" w:space="0"/>
              <w:bottom w:val="single" w:color="000000" w:sz="4" w:space="0"/>
              <w:right w:val="single" w:color="000000" w:sz="4" w:space="0"/>
            </w:tcBorders>
            <w:vAlign w:val="center"/>
          </w:tcPr>
          <w:p w14:paraId="76272DD3">
            <w:pPr>
              <w:spacing w:line="320" w:lineRule="exact"/>
              <w:jc w:val="center"/>
              <w:rPr>
                <w:rFonts w:ascii="宋体" w:hAnsi="宋体"/>
                <w:b w:val="0"/>
                <w:bCs/>
                <w:szCs w:val="21"/>
              </w:rPr>
            </w:pPr>
            <w:r>
              <w:rPr>
                <w:rFonts w:ascii="宋体" w:hAnsi="宋体"/>
                <w:b w:val="0"/>
                <w:bCs/>
                <w:szCs w:val="21"/>
              </w:rPr>
              <w:t>49.66</w:t>
            </w:r>
            <w:r>
              <w:rPr>
                <w:rFonts w:hint="eastAsia" w:ascii="宋体" w:hAnsi="宋体"/>
                <w:b w:val="0"/>
                <w:bCs/>
                <w:szCs w:val="21"/>
              </w:rPr>
              <w:t>～</w:t>
            </w:r>
            <w:r>
              <w:rPr>
                <w:rFonts w:ascii="宋体" w:hAnsi="宋体"/>
                <w:b w:val="0"/>
                <w:bCs/>
                <w:szCs w:val="21"/>
              </w:rPr>
              <w:t>39.73</w:t>
            </w:r>
          </w:p>
        </w:tc>
        <w:tc>
          <w:tcPr>
            <w:tcW w:w="702" w:type="pct"/>
            <w:tcBorders>
              <w:top w:val="single" w:color="000000" w:sz="4" w:space="0"/>
              <w:left w:val="single" w:color="000000" w:sz="4" w:space="0"/>
              <w:bottom w:val="single" w:color="000000" w:sz="4" w:space="0"/>
              <w:right w:val="single" w:color="000000" w:sz="4" w:space="0"/>
            </w:tcBorders>
            <w:vAlign w:val="center"/>
          </w:tcPr>
          <w:p w14:paraId="5815F42F">
            <w:pPr>
              <w:spacing w:line="320" w:lineRule="exact"/>
              <w:jc w:val="center"/>
              <w:rPr>
                <w:rFonts w:ascii="宋体" w:hAnsi="宋体"/>
                <w:b w:val="0"/>
                <w:bCs/>
                <w:szCs w:val="21"/>
              </w:rPr>
            </w:pPr>
            <w:r>
              <w:rPr>
                <w:rFonts w:ascii="宋体" w:hAnsi="宋体"/>
                <w:b w:val="0"/>
                <w:bCs/>
                <w:szCs w:val="21"/>
              </w:rPr>
              <w:t>39.73</w:t>
            </w:r>
            <w:r>
              <w:rPr>
                <w:rFonts w:hint="eastAsia" w:ascii="宋体" w:hAnsi="宋体"/>
                <w:b w:val="0"/>
                <w:bCs/>
                <w:szCs w:val="21"/>
              </w:rPr>
              <w:t>～29.</w:t>
            </w:r>
            <w:r>
              <w:rPr>
                <w:rFonts w:ascii="宋体" w:hAnsi="宋体"/>
                <w:b w:val="0"/>
                <w:bCs/>
                <w:szCs w:val="21"/>
              </w:rPr>
              <w:t>8</w:t>
            </w:r>
          </w:p>
        </w:tc>
        <w:tc>
          <w:tcPr>
            <w:tcW w:w="589" w:type="pct"/>
            <w:tcBorders>
              <w:top w:val="single" w:color="000000" w:sz="4" w:space="0"/>
              <w:left w:val="single" w:color="000000" w:sz="4" w:space="0"/>
              <w:bottom w:val="single" w:color="000000" w:sz="4" w:space="0"/>
              <w:right w:val="single" w:color="000000" w:sz="12" w:space="0"/>
            </w:tcBorders>
            <w:vAlign w:val="center"/>
          </w:tcPr>
          <w:p w14:paraId="5D45901B">
            <w:pPr>
              <w:spacing w:line="320" w:lineRule="exact"/>
              <w:jc w:val="center"/>
              <w:rPr>
                <w:rFonts w:ascii="宋体" w:hAnsi="宋体"/>
                <w:b w:val="0"/>
                <w:bCs/>
                <w:szCs w:val="21"/>
              </w:rPr>
            </w:pPr>
            <w:r>
              <w:rPr>
                <w:rFonts w:hint="eastAsia" w:ascii="宋体" w:hAnsi="宋体"/>
                <w:b w:val="0"/>
                <w:bCs/>
                <w:szCs w:val="21"/>
              </w:rPr>
              <w:t>＜</w:t>
            </w:r>
            <w:r>
              <w:rPr>
                <w:rFonts w:ascii="宋体" w:hAnsi="宋体"/>
                <w:b w:val="0"/>
                <w:bCs/>
                <w:szCs w:val="21"/>
              </w:rPr>
              <w:t>29.8</w:t>
            </w:r>
          </w:p>
        </w:tc>
      </w:tr>
    </w:tbl>
    <w:p w14:paraId="7A7F841A">
      <w:pPr>
        <w:pStyle w:val="2"/>
        <w:spacing w:before="120" w:beforeLines="50" w:line="240" w:lineRule="auto"/>
        <w:ind w:firstLine="0" w:firstLineChars="0"/>
        <w:jc w:val="center"/>
        <w:rPr>
          <w:rFonts w:ascii="黑体" w:hAnsi="黑体" w:eastAsia="黑体"/>
          <w:b w:val="0"/>
          <w:bCs/>
          <w:snapToGrid w:val="0"/>
          <w:sz w:val="24"/>
        </w:rPr>
      </w:pPr>
      <w:r>
        <w:rPr>
          <w:rFonts w:hint="eastAsia" w:ascii="黑体" w:hAnsi="黑体" w:eastAsia="黑体"/>
          <w:b w:val="0"/>
          <w:bCs/>
          <w:snapToGrid w:val="0"/>
          <w:sz w:val="24"/>
        </w:rPr>
        <w:t>表5</w:t>
      </w:r>
      <w:r>
        <w:rPr>
          <w:rFonts w:ascii="黑体" w:hAnsi="黑体" w:eastAsia="黑体"/>
          <w:b w:val="0"/>
          <w:bCs/>
          <w:snapToGrid w:val="0"/>
          <w:sz w:val="24"/>
        </w:rPr>
        <w:t>.7-4</w:t>
      </w:r>
      <w:r>
        <w:rPr>
          <w:rFonts w:hint="eastAsia" w:ascii="黑体" w:hAnsi="黑体" w:eastAsia="黑体"/>
          <w:b w:val="0"/>
          <w:bCs/>
          <w:snapToGrid w:val="0"/>
          <w:sz w:val="24"/>
        </w:rPr>
        <w:t xml:space="preserve"> 选定的模拟爆炸点爆炸不同距离对建筑物破坏程度表</w:t>
      </w:r>
    </w:p>
    <w:tbl>
      <w:tblPr>
        <w:tblStyle w:val="88"/>
        <w:tblW w:w="484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28" w:type="dxa"/>
          <w:bottom w:w="0" w:type="dxa"/>
          <w:right w:w="28" w:type="dxa"/>
        </w:tblCellMar>
      </w:tblPr>
      <w:tblGrid>
        <w:gridCol w:w="768"/>
        <w:gridCol w:w="2002"/>
        <w:gridCol w:w="1232"/>
        <w:gridCol w:w="1026"/>
        <w:gridCol w:w="960"/>
        <w:gridCol w:w="980"/>
        <w:gridCol w:w="980"/>
        <w:gridCol w:w="888"/>
      </w:tblGrid>
      <w:tr w14:paraId="0CECD9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542" w:hRule="atLeast"/>
          <w:tblHeader/>
        </w:trPr>
        <w:tc>
          <w:tcPr>
            <w:tcW w:w="1567" w:type="pct"/>
            <w:gridSpan w:val="2"/>
            <w:tcBorders>
              <w:top w:val="single" w:color="000000" w:sz="12" w:space="0"/>
              <w:left w:val="single" w:color="000000" w:sz="12" w:space="0"/>
              <w:bottom w:val="single" w:color="000000" w:sz="4" w:space="0"/>
              <w:right w:val="single" w:color="000000" w:sz="4" w:space="0"/>
            </w:tcBorders>
            <w:vAlign w:val="center"/>
          </w:tcPr>
          <w:p w14:paraId="08FBCBA4">
            <w:pPr>
              <w:spacing w:line="320" w:lineRule="exact"/>
              <w:jc w:val="center"/>
              <w:rPr>
                <w:rFonts w:ascii="宋体" w:hAnsi="宋体"/>
                <w:szCs w:val="21"/>
              </w:rPr>
            </w:pPr>
            <w:r>
              <w:rPr>
                <w:rFonts w:hint="eastAsia" w:ascii="宋体" w:hAnsi="宋体"/>
                <w:szCs w:val="21"/>
              </w:rPr>
              <w:t>冲击波超压</w:t>
            </w:r>
          </w:p>
          <w:p w14:paraId="3EBFFF29">
            <w:pPr>
              <w:spacing w:line="320" w:lineRule="exact"/>
              <w:jc w:val="center"/>
              <w:rPr>
                <w:rFonts w:ascii="宋体" w:hAnsi="宋体"/>
                <w:szCs w:val="21"/>
              </w:rPr>
            </w:pPr>
            <w:r>
              <w:rPr>
                <w:rFonts w:hint="eastAsia" w:ascii="宋体" w:hAnsi="宋体"/>
                <w:szCs w:val="21"/>
              </w:rPr>
              <w:t>ΔP/10</w:t>
            </w:r>
            <w:r>
              <w:rPr>
                <w:rFonts w:hint="eastAsia" w:ascii="宋体" w:hAnsi="宋体"/>
                <w:szCs w:val="21"/>
                <w:vertAlign w:val="superscript"/>
              </w:rPr>
              <w:t>5</w:t>
            </w:r>
            <w:r>
              <w:rPr>
                <w:rFonts w:hint="eastAsia" w:ascii="宋体" w:hAnsi="宋体"/>
                <w:szCs w:val="21"/>
              </w:rPr>
              <w:t>Pa</w:t>
            </w:r>
          </w:p>
        </w:tc>
        <w:tc>
          <w:tcPr>
            <w:tcW w:w="697" w:type="pct"/>
            <w:tcBorders>
              <w:top w:val="single" w:color="000000" w:sz="12" w:space="0"/>
              <w:left w:val="single" w:color="000000" w:sz="4" w:space="0"/>
              <w:bottom w:val="single" w:color="000000" w:sz="4" w:space="0"/>
              <w:right w:val="single" w:color="000000" w:sz="4" w:space="0"/>
            </w:tcBorders>
            <w:vAlign w:val="center"/>
          </w:tcPr>
          <w:p w14:paraId="66ACA4A7">
            <w:pPr>
              <w:spacing w:line="320" w:lineRule="exact"/>
              <w:jc w:val="center"/>
              <w:rPr>
                <w:rFonts w:ascii="宋体" w:hAnsi="宋体"/>
                <w:szCs w:val="21"/>
              </w:rPr>
            </w:pPr>
            <w:r>
              <w:rPr>
                <w:rFonts w:hint="eastAsia" w:ascii="宋体" w:hAnsi="宋体"/>
                <w:szCs w:val="21"/>
              </w:rPr>
              <w:t>0.02～0.09</w:t>
            </w:r>
          </w:p>
        </w:tc>
        <w:tc>
          <w:tcPr>
            <w:tcW w:w="580" w:type="pct"/>
            <w:tcBorders>
              <w:top w:val="single" w:color="000000" w:sz="12" w:space="0"/>
              <w:left w:val="single" w:color="000000" w:sz="4" w:space="0"/>
              <w:bottom w:val="single" w:color="000000" w:sz="4" w:space="0"/>
              <w:right w:val="single" w:color="000000" w:sz="4" w:space="0"/>
            </w:tcBorders>
            <w:vAlign w:val="center"/>
          </w:tcPr>
          <w:p w14:paraId="083595EE">
            <w:pPr>
              <w:spacing w:line="320" w:lineRule="exact"/>
              <w:jc w:val="center"/>
              <w:rPr>
                <w:rFonts w:ascii="宋体" w:hAnsi="宋体"/>
                <w:szCs w:val="21"/>
              </w:rPr>
            </w:pPr>
            <w:r>
              <w:rPr>
                <w:rFonts w:hint="eastAsia" w:ascii="宋体" w:hAnsi="宋体"/>
                <w:szCs w:val="21"/>
              </w:rPr>
              <w:t>0.09～0.25</w:t>
            </w:r>
          </w:p>
        </w:tc>
        <w:tc>
          <w:tcPr>
            <w:tcW w:w="543" w:type="pct"/>
            <w:tcBorders>
              <w:top w:val="single" w:color="000000" w:sz="12" w:space="0"/>
              <w:left w:val="single" w:color="000000" w:sz="4" w:space="0"/>
              <w:bottom w:val="single" w:color="000000" w:sz="4" w:space="0"/>
              <w:right w:val="single" w:color="000000" w:sz="4" w:space="0"/>
            </w:tcBorders>
            <w:vAlign w:val="center"/>
          </w:tcPr>
          <w:p w14:paraId="0AC57739">
            <w:pPr>
              <w:spacing w:line="320" w:lineRule="exact"/>
              <w:jc w:val="center"/>
              <w:rPr>
                <w:rFonts w:ascii="宋体" w:hAnsi="宋体"/>
                <w:szCs w:val="21"/>
              </w:rPr>
            </w:pPr>
            <w:r>
              <w:rPr>
                <w:rFonts w:hint="eastAsia" w:ascii="宋体" w:hAnsi="宋体"/>
                <w:szCs w:val="21"/>
              </w:rPr>
              <w:t>0.25～0.40</w:t>
            </w:r>
          </w:p>
        </w:tc>
        <w:tc>
          <w:tcPr>
            <w:tcW w:w="554" w:type="pct"/>
            <w:tcBorders>
              <w:top w:val="single" w:color="000000" w:sz="12" w:space="0"/>
              <w:left w:val="single" w:color="000000" w:sz="4" w:space="0"/>
              <w:bottom w:val="single" w:color="000000" w:sz="4" w:space="0"/>
              <w:right w:val="single" w:color="000000" w:sz="4" w:space="0"/>
            </w:tcBorders>
            <w:vAlign w:val="center"/>
          </w:tcPr>
          <w:p w14:paraId="547B7C2E">
            <w:pPr>
              <w:spacing w:line="320" w:lineRule="exact"/>
              <w:jc w:val="center"/>
              <w:rPr>
                <w:rFonts w:ascii="宋体" w:hAnsi="宋体"/>
                <w:szCs w:val="21"/>
              </w:rPr>
            </w:pPr>
            <w:r>
              <w:rPr>
                <w:rFonts w:hint="eastAsia" w:ascii="宋体" w:hAnsi="宋体"/>
                <w:szCs w:val="21"/>
              </w:rPr>
              <w:t>0.40～0.55</w:t>
            </w:r>
          </w:p>
        </w:tc>
        <w:tc>
          <w:tcPr>
            <w:tcW w:w="554" w:type="pct"/>
            <w:tcBorders>
              <w:top w:val="single" w:color="000000" w:sz="12" w:space="0"/>
              <w:left w:val="single" w:color="000000" w:sz="4" w:space="0"/>
              <w:bottom w:val="single" w:color="000000" w:sz="4" w:space="0"/>
              <w:right w:val="single" w:color="000000" w:sz="4" w:space="0"/>
            </w:tcBorders>
            <w:vAlign w:val="center"/>
          </w:tcPr>
          <w:p w14:paraId="2057CC93">
            <w:pPr>
              <w:spacing w:line="320" w:lineRule="exact"/>
              <w:jc w:val="center"/>
              <w:rPr>
                <w:rFonts w:ascii="宋体" w:hAnsi="宋体"/>
                <w:szCs w:val="21"/>
              </w:rPr>
            </w:pPr>
            <w:r>
              <w:rPr>
                <w:rFonts w:hint="eastAsia" w:ascii="宋体" w:hAnsi="宋体"/>
                <w:szCs w:val="21"/>
              </w:rPr>
              <w:t>0.55～0.76</w:t>
            </w:r>
          </w:p>
        </w:tc>
        <w:tc>
          <w:tcPr>
            <w:tcW w:w="502" w:type="pct"/>
            <w:tcBorders>
              <w:top w:val="single" w:color="000000" w:sz="12" w:space="0"/>
              <w:left w:val="single" w:color="000000" w:sz="4" w:space="0"/>
              <w:bottom w:val="single" w:color="000000" w:sz="4" w:space="0"/>
              <w:right w:val="single" w:color="000000" w:sz="12" w:space="0"/>
            </w:tcBorders>
            <w:vAlign w:val="center"/>
          </w:tcPr>
          <w:p w14:paraId="634FF167">
            <w:pPr>
              <w:spacing w:line="320" w:lineRule="exact"/>
              <w:jc w:val="center"/>
              <w:rPr>
                <w:rFonts w:ascii="宋体" w:hAnsi="宋体"/>
                <w:szCs w:val="21"/>
              </w:rPr>
            </w:pPr>
            <w:r>
              <w:rPr>
                <w:rFonts w:hint="eastAsia" w:ascii="宋体" w:hAnsi="宋体"/>
                <w:szCs w:val="21"/>
              </w:rPr>
              <w:t>＞0.76</w:t>
            </w:r>
          </w:p>
        </w:tc>
      </w:tr>
      <w:tr w14:paraId="37D81E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1567" w:type="pct"/>
            <w:gridSpan w:val="2"/>
            <w:tcBorders>
              <w:top w:val="single" w:color="000000" w:sz="4" w:space="0"/>
              <w:left w:val="single" w:color="000000" w:sz="12" w:space="0"/>
              <w:bottom w:val="single" w:color="000000" w:sz="4" w:space="0"/>
              <w:right w:val="single" w:color="000000" w:sz="4" w:space="0"/>
            </w:tcBorders>
            <w:vAlign w:val="center"/>
          </w:tcPr>
          <w:p w14:paraId="7565CDD3">
            <w:pPr>
              <w:spacing w:line="320" w:lineRule="exact"/>
              <w:jc w:val="center"/>
              <w:rPr>
                <w:rFonts w:ascii="宋体" w:hAnsi="宋体"/>
                <w:b w:val="0"/>
                <w:bCs/>
                <w:szCs w:val="21"/>
              </w:rPr>
            </w:pPr>
            <w:r>
              <w:rPr>
                <w:rFonts w:hint="eastAsia" w:ascii="宋体" w:hAnsi="宋体"/>
                <w:b w:val="0"/>
                <w:bCs/>
                <w:szCs w:val="21"/>
              </w:rPr>
              <w:t>R值</w:t>
            </w:r>
          </w:p>
        </w:tc>
        <w:tc>
          <w:tcPr>
            <w:tcW w:w="697" w:type="pct"/>
            <w:tcBorders>
              <w:top w:val="single" w:color="000000" w:sz="4" w:space="0"/>
              <w:left w:val="single" w:color="000000" w:sz="4" w:space="0"/>
              <w:bottom w:val="single" w:color="000000" w:sz="4" w:space="0"/>
              <w:right w:val="single" w:color="000000" w:sz="4" w:space="0"/>
            </w:tcBorders>
            <w:vAlign w:val="center"/>
          </w:tcPr>
          <w:p w14:paraId="5D961DC6">
            <w:pPr>
              <w:spacing w:line="320" w:lineRule="exact"/>
              <w:jc w:val="center"/>
              <w:rPr>
                <w:rFonts w:ascii="宋体" w:hAnsi="宋体"/>
                <w:b w:val="0"/>
                <w:bCs/>
                <w:szCs w:val="21"/>
              </w:rPr>
            </w:pPr>
            <w:r>
              <w:rPr>
                <w:rFonts w:ascii="宋体" w:hAnsi="宋体"/>
                <w:b w:val="0"/>
                <w:bCs/>
                <w:szCs w:val="21"/>
              </w:rPr>
              <w:t>18</w:t>
            </w:r>
            <w:r>
              <w:rPr>
                <w:rFonts w:hint="eastAsia" w:ascii="宋体" w:hAnsi="宋体"/>
                <w:b w:val="0"/>
                <w:bCs/>
                <w:szCs w:val="21"/>
              </w:rPr>
              <w:t>～</w:t>
            </w:r>
            <w:r>
              <w:rPr>
                <w:rFonts w:ascii="宋体" w:hAnsi="宋体"/>
                <w:b w:val="0"/>
                <w:bCs/>
                <w:szCs w:val="21"/>
              </w:rPr>
              <w:t>12</w:t>
            </w:r>
          </w:p>
        </w:tc>
        <w:tc>
          <w:tcPr>
            <w:tcW w:w="580" w:type="pct"/>
            <w:tcBorders>
              <w:top w:val="single" w:color="000000" w:sz="4" w:space="0"/>
              <w:left w:val="single" w:color="000000" w:sz="4" w:space="0"/>
              <w:bottom w:val="single" w:color="000000" w:sz="4" w:space="0"/>
              <w:right w:val="single" w:color="000000" w:sz="4" w:space="0"/>
            </w:tcBorders>
            <w:vAlign w:val="center"/>
          </w:tcPr>
          <w:p w14:paraId="63011429">
            <w:pPr>
              <w:spacing w:line="320" w:lineRule="exact"/>
              <w:jc w:val="center"/>
              <w:rPr>
                <w:rFonts w:ascii="宋体" w:hAnsi="宋体"/>
                <w:b w:val="0"/>
                <w:bCs/>
                <w:szCs w:val="21"/>
              </w:rPr>
            </w:pPr>
            <w:r>
              <w:rPr>
                <w:rFonts w:ascii="宋体" w:hAnsi="宋体"/>
                <w:b w:val="0"/>
                <w:bCs/>
                <w:szCs w:val="21"/>
              </w:rPr>
              <w:t>12</w:t>
            </w:r>
            <w:r>
              <w:rPr>
                <w:rFonts w:hint="eastAsia" w:ascii="宋体" w:hAnsi="宋体"/>
                <w:b w:val="0"/>
                <w:bCs/>
                <w:szCs w:val="21"/>
              </w:rPr>
              <w:t>～</w:t>
            </w:r>
            <w:r>
              <w:rPr>
                <w:rFonts w:ascii="宋体" w:hAnsi="宋体"/>
                <w:b w:val="0"/>
                <w:bCs/>
                <w:szCs w:val="21"/>
              </w:rPr>
              <w:t>8</w:t>
            </w:r>
          </w:p>
        </w:tc>
        <w:tc>
          <w:tcPr>
            <w:tcW w:w="543" w:type="pct"/>
            <w:tcBorders>
              <w:top w:val="single" w:color="000000" w:sz="4" w:space="0"/>
              <w:left w:val="single" w:color="000000" w:sz="4" w:space="0"/>
              <w:bottom w:val="single" w:color="000000" w:sz="4" w:space="0"/>
              <w:right w:val="single" w:color="000000" w:sz="4" w:space="0"/>
            </w:tcBorders>
            <w:vAlign w:val="center"/>
          </w:tcPr>
          <w:p w14:paraId="3B6F63ED">
            <w:pPr>
              <w:spacing w:line="320" w:lineRule="exact"/>
              <w:jc w:val="center"/>
              <w:rPr>
                <w:rFonts w:ascii="宋体" w:hAnsi="宋体"/>
                <w:b w:val="0"/>
                <w:bCs/>
                <w:szCs w:val="21"/>
              </w:rPr>
            </w:pPr>
            <w:r>
              <w:rPr>
                <w:rFonts w:ascii="宋体" w:hAnsi="宋体"/>
                <w:b w:val="0"/>
                <w:bCs/>
                <w:szCs w:val="21"/>
              </w:rPr>
              <w:t>8</w:t>
            </w:r>
            <w:r>
              <w:rPr>
                <w:rFonts w:hint="eastAsia" w:ascii="宋体" w:hAnsi="宋体"/>
                <w:b w:val="0"/>
                <w:bCs/>
                <w:szCs w:val="21"/>
              </w:rPr>
              <w:t>～</w:t>
            </w:r>
            <w:r>
              <w:rPr>
                <w:rFonts w:ascii="宋体" w:hAnsi="宋体"/>
                <w:b w:val="0"/>
                <w:bCs/>
                <w:szCs w:val="21"/>
              </w:rPr>
              <w:t>6</w:t>
            </w:r>
          </w:p>
        </w:tc>
        <w:tc>
          <w:tcPr>
            <w:tcW w:w="554" w:type="pct"/>
            <w:tcBorders>
              <w:top w:val="single" w:color="000000" w:sz="4" w:space="0"/>
              <w:left w:val="single" w:color="000000" w:sz="4" w:space="0"/>
              <w:bottom w:val="single" w:color="000000" w:sz="4" w:space="0"/>
              <w:right w:val="single" w:color="000000" w:sz="4" w:space="0"/>
            </w:tcBorders>
            <w:vAlign w:val="center"/>
          </w:tcPr>
          <w:p w14:paraId="3B595EAE">
            <w:pPr>
              <w:spacing w:line="320" w:lineRule="exact"/>
              <w:jc w:val="center"/>
              <w:rPr>
                <w:rFonts w:ascii="宋体" w:hAnsi="宋体"/>
                <w:b w:val="0"/>
                <w:bCs/>
                <w:szCs w:val="21"/>
              </w:rPr>
            </w:pPr>
            <w:r>
              <w:rPr>
                <w:rFonts w:ascii="宋体" w:hAnsi="宋体"/>
                <w:b w:val="0"/>
                <w:bCs/>
                <w:szCs w:val="21"/>
              </w:rPr>
              <w:t>6</w:t>
            </w:r>
            <w:r>
              <w:rPr>
                <w:rFonts w:hint="eastAsia" w:ascii="宋体" w:hAnsi="宋体"/>
                <w:b w:val="0"/>
                <w:bCs/>
                <w:szCs w:val="21"/>
              </w:rPr>
              <w:t>～</w:t>
            </w:r>
            <w:r>
              <w:rPr>
                <w:rFonts w:ascii="宋体" w:hAnsi="宋体"/>
                <w:b w:val="0"/>
                <w:bCs/>
                <w:szCs w:val="21"/>
              </w:rPr>
              <w:t>5</w:t>
            </w:r>
          </w:p>
        </w:tc>
        <w:tc>
          <w:tcPr>
            <w:tcW w:w="554" w:type="pct"/>
            <w:tcBorders>
              <w:top w:val="single" w:color="000000" w:sz="4" w:space="0"/>
              <w:left w:val="single" w:color="000000" w:sz="4" w:space="0"/>
              <w:bottom w:val="single" w:color="000000" w:sz="4" w:space="0"/>
              <w:right w:val="single" w:color="000000" w:sz="4" w:space="0"/>
            </w:tcBorders>
            <w:vAlign w:val="center"/>
          </w:tcPr>
          <w:p w14:paraId="6E91FC0B">
            <w:pPr>
              <w:spacing w:line="320" w:lineRule="exact"/>
              <w:jc w:val="center"/>
              <w:rPr>
                <w:rFonts w:ascii="宋体" w:hAnsi="宋体"/>
                <w:b w:val="0"/>
                <w:bCs/>
                <w:szCs w:val="21"/>
              </w:rPr>
            </w:pPr>
            <w:r>
              <w:rPr>
                <w:rFonts w:ascii="宋体" w:hAnsi="宋体"/>
                <w:b w:val="0"/>
                <w:bCs/>
                <w:szCs w:val="21"/>
              </w:rPr>
              <w:t>5</w:t>
            </w:r>
            <w:r>
              <w:rPr>
                <w:rFonts w:hint="eastAsia" w:ascii="宋体" w:hAnsi="宋体"/>
                <w:b w:val="0"/>
                <w:bCs/>
                <w:szCs w:val="21"/>
              </w:rPr>
              <w:t>～</w:t>
            </w:r>
            <w:r>
              <w:rPr>
                <w:rFonts w:ascii="宋体" w:hAnsi="宋体"/>
                <w:b w:val="0"/>
                <w:bCs/>
                <w:szCs w:val="21"/>
              </w:rPr>
              <w:t>4</w:t>
            </w:r>
          </w:p>
        </w:tc>
        <w:tc>
          <w:tcPr>
            <w:tcW w:w="502" w:type="pct"/>
            <w:tcBorders>
              <w:top w:val="single" w:color="000000" w:sz="4" w:space="0"/>
              <w:left w:val="single" w:color="000000" w:sz="4" w:space="0"/>
              <w:bottom w:val="single" w:color="000000" w:sz="4" w:space="0"/>
              <w:right w:val="single" w:color="000000" w:sz="12" w:space="0"/>
            </w:tcBorders>
            <w:vAlign w:val="center"/>
          </w:tcPr>
          <w:p w14:paraId="717F3318">
            <w:pPr>
              <w:spacing w:line="320" w:lineRule="exact"/>
              <w:jc w:val="center"/>
              <w:rPr>
                <w:rFonts w:ascii="宋体" w:hAnsi="宋体"/>
                <w:b w:val="0"/>
                <w:bCs/>
                <w:szCs w:val="21"/>
              </w:rPr>
            </w:pPr>
            <w:bookmarkStart w:id="530" w:name="OLE_LINK216"/>
            <w:r>
              <w:rPr>
                <w:rFonts w:hint="eastAsia" w:ascii="宋体" w:hAnsi="宋体"/>
                <w:b w:val="0"/>
                <w:bCs/>
                <w:szCs w:val="21"/>
              </w:rPr>
              <w:t>＜</w:t>
            </w:r>
            <w:bookmarkEnd w:id="530"/>
            <w:r>
              <w:rPr>
                <w:rFonts w:ascii="宋体" w:hAnsi="宋体"/>
                <w:b w:val="0"/>
                <w:bCs/>
                <w:szCs w:val="21"/>
              </w:rPr>
              <w:t>4</w:t>
            </w:r>
          </w:p>
        </w:tc>
      </w:tr>
      <w:tr w14:paraId="578E61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784" w:hRule="atLeast"/>
        </w:trPr>
        <w:tc>
          <w:tcPr>
            <w:tcW w:w="1567" w:type="pct"/>
            <w:gridSpan w:val="2"/>
            <w:tcBorders>
              <w:top w:val="single" w:color="000000" w:sz="4" w:space="0"/>
              <w:left w:val="single" w:color="000000" w:sz="12" w:space="0"/>
              <w:bottom w:val="single" w:color="000000" w:sz="4" w:space="0"/>
              <w:right w:val="single" w:color="000000" w:sz="4" w:space="0"/>
            </w:tcBorders>
            <w:vAlign w:val="center"/>
          </w:tcPr>
          <w:p w14:paraId="791F748C">
            <w:pPr>
              <w:spacing w:line="320" w:lineRule="exact"/>
              <w:jc w:val="center"/>
              <w:rPr>
                <w:rFonts w:ascii="宋体" w:hAnsi="宋体"/>
                <w:b w:val="0"/>
                <w:bCs/>
                <w:szCs w:val="21"/>
              </w:rPr>
            </w:pPr>
            <w:r>
              <w:rPr>
                <w:rFonts w:hint="eastAsia" w:ascii="宋体" w:hAnsi="宋体"/>
                <w:b w:val="0"/>
                <w:bCs/>
                <w:szCs w:val="21"/>
              </w:rPr>
              <w:t>破坏等级</w:t>
            </w:r>
          </w:p>
          <w:p w14:paraId="46C71ACA">
            <w:pPr>
              <w:spacing w:line="320" w:lineRule="exact"/>
              <w:jc w:val="center"/>
              <w:rPr>
                <w:rFonts w:ascii="宋体" w:hAnsi="宋体"/>
                <w:b w:val="0"/>
                <w:bCs/>
                <w:szCs w:val="21"/>
              </w:rPr>
            </w:pPr>
            <w:r>
              <w:rPr>
                <w:rFonts w:hint="eastAsia" w:ascii="宋体" w:hAnsi="宋体"/>
                <w:b w:val="0"/>
                <w:bCs/>
                <w:szCs w:val="21"/>
              </w:rPr>
              <w:t>及名称</w:t>
            </w:r>
          </w:p>
        </w:tc>
        <w:tc>
          <w:tcPr>
            <w:tcW w:w="697" w:type="pct"/>
            <w:tcBorders>
              <w:top w:val="single" w:color="000000" w:sz="4" w:space="0"/>
              <w:left w:val="single" w:color="000000" w:sz="4" w:space="0"/>
              <w:bottom w:val="single" w:color="000000" w:sz="4" w:space="0"/>
              <w:right w:val="single" w:color="000000" w:sz="4" w:space="0"/>
            </w:tcBorders>
            <w:vAlign w:val="center"/>
          </w:tcPr>
          <w:p w14:paraId="5F5BA201">
            <w:pPr>
              <w:spacing w:line="320" w:lineRule="exact"/>
              <w:jc w:val="center"/>
              <w:rPr>
                <w:rFonts w:ascii="宋体" w:hAnsi="宋体"/>
                <w:b w:val="0"/>
                <w:bCs/>
                <w:szCs w:val="21"/>
              </w:rPr>
            </w:pPr>
            <w:r>
              <w:rPr>
                <w:rFonts w:hint="eastAsia" w:ascii="宋体" w:hAnsi="宋体"/>
                <w:b w:val="0"/>
                <w:bCs/>
                <w:szCs w:val="21"/>
              </w:rPr>
              <w:t>二级（次轻度破坏）</w:t>
            </w:r>
          </w:p>
        </w:tc>
        <w:tc>
          <w:tcPr>
            <w:tcW w:w="580" w:type="pct"/>
            <w:tcBorders>
              <w:top w:val="single" w:color="000000" w:sz="4" w:space="0"/>
              <w:left w:val="single" w:color="000000" w:sz="4" w:space="0"/>
              <w:bottom w:val="single" w:color="000000" w:sz="4" w:space="0"/>
              <w:right w:val="single" w:color="000000" w:sz="4" w:space="0"/>
            </w:tcBorders>
            <w:vAlign w:val="center"/>
          </w:tcPr>
          <w:p w14:paraId="5962EC69">
            <w:pPr>
              <w:spacing w:line="320" w:lineRule="exact"/>
              <w:jc w:val="center"/>
              <w:rPr>
                <w:rFonts w:ascii="宋体" w:hAnsi="宋体"/>
                <w:b w:val="0"/>
                <w:bCs/>
                <w:szCs w:val="21"/>
              </w:rPr>
            </w:pPr>
            <w:r>
              <w:rPr>
                <w:rFonts w:hint="eastAsia" w:ascii="宋体" w:hAnsi="宋体"/>
                <w:b w:val="0"/>
                <w:bCs/>
                <w:szCs w:val="21"/>
              </w:rPr>
              <w:t>三级</w:t>
            </w:r>
          </w:p>
          <w:p w14:paraId="43144F23">
            <w:pPr>
              <w:spacing w:line="320" w:lineRule="exact"/>
              <w:jc w:val="center"/>
              <w:rPr>
                <w:rFonts w:ascii="宋体" w:hAnsi="宋体"/>
                <w:b w:val="0"/>
                <w:bCs/>
                <w:szCs w:val="21"/>
              </w:rPr>
            </w:pPr>
            <w:r>
              <w:rPr>
                <w:rFonts w:hint="eastAsia" w:ascii="宋体" w:hAnsi="宋体"/>
                <w:b w:val="0"/>
                <w:bCs/>
                <w:szCs w:val="21"/>
              </w:rPr>
              <w:t>（</w:t>
            </w:r>
            <w:bookmarkStart w:id="531" w:name="_Hlk161928293"/>
            <w:r>
              <w:rPr>
                <w:rFonts w:hint="eastAsia" w:ascii="宋体" w:hAnsi="宋体"/>
                <w:b w:val="0"/>
                <w:bCs/>
                <w:szCs w:val="21"/>
              </w:rPr>
              <w:t>轻度破坏</w:t>
            </w:r>
            <w:bookmarkEnd w:id="531"/>
            <w:r>
              <w:rPr>
                <w:rFonts w:hint="eastAsia" w:ascii="宋体" w:hAnsi="宋体"/>
                <w:b w:val="0"/>
                <w:bCs/>
                <w:szCs w:val="21"/>
              </w:rPr>
              <w:t>）</w:t>
            </w:r>
          </w:p>
        </w:tc>
        <w:tc>
          <w:tcPr>
            <w:tcW w:w="543" w:type="pct"/>
            <w:tcBorders>
              <w:top w:val="single" w:color="000000" w:sz="4" w:space="0"/>
              <w:left w:val="single" w:color="000000" w:sz="4" w:space="0"/>
              <w:bottom w:val="single" w:color="000000" w:sz="4" w:space="0"/>
              <w:right w:val="single" w:color="000000" w:sz="4" w:space="0"/>
            </w:tcBorders>
            <w:vAlign w:val="center"/>
          </w:tcPr>
          <w:p w14:paraId="7D2CC721">
            <w:pPr>
              <w:spacing w:line="320" w:lineRule="exact"/>
              <w:jc w:val="center"/>
              <w:rPr>
                <w:rFonts w:ascii="宋体" w:hAnsi="宋体"/>
                <w:b w:val="0"/>
                <w:bCs/>
                <w:szCs w:val="21"/>
              </w:rPr>
            </w:pPr>
            <w:r>
              <w:rPr>
                <w:rFonts w:hint="eastAsia" w:ascii="宋体" w:hAnsi="宋体"/>
                <w:b w:val="0"/>
                <w:bCs/>
                <w:szCs w:val="21"/>
              </w:rPr>
              <w:t>四级</w:t>
            </w:r>
          </w:p>
          <w:p w14:paraId="39E03FE4">
            <w:pPr>
              <w:spacing w:line="320" w:lineRule="exact"/>
              <w:jc w:val="center"/>
              <w:rPr>
                <w:rFonts w:ascii="宋体" w:hAnsi="宋体"/>
                <w:b w:val="0"/>
                <w:bCs/>
                <w:szCs w:val="21"/>
              </w:rPr>
            </w:pPr>
            <w:r>
              <w:rPr>
                <w:rFonts w:hint="eastAsia" w:ascii="宋体" w:hAnsi="宋体"/>
                <w:b w:val="0"/>
                <w:bCs/>
                <w:szCs w:val="21"/>
              </w:rPr>
              <w:t>（中度破坏）</w:t>
            </w:r>
          </w:p>
        </w:tc>
        <w:tc>
          <w:tcPr>
            <w:tcW w:w="554" w:type="pct"/>
            <w:tcBorders>
              <w:top w:val="single" w:color="000000" w:sz="4" w:space="0"/>
              <w:left w:val="single" w:color="000000" w:sz="4" w:space="0"/>
              <w:bottom w:val="single" w:color="000000" w:sz="4" w:space="0"/>
              <w:right w:val="single" w:color="000000" w:sz="4" w:space="0"/>
            </w:tcBorders>
            <w:vAlign w:val="center"/>
          </w:tcPr>
          <w:p w14:paraId="6AFFCDE4">
            <w:pPr>
              <w:spacing w:line="320" w:lineRule="exact"/>
              <w:jc w:val="center"/>
              <w:rPr>
                <w:rFonts w:ascii="宋体" w:hAnsi="宋体"/>
                <w:b w:val="0"/>
                <w:bCs/>
                <w:szCs w:val="21"/>
              </w:rPr>
            </w:pPr>
            <w:r>
              <w:rPr>
                <w:rFonts w:hint="eastAsia" w:ascii="宋体" w:hAnsi="宋体"/>
                <w:b w:val="0"/>
                <w:bCs/>
                <w:szCs w:val="21"/>
              </w:rPr>
              <w:t>五级</w:t>
            </w:r>
          </w:p>
          <w:p w14:paraId="728A8947">
            <w:pPr>
              <w:spacing w:line="320" w:lineRule="exact"/>
              <w:jc w:val="center"/>
              <w:rPr>
                <w:rFonts w:ascii="宋体" w:hAnsi="宋体"/>
                <w:b w:val="0"/>
                <w:bCs/>
                <w:szCs w:val="21"/>
              </w:rPr>
            </w:pPr>
            <w:r>
              <w:rPr>
                <w:rFonts w:hint="eastAsia" w:ascii="宋体" w:hAnsi="宋体"/>
                <w:b w:val="0"/>
                <w:bCs/>
                <w:szCs w:val="21"/>
              </w:rPr>
              <w:t>（次严重破坏）</w:t>
            </w:r>
          </w:p>
        </w:tc>
        <w:tc>
          <w:tcPr>
            <w:tcW w:w="554" w:type="pct"/>
            <w:tcBorders>
              <w:top w:val="single" w:color="000000" w:sz="4" w:space="0"/>
              <w:left w:val="single" w:color="000000" w:sz="4" w:space="0"/>
              <w:bottom w:val="single" w:color="000000" w:sz="4" w:space="0"/>
              <w:right w:val="single" w:color="000000" w:sz="4" w:space="0"/>
            </w:tcBorders>
            <w:vAlign w:val="center"/>
          </w:tcPr>
          <w:p w14:paraId="47C166E6">
            <w:pPr>
              <w:spacing w:line="320" w:lineRule="exact"/>
              <w:jc w:val="center"/>
              <w:rPr>
                <w:rFonts w:ascii="宋体" w:hAnsi="宋体"/>
                <w:b w:val="0"/>
                <w:bCs/>
                <w:szCs w:val="21"/>
              </w:rPr>
            </w:pPr>
            <w:r>
              <w:rPr>
                <w:rFonts w:hint="eastAsia" w:ascii="宋体" w:hAnsi="宋体"/>
                <w:b w:val="0"/>
                <w:bCs/>
                <w:szCs w:val="21"/>
              </w:rPr>
              <w:t>六级</w:t>
            </w:r>
          </w:p>
          <w:p w14:paraId="61955401">
            <w:pPr>
              <w:spacing w:line="320" w:lineRule="exact"/>
              <w:jc w:val="center"/>
              <w:rPr>
                <w:rFonts w:ascii="宋体" w:hAnsi="宋体"/>
                <w:b w:val="0"/>
                <w:bCs/>
                <w:szCs w:val="21"/>
              </w:rPr>
            </w:pPr>
            <w:r>
              <w:rPr>
                <w:rFonts w:hint="eastAsia" w:ascii="宋体" w:hAnsi="宋体"/>
                <w:b w:val="0"/>
                <w:bCs/>
                <w:szCs w:val="21"/>
              </w:rPr>
              <w:t>（严重破坏）</w:t>
            </w:r>
          </w:p>
        </w:tc>
        <w:tc>
          <w:tcPr>
            <w:tcW w:w="502" w:type="pct"/>
            <w:tcBorders>
              <w:top w:val="single" w:color="000000" w:sz="4" w:space="0"/>
              <w:left w:val="single" w:color="000000" w:sz="4" w:space="0"/>
              <w:bottom w:val="single" w:color="000000" w:sz="4" w:space="0"/>
              <w:right w:val="single" w:color="000000" w:sz="12" w:space="0"/>
            </w:tcBorders>
            <w:vAlign w:val="center"/>
          </w:tcPr>
          <w:p w14:paraId="38C48B06">
            <w:pPr>
              <w:spacing w:line="320" w:lineRule="exact"/>
              <w:jc w:val="center"/>
              <w:rPr>
                <w:rFonts w:ascii="宋体" w:hAnsi="宋体"/>
                <w:b w:val="0"/>
                <w:bCs/>
                <w:szCs w:val="21"/>
              </w:rPr>
            </w:pPr>
            <w:r>
              <w:rPr>
                <w:rFonts w:hint="eastAsia" w:ascii="宋体" w:hAnsi="宋体"/>
                <w:b w:val="0"/>
                <w:bCs/>
                <w:szCs w:val="21"/>
              </w:rPr>
              <w:t>七级</w:t>
            </w:r>
          </w:p>
          <w:p w14:paraId="671624CB">
            <w:pPr>
              <w:spacing w:line="320" w:lineRule="exact"/>
              <w:jc w:val="center"/>
              <w:rPr>
                <w:rFonts w:ascii="宋体" w:hAnsi="宋体"/>
                <w:b w:val="0"/>
                <w:bCs/>
                <w:szCs w:val="21"/>
              </w:rPr>
            </w:pPr>
            <w:r>
              <w:rPr>
                <w:rFonts w:hint="eastAsia" w:ascii="宋体" w:hAnsi="宋体"/>
                <w:b w:val="0"/>
                <w:bCs/>
                <w:szCs w:val="21"/>
              </w:rPr>
              <w:t>（完全破坏）</w:t>
            </w:r>
          </w:p>
        </w:tc>
      </w:tr>
      <w:tr w14:paraId="00FC5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550" w:hRule="atLeast"/>
        </w:trPr>
        <w:tc>
          <w:tcPr>
            <w:tcW w:w="435" w:type="pct"/>
            <w:tcBorders>
              <w:top w:val="single" w:color="000000" w:sz="4" w:space="0"/>
              <w:left w:val="single" w:color="000000" w:sz="12" w:space="0"/>
              <w:right w:val="single" w:color="000000" w:sz="4" w:space="0"/>
            </w:tcBorders>
            <w:vAlign w:val="center"/>
          </w:tcPr>
          <w:p w14:paraId="0C48F312">
            <w:pPr>
              <w:spacing w:line="320" w:lineRule="exact"/>
              <w:jc w:val="center"/>
              <w:rPr>
                <w:rFonts w:ascii="宋体" w:hAnsi="宋体"/>
                <w:b w:val="0"/>
                <w:bCs/>
                <w:szCs w:val="21"/>
              </w:rPr>
            </w:pPr>
            <w:bookmarkStart w:id="532" w:name="_Hlk198854131"/>
            <w:r>
              <w:rPr>
                <w:rFonts w:hint="eastAsia" w:ascii="宋体" w:hAnsi="宋体"/>
                <w:b w:val="0"/>
                <w:bCs/>
                <w:szCs w:val="21"/>
              </w:rPr>
              <w:t>距离r</w:t>
            </w:r>
          </w:p>
          <w:p w14:paraId="65A1B7BA">
            <w:pPr>
              <w:spacing w:line="320" w:lineRule="exact"/>
              <w:jc w:val="center"/>
              <w:rPr>
                <w:rFonts w:ascii="宋体" w:hAnsi="宋体"/>
                <w:b w:val="0"/>
                <w:bCs/>
                <w:szCs w:val="21"/>
              </w:rPr>
            </w:pPr>
            <w:r>
              <w:rPr>
                <w:rFonts w:hint="eastAsia" w:ascii="宋体" w:hAnsi="宋体"/>
                <w:b w:val="0"/>
                <w:bCs/>
                <w:szCs w:val="21"/>
              </w:rPr>
              <w:t>(m)</w:t>
            </w:r>
          </w:p>
        </w:tc>
        <w:tc>
          <w:tcPr>
            <w:tcW w:w="1132" w:type="pct"/>
            <w:tcBorders>
              <w:top w:val="single" w:color="000000" w:sz="4" w:space="0"/>
              <w:left w:val="single" w:color="000000" w:sz="4" w:space="0"/>
              <w:bottom w:val="single" w:color="000000" w:sz="4" w:space="0"/>
              <w:right w:val="single" w:color="000000" w:sz="4" w:space="0"/>
            </w:tcBorders>
            <w:vAlign w:val="center"/>
          </w:tcPr>
          <w:p w14:paraId="081251A3">
            <w:pPr>
              <w:spacing w:line="320" w:lineRule="exact"/>
              <w:jc w:val="center"/>
              <w:rPr>
                <w:rFonts w:ascii="宋体" w:hAnsi="宋体"/>
                <w:b w:val="0"/>
                <w:bCs/>
                <w:szCs w:val="21"/>
              </w:rPr>
            </w:pPr>
            <w:r>
              <w:rPr>
                <w:rFonts w:ascii="宋体" w:hAnsi="宋体"/>
                <w:b w:val="0"/>
                <w:bCs/>
                <w:szCs w:val="21"/>
              </w:rPr>
              <w:t>63#</w:t>
            </w:r>
            <w:r>
              <w:rPr>
                <w:rFonts w:hint="eastAsia" w:ascii="宋体" w:hAnsi="宋体"/>
                <w:b w:val="0"/>
                <w:bCs/>
                <w:szCs w:val="21"/>
              </w:rPr>
              <w:t>黑火药库</w:t>
            </w:r>
          </w:p>
        </w:tc>
        <w:tc>
          <w:tcPr>
            <w:tcW w:w="697" w:type="pct"/>
            <w:tcBorders>
              <w:top w:val="single" w:color="000000" w:sz="4" w:space="0"/>
              <w:left w:val="single" w:color="000000" w:sz="4" w:space="0"/>
              <w:bottom w:val="single" w:color="000000" w:sz="4" w:space="0"/>
              <w:right w:val="single" w:color="000000" w:sz="4" w:space="0"/>
            </w:tcBorders>
            <w:vAlign w:val="center"/>
          </w:tcPr>
          <w:p w14:paraId="41D27F61">
            <w:pPr>
              <w:spacing w:line="320" w:lineRule="exact"/>
              <w:jc w:val="center"/>
              <w:rPr>
                <w:rFonts w:ascii="宋体" w:hAnsi="宋体"/>
                <w:b w:val="0"/>
                <w:bCs/>
                <w:szCs w:val="21"/>
              </w:rPr>
            </w:pPr>
            <w:r>
              <w:rPr>
                <w:rFonts w:ascii="宋体" w:hAnsi="宋体"/>
                <w:b w:val="0"/>
                <w:bCs/>
                <w:szCs w:val="21"/>
              </w:rPr>
              <w:t>178.79</w:t>
            </w:r>
            <w:r>
              <w:rPr>
                <w:rFonts w:hint="eastAsia" w:ascii="宋体" w:hAnsi="宋体"/>
                <w:b w:val="0"/>
                <w:bCs/>
                <w:szCs w:val="21"/>
              </w:rPr>
              <w:t>～</w:t>
            </w:r>
            <w:r>
              <w:rPr>
                <w:rFonts w:ascii="宋体" w:hAnsi="宋体"/>
                <w:b w:val="0"/>
                <w:bCs/>
                <w:szCs w:val="21"/>
              </w:rPr>
              <w:t>119.19</w:t>
            </w:r>
          </w:p>
        </w:tc>
        <w:tc>
          <w:tcPr>
            <w:tcW w:w="580" w:type="pct"/>
            <w:tcBorders>
              <w:top w:val="single" w:color="000000" w:sz="4" w:space="0"/>
              <w:left w:val="single" w:color="000000" w:sz="4" w:space="0"/>
              <w:bottom w:val="single" w:color="000000" w:sz="4" w:space="0"/>
              <w:right w:val="single" w:color="000000" w:sz="4" w:space="0"/>
            </w:tcBorders>
            <w:vAlign w:val="center"/>
          </w:tcPr>
          <w:p w14:paraId="436D89AD">
            <w:pPr>
              <w:spacing w:line="320" w:lineRule="exact"/>
              <w:jc w:val="center"/>
              <w:rPr>
                <w:rFonts w:ascii="宋体" w:hAnsi="宋体"/>
                <w:b w:val="0"/>
                <w:bCs/>
                <w:szCs w:val="21"/>
              </w:rPr>
            </w:pPr>
            <w:r>
              <w:rPr>
                <w:rFonts w:ascii="宋体" w:hAnsi="宋体"/>
                <w:b w:val="0"/>
                <w:bCs/>
                <w:szCs w:val="21"/>
              </w:rPr>
              <w:t>119.19</w:t>
            </w:r>
            <w:r>
              <w:rPr>
                <w:rFonts w:hint="eastAsia" w:ascii="宋体" w:hAnsi="宋体"/>
                <w:b w:val="0"/>
                <w:bCs/>
                <w:szCs w:val="21"/>
              </w:rPr>
              <w:t>～</w:t>
            </w:r>
            <w:r>
              <w:rPr>
                <w:rFonts w:ascii="宋体" w:hAnsi="宋体"/>
                <w:b w:val="0"/>
                <w:bCs/>
                <w:szCs w:val="21"/>
              </w:rPr>
              <w:t>79.46</w:t>
            </w:r>
          </w:p>
        </w:tc>
        <w:tc>
          <w:tcPr>
            <w:tcW w:w="543" w:type="pct"/>
            <w:tcBorders>
              <w:top w:val="single" w:color="000000" w:sz="4" w:space="0"/>
              <w:left w:val="single" w:color="000000" w:sz="4" w:space="0"/>
              <w:bottom w:val="single" w:color="000000" w:sz="4" w:space="0"/>
              <w:right w:val="single" w:color="000000" w:sz="4" w:space="0"/>
            </w:tcBorders>
            <w:vAlign w:val="center"/>
          </w:tcPr>
          <w:p w14:paraId="5C4778BA">
            <w:pPr>
              <w:spacing w:line="320" w:lineRule="exact"/>
              <w:jc w:val="center"/>
              <w:rPr>
                <w:rFonts w:ascii="宋体" w:hAnsi="宋体"/>
                <w:b w:val="0"/>
                <w:bCs/>
                <w:szCs w:val="21"/>
              </w:rPr>
            </w:pPr>
            <w:r>
              <w:rPr>
                <w:rFonts w:ascii="宋体" w:hAnsi="宋体"/>
                <w:b w:val="0"/>
                <w:bCs/>
                <w:szCs w:val="21"/>
              </w:rPr>
              <w:t>79.46</w:t>
            </w:r>
            <w:r>
              <w:rPr>
                <w:rFonts w:hint="eastAsia" w:ascii="宋体" w:hAnsi="宋体"/>
                <w:b w:val="0"/>
                <w:bCs/>
                <w:szCs w:val="21"/>
              </w:rPr>
              <w:t>～</w:t>
            </w:r>
            <w:r>
              <w:rPr>
                <w:rFonts w:ascii="宋体" w:hAnsi="宋体"/>
                <w:b w:val="0"/>
                <w:bCs/>
                <w:szCs w:val="21"/>
              </w:rPr>
              <w:t>59.6</w:t>
            </w:r>
          </w:p>
        </w:tc>
        <w:tc>
          <w:tcPr>
            <w:tcW w:w="554" w:type="pct"/>
            <w:tcBorders>
              <w:top w:val="single" w:color="000000" w:sz="4" w:space="0"/>
              <w:left w:val="single" w:color="000000" w:sz="4" w:space="0"/>
              <w:bottom w:val="single" w:color="000000" w:sz="4" w:space="0"/>
              <w:right w:val="single" w:color="000000" w:sz="4" w:space="0"/>
            </w:tcBorders>
            <w:vAlign w:val="center"/>
          </w:tcPr>
          <w:p w14:paraId="3CEF7154">
            <w:pPr>
              <w:spacing w:line="320" w:lineRule="exact"/>
              <w:jc w:val="center"/>
              <w:rPr>
                <w:rFonts w:ascii="宋体" w:hAnsi="宋体"/>
                <w:b w:val="0"/>
                <w:bCs/>
                <w:szCs w:val="21"/>
              </w:rPr>
            </w:pPr>
            <w:r>
              <w:rPr>
                <w:rFonts w:ascii="宋体" w:hAnsi="宋体"/>
                <w:b w:val="0"/>
                <w:bCs/>
                <w:szCs w:val="21"/>
              </w:rPr>
              <w:t>59.6</w:t>
            </w:r>
            <w:r>
              <w:rPr>
                <w:rFonts w:hint="eastAsia" w:ascii="宋体" w:hAnsi="宋体"/>
                <w:b w:val="0"/>
                <w:bCs/>
                <w:szCs w:val="21"/>
              </w:rPr>
              <w:t>～</w:t>
            </w:r>
            <w:r>
              <w:rPr>
                <w:rFonts w:ascii="宋体" w:hAnsi="宋体"/>
                <w:b w:val="0"/>
                <w:bCs/>
                <w:szCs w:val="21"/>
              </w:rPr>
              <w:t>49.66</w:t>
            </w:r>
          </w:p>
        </w:tc>
        <w:tc>
          <w:tcPr>
            <w:tcW w:w="554" w:type="pct"/>
            <w:tcBorders>
              <w:top w:val="single" w:color="000000" w:sz="4" w:space="0"/>
              <w:left w:val="single" w:color="000000" w:sz="4" w:space="0"/>
              <w:bottom w:val="single" w:color="000000" w:sz="4" w:space="0"/>
              <w:right w:val="single" w:color="000000" w:sz="4" w:space="0"/>
            </w:tcBorders>
            <w:vAlign w:val="center"/>
          </w:tcPr>
          <w:p w14:paraId="48DB83B9">
            <w:pPr>
              <w:spacing w:line="320" w:lineRule="exact"/>
              <w:jc w:val="center"/>
              <w:rPr>
                <w:rFonts w:ascii="宋体" w:hAnsi="宋体"/>
                <w:b w:val="0"/>
                <w:bCs/>
                <w:szCs w:val="21"/>
              </w:rPr>
            </w:pPr>
            <w:r>
              <w:rPr>
                <w:rFonts w:hint="eastAsia" w:ascii="宋体" w:hAnsi="宋体"/>
                <w:b w:val="0"/>
                <w:bCs/>
                <w:szCs w:val="21"/>
              </w:rPr>
              <w:t>4</w:t>
            </w:r>
            <w:r>
              <w:rPr>
                <w:rFonts w:ascii="宋体" w:hAnsi="宋体"/>
                <w:b w:val="0"/>
                <w:bCs/>
                <w:szCs w:val="21"/>
              </w:rPr>
              <w:t>9.66</w:t>
            </w:r>
            <w:r>
              <w:rPr>
                <w:rFonts w:hint="eastAsia" w:ascii="宋体" w:hAnsi="宋体"/>
                <w:b w:val="0"/>
                <w:bCs/>
                <w:szCs w:val="21"/>
              </w:rPr>
              <w:t>～</w:t>
            </w:r>
            <w:r>
              <w:rPr>
                <w:rFonts w:ascii="宋体" w:hAnsi="宋体"/>
                <w:b w:val="0"/>
                <w:bCs/>
                <w:szCs w:val="21"/>
              </w:rPr>
              <w:t>39.73</w:t>
            </w:r>
          </w:p>
        </w:tc>
        <w:tc>
          <w:tcPr>
            <w:tcW w:w="502" w:type="pct"/>
            <w:tcBorders>
              <w:top w:val="single" w:color="000000" w:sz="4" w:space="0"/>
              <w:left w:val="single" w:color="000000" w:sz="4" w:space="0"/>
              <w:bottom w:val="single" w:color="000000" w:sz="4" w:space="0"/>
              <w:right w:val="single" w:color="000000" w:sz="12" w:space="0"/>
            </w:tcBorders>
            <w:vAlign w:val="center"/>
          </w:tcPr>
          <w:p w14:paraId="285932BD">
            <w:pPr>
              <w:spacing w:line="320" w:lineRule="exact"/>
              <w:jc w:val="center"/>
              <w:rPr>
                <w:rFonts w:ascii="宋体" w:hAnsi="宋体"/>
                <w:b w:val="0"/>
                <w:bCs/>
                <w:szCs w:val="21"/>
              </w:rPr>
            </w:pPr>
            <w:r>
              <w:rPr>
                <w:rFonts w:hint="eastAsia" w:ascii="宋体" w:hAnsi="宋体"/>
                <w:b w:val="0"/>
                <w:bCs/>
                <w:szCs w:val="21"/>
              </w:rPr>
              <w:t>＜</w:t>
            </w:r>
            <w:r>
              <w:rPr>
                <w:rFonts w:ascii="宋体" w:hAnsi="宋体"/>
                <w:b w:val="0"/>
                <w:bCs/>
                <w:szCs w:val="21"/>
              </w:rPr>
              <w:t>39.73</w:t>
            </w:r>
          </w:p>
        </w:tc>
      </w:tr>
      <w:bookmarkEnd w:id="532"/>
    </w:tbl>
    <w:p w14:paraId="6ABD679C">
      <w:pPr>
        <w:spacing w:before="120" w:beforeLines="50" w:line="500" w:lineRule="exact"/>
        <w:ind w:firstLine="560" w:firstLineChars="200"/>
        <w:rPr>
          <w:rFonts w:ascii="宋体" w:hAnsi="宋体" w:cs="宋体"/>
          <w:b w:val="0"/>
          <w:bCs/>
          <w:sz w:val="28"/>
          <w:szCs w:val="28"/>
        </w:rPr>
      </w:pPr>
      <w:r>
        <w:rPr>
          <w:rFonts w:hint="eastAsia" w:ascii="宋体" w:hAnsi="宋体" w:cs="宋体"/>
          <w:b w:val="0"/>
          <w:bCs/>
          <w:sz w:val="28"/>
          <w:szCs w:val="28"/>
        </w:rPr>
        <w:t>3.爆炸事故后果模拟分析</w:t>
      </w:r>
    </w:p>
    <w:p w14:paraId="7F3CC55A">
      <w:pPr>
        <w:spacing w:line="500" w:lineRule="exact"/>
        <w:ind w:firstLine="560" w:firstLineChars="200"/>
        <w:rPr>
          <w:rFonts w:ascii="宋体" w:hAnsi="宋体"/>
          <w:b w:val="0"/>
          <w:bCs/>
          <w:sz w:val="28"/>
          <w:szCs w:val="28"/>
        </w:rPr>
      </w:pPr>
      <w:r>
        <w:rPr>
          <w:rFonts w:hint="eastAsia" w:ascii="宋体" w:hAnsi="宋体"/>
          <w:b w:val="0"/>
          <w:bCs/>
          <w:sz w:val="28"/>
          <w:szCs w:val="28"/>
        </w:rPr>
        <w:t>假定该企业</w:t>
      </w:r>
      <w:r>
        <w:rPr>
          <w:rFonts w:ascii="宋体" w:hAnsi="宋体" w:cs="宋体"/>
          <w:b w:val="0"/>
          <w:bCs/>
          <w:sz w:val="28"/>
          <w:szCs w:val="28"/>
        </w:rPr>
        <w:t>63#</w:t>
      </w:r>
      <w:r>
        <w:rPr>
          <w:rFonts w:hint="eastAsia" w:ascii="宋体" w:hAnsi="宋体" w:cs="宋体"/>
          <w:b w:val="0"/>
          <w:bCs/>
          <w:sz w:val="28"/>
          <w:szCs w:val="28"/>
        </w:rPr>
        <w:t>黑火药库（计算药量</w:t>
      </w:r>
      <w:r>
        <w:rPr>
          <w:rFonts w:ascii="宋体" w:hAnsi="宋体" w:cs="宋体"/>
          <w:b w:val="0"/>
          <w:bCs/>
          <w:sz w:val="28"/>
          <w:szCs w:val="28"/>
        </w:rPr>
        <w:t>7000kg</w:t>
      </w:r>
      <w:r>
        <w:rPr>
          <w:rFonts w:hint="eastAsia" w:ascii="宋体" w:hAnsi="宋体" w:cs="宋体"/>
          <w:b w:val="0"/>
          <w:bCs/>
          <w:sz w:val="28"/>
          <w:szCs w:val="28"/>
        </w:rPr>
        <w:t>）</w:t>
      </w:r>
      <w:r>
        <w:rPr>
          <w:rFonts w:hint="eastAsia" w:ascii="宋体" w:hAnsi="宋体"/>
          <w:b w:val="0"/>
          <w:bCs/>
          <w:sz w:val="28"/>
          <w:szCs w:val="28"/>
        </w:rPr>
        <w:t>发生爆炸（不考虑引起殉爆所致的连锁放大反应）。</w:t>
      </w:r>
    </w:p>
    <w:p w14:paraId="596C18C3">
      <w:pPr>
        <w:spacing w:line="500" w:lineRule="exact"/>
        <w:ind w:firstLine="536" w:firstLineChars="200"/>
        <w:rPr>
          <w:rFonts w:ascii="宋体" w:hAnsi="宋体" w:cs="宋体"/>
          <w:b w:val="0"/>
          <w:bCs/>
          <w:sz w:val="28"/>
          <w:szCs w:val="28"/>
        </w:rPr>
      </w:pPr>
      <w:bookmarkStart w:id="533" w:name="OLE_LINK230"/>
      <w:bookmarkStart w:id="534" w:name="OLE_LINK229"/>
      <w:r>
        <w:rPr>
          <w:rFonts w:hint="eastAsia" w:ascii="宋体" w:hAnsi="宋体"/>
          <w:b w:val="0"/>
          <w:bCs/>
          <w:spacing w:val="-6"/>
          <w:sz w:val="28"/>
          <w:szCs w:val="28"/>
        </w:rPr>
        <w:t>假定爆炸时，各工房内均有人员作业，工房内人数按设计人数计算，根据现场工房布局和距离情况，</w:t>
      </w:r>
      <w:bookmarkEnd w:id="533"/>
      <w:bookmarkEnd w:id="534"/>
      <w:r>
        <w:rPr>
          <w:rFonts w:ascii="宋体" w:hAnsi="宋体" w:cs="宋体"/>
          <w:b w:val="0"/>
          <w:bCs/>
          <w:spacing w:val="-6"/>
          <w:sz w:val="28"/>
          <w:szCs w:val="28"/>
        </w:rPr>
        <w:t>63#</w:t>
      </w:r>
      <w:r>
        <w:rPr>
          <w:rFonts w:hint="eastAsia" w:ascii="宋体" w:hAnsi="宋体" w:cs="宋体"/>
          <w:b w:val="0"/>
          <w:bCs/>
          <w:spacing w:val="-6"/>
          <w:sz w:val="28"/>
          <w:szCs w:val="28"/>
        </w:rPr>
        <w:t>黑火药库设有严实的防护屏障，事故后果按有防护状态进行事故后果模拟分析，由表5</w:t>
      </w:r>
      <w:r>
        <w:rPr>
          <w:rFonts w:ascii="宋体" w:hAnsi="宋体" w:cs="宋体"/>
          <w:b w:val="0"/>
          <w:bCs/>
          <w:spacing w:val="-6"/>
          <w:sz w:val="28"/>
          <w:szCs w:val="28"/>
        </w:rPr>
        <w:t>.7-3</w:t>
      </w:r>
      <w:r>
        <w:rPr>
          <w:rFonts w:hint="eastAsia" w:ascii="宋体" w:hAnsi="宋体" w:cs="宋体"/>
          <w:b w:val="0"/>
          <w:bCs/>
          <w:spacing w:val="-6"/>
          <w:sz w:val="28"/>
          <w:szCs w:val="28"/>
        </w:rPr>
        <w:t>、5</w:t>
      </w:r>
      <w:r>
        <w:rPr>
          <w:rFonts w:ascii="宋体" w:hAnsi="宋体" w:cs="宋体"/>
          <w:b w:val="0"/>
          <w:bCs/>
          <w:spacing w:val="-6"/>
          <w:sz w:val="28"/>
          <w:szCs w:val="28"/>
        </w:rPr>
        <w:t>.7-4</w:t>
      </w:r>
      <w:r>
        <w:rPr>
          <w:rFonts w:hint="eastAsia" w:ascii="宋体" w:hAnsi="宋体" w:cs="宋体"/>
          <w:b w:val="0"/>
          <w:bCs/>
          <w:spacing w:val="-6"/>
          <w:sz w:val="28"/>
          <w:szCs w:val="28"/>
        </w:rPr>
        <w:t>计算结果可知：如果其发生爆炸，距离</w:t>
      </w:r>
      <w:r>
        <w:rPr>
          <w:rFonts w:ascii="宋体" w:hAnsi="宋体" w:cs="宋体"/>
          <w:b w:val="0"/>
          <w:bCs/>
          <w:spacing w:val="-6"/>
          <w:sz w:val="28"/>
          <w:szCs w:val="28"/>
        </w:rPr>
        <w:t>27</w:t>
      </w:r>
      <w:r>
        <w:rPr>
          <w:rFonts w:hint="eastAsia" w:ascii="宋体" w:hAnsi="宋体" w:cs="宋体"/>
          <w:b w:val="0"/>
          <w:bCs/>
          <w:spacing w:val="-6"/>
          <w:sz w:val="28"/>
          <w:szCs w:val="28"/>
        </w:rPr>
        <w:t>米处的</w:t>
      </w:r>
      <w:r>
        <w:rPr>
          <w:rFonts w:ascii="宋体" w:hAnsi="宋体" w:cs="宋体"/>
          <w:b w:val="0"/>
          <w:bCs/>
          <w:spacing w:val="-6"/>
          <w:sz w:val="28"/>
          <w:szCs w:val="28"/>
        </w:rPr>
        <w:t>62#</w:t>
      </w:r>
      <w:r>
        <w:rPr>
          <w:rFonts w:hint="eastAsia" w:ascii="宋体" w:hAnsi="宋体" w:cs="宋体"/>
          <w:b w:val="0"/>
          <w:bCs/>
          <w:spacing w:val="-6"/>
          <w:sz w:val="28"/>
          <w:szCs w:val="28"/>
        </w:rPr>
        <w:t>黑火药库将受到七级完全破坏，其内人员受到的伤害程度为死亡或致命伤；距离</w:t>
      </w:r>
      <w:r>
        <w:rPr>
          <w:rFonts w:ascii="宋体" w:hAnsi="宋体" w:cs="宋体"/>
          <w:b w:val="0"/>
          <w:bCs/>
          <w:spacing w:val="-6"/>
          <w:sz w:val="28"/>
          <w:szCs w:val="28"/>
        </w:rPr>
        <w:t>33</w:t>
      </w:r>
      <w:r>
        <w:rPr>
          <w:rFonts w:hint="eastAsia" w:ascii="宋体" w:hAnsi="宋体" w:cs="宋体"/>
          <w:b w:val="0"/>
          <w:bCs/>
          <w:spacing w:val="-6"/>
          <w:sz w:val="28"/>
          <w:szCs w:val="28"/>
        </w:rPr>
        <w:t>米处的</w:t>
      </w:r>
      <w:r>
        <w:rPr>
          <w:rFonts w:ascii="宋体" w:hAnsi="宋体" w:cs="宋体"/>
          <w:b w:val="0"/>
          <w:bCs/>
          <w:spacing w:val="-6"/>
          <w:sz w:val="28"/>
          <w:szCs w:val="28"/>
        </w:rPr>
        <w:t>64#</w:t>
      </w:r>
      <w:r>
        <w:rPr>
          <w:rFonts w:hint="eastAsia" w:ascii="宋体" w:hAnsi="宋体" w:cs="宋体"/>
          <w:b w:val="0"/>
          <w:bCs/>
          <w:spacing w:val="-6"/>
          <w:sz w:val="28"/>
          <w:szCs w:val="28"/>
        </w:rPr>
        <w:t>黑火药库将受到七级完全破坏，其内人员受到的伤害程度为重伤骨折、内出血；距离</w:t>
      </w:r>
      <w:r>
        <w:rPr>
          <w:rFonts w:ascii="宋体" w:hAnsi="宋体" w:cs="宋体"/>
          <w:b w:val="0"/>
          <w:bCs/>
          <w:spacing w:val="-6"/>
          <w:sz w:val="28"/>
          <w:szCs w:val="28"/>
        </w:rPr>
        <w:t>59</w:t>
      </w:r>
      <w:r>
        <w:rPr>
          <w:rFonts w:hint="eastAsia" w:ascii="宋体" w:hAnsi="宋体" w:cs="宋体"/>
          <w:b w:val="0"/>
          <w:bCs/>
          <w:spacing w:val="-6"/>
          <w:sz w:val="28"/>
          <w:szCs w:val="28"/>
        </w:rPr>
        <w:t>米处的</w:t>
      </w:r>
      <w:r>
        <w:rPr>
          <w:rFonts w:ascii="宋体" w:hAnsi="宋体" w:cs="宋体"/>
          <w:b w:val="0"/>
          <w:bCs/>
          <w:spacing w:val="-6"/>
          <w:sz w:val="28"/>
          <w:szCs w:val="28"/>
        </w:rPr>
        <w:t>65#</w:t>
      </w:r>
      <w:r>
        <w:rPr>
          <w:rFonts w:hint="eastAsia" w:ascii="宋体" w:hAnsi="宋体" w:cs="宋体"/>
          <w:b w:val="0"/>
          <w:bCs/>
          <w:spacing w:val="-6"/>
          <w:sz w:val="28"/>
          <w:szCs w:val="28"/>
        </w:rPr>
        <w:t>黑火药库将受到五级次严重破坏，其内人员受到的伤害程度为轻伤内伤、耳鸣；距离</w:t>
      </w:r>
      <w:r>
        <w:rPr>
          <w:rFonts w:ascii="宋体" w:hAnsi="宋体" w:cs="宋体"/>
          <w:b w:val="0"/>
          <w:bCs/>
          <w:spacing w:val="-6"/>
          <w:sz w:val="28"/>
          <w:szCs w:val="28"/>
        </w:rPr>
        <w:t>60</w:t>
      </w:r>
      <w:r>
        <w:rPr>
          <w:rFonts w:hint="eastAsia" w:ascii="宋体" w:hAnsi="宋体" w:cs="宋体"/>
          <w:b w:val="0"/>
          <w:bCs/>
          <w:spacing w:val="-6"/>
          <w:sz w:val="28"/>
          <w:szCs w:val="28"/>
        </w:rPr>
        <w:t>米处的</w:t>
      </w:r>
      <w:r>
        <w:rPr>
          <w:rFonts w:ascii="宋体" w:hAnsi="宋体" w:cs="宋体"/>
          <w:b w:val="0"/>
          <w:bCs/>
          <w:spacing w:val="-6"/>
          <w:sz w:val="28"/>
          <w:szCs w:val="28"/>
        </w:rPr>
        <w:t>61#</w:t>
      </w:r>
      <w:r>
        <w:rPr>
          <w:rFonts w:hint="eastAsia" w:ascii="宋体" w:hAnsi="宋体" w:cs="宋体"/>
          <w:b w:val="0"/>
          <w:bCs/>
          <w:spacing w:val="-6"/>
          <w:sz w:val="28"/>
          <w:szCs w:val="28"/>
        </w:rPr>
        <w:t>黑火药库将受到四级中度破坏，其内人员基本无伤害；</w:t>
      </w:r>
      <w:r>
        <w:rPr>
          <w:rFonts w:hint="eastAsia"/>
          <w:b w:val="0"/>
          <w:bCs/>
          <w:spacing w:val="-6"/>
          <w:sz w:val="28"/>
          <w:szCs w:val="28"/>
        </w:rPr>
        <w:t>其余建筑物最严重将受到三级轻度破坏，人员的伤害程度基本无伤害</w:t>
      </w:r>
      <w:r>
        <w:rPr>
          <w:rFonts w:hint="eastAsia"/>
          <w:b w:val="0"/>
          <w:bCs/>
          <w:sz w:val="28"/>
          <w:szCs w:val="28"/>
        </w:rPr>
        <w:t>。</w:t>
      </w:r>
    </w:p>
    <w:p w14:paraId="22FECF7A">
      <w:pPr>
        <w:spacing w:line="500" w:lineRule="exact"/>
        <w:ind w:firstLine="560" w:firstLineChars="200"/>
        <w:rPr>
          <w:rFonts w:ascii="宋体" w:hAnsi="宋体"/>
          <w:b w:val="0"/>
          <w:bCs/>
          <w:szCs w:val="28"/>
        </w:rPr>
      </w:pPr>
      <w:r>
        <w:rPr>
          <w:rFonts w:hint="eastAsia" w:ascii="宋体" w:hAnsi="宋体"/>
          <w:b w:val="0"/>
          <w:bCs/>
          <w:sz w:val="28"/>
          <w:szCs w:val="28"/>
        </w:rPr>
        <w:t>各重大危险对象的事故严重度，在上述计算分析中是以独立单元中单栋药量最大的作为研究对象且不涉及抛射、喷射产品，它一旦发生爆炸的效果足以说明问题，已不必再考虑各单元发生殉爆、二次破坏事故时的严重后果</w:t>
      </w:r>
      <w:r>
        <w:rPr>
          <w:rFonts w:hint="eastAsia" w:ascii="宋体" w:hAnsi="宋体"/>
          <w:b w:val="0"/>
          <w:bCs/>
          <w:szCs w:val="28"/>
        </w:rPr>
        <w:t>。</w:t>
      </w:r>
      <w:bookmarkStart w:id="535" w:name="_Toc12888"/>
      <w:bookmarkStart w:id="536" w:name="_Toc16637"/>
      <w:bookmarkStart w:id="537" w:name="_Toc32194"/>
      <w:bookmarkStart w:id="538" w:name="_Toc176"/>
      <w:bookmarkStart w:id="539" w:name="_Toc6764"/>
      <w:bookmarkStart w:id="540" w:name="_Toc14911"/>
    </w:p>
    <w:p w14:paraId="4FADC241">
      <w:pPr>
        <w:keepNext/>
        <w:keepLines/>
        <w:spacing w:before="120" w:beforeLines="50" w:line="360" w:lineRule="auto"/>
        <w:outlineLvl w:val="1"/>
        <w:rPr>
          <w:rFonts w:ascii="黑体" w:hAnsi="宋体" w:eastAsia="黑体"/>
          <w:b w:val="0"/>
          <w:bCs/>
          <w:snapToGrid w:val="0"/>
          <w:sz w:val="30"/>
          <w:szCs w:val="30"/>
        </w:rPr>
      </w:pPr>
      <w:r>
        <w:rPr>
          <w:rFonts w:hint="eastAsia" w:ascii="黑体" w:hAnsi="宋体" w:eastAsia="黑体"/>
          <w:b w:val="0"/>
          <w:bCs/>
          <w:snapToGrid w:val="0"/>
          <w:sz w:val="30"/>
          <w:szCs w:val="30"/>
        </w:rPr>
        <w:t>5</w:t>
      </w:r>
      <w:r>
        <w:rPr>
          <w:rFonts w:ascii="黑体" w:hAnsi="宋体" w:eastAsia="黑体"/>
          <w:b w:val="0"/>
          <w:bCs/>
          <w:snapToGrid w:val="0"/>
          <w:sz w:val="30"/>
          <w:szCs w:val="30"/>
        </w:rPr>
        <w:t>.8</w:t>
      </w:r>
      <w:r>
        <w:rPr>
          <w:rFonts w:hint="eastAsia" w:ascii="黑体" w:hAnsi="宋体" w:eastAsia="黑体"/>
          <w:b w:val="0"/>
          <w:bCs/>
          <w:snapToGrid w:val="0"/>
          <w:sz w:val="30"/>
          <w:szCs w:val="30"/>
        </w:rPr>
        <w:t>重大危险源评价</w:t>
      </w:r>
    </w:p>
    <w:p w14:paraId="25023C6D">
      <w:pPr>
        <w:pStyle w:val="7"/>
        <w:jc w:val="both"/>
        <w:rPr>
          <w:rFonts w:ascii="黑体" w:hAnsi="黑体" w:eastAsia="黑体"/>
          <w:b w:val="0"/>
          <w:bCs w:val="0"/>
        </w:rPr>
      </w:pPr>
      <w:r>
        <w:rPr>
          <w:rFonts w:hint="eastAsia" w:ascii="黑体" w:hAnsi="黑体" w:eastAsia="黑体"/>
          <w:b w:val="0"/>
          <w:bCs w:val="0"/>
        </w:rPr>
        <w:t>5.</w:t>
      </w:r>
      <w:r>
        <w:rPr>
          <w:rFonts w:ascii="黑体" w:hAnsi="黑体" w:eastAsia="黑体"/>
          <w:b w:val="0"/>
          <w:bCs w:val="0"/>
        </w:rPr>
        <w:t>8</w:t>
      </w:r>
      <w:r>
        <w:rPr>
          <w:rFonts w:hint="eastAsia" w:ascii="黑体" w:hAnsi="黑体" w:eastAsia="黑体"/>
          <w:b w:val="0"/>
          <w:bCs w:val="0"/>
        </w:rPr>
        <w:t>.1重大危险源安全管理</w:t>
      </w:r>
    </w:p>
    <w:p w14:paraId="3FE92DF5">
      <w:pPr>
        <w:spacing w:line="360" w:lineRule="auto"/>
        <w:ind w:firstLine="560" w:firstLineChars="200"/>
        <w:rPr>
          <w:rFonts w:ascii="宋体" w:hAnsi="宋体"/>
          <w:b w:val="0"/>
          <w:bCs/>
          <w:sz w:val="28"/>
          <w:szCs w:val="28"/>
          <w:lang w:val="en-GB"/>
        </w:rPr>
      </w:pPr>
      <w:r>
        <w:rPr>
          <w:rFonts w:hint="eastAsia" w:ascii="宋体" w:hAnsi="宋体"/>
          <w:b w:val="0"/>
          <w:bCs/>
          <w:sz w:val="28"/>
          <w:szCs w:val="28"/>
          <w:lang w:val="en-GB"/>
        </w:rPr>
        <w:t>根据</w:t>
      </w:r>
      <w:r>
        <w:rPr>
          <w:rFonts w:ascii="宋体" w:hAnsi="宋体"/>
          <w:b w:val="0"/>
          <w:bCs/>
          <w:sz w:val="28"/>
          <w:szCs w:val="28"/>
        </w:rPr>
        <w:t>3.5</w:t>
      </w:r>
      <w:r>
        <w:rPr>
          <w:rFonts w:hint="eastAsia" w:ascii="宋体" w:hAnsi="宋体"/>
          <w:b w:val="0"/>
          <w:bCs/>
          <w:sz w:val="28"/>
          <w:szCs w:val="28"/>
        </w:rPr>
        <w:t>章节</w:t>
      </w:r>
      <w:r>
        <w:rPr>
          <w:rFonts w:hint="eastAsia" w:ascii="宋体" w:hAnsi="宋体"/>
          <w:b w:val="0"/>
          <w:bCs/>
          <w:sz w:val="28"/>
          <w:szCs w:val="28"/>
          <w:lang w:val="en-GB"/>
        </w:rPr>
        <w:t>辨识出的重大危险源，本次评价将在此基础上对重大危险源采用安全检查表进行评价。</w:t>
      </w:r>
    </w:p>
    <w:p w14:paraId="6F94F47B">
      <w:pPr>
        <w:spacing w:line="360" w:lineRule="auto"/>
        <w:ind w:firstLine="560" w:firstLineChars="200"/>
        <w:rPr>
          <w:rFonts w:ascii="宋体" w:hAnsi="宋体"/>
          <w:b w:val="0"/>
          <w:bCs/>
          <w:sz w:val="28"/>
          <w:szCs w:val="28"/>
          <w:lang w:val="en-GB"/>
        </w:rPr>
      </w:pPr>
      <w:r>
        <w:rPr>
          <w:rFonts w:hint="eastAsia" w:ascii="宋体" w:hAnsi="宋体"/>
          <w:b w:val="0"/>
          <w:bCs/>
          <w:sz w:val="28"/>
          <w:szCs w:val="28"/>
          <w:lang w:val="en-GB"/>
        </w:rPr>
        <w:t>我们对重大危险源评价，是辨识、分析重大危险源存在的危险、有害因素，针对重大危险源存在的危险、有害因素及现场情况，对现场设施、装置、防护措施、管理措施等部分等进行安全评价，并提出建议补充的安全对策措施。根据重大危险源不同的危险程度，分别向国家、省、市、县等应急管理部门备案，从而实现对重大危险源有效的监控与管理。根据《中华人民共和国安全生产法》、《安全生产许可证条例》、《烟花爆竹安全管理条例》、《烟花爆竹工程设计安全标准》和《危险化学品重大危险源监督管理暂行规定》等法律法规的要求，选用安全检查表对其进行定性的安全评价。</w:t>
      </w:r>
    </w:p>
    <w:p w14:paraId="407402C7">
      <w:pPr>
        <w:spacing w:line="360" w:lineRule="auto"/>
        <w:ind w:firstLine="560" w:firstLineChars="200"/>
        <w:rPr>
          <w:rFonts w:ascii="宋体" w:hAnsi="宋体"/>
          <w:b w:val="0"/>
          <w:bCs/>
          <w:sz w:val="28"/>
          <w:szCs w:val="28"/>
          <w:lang w:val="en-GB"/>
        </w:rPr>
      </w:pPr>
      <w:r>
        <w:rPr>
          <w:rFonts w:hint="eastAsia" w:ascii="宋体" w:hAnsi="宋体"/>
          <w:b w:val="0"/>
          <w:bCs/>
          <w:sz w:val="28"/>
          <w:szCs w:val="28"/>
          <w:lang w:val="en-GB"/>
        </w:rPr>
        <w:t>针对该企业重大危险源的安全管理检查见下表5.8-1。</w:t>
      </w:r>
    </w:p>
    <w:p w14:paraId="7BC983F3">
      <w:pPr>
        <w:jc w:val="center"/>
        <w:rPr>
          <w:rFonts w:ascii="黑体" w:hAnsi="黑体" w:eastAsia="黑体"/>
          <w:b w:val="0"/>
          <w:sz w:val="24"/>
        </w:rPr>
      </w:pPr>
      <w:r>
        <w:rPr>
          <w:rFonts w:hint="eastAsia" w:ascii="黑体" w:hAnsi="黑体" w:eastAsia="黑体"/>
          <w:b w:val="0"/>
          <w:sz w:val="24"/>
        </w:rPr>
        <w:t xml:space="preserve">表5.8-1    </w:t>
      </w:r>
      <w:r>
        <w:rPr>
          <w:rFonts w:hint="eastAsia" w:ascii="黑体" w:hAnsi="黑体" w:eastAsia="黑体"/>
          <w:b w:val="0"/>
          <w:sz w:val="24"/>
          <w:lang w:val="zh-CN"/>
        </w:rPr>
        <w:t>重大危险源安全管理检查表</w:t>
      </w:r>
    </w:p>
    <w:tbl>
      <w:tblPr>
        <w:tblStyle w:val="88"/>
        <w:tblW w:w="936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2700"/>
        <w:gridCol w:w="2520"/>
        <w:gridCol w:w="2700"/>
        <w:gridCol w:w="720"/>
      </w:tblGrid>
      <w:tr w14:paraId="4F200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trPr>
        <w:tc>
          <w:tcPr>
            <w:tcW w:w="720" w:type="dxa"/>
            <w:vAlign w:val="center"/>
          </w:tcPr>
          <w:p w14:paraId="3443817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szCs w:val="21"/>
              </w:rPr>
            </w:pPr>
            <w:r>
              <w:rPr>
                <w:rFonts w:hint="eastAsia" w:ascii="宋体" w:hAnsi="宋体"/>
                <w:szCs w:val="21"/>
              </w:rPr>
              <w:t>序号</w:t>
            </w:r>
          </w:p>
        </w:tc>
        <w:tc>
          <w:tcPr>
            <w:tcW w:w="2700" w:type="dxa"/>
            <w:vAlign w:val="center"/>
          </w:tcPr>
          <w:p w14:paraId="1CCBC75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szCs w:val="21"/>
              </w:rPr>
            </w:pPr>
            <w:r>
              <w:rPr>
                <w:rFonts w:hint="eastAsia" w:ascii="宋体" w:hAnsi="宋体"/>
                <w:szCs w:val="21"/>
              </w:rPr>
              <w:t>检查项目</w:t>
            </w:r>
          </w:p>
        </w:tc>
        <w:tc>
          <w:tcPr>
            <w:tcW w:w="2520" w:type="dxa"/>
            <w:vAlign w:val="center"/>
          </w:tcPr>
          <w:p w14:paraId="50AC400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szCs w:val="21"/>
              </w:rPr>
            </w:pPr>
            <w:r>
              <w:rPr>
                <w:rFonts w:hint="eastAsia" w:ascii="宋体" w:hAnsi="宋体"/>
                <w:szCs w:val="21"/>
                <w:lang w:val="zh-CN"/>
              </w:rPr>
              <w:t>依据</w:t>
            </w:r>
          </w:p>
        </w:tc>
        <w:tc>
          <w:tcPr>
            <w:tcW w:w="2700" w:type="dxa"/>
            <w:vAlign w:val="center"/>
          </w:tcPr>
          <w:p w14:paraId="7B2064E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szCs w:val="21"/>
              </w:rPr>
            </w:pPr>
            <w:r>
              <w:rPr>
                <w:rFonts w:hint="eastAsia" w:ascii="宋体" w:hAnsi="宋体"/>
                <w:szCs w:val="21"/>
                <w:lang w:val="zh-CN"/>
              </w:rPr>
              <w:t>检查情况</w:t>
            </w:r>
          </w:p>
        </w:tc>
        <w:tc>
          <w:tcPr>
            <w:tcW w:w="720" w:type="dxa"/>
            <w:vAlign w:val="center"/>
          </w:tcPr>
          <w:p w14:paraId="24CC5D3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szCs w:val="21"/>
              </w:rPr>
            </w:pPr>
            <w:r>
              <w:rPr>
                <w:rFonts w:hint="eastAsia" w:ascii="宋体" w:hAnsi="宋体"/>
                <w:szCs w:val="21"/>
                <w:lang w:val="zh-CN"/>
              </w:rPr>
              <w:t>备注</w:t>
            </w:r>
          </w:p>
        </w:tc>
      </w:tr>
      <w:tr w14:paraId="5365B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AE49FF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w:t>
            </w:r>
          </w:p>
        </w:tc>
        <w:tc>
          <w:tcPr>
            <w:tcW w:w="2700" w:type="dxa"/>
            <w:vAlign w:val="center"/>
          </w:tcPr>
          <w:p w14:paraId="4FD9DFF5">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建立、健全主要负责人、分管负责人、安全生产管理人员、职能部门、岗位安全生产责任制。</w:t>
            </w:r>
          </w:p>
        </w:tc>
        <w:tc>
          <w:tcPr>
            <w:tcW w:w="2520" w:type="dxa"/>
            <w:vAlign w:val="center"/>
          </w:tcPr>
          <w:p w14:paraId="7471A54C">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《中华人民共和国安全生产法》、《烟花爆竹安全管理条例》、《安全生产许可证条例》、</w:t>
            </w:r>
            <w:r>
              <w:rPr>
                <w:rFonts w:hint="eastAsia"/>
                <w:b w:val="0"/>
                <w:bCs/>
              </w:rPr>
              <w:t>《</w:t>
            </w:r>
            <w:r>
              <w:rPr>
                <w:rFonts w:hint="eastAsia"/>
                <w:b w:val="0"/>
                <w:bCs/>
                <w:lang w:val="en-GB"/>
              </w:rPr>
              <w:t>危险化学品重大危险源监督管理暂行规定》</w:t>
            </w:r>
          </w:p>
        </w:tc>
        <w:tc>
          <w:tcPr>
            <w:tcW w:w="2700" w:type="dxa"/>
            <w:vAlign w:val="center"/>
          </w:tcPr>
          <w:p w14:paraId="46DF5902">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建设项目正在建立各岗位安全职责</w:t>
            </w:r>
          </w:p>
        </w:tc>
        <w:tc>
          <w:tcPr>
            <w:tcW w:w="720" w:type="dxa"/>
            <w:vAlign w:val="center"/>
          </w:tcPr>
          <w:p w14:paraId="01667A1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19F68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013458E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2</w:t>
            </w:r>
          </w:p>
        </w:tc>
        <w:tc>
          <w:tcPr>
            <w:tcW w:w="2700" w:type="dxa"/>
            <w:vAlign w:val="center"/>
          </w:tcPr>
          <w:p w14:paraId="5043B4D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制定安全教育和培训、安全费用投入保障、安全设施和设备管理、安全检查和隐患整改、劳动保护用品（具）等各项必须的规章制度。</w:t>
            </w:r>
          </w:p>
        </w:tc>
        <w:tc>
          <w:tcPr>
            <w:tcW w:w="2520" w:type="dxa"/>
            <w:vAlign w:val="center"/>
          </w:tcPr>
          <w:p w14:paraId="507D7FE9">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《中华人民共和国安全生产法》、《烟花爆竹安全管理条例》、《安全生产许可证条例》、</w:t>
            </w:r>
            <w:r>
              <w:rPr>
                <w:rFonts w:hint="eastAsia"/>
                <w:b w:val="0"/>
                <w:bCs/>
              </w:rPr>
              <w:t>《</w:t>
            </w:r>
            <w:r>
              <w:rPr>
                <w:rFonts w:hint="eastAsia"/>
                <w:b w:val="0"/>
                <w:bCs/>
                <w:lang w:val="en-GB"/>
              </w:rPr>
              <w:t>危险化学品重大危险源监督管理暂行规定》</w:t>
            </w:r>
          </w:p>
        </w:tc>
        <w:tc>
          <w:tcPr>
            <w:tcW w:w="2700" w:type="dxa"/>
            <w:vAlign w:val="center"/>
          </w:tcPr>
          <w:p w14:paraId="79A0F0D9">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建设项目正在建立了各项安全制度</w:t>
            </w:r>
          </w:p>
        </w:tc>
        <w:tc>
          <w:tcPr>
            <w:tcW w:w="720" w:type="dxa"/>
            <w:vAlign w:val="center"/>
          </w:tcPr>
          <w:p w14:paraId="2E44A18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0E19E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22A4AA3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3</w:t>
            </w:r>
          </w:p>
        </w:tc>
        <w:tc>
          <w:tcPr>
            <w:tcW w:w="2700" w:type="dxa"/>
            <w:vAlign w:val="center"/>
          </w:tcPr>
          <w:p w14:paraId="2223C1F3">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编制了各岗位的安全操作规程、重大危险源点有明显安全标志</w:t>
            </w:r>
          </w:p>
        </w:tc>
        <w:tc>
          <w:tcPr>
            <w:tcW w:w="2520" w:type="dxa"/>
            <w:vMerge w:val="restart"/>
            <w:vAlign w:val="center"/>
          </w:tcPr>
          <w:p w14:paraId="50D44E4F">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《中华人民共和国安全生产法》、《安全生产许可证条例》、</w:t>
            </w:r>
            <w:r>
              <w:rPr>
                <w:rFonts w:hint="eastAsia"/>
                <w:b w:val="0"/>
                <w:bCs/>
              </w:rPr>
              <w:t>《</w:t>
            </w:r>
            <w:r>
              <w:rPr>
                <w:rFonts w:hint="eastAsia"/>
                <w:b w:val="0"/>
                <w:bCs/>
                <w:lang w:val="en-GB"/>
              </w:rPr>
              <w:t>危险化学品重大危险源监督管理暂行规定》</w:t>
            </w:r>
          </w:p>
        </w:tc>
        <w:tc>
          <w:tcPr>
            <w:tcW w:w="2700" w:type="dxa"/>
            <w:vAlign w:val="center"/>
          </w:tcPr>
          <w:p w14:paraId="7BCD0E0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建设项目正在编制各岗位安全操作规程，并设置重大危险源标志</w:t>
            </w:r>
          </w:p>
        </w:tc>
        <w:tc>
          <w:tcPr>
            <w:tcW w:w="720" w:type="dxa"/>
            <w:vAlign w:val="center"/>
          </w:tcPr>
          <w:p w14:paraId="04A020E0">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3DED9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3DD405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4</w:t>
            </w:r>
          </w:p>
        </w:tc>
        <w:tc>
          <w:tcPr>
            <w:tcW w:w="2700" w:type="dxa"/>
            <w:vAlign w:val="center"/>
          </w:tcPr>
          <w:p w14:paraId="29F9200B">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lang w:val="zh-CN"/>
              </w:rPr>
            </w:pPr>
            <w:r>
              <w:rPr>
                <w:rFonts w:hint="eastAsia" w:ascii="宋体" w:hAnsi="宋体"/>
                <w:b w:val="0"/>
                <w:bCs/>
                <w:szCs w:val="21"/>
                <w:lang w:val="zh-CN"/>
              </w:rPr>
              <w:t>重大危险源定期评估并在有关部门备案</w:t>
            </w:r>
          </w:p>
        </w:tc>
        <w:tc>
          <w:tcPr>
            <w:tcW w:w="2520" w:type="dxa"/>
            <w:vMerge w:val="continue"/>
            <w:vAlign w:val="center"/>
          </w:tcPr>
          <w:p w14:paraId="554F1DD0">
            <w:pPr>
              <w:keepNext w:val="0"/>
              <w:keepLines w:val="0"/>
              <w:pageBreakBefore w:val="0"/>
              <w:widowControl w:val="0"/>
              <w:kinsoku/>
              <w:wordWrap/>
              <w:overflowPunct/>
              <w:topLinePunct w:val="0"/>
              <w:autoSpaceDE w:val="0"/>
              <w:autoSpaceDN w:val="0"/>
              <w:bidi w:val="0"/>
              <w:adjustRightInd w:val="0"/>
              <w:snapToGrid/>
              <w:spacing w:line="240" w:lineRule="exact"/>
              <w:ind w:firstLine="210"/>
              <w:textAlignment w:val="auto"/>
              <w:rPr>
                <w:rFonts w:ascii="宋体" w:hAnsi="宋体"/>
                <w:b w:val="0"/>
                <w:bCs/>
                <w:szCs w:val="21"/>
                <w:lang w:val="zh-CN"/>
              </w:rPr>
            </w:pPr>
          </w:p>
        </w:tc>
        <w:tc>
          <w:tcPr>
            <w:tcW w:w="2700" w:type="dxa"/>
            <w:vAlign w:val="center"/>
          </w:tcPr>
          <w:p w14:paraId="573789E8">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建设项目目前未建设，建设完成后按相关规定在相关的应急部门备案</w:t>
            </w:r>
          </w:p>
        </w:tc>
        <w:tc>
          <w:tcPr>
            <w:tcW w:w="720" w:type="dxa"/>
            <w:vAlign w:val="center"/>
          </w:tcPr>
          <w:p w14:paraId="08B25ED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D2B5F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5E85AF7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5</w:t>
            </w:r>
          </w:p>
        </w:tc>
        <w:tc>
          <w:tcPr>
            <w:tcW w:w="2700" w:type="dxa"/>
            <w:vAlign w:val="center"/>
          </w:tcPr>
          <w:p w14:paraId="49A887A6">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依法参加工伤保险</w:t>
            </w:r>
          </w:p>
        </w:tc>
        <w:tc>
          <w:tcPr>
            <w:tcW w:w="2520" w:type="dxa"/>
            <w:vMerge w:val="continue"/>
            <w:vAlign w:val="center"/>
          </w:tcPr>
          <w:p w14:paraId="6168BFF9">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p>
        </w:tc>
        <w:tc>
          <w:tcPr>
            <w:tcW w:w="2700" w:type="dxa"/>
            <w:vAlign w:val="center"/>
          </w:tcPr>
          <w:p w14:paraId="0A99970A">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依法参加了工伤保险</w:t>
            </w:r>
          </w:p>
        </w:tc>
        <w:tc>
          <w:tcPr>
            <w:tcW w:w="720" w:type="dxa"/>
            <w:vAlign w:val="center"/>
          </w:tcPr>
          <w:p w14:paraId="41441D7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7AF2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33F5187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6</w:t>
            </w:r>
          </w:p>
        </w:tc>
        <w:tc>
          <w:tcPr>
            <w:tcW w:w="2700" w:type="dxa"/>
            <w:vAlign w:val="center"/>
          </w:tcPr>
          <w:p w14:paraId="5CB79BDD">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安全投入符合要求</w:t>
            </w:r>
          </w:p>
        </w:tc>
        <w:tc>
          <w:tcPr>
            <w:tcW w:w="2520" w:type="dxa"/>
            <w:vMerge w:val="continue"/>
            <w:vAlign w:val="center"/>
          </w:tcPr>
          <w:p w14:paraId="0AE34DF2">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p>
        </w:tc>
        <w:tc>
          <w:tcPr>
            <w:tcW w:w="2700" w:type="dxa"/>
            <w:vAlign w:val="center"/>
          </w:tcPr>
          <w:p w14:paraId="4D31FC8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建设项目目前未建设，建设中按相关规定安装避雷针，配置导静电金属棒和防爆灯，消防水和灭火器</w:t>
            </w:r>
          </w:p>
        </w:tc>
        <w:tc>
          <w:tcPr>
            <w:tcW w:w="720" w:type="dxa"/>
            <w:vAlign w:val="center"/>
          </w:tcPr>
          <w:p w14:paraId="11B1A90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36D4B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44ABCE6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7</w:t>
            </w:r>
          </w:p>
        </w:tc>
        <w:tc>
          <w:tcPr>
            <w:tcW w:w="2700" w:type="dxa"/>
            <w:vAlign w:val="center"/>
          </w:tcPr>
          <w:p w14:paraId="0E1A161E">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设置了安全生产管理机构并配备安全生产管理人员</w:t>
            </w:r>
          </w:p>
        </w:tc>
        <w:tc>
          <w:tcPr>
            <w:tcW w:w="2520" w:type="dxa"/>
            <w:vMerge w:val="continue"/>
            <w:vAlign w:val="center"/>
          </w:tcPr>
          <w:p w14:paraId="19CF486E">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p>
        </w:tc>
        <w:tc>
          <w:tcPr>
            <w:tcW w:w="2700" w:type="dxa"/>
            <w:vAlign w:val="center"/>
          </w:tcPr>
          <w:p w14:paraId="401A5B09">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建设项目正在设置安全管理机构并配备安全管理人员</w:t>
            </w:r>
          </w:p>
        </w:tc>
        <w:tc>
          <w:tcPr>
            <w:tcW w:w="720" w:type="dxa"/>
            <w:vAlign w:val="center"/>
          </w:tcPr>
          <w:p w14:paraId="4E232F2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5C4D0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A9F7A8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8</w:t>
            </w:r>
          </w:p>
        </w:tc>
        <w:tc>
          <w:tcPr>
            <w:tcW w:w="2700" w:type="dxa"/>
            <w:vAlign w:val="center"/>
          </w:tcPr>
          <w:p w14:paraId="732C22D8">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主要负责人、安全管理人员经应急部门考核合格，并取得安全资格证书</w:t>
            </w:r>
          </w:p>
        </w:tc>
        <w:tc>
          <w:tcPr>
            <w:tcW w:w="2520" w:type="dxa"/>
            <w:vAlign w:val="center"/>
          </w:tcPr>
          <w:p w14:paraId="7F41B333">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《厂长、经理职业安全卫生管理资格认证规定》、《中华人民共和国安全生产法》</w:t>
            </w:r>
          </w:p>
        </w:tc>
        <w:tc>
          <w:tcPr>
            <w:tcW w:w="2700" w:type="dxa"/>
            <w:vAlign w:val="center"/>
          </w:tcPr>
          <w:p w14:paraId="168499C0">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主要负责人、安全管理人员正在考取安全资格证书</w:t>
            </w:r>
          </w:p>
        </w:tc>
        <w:tc>
          <w:tcPr>
            <w:tcW w:w="720" w:type="dxa"/>
            <w:vAlign w:val="center"/>
          </w:tcPr>
          <w:p w14:paraId="780B15B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6285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2CAE7A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9</w:t>
            </w:r>
          </w:p>
        </w:tc>
        <w:tc>
          <w:tcPr>
            <w:tcW w:w="2700" w:type="dxa"/>
            <w:vAlign w:val="center"/>
          </w:tcPr>
          <w:p w14:paraId="0D24E6C1">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特种作业人员经有关部门的培训、考核合格，并取得特种作业操作证</w:t>
            </w:r>
          </w:p>
        </w:tc>
        <w:tc>
          <w:tcPr>
            <w:tcW w:w="2520" w:type="dxa"/>
            <w:vAlign w:val="center"/>
          </w:tcPr>
          <w:p w14:paraId="5BB536BB">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《烟花爆竹安全管理条例》、《特种作业人员安全技术培训考核管理办法》</w:t>
            </w:r>
          </w:p>
        </w:tc>
        <w:tc>
          <w:tcPr>
            <w:tcW w:w="2700" w:type="dxa"/>
            <w:vAlign w:val="center"/>
          </w:tcPr>
          <w:p w14:paraId="52017BC0">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特种作业人员正经有关部门培训、考核</w:t>
            </w:r>
          </w:p>
        </w:tc>
        <w:tc>
          <w:tcPr>
            <w:tcW w:w="720" w:type="dxa"/>
            <w:vAlign w:val="center"/>
          </w:tcPr>
          <w:p w14:paraId="1DF54A1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523BC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339CEAF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10</w:t>
            </w:r>
          </w:p>
        </w:tc>
        <w:tc>
          <w:tcPr>
            <w:tcW w:w="2700" w:type="dxa"/>
            <w:vAlign w:val="center"/>
          </w:tcPr>
          <w:p w14:paraId="25EFF063">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其他从业人员培训</w:t>
            </w:r>
          </w:p>
        </w:tc>
        <w:tc>
          <w:tcPr>
            <w:tcW w:w="2520" w:type="dxa"/>
            <w:vMerge w:val="restart"/>
            <w:vAlign w:val="center"/>
          </w:tcPr>
          <w:p w14:paraId="00E5BED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《中华人民共和国安全生产法》、《安全生产许可证条例》、《烟花爆竹安全管理条例》、</w:t>
            </w:r>
            <w:r>
              <w:rPr>
                <w:rFonts w:hint="eastAsia"/>
                <w:b w:val="0"/>
                <w:bCs/>
              </w:rPr>
              <w:t>《</w:t>
            </w:r>
            <w:r>
              <w:rPr>
                <w:rFonts w:hint="eastAsia"/>
                <w:b w:val="0"/>
                <w:bCs/>
                <w:lang w:val="en-GB"/>
              </w:rPr>
              <w:t>危险化学品重大危险源监督管理暂行规定》</w:t>
            </w:r>
          </w:p>
        </w:tc>
        <w:tc>
          <w:tcPr>
            <w:tcW w:w="2700" w:type="dxa"/>
            <w:vAlign w:val="center"/>
          </w:tcPr>
          <w:p w14:paraId="08D6EC6A">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其他从业人员正在内部培训、考核</w:t>
            </w:r>
          </w:p>
        </w:tc>
        <w:tc>
          <w:tcPr>
            <w:tcW w:w="720" w:type="dxa"/>
            <w:vAlign w:val="center"/>
          </w:tcPr>
          <w:p w14:paraId="38385BB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78927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2712F9A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w:t>
            </w:r>
            <w:r>
              <w:rPr>
                <w:rFonts w:hint="eastAsia" w:ascii="宋体" w:hAnsi="宋体"/>
                <w:b w:val="0"/>
                <w:bCs/>
                <w:szCs w:val="21"/>
              </w:rPr>
              <w:t>1</w:t>
            </w:r>
          </w:p>
        </w:tc>
        <w:tc>
          <w:tcPr>
            <w:tcW w:w="2700" w:type="dxa"/>
            <w:vAlign w:val="center"/>
          </w:tcPr>
          <w:p w14:paraId="1DFF7E2A">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日常安全检查情况</w:t>
            </w:r>
          </w:p>
        </w:tc>
        <w:tc>
          <w:tcPr>
            <w:tcW w:w="2520" w:type="dxa"/>
            <w:vMerge w:val="continue"/>
            <w:vAlign w:val="center"/>
          </w:tcPr>
          <w:p w14:paraId="6D97E194">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p>
        </w:tc>
        <w:tc>
          <w:tcPr>
            <w:tcW w:w="2700" w:type="dxa"/>
            <w:vAlign w:val="center"/>
          </w:tcPr>
          <w:p w14:paraId="76B5E02D">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正在配备专职安全管理人员进行日常安全检查</w:t>
            </w:r>
          </w:p>
        </w:tc>
        <w:tc>
          <w:tcPr>
            <w:tcW w:w="720" w:type="dxa"/>
            <w:vAlign w:val="center"/>
          </w:tcPr>
          <w:p w14:paraId="3A66107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C11A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2510BF0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12</w:t>
            </w:r>
          </w:p>
        </w:tc>
        <w:tc>
          <w:tcPr>
            <w:tcW w:w="2700" w:type="dxa"/>
            <w:vAlign w:val="center"/>
          </w:tcPr>
          <w:p w14:paraId="0E7C804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工房之间的内（外）部距离符合规定的安全距离</w:t>
            </w:r>
          </w:p>
        </w:tc>
        <w:tc>
          <w:tcPr>
            <w:tcW w:w="2520" w:type="dxa"/>
            <w:vAlign w:val="center"/>
          </w:tcPr>
          <w:p w14:paraId="5951E162">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ascii="宋体" w:hAnsi="宋体"/>
                <w:b w:val="0"/>
                <w:bCs/>
                <w:szCs w:val="21"/>
              </w:rPr>
              <w:t>《烟花爆竹工</w:t>
            </w:r>
            <w:r>
              <w:rPr>
                <w:rFonts w:hint="eastAsia" w:ascii="宋体" w:hAnsi="宋体"/>
                <w:b w:val="0"/>
                <w:bCs/>
                <w:szCs w:val="21"/>
              </w:rPr>
              <w:t>程</w:t>
            </w:r>
            <w:r>
              <w:rPr>
                <w:rFonts w:ascii="宋体" w:hAnsi="宋体"/>
                <w:b w:val="0"/>
                <w:bCs/>
                <w:szCs w:val="21"/>
              </w:rPr>
              <w:t>设计安全</w:t>
            </w:r>
            <w:r>
              <w:rPr>
                <w:rFonts w:hint="eastAsia" w:ascii="宋体" w:hAnsi="宋体"/>
                <w:b w:val="0"/>
                <w:bCs/>
                <w:szCs w:val="21"/>
              </w:rPr>
              <w:t>标准</w:t>
            </w:r>
            <w:r>
              <w:rPr>
                <w:rFonts w:ascii="宋体" w:hAnsi="宋体"/>
                <w:b w:val="0"/>
                <w:bCs/>
                <w:szCs w:val="21"/>
              </w:rPr>
              <w:t>》</w:t>
            </w:r>
          </w:p>
        </w:tc>
        <w:tc>
          <w:tcPr>
            <w:tcW w:w="2700" w:type="dxa"/>
            <w:vAlign w:val="center"/>
          </w:tcPr>
          <w:p w14:paraId="35405248">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建设项目内外部距离均</w:t>
            </w:r>
            <w:r>
              <w:rPr>
                <w:rFonts w:hint="eastAsia" w:ascii="宋体" w:hAnsi="宋体"/>
                <w:b w:val="0"/>
                <w:bCs/>
                <w:szCs w:val="21"/>
                <w:lang w:val="zh-CN"/>
              </w:rPr>
              <w:t>符合</w:t>
            </w:r>
            <w:r>
              <w:rPr>
                <w:rFonts w:ascii="宋体" w:hAnsi="宋体"/>
                <w:b w:val="0"/>
                <w:bCs/>
                <w:szCs w:val="21"/>
                <w:lang w:val="zh-CN"/>
              </w:rPr>
              <w:t>GB50161-2022</w:t>
            </w:r>
            <w:r>
              <w:rPr>
                <w:rFonts w:hint="eastAsia" w:ascii="宋体" w:hAnsi="宋体"/>
                <w:b w:val="0"/>
                <w:bCs/>
                <w:szCs w:val="21"/>
                <w:lang w:val="zh-CN"/>
              </w:rPr>
              <w:t>的相关规定</w:t>
            </w:r>
          </w:p>
        </w:tc>
        <w:tc>
          <w:tcPr>
            <w:tcW w:w="720" w:type="dxa"/>
            <w:vAlign w:val="center"/>
          </w:tcPr>
          <w:p w14:paraId="7FA15A4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2ED8A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7BB363E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13</w:t>
            </w:r>
          </w:p>
        </w:tc>
        <w:tc>
          <w:tcPr>
            <w:tcW w:w="2700" w:type="dxa"/>
            <w:vAlign w:val="center"/>
          </w:tcPr>
          <w:p w14:paraId="2C0D1433">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生产装置和储存设施的周边防护距离符合有关法律、法规和标准的规定</w:t>
            </w:r>
          </w:p>
        </w:tc>
        <w:tc>
          <w:tcPr>
            <w:tcW w:w="2520" w:type="dxa"/>
            <w:vAlign w:val="center"/>
          </w:tcPr>
          <w:p w14:paraId="0CCCBCAD">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《安全生产许可证条例》、《建筑设计防火规范》</w:t>
            </w:r>
          </w:p>
        </w:tc>
        <w:tc>
          <w:tcPr>
            <w:tcW w:w="2700" w:type="dxa"/>
            <w:vAlign w:val="center"/>
          </w:tcPr>
          <w:p w14:paraId="256EEBA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其周边防护距离符合有关法律、法规和标准的规定</w:t>
            </w:r>
          </w:p>
        </w:tc>
        <w:tc>
          <w:tcPr>
            <w:tcW w:w="720" w:type="dxa"/>
            <w:vAlign w:val="center"/>
          </w:tcPr>
          <w:p w14:paraId="2B531EF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6ACA5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48B2DF6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14</w:t>
            </w:r>
          </w:p>
        </w:tc>
        <w:tc>
          <w:tcPr>
            <w:tcW w:w="2700" w:type="dxa"/>
            <w:vAlign w:val="center"/>
          </w:tcPr>
          <w:p w14:paraId="11311124">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生产作业场所配备了符合国家规定的职业危害防护设施，定期进行职业卫生检测、检验，并为作业人员进行职业病检查</w:t>
            </w:r>
          </w:p>
        </w:tc>
        <w:tc>
          <w:tcPr>
            <w:tcW w:w="2520" w:type="dxa"/>
            <w:vAlign w:val="center"/>
          </w:tcPr>
          <w:p w14:paraId="226B57B0">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《中华人民共和国安全生产法》、《生产过程安全卫生总则》、《生产设备安全卫生总则》</w:t>
            </w:r>
          </w:p>
        </w:tc>
        <w:tc>
          <w:tcPr>
            <w:tcW w:w="2700" w:type="dxa"/>
            <w:vAlign w:val="center"/>
          </w:tcPr>
          <w:p w14:paraId="0B0FCAF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建设单位正在配备棉质工作服和防尘口罩</w:t>
            </w:r>
          </w:p>
        </w:tc>
        <w:tc>
          <w:tcPr>
            <w:tcW w:w="720" w:type="dxa"/>
            <w:vAlign w:val="center"/>
          </w:tcPr>
          <w:p w14:paraId="77EA18E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73E69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6FAFD11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15</w:t>
            </w:r>
          </w:p>
        </w:tc>
        <w:tc>
          <w:tcPr>
            <w:tcW w:w="2700" w:type="dxa"/>
            <w:vAlign w:val="center"/>
          </w:tcPr>
          <w:p w14:paraId="46F4A0A4">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为从业人员配备符合有关国家标准和行业标准的劳动防护用品</w:t>
            </w:r>
          </w:p>
        </w:tc>
        <w:tc>
          <w:tcPr>
            <w:tcW w:w="2520" w:type="dxa"/>
            <w:vAlign w:val="center"/>
          </w:tcPr>
          <w:p w14:paraId="31C38C38">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《中华人民共和国安全生产法》、《生产过程安全卫生总则》</w:t>
            </w:r>
          </w:p>
        </w:tc>
        <w:tc>
          <w:tcPr>
            <w:tcW w:w="2700" w:type="dxa"/>
            <w:vAlign w:val="center"/>
          </w:tcPr>
          <w:p w14:paraId="35E7159D">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建设单位正在为从业人员配备符合有关国家标准和行业标准的劳动防护用品</w:t>
            </w:r>
          </w:p>
        </w:tc>
        <w:tc>
          <w:tcPr>
            <w:tcW w:w="720" w:type="dxa"/>
            <w:vAlign w:val="center"/>
          </w:tcPr>
          <w:p w14:paraId="7D34F6A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59A10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6FB35A2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16</w:t>
            </w:r>
          </w:p>
        </w:tc>
        <w:tc>
          <w:tcPr>
            <w:tcW w:w="2700" w:type="dxa"/>
            <w:vAlign w:val="center"/>
          </w:tcPr>
          <w:p w14:paraId="4E9646A2">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按要求编制重大危险源事故应急救援预案</w:t>
            </w:r>
          </w:p>
        </w:tc>
        <w:tc>
          <w:tcPr>
            <w:tcW w:w="2520" w:type="dxa"/>
            <w:vAlign w:val="center"/>
          </w:tcPr>
          <w:p w14:paraId="7620A52B">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《中华人民共和国安全生产法》、《烟花爆竹安全管理条例》、《生产经营单位生产安全事故应急预案编制导则》GB/T</w:t>
            </w:r>
            <w:r>
              <w:rPr>
                <w:rFonts w:hint="eastAsia" w:ascii="宋体" w:hAnsi="宋体"/>
                <w:b w:val="0"/>
                <w:bCs/>
                <w:szCs w:val="21"/>
              </w:rPr>
              <w:t>29639</w:t>
            </w:r>
            <w:r>
              <w:rPr>
                <w:rFonts w:hint="eastAsia" w:ascii="宋体" w:hAnsi="宋体"/>
                <w:b w:val="0"/>
                <w:bCs/>
                <w:szCs w:val="21"/>
                <w:lang w:val="zh-CN"/>
              </w:rPr>
              <w:t>-20</w:t>
            </w:r>
            <w:r>
              <w:rPr>
                <w:rFonts w:hint="eastAsia" w:ascii="宋体" w:hAnsi="宋体"/>
                <w:b w:val="0"/>
                <w:bCs/>
                <w:szCs w:val="21"/>
              </w:rPr>
              <w:t>20</w:t>
            </w:r>
          </w:p>
        </w:tc>
        <w:tc>
          <w:tcPr>
            <w:tcW w:w="2700" w:type="dxa"/>
            <w:vAlign w:val="center"/>
          </w:tcPr>
          <w:p w14:paraId="5D6D472C">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建设项目前未建设，建设完成后按相关规定</w:t>
            </w:r>
            <w:r>
              <w:rPr>
                <w:rFonts w:hint="eastAsia" w:ascii="宋体" w:hAnsi="宋体"/>
                <w:b w:val="0"/>
                <w:bCs/>
                <w:szCs w:val="21"/>
                <w:lang w:val="zh-CN"/>
              </w:rPr>
              <w:t>编制重大危险源事故应急救援预案，并到相关应急部门备案</w:t>
            </w:r>
          </w:p>
        </w:tc>
        <w:tc>
          <w:tcPr>
            <w:tcW w:w="720" w:type="dxa"/>
            <w:vAlign w:val="center"/>
          </w:tcPr>
          <w:p w14:paraId="44505A3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4A117B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1FB3AA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ascii="宋体" w:hAnsi="宋体"/>
                <w:b w:val="0"/>
                <w:bCs/>
                <w:szCs w:val="21"/>
              </w:rPr>
              <w:t>1</w:t>
            </w:r>
            <w:r>
              <w:rPr>
                <w:rFonts w:hint="eastAsia" w:ascii="宋体" w:hAnsi="宋体"/>
                <w:b w:val="0"/>
                <w:bCs/>
                <w:szCs w:val="21"/>
              </w:rPr>
              <w:t>7</w:t>
            </w:r>
          </w:p>
        </w:tc>
        <w:tc>
          <w:tcPr>
            <w:tcW w:w="2700" w:type="dxa"/>
            <w:vAlign w:val="center"/>
          </w:tcPr>
          <w:p w14:paraId="6E071334">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配备了必要的应急救援器材、设备，并定期进行检测、检验和维护保养</w:t>
            </w:r>
          </w:p>
        </w:tc>
        <w:tc>
          <w:tcPr>
            <w:tcW w:w="2520" w:type="dxa"/>
            <w:vAlign w:val="center"/>
          </w:tcPr>
          <w:p w14:paraId="2078A49C">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《中华人民共和国安全生产法》、《烟花爆竹安全管理条例》</w:t>
            </w:r>
          </w:p>
        </w:tc>
        <w:tc>
          <w:tcPr>
            <w:tcW w:w="2700" w:type="dxa"/>
            <w:vAlign w:val="center"/>
          </w:tcPr>
          <w:p w14:paraId="4F4FABBE">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建设单位正在配备灭火器，水塔，消防水池，通讯电话，并定期保养和维护</w:t>
            </w:r>
          </w:p>
        </w:tc>
        <w:tc>
          <w:tcPr>
            <w:tcW w:w="720" w:type="dxa"/>
            <w:vAlign w:val="center"/>
          </w:tcPr>
          <w:p w14:paraId="3E7C854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r w14:paraId="25A4A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1BBA3E1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18</w:t>
            </w:r>
          </w:p>
        </w:tc>
        <w:tc>
          <w:tcPr>
            <w:tcW w:w="2700" w:type="dxa"/>
            <w:vAlign w:val="center"/>
          </w:tcPr>
          <w:p w14:paraId="52EC416F">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lang w:val="zh-CN"/>
              </w:rPr>
            </w:pPr>
            <w:r>
              <w:rPr>
                <w:rFonts w:hint="eastAsia" w:ascii="宋体" w:hAnsi="宋体"/>
                <w:b w:val="0"/>
                <w:bCs/>
                <w:szCs w:val="21"/>
                <w:lang w:val="zh-CN"/>
              </w:rPr>
              <w:t>生产烟花爆竹使用的原料，应当符合国家标准的规定。不得使用国家标准规定禁止使用或者禁忌配伍的物质生产烟花爆竹。</w:t>
            </w:r>
          </w:p>
        </w:tc>
        <w:tc>
          <w:tcPr>
            <w:tcW w:w="2520" w:type="dxa"/>
            <w:vAlign w:val="center"/>
          </w:tcPr>
          <w:p w14:paraId="4C9713B1">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lang w:val="zh-CN"/>
              </w:rPr>
              <w:t>《烟花爆竹安全管理条例》</w:t>
            </w:r>
          </w:p>
        </w:tc>
        <w:tc>
          <w:tcPr>
            <w:tcW w:w="2700" w:type="dxa"/>
            <w:vAlign w:val="center"/>
          </w:tcPr>
          <w:p w14:paraId="5ADB5B5E">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szCs w:val="21"/>
              </w:rPr>
            </w:pPr>
            <w:r>
              <w:rPr>
                <w:rFonts w:hint="eastAsia" w:ascii="宋体" w:hAnsi="宋体"/>
                <w:b w:val="0"/>
                <w:szCs w:val="21"/>
              </w:rPr>
              <w:t>未使用</w:t>
            </w:r>
          </w:p>
        </w:tc>
        <w:tc>
          <w:tcPr>
            <w:tcW w:w="720" w:type="dxa"/>
            <w:vAlign w:val="center"/>
          </w:tcPr>
          <w:p w14:paraId="2C4D1ED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szCs w:val="21"/>
              </w:rPr>
            </w:pPr>
            <w:r>
              <w:rPr>
                <w:rFonts w:hint="eastAsia" w:ascii="宋体" w:hAnsi="宋体"/>
                <w:b w:val="0"/>
                <w:szCs w:val="21"/>
              </w:rPr>
              <w:t>合格</w:t>
            </w:r>
          </w:p>
        </w:tc>
      </w:tr>
      <w:tr w14:paraId="5F773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vAlign w:val="center"/>
          </w:tcPr>
          <w:p w14:paraId="3932560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19</w:t>
            </w:r>
          </w:p>
        </w:tc>
        <w:tc>
          <w:tcPr>
            <w:tcW w:w="2700" w:type="dxa"/>
            <w:vAlign w:val="center"/>
          </w:tcPr>
          <w:p w14:paraId="5B1C04B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lang w:val="zh-CN"/>
              </w:rPr>
            </w:pPr>
            <w:r>
              <w:rPr>
                <w:rFonts w:hint="eastAsia" w:ascii="宋体" w:hAnsi="宋体"/>
                <w:b w:val="0"/>
                <w:bCs/>
                <w:szCs w:val="21"/>
              </w:rPr>
              <w:t>生产烟花爆竹的企业，应当对黑火药、烟火药、引火线的保管采取必要的安全技术措施，建立购买、领用、销售登记制度，</w:t>
            </w:r>
          </w:p>
        </w:tc>
        <w:tc>
          <w:tcPr>
            <w:tcW w:w="2520" w:type="dxa"/>
            <w:vAlign w:val="center"/>
          </w:tcPr>
          <w:p w14:paraId="5CEDD212">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lang w:val="zh-CN"/>
              </w:rPr>
            </w:pPr>
            <w:r>
              <w:rPr>
                <w:rFonts w:hint="eastAsia" w:ascii="宋体" w:hAnsi="宋体"/>
                <w:b w:val="0"/>
                <w:bCs/>
                <w:szCs w:val="21"/>
                <w:lang w:val="zh-CN"/>
              </w:rPr>
              <w:t>《烟花爆竹安全管理条例》</w:t>
            </w:r>
          </w:p>
        </w:tc>
        <w:tc>
          <w:tcPr>
            <w:tcW w:w="2700" w:type="dxa"/>
            <w:vAlign w:val="center"/>
          </w:tcPr>
          <w:p w14:paraId="2AA0E477">
            <w:pPr>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ascii="宋体" w:hAnsi="宋体"/>
                <w:b w:val="0"/>
                <w:bCs/>
                <w:szCs w:val="21"/>
              </w:rPr>
            </w:pPr>
            <w:r>
              <w:rPr>
                <w:rFonts w:hint="eastAsia" w:ascii="宋体" w:hAnsi="宋体"/>
                <w:b w:val="0"/>
                <w:bCs/>
                <w:szCs w:val="21"/>
              </w:rPr>
              <w:t>建设项目未建设，建设完成后按相关规定建立流向登记管理制度</w:t>
            </w:r>
          </w:p>
        </w:tc>
        <w:tc>
          <w:tcPr>
            <w:tcW w:w="720" w:type="dxa"/>
            <w:vAlign w:val="center"/>
          </w:tcPr>
          <w:p w14:paraId="7969809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宋体" w:hAnsi="宋体"/>
                <w:b w:val="0"/>
                <w:bCs/>
                <w:szCs w:val="21"/>
              </w:rPr>
            </w:pPr>
            <w:r>
              <w:rPr>
                <w:rFonts w:hint="eastAsia" w:ascii="宋体" w:hAnsi="宋体"/>
                <w:b w:val="0"/>
                <w:bCs/>
                <w:szCs w:val="21"/>
              </w:rPr>
              <w:t>合格</w:t>
            </w:r>
          </w:p>
        </w:tc>
      </w:tr>
    </w:tbl>
    <w:p w14:paraId="4ACB4390">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b w:val="0"/>
          <w:bCs w:val="0"/>
        </w:rPr>
      </w:pPr>
      <w:r>
        <w:rPr>
          <w:rFonts w:hint="eastAsia" w:ascii="黑体" w:hAnsi="黑体" w:eastAsia="黑体"/>
          <w:b w:val="0"/>
          <w:bCs w:val="0"/>
        </w:rPr>
        <w:t>5.8.2重大危险源评价单元评价结论</w:t>
      </w:r>
    </w:p>
    <w:p w14:paraId="72EBB5A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宋体" w:hAnsi="宋体"/>
          <w:b w:val="0"/>
          <w:bCs/>
          <w:sz w:val="28"/>
          <w:szCs w:val="28"/>
          <w:lang w:val="en-GB"/>
        </w:rPr>
      </w:pPr>
      <w:r>
        <w:rPr>
          <w:rFonts w:hint="eastAsia" w:ascii="宋体" w:hAnsi="宋体"/>
          <w:b w:val="0"/>
          <w:bCs/>
          <w:sz w:val="28"/>
          <w:szCs w:val="28"/>
          <w:lang w:val="en-GB"/>
        </w:rPr>
        <w:t>根据</w:t>
      </w:r>
      <w:r>
        <w:rPr>
          <w:rFonts w:hint="eastAsia" w:ascii="宋体" w:hAnsi="宋体"/>
          <w:b w:val="0"/>
          <w:bCs/>
          <w:sz w:val="28"/>
          <w:szCs w:val="28"/>
        </w:rPr>
        <w:t>3.</w:t>
      </w:r>
      <w:r>
        <w:rPr>
          <w:rFonts w:ascii="宋体" w:hAnsi="宋体"/>
          <w:b w:val="0"/>
          <w:bCs/>
          <w:sz w:val="28"/>
          <w:szCs w:val="28"/>
        </w:rPr>
        <w:t>5</w:t>
      </w:r>
      <w:r>
        <w:rPr>
          <w:rFonts w:hint="eastAsia" w:ascii="宋体" w:hAnsi="宋体"/>
          <w:b w:val="0"/>
          <w:bCs/>
          <w:sz w:val="28"/>
          <w:szCs w:val="28"/>
        </w:rPr>
        <w:t>章节</w:t>
      </w:r>
      <w:r>
        <w:rPr>
          <w:rFonts w:hint="eastAsia" w:ascii="宋体" w:hAnsi="宋体"/>
          <w:b w:val="0"/>
          <w:bCs/>
          <w:sz w:val="28"/>
          <w:szCs w:val="28"/>
          <w:lang w:val="en-GB"/>
        </w:rPr>
        <w:t>辨识出的重大危险源可知该企业</w:t>
      </w:r>
      <w:r>
        <w:rPr>
          <w:rFonts w:hint="eastAsia" w:ascii="宋体" w:hAnsi="宋体"/>
          <w:b w:val="0"/>
          <w:bCs/>
          <w:sz w:val="28"/>
          <w:szCs w:val="28"/>
        </w:rPr>
        <w:t>储存单元中的</w:t>
      </w:r>
      <w:r>
        <w:rPr>
          <w:rFonts w:hint="eastAsia" w:ascii="宋体" w:hAnsi="宋体" w:cs="宋体"/>
          <w:b w:val="0"/>
          <w:color w:val="000000"/>
          <w:sz w:val="28"/>
          <w:szCs w:val="28"/>
        </w:rPr>
        <w:t>1号黑火药库区（厂区西南面）和2号黑火药库区（厂区西北面）均已构成三级烟花爆竹重大危险源</w:t>
      </w:r>
      <w:r>
        <w:rPr>
          <w:rFonts w:hint="eastAsia" w:ascii="宋体" w:hAnsi="宋体"/>
          <w:b w:val="0"/>
          <w:bCs/>
          <w:sz w:val="28"/>
          <w:szCs w:val="28"/>
          <w:lang w:val="en-GB"/>
        </w:rPr>
        <w:t>，根据以上评价过程对重大危险源的安全管理进行分析，综合该企业的安全防范措施水平，在企业严格按规章制度有序运行的条件下，其重大危险源评价单元符合要求。</w:t>
      </w:r>
    </w:p>
    <w:p w14:paraId="246A3E9C">
      <w:pPr>
        <w:keepNext w:val="0"/>
        <w:keepLines w:val="0"/>
        <w:pageBreakBefore w:val="0"/>
        <w:widowControl w:val="0"/>
        <w:kinsoku/>
        <w:wordWrap/>
        <w:overflowPunct/>
        <w:topLinePunct w:val="0"/>
        <w:autoSpaceDE/>
        <w:autoSpaceDN/>
        <w:bidi w:val="0"/>
        <w:adjustRightInd/>
        <w:snapToGrid/>
        <w:spacing w:line="580" w:lineRule="exact"/>
        <w:textAlignment w:val="auto"/>
        <w:outlineLvl w:val="1"/>
        <w:rPr>
          <w:rFonts w:ascii="黑体" w:hAnsi="宋体" w:eastAsia="黑体"/>
          <w:b w:val="0"/>
          <w:bCs/>
          <w:snapToGrid w:val="0"/>
          <w:sz w:val="30"/>
          <w:szCs w:val="30"/>
        </w:rPr>
      </w:pPr>
      <w:r>
        <w:rPr>
          <w:rFonts w:hint="eastAsia" w:ascii="黑体" w:hAnsi="宋体" w:eastAsia="黑体"/>
          <w:b w:val="0"/>
          <w:bCs/>
          <w:snapToGrid w:val="0"/>
          <w:sz w:val="30"/>
          <w:szCs w:val="30"/>
        </w:rPr>
        <w:t>5.</w:t>
      </w:r>
      <w:r>
        <w:rPr>
          <w:rFonts w:ascii="黑体" w:hAnsi="宋体" w:eastAsia="黑体"/>
          <w:b w:val="0"/>
          <w:bCs/>
          <w:snapToGrid w:val="0"/>
          <w:sz w:val="30"/>
          <w:szCs w:val="30"/>
        </w:rPr>
        <w:t>9</w:t>
      </w:r>
      <w:r>
        <w:rPr>
          <w:rFonts w:hint="eastAsia" w:ascii="黑体" w:hAnsi="宋体" w:eastAsia="黑体"/>
          <w:b w:val="0"/>
          <w:bCs/>
          <w:snapToGrid w:val="0"/>
          <w:sz w:val="30"/>
          <w:szCs w:val="30"/>
        </w:rPr>
        <w:t>综合评价结果</w:t>
      </w:r>
      <w:bookmarkEnd w:id="535"/>
      <w:bookmarkEnd w:id="536"/>
      <w:bookmarkEnd w:id="537"/>
      <w:bookmarkEnd w:id="538"/>
      <w:bookmarkEnd w:id="539"/>
      <w:bookmarkEnd w:id="540"/>
    </w:p>
    <w:p w14:paraId="1AF09E7F">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ascii="黑体" w:hAnsi="黑体" w:eastAsia="黑体"/>
          <w:b w:val="0"/>
          <w:bCs w:val="0"/>
        </w:rPr>
      </w:pPr>
      <w:r>
        <w:rPr>
          <w:rFonts w:hint="eastAsia" w:ascii="黑体" w:hAnsi="黑体" w:eastAsia="黑体"/>
          <w:b w:val="0"/>
          <w:bCs w:val="0"/>
        </w:rPr>
        <w:t>5.</w:t>
      </w:r>
      <w:r>
        <w:rPr>
          <w:rFonts w:ascii="黑体" w:hAnsi="黑体" w:eastAsia="黑体"/>
          <w:b w:val="0"/>
          <w:bCs w:val="0"/>
        </w:rPr>
        <w:t>9</w:t>
      </w:r>
      <w:r>
        <w:rPr>
          <w:rFonts w:hint="eastAsia" w:ascii="黑体" w:hAnsi="黑体" w:eastAsia="黑体"/>
          <w:b w:val="0"/>
          <w:bCs w:val="0"/>
        </w:rPr>
        <w:t>.1建设项目安全条件</w:t>
      </w:r>
    </w:p>
    <w:p w14:paraId="1BFD2DF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宋体" w:hAnsi="宋体"/>
          <w:b w:val="0"/>
          <w:bCs/>
          <w:sz w:val="28"/>
          <w:szCs w:val="28"/>
        </w:rPr>
      </w:pPr>
      <w:r>
        <w:rPr>
          <w:rFonts w:hint="eastAsia"/>
          <w:b w:val="0"/>
          <w:bCs/>
          <w:sz w:val="28"/>
          <w:szCs w:val="28"/>
        </w:rPr>
        <w:t>根据对该企业泉水工区扩建项目内在危险有害因素对周边单位生产、经营活动及居民生活的影响，泉水工区扩建项目周边生产单位、经营活动及居民生活对厂区的影响以及自然条件对扩建项目可能产生的影响的分析，在采取相关措施后，周边环境与扩建项目的相互影响较小，在可接受范围内。当地自然条件主要是在夏天存在雷雨天气，冬天存在霜冻天气，企业采取防护措施后，均在可接受范围内</w:t>
      </w:r>
      <w:r>
        <w:rPr>
          <w:rFonts w:hint="eastAsia" w:ascii="宋体" w:hAnsi="宋体"/>
          <w:b w:val="0"/>
          <w:bCs/>
          <w:sz w:val="28"/>
          <w:szCs w:val="28"/>
        </w:rPr>
        <w:t>。</w:t>
      </w:r>
    </w:p>
    <w:p w14:paraId="5AD9A05E">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ascii="黑体" w:hAnsi="黑体" w:eastAsia="黑体"/>
          <w:b w:val="0"/>
          <w:bCs w:val="0"/>
        </w:rPr>
      </w:pPr>
      <w:r>
        <w:rPr>
          <w:rFonts w:hint="eastAsia" w:ascii="黑体" w:hAnsi="黑体" w:eastAsia="黑体"/>
          <w:b w:val="0"/>
          <w:bCs w:val="0"/>
        </w:rPr>
        <w:t>5.</w:t>
      </w:r>
      <w:r>
        <w:rPr>
          <w:rFonts w:ascii="黑体" w:hAnsi="黑体" w:eastAsia="黑体"/>
          <w:b w:val="0"/>
          <w:bCs w:val="0"/>
        </w:rPr>
        <w:t>9</w:t>
      </w:r>
      <w:r>
        <w:rPr>
          <w:rFonts w:hint="eastAsia" w:ascii="黑体" w:hAnsi="黑体" w:eastAsia="黑体"/>
          <w:b w:val="0"/>
          <w:bCs w:val="0"/>
        </w:rPr>
        <w:t>.2建设项目总体布局</w:t>
      </w:r>
    </w:p>
    <w:p w14:paraId="69EA1A1A">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ascii="宋体" w:hAnsi="宋体"/>
          <w:b w:val="0"/>
          <w:bCs/>
          <w:sz w:val="28"/>
          <w:szCs w:val="28"/>
        </w:rPr>
      </w:pPr>
      <w:r>
        <w:rPr>
          <w:rFonts w:hint="eastAsia" w:ascii="宋体" w:hAnsi="宋体"/>
          <w:b w:val="0"/>
          <w:bCs/>
          <w:spacing w:val="-6"/>
          <w:sz w:val="28"/>
          <w:szCs w:val="28"/>
        </w:rPr>
        <w:t>依据《湖南金帝烟花爆竹制造有限公司泉水工区扩建项目</w:t>
      </w:r>
      <w:r>
        <w:rPr>
          <w:rFonts w:hint="eastAsia" w:ascii="宋体" w:hAnsi="宋体" w:cs="宋体"/>
          <w:b w:val="0"/>
          <w:bCs/>
          <w:spacing w:val="-6"/>
          <w:sz w:val="28"/>
          <w:szCs w:val="28"/>
        </w:rPr>
        <w:t>安全设施设计平面布置</w:t>
      </w:r>
      <w:r>
        <w:rPr>
          <w:rFonts w:hint="eastAsia" w:ascii="宋体" w:hAnsi="宋体"/>
          <w:b w:val="0"/>
          <w:bCs/>
          <w:spacing w:val="-6"/>
          <w:sz w:val="28"/>
          <w:szCs w:val="28"/>
        </w:rPr>
        <w:t>》（初步设计方案图）、根据《烟花爆竹工程设计安全标准》</w:t>
      </w:r>
      <w:r>
        <w:rPr>
          <w:rFonts w:hint="eastAsia" w:ascii="宋体" w:hAnsi="宋体" w:cs="宋体"/>
          <w:b w:val="0"/>
          <w:bCs/>
          <w:spacing w:val="-6"/>
          <w:sz w:val="28"/>
          <w:szCs w:val="28"/>
        </w:rPr>
        <w:t>（GB50161-2022）</w:t>
      </w:r>
      <w:r>
        <w:rPr>
          <w:rFonts w:hint="eastAsia" w:ascii="宋体" w:hAnsi="宋体"/>
          <w:b w:val="0"/>
          <w:bCs/>
          <w:spacing w:val="-6"/>
          <w:sz w:val="28"/>
          <w:szCs w:val="28"/>
        </w:rPr>
        <w:t>标准要求，对该企业泉水工区扩建项目的选址、总平面布置、工艺布局及内、外部距离检查，其选址、总平面布置、工艺布局及内、外部距离均符合《烟花爆竹工程设计安全标准》（GB50161-2022）标准要求。</w:t>
      </w:r>
    </w:p>
    <w:p w14:paraId="54F83D1F">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b w:val="0"/>
          <w:bCs w:val="0"/>
        </w:rPr>
      </w:pPr>
      <w:r>
        <w:rPr>
          <w:rFonts w:hint="eastAsia" w:ascii="黑体" w:hAnsi="黑体" w:eastAsia="黑体"/>
          <w:b w:val="0"/>
          <w:bCs w:val="0"/>
        </w:rPr>
        <w:t>5.</w:t>
      </w:r>
      <w:r>
        <w:rPr>
          <w:rFonts w:ascii="黑体" w:hAnsi="黑体" w:eastAsia="黑体"/>
          <w:b w:val="0"/>
          <w:bCs w:val="0"/>
        </w:rPr>
        <w:t>9</w:t>
      </w:r>
      <w:r>
        <w:rPr>
          <w:rFonts w:hint="eastAsia" w:ascii="黑体" w:hAnsi="黑体" w:eastAsia="黑体"/>
          <w:b w:val="0"/>
          <w:bCs w:val="0"/>
        </w:rPr>
        <w:t>.3安全设施及公用工程</w:t>
      </w:r>
    </w:p>
    <w:p w14:paraId="524DBAC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宋体" w:hAnsi="宋体"/>
          <w:b w:val="0"/>
          <w:sz w:val="28"/>
          <w:szCs w:val="28"/>
        </w:rPr>
      </w:pPr>
      <w:r>
        <w:rPr>
          <w:rFonts w:hint="eastAsia" w:ascii="宋体" w:hAnsi="宋体"/>
          <w:b w:val="0"/>
          <w:sz w:val="28"/>
          <w:szCs w:val="28"/>
        </w:rPr>
        <w:t>该项目安全设施及公用工程的配置符合《烟花爆竹工程设计安全标准》（GB50161-2022）和《烟花爆竹安全生产风险监测预警技术规范》（AQ4101-2026）安全规范要求。</w:t>
      </w:r>
    </w:p>
    <w:p w14:paraId="0B027EEB">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b w:val="0"/>
          <w:bCs w:val="0"/>
        </w:rPr>
      </w:pPr>
      <w:r>
        <w:rPr>
          <w:rFonts w:hint="eastAsia" w:ascii="黑体" w:hAnsi="黑体" w:eastAsia="黑体"/>
          <w:b w:val="0"/>
          <w:bCs w:val="0"/>
        </w:rPr>
        <w:t>5.</w:t>
      </w:r>
      <w:r>
        <w:rPr>
          <w:rFonts w:ascii="黑体" w:hAnsi="黑体" w:eastAsia="黑体"/>
          <w:b w:val="0"/>
          <w:bCs w:val="0"/>
        </w:rPr>
        <w:t>9</w:t>
      </w:r>
      <w:r>
        <w:rPr>
          <w:rFonts w:hint="eastAsia" w:ascii="黑体" w:hAnsi="黑体" w:eastAsia="黑体"/>
          <w:b w:val="0"/>
          <w:bCs w:val="0"/>
        </w:rPr>
        <w:t>.4安全管理</w:t>
      </w:r>
    </w:p>
    <w:p w14:paraId="79CBBA0F">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宋体" w:hAnsi="宋体"/>
          <w:b w:val="0"/>
          <w:bCs/>
          <w:sz w:val="28"/>
          <w:szCs w:val="28"/>
        </w:rPr>
      </w:pPr>
      <w:r>
        <w:rPr>
          <w:rFonts w:hint="eastAsia" w:ascii="宋体" w:hAnsi="宋体"/>
          <w:b w:val="0"/>
          <w:sz w:val="28"/>
          <w:szCs w:val="28"/>
        </w:rPr>
        <w:t>该企业拟按《烟花爆竹生产企业安全生产许可证实施办法》（原国家安全生产监督管理总局令第54号）和《生产经营单位生产安全事故应急预案导则》(GB/T29639-2020)等规范要求制定安全生产责任</w:t>
      </w:r>
      <w:r>
        <w:rPr>
          <w:rFonts w:hint="eastAsia" w:ascii="宋体" w:hAnsi="宋体"/>
          <w:b w:val="0"/>
          <w:bCs/>
          <w:sz w:val="28"/>
          <w:szCs w:val="28"/>
        </w:rPr>
        <w:t>制、安全生产规章制度、操作规程和应急救援预案。</w:t>
      </w:r>
    </w:p>
    <w:p w14:paraId="17ADD699">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b w:val="0"/>
        </w:rPr>
      </w:pPr>
      <w:r>
        <w:rPr>
          <w:rFonts w:hint="eastAsia" w:ascii="黑体" w:hAnsi="黑体" w:eastAsia="黑体"/>
          <w:b w:val="0"/>
        </w:rPr>
        <w:t>5.</w:t>
      </w:r>
      <w:r>
        <w:rPr>
          <w:rFonts w:ascii="黑体" w:hAnsi="黑体" w:eastAsia="黑体"/>
          <w:b w:val="0"/>
        </w:rPr>
        <w:t>9.</w:t>
      </w:r>
      <w:r>
        <w:rPr>
          <w:rFonts w:hint="eastAsia" w:ascii="黑体" w:hAnsi="黑体" w:eastAsia="黑体"/>
          <w:b w:val="0"/>
        </w:rPr>
        <w:t>5生产过程</w:t>
      </w:r>
    </w:p>
    <w:p w14:paraId="030E7CE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 w:val="0"/>
          <w:bCs/>
          <w:sz w:val="28"/>
          <w:szCs w:val="28"/>
        </w:rPr>
      </w:pPr>
      <w:r>
        <w:rPr>
          <w:rFonts w:hint="eastAsia"/>
          <w:b w:val="0"/>
          <w:bCs/>
          <w:sz w:val="28"/>
          <w:szCs w:val="28"/>
          <w:lang w:val="en-GB"/>
        </w:rPr>
        <w:t>该项目</w:t>
      </w:r>
      <w:r>
        <w:rPr>
          <w:rFonts w:hint="eastAsia"/>
          <w:b w:val="0"/>
          <w:bCs/>
          <w:sz w:val="28"/>
          <w:szCs w:val="28"/>
        </w:rPr>
        <w:t>生产</w:t>
      </w:r>
      <w:r>
        <w:rPr>
          <w:rFonts w:hint="eastAsia"/>
          <w:b w:val="0"/>
          <w:bCs/>
          <w:sz w:val="28"/>
          <w:szCs w:val="28"/>
          <w:lang w:val="en-GB"/>
        </w:rPr>
        <w:t>过程的各工序都存在危险有害因素，事故类型主要为火灾、爆炸。危险级别主要为Ⅲ级，明确了发生事故的触发条件并确定了应采取的相应工艺安全对策措施。</w:t>
      </w:r>
    </w:p>
    <w:p w14:paraId="5DD9A0A6">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b w:val="0"/>
        </w:rPr>
      </w:pPr>
      <w:r>
        <w:rPr>
          <w:rFonts w:hint="eastAsia" w:ascii="黑体" w:hAnsi="黑体" w:eastAsia="黑体"/>
          <w:b w:val="0"/>
        </w:rPr>
        <w:t>5</w:t>
      </w:r>
      <w:r>
        <w:rPr>
          <w:rFonts w:ascii="黑体" w:hAnsi="黑体" w:eastAsia="黑体"/>
          <w:b w:val="0"/>
        </w:rPr>
        <w:t>.9.6</w:t>
      </w:r>
      <w:r>
        <w:rPr>
          <w:rFonts w:hint="eastAsia" w:ascii="黑体" w:hAnsi="黑体" w:eastAsia="黑体"/>
          <w:b w:val="0"/>
        </w:rPr>
        <w:t>建筑施工</w:t>
      </w:r>
    </w:p>
    <w:p w14:paraId="00F4E324">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宋体" w:hAnsi="宋体"/>
          <w:b w:val="0"/>
          <w:bCs/>
          <w:sz w:val="28"/>
          <w:szCs w:val="28"/>
        </w:rPr>
      </w:pPr>
      <w:r>
        <w:rPr>
          <w:rFonts w:hint="eastAsia" w:ascii="宋体" w:hAnsi="宋体"/>
          <w:b w:val="0"/>
          <w:bCs/>
          <w:sz w:val="28"/>
          <w:szCs w:val="28"/>
        </w:rPr>
        <w:t>建筑施工阶段存在的潜在的主要危险有害因素有：高处坠落、物体打击、起重致害、机械致害、厂（场）内车辆致害、火灾、触电</w:t>
      </w:r>
      <w:r>
        <w:rPr>
          <w:rFonts w:hint="eastAsia" w:ascii="宋体" w:hAnsi="宋体"/>
          <w:b w:val="0"/>
          <w:bCs/>
          <w:sz w:val="28"/>
          <w:szCs w:val="28"/>
          <w:lang w:val="en-GB"/>
        </w:rPr>
        <w:t>和</w:t>
      </w:r>
      <w:r>
        <w:rPr>
          <w:rFonts w:hint="eastAsia" w:ascii="宋体" w:hAnsi="宋体"/>
          <w:b w:val="0"/>
          <w:bCs/>
          <w:sz w:val="28"/>
          <w:szCs w:val="28"/>
        </w:rPr>
        <w:t>坍塌，其风险可以接受。</w:t>
      </w:r>
    </w:p>
    <w:p w14:paraId="4DBA9699">
      <w:pPr>
        <w:pStyle w:val="7"/>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b w:val="0"/>
        </w:rPr>
      </w:pPr>
      <w:r>
        <w:rPr>
          <w:rFonts w:hint="eastAsia" w:ascii="黑体" w:hAnsi="黑体" w:eastAsia="黑体"/>
          <w:b w:val="0"/>
        </w:rPr>
        <w:t>5.</w:t>
      </w:r>
      <w:r>
        <w:rPr>
          <w:rFonts w:ascii="黑体" w:hAnsi="黑体" w:eastAsia="黑体"/>
          <w:b w:val="0"/>
        </w:rPr>
        <w:t>9</w:t>
      </w:r>
      <w:r>
        <w:rPr>
          <w:rFonts w:hint="eastAsia" w:ascii="黑体" w:hAnsi="黑体" w:eastAsia="黑体"/>
          <w:b w:val="0"/>
        </w:rPr>
        <w:t>.</w:t>
      </w:r>
      <w:r>
        <w:rPr>
          <w:rFonts w:ascii="黑体" w:hAnsi="黑体" w:eastAsia="黑体"/>
          <w:b w:val="0"/>
        </w:rPr>
        <w:t>7</w:t>
      </w:r>
      <w:r>
        <w:rPr>
          <w:rFonts w:hint="eastAsia" w:ascii="黑体" w:hAnsi="黑体" w:eastAsia="黑体"/>
          <w:b w:val="0"/>
        </w:rPr>
        <w:t>事故后果模拟分析结论</w:t>
      </w:r>
    </w:p>
    <w:p w14:paraId="4E565CE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宋体" w:hAnsi="宋体"/>
          <w:b w:val="0"/>
          <w:bCs/>
          <w:sz w:val="28"/>
          <w:szCs w:val="28"/>
        </w:rPr>
      </w:pPr>
      <w:r>
        <w:rPr>
          <w:rFonts w:hint="eastAsia" w:ascii="宋体" w:hAnsi="宋体"/>
          <w:b w:val="0"/>
          <w:bCs/>
          <w:sz w:val="28"/>
          <w:szCs w:val="28"/>
        </w:rPr>
        <w:t>根据以上评价过程对该企业</w:t>
      </w:r>
      <w:r>
        <w:rPr>
          <w:rFonts w:ascii="宋体" w:hAnsi="宋体"/>
          <w:b w:val="0"/>
          <w:bCs/>
          <w:sz w:val="28"/>
          <w:szCs w:val="28"/>
        </w:rPr>
        <w:t>63#</w:t>
      </w:r>
      <w:r>
        <w:rPr>
          <w:rFonts w:hint="eastAsia" w:ascii="宋体" w:hAnsi="宋体"/>
          <w:b w:val="0"/>
          <w:bCs/>
          <w:sz w:val="28"/>
          <w:szCs w:val="28"/>
        </w:rPr>
        <w:t>黑火药（计算药量</w:t>
      </w:r>
      <w:r>
        <w:rPr>
          <w:rFonts w:ascii="宋体" w:hAnsi="宋体"/>
          <w:b w:val="0"/>
          <w:bCs/>
          <w:sz w:val="28"/>
          <w:szCs w:val="28"/>
        </w:rPr>
        <w:t>7000kg</w:t>
      </w:r>
      <w:r>
        <w:rPr>
          <w:rFonts w:hint="eastAsia" w:ascii="宋体" w:hAnsi="宋体"/>
          <w:b w:val="0"/>
          <w:bCs/>
          <w:sz w:val="28"/>
          <w:szCs w:val="28"/>
        </w:rPr>
        <w:t>）进行事故后果模拟分析，综合该企业安全防范措施水平，在企业严格按规章制度运行的前提下，其建筑施工过程的风险可控。</w:t>
      </w:r>
      <w:bookmarkEnd w:id="518"/>
      <w:bookmarkEnd w:id="519"/>
    </w:p>
    <w:p w14:paraId="623780CE">
      <w:pPr>
        <w:pStyle w:val="7"/>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b w:val="0"/>
        </w:rPr>
      </w:pPr>
      <w:r>
        <w:rPr>
          <w:rFonts w:hint="eastAsia" w:ascii="黑体" w:hAnsi="黑体" w:eastAsia="黑体"/>
          <w:b w:val="0"/>
        </w:rPr>
        <w:t>5.</w:t>
      </w:r>
      <w:r>
        <w:rPr>
          <w:rFonts w:ascii="黑体" w:hAnsi="黑体" w:eastAsia="黑体"/>
          <w:b w:val="0"/>
        </w:rPr>
        <w:t>9</w:t>
      </w:r>
      <w:r>
        <w:rPr>
          <w:rFonts w:hint="eastAsia" w:ascii="黑体" w:hAnsi="黑体" w:eastAsia="黑体"/>
          <w:b w:val="0"/>
        </w:rPr>
        <w:t>.</w:t>
      </w:r>
      <w:r>
        <w:rPr>
          <w:rFonts w:ascii="黑体" w:hAnsi="黑体" w:eastAsia="黑体"/>
          <w:b w:val="0"/>
        </w:rPr>
        <w:t>8</w:t>
      </w:r>
      <w:r>
        <w:rPr>
          <w:rFonts w:hint="eastAsia" w:ascii="黑体" w:hAnsi="黑体" w:eastAsia="黑体"/>
          <w:b w:val="0"/>
        </w:rPr>
        <w:t>重大危险源评价结论</w:t>
      </w:r>
    </w:p>
    <w:p w14:paraId="6F61F3E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lang w:val="en-GB"/>
        </w:rPr>
      </w:pPr>
      <w:r>
        <w:rPr>
          <w:rFonts w:hint="eastAsia" w:ascii="宋体" w:hAnsi="宋体"/>
          <w:b w:val="0"/>
          <w:bCs/>
          <w:sz w:val="28"/>
          <w:szCs w:val="28"/>
          <w:lang w:val="en-GB"/>
        </w:rPr>
        <w:t>通过对该企业的重大危险源辨识，该企业</w:t>
      </w:r>
      <w:r>
        <w:rPr>
          <w:rFonts w:hint="eastAsia" w:ascii="宋体" w:hAnsi="宋体"/>
          <w:b w:val="0"/>
          <w:bCs/>
          <w:sz w:val="28"/>
          <w:szCs w:val="28"/>
        </w:rPr>
        <w:t>储存单元中的</w:t>
      </w:r>
      <w:r>
        <w:rPr>
          <w:rFonts w:hint="eastAsia" w:ascii="宋体" w:hAnsi="宋体" w:cs="宋体"/>
          <w:b w:val="0"/>
          <w:color w:val="000000"/>
          <w:sz w:val="28"/>
          <w:szCs w:val="28"/>
        </w:rPr>
        <w:t>1号黑火药库区（厂区西南面）和2号黑火药库区（厂区西北面）均已构成三级烟花爆竹重大危险源</w:t>
      </w:r>
      <w:r>
        <w:rPr>
          <w:rFonts w:hint="eastAsia" w:ascii="宋体" w:hAnsi="宋体"/>
          <w:b w:val="0"/>
          <w:bCs/>
          <w:sz w:val="28"/>
          <w:szCs w:val="28"/>
          <w:lang w:val="en-GB"/>
        </w:rPr>
        <w:t>，</w:t>
      </w:r>
      <w:r>
        <w:rPr>
          <w:rFonts w:hint="eastAsia" w:ascii="宋体" w:hAnsi="宋体"/>
          <w:b w:val="0"/>
          <w:bCs/>
          <w:sz w:val="28"/>
          <w:szCs w:val="28"/>
        </w:rPr>
        <w:t>建议</w:t>
      </w:r>
      <w:r>
        <w:rPr>
          <w:rFonts w:hint="eastAsia" w:ascii="宋体" w:hAnsi="宋体"/>
          <w:b w:val="0"/>
          <w:bCs/>
          <w:sz w:val="28"/>
          <w:szCs w:val="28"/>
          <w:lang w:val="en-GB"/>
        </w:rPr>
        <w:t>企业应按照重大危险源的管理办法对其实施管理。</w:t>
      </w:r>
    </w:p>
    <w:p w14:paraId="0A30401B">
      <w:pPr>
        <w:pStyle w:val="2"/>
        <w:keepNext w:val="0"/>
        <w:keepLines w:val="0"/>
        <w:pageBreakBefore w:val="0"/>
        <w:widowControl w:val="0"/>
        <w:kinsoku/>
        <w:wordWrap/>
        <w:overflowPunct/>
        <w:topLinePunct w:val="0"/>
        <w:autoSpaceDE/>
        <w:autoSpaceDN/>
        <w:bidi w:val="0"/>
        <w:adjustRightInd/>
        <w:snapToGrid/>
        <w:ind w:firstLine="562"/>
        <w:textAlignment w:val="auto"/>
        <w:rPr>
          <w:lang w:val="en-GB"/>
        </w:rPr>
        <w:sectPr>
          <w:pgSz w:w="11906" w:h="16838"/>
          <w:pgMar w:top="1417" w:right="1417" w:bottom="1417" w:left="1417" w:header="851" w:footer="863" w:gutter="0"/>
          <w:pgBorders>
            <w:top w:val="none" w:sz="0" w:space="0"/>
            <w:left w:val="none" w:sz="0" w:space="0"/>
            <w:bottom w:val="none" w:sz="0" w:space="0"/>
            <w:right w:val="none" w:sz="0" w:space="0"/>
          </w:pgBorders>
          <w:cols w:space="720" w:num="1"/>
          <w:docGrid w:linePitch="312" w:charSpace="0"/>
        </w:sectPr>
      </w:pPr>
    </w:p>
    <w:bookmarkEnd w:id="469"/>
    <w:bookmarkEnd w:id="470"/>
    <w:bookmarkEnd w:id="471"/>
    <w:bookmarkEnd w:id="472"/>
    <w:bookmarkEnd w:id="473"/>
    <w:bookmarkEnd w:id="507"/>
    <w:p w14:paraId="7818068D">
      <w:pPr>
        <w:keepNext/>
        <w:pageBreakBefore/>
        <w:widowControl/>
        <w:spacing w:before="120" w:beforeLines="50" w:line="360" w:lineRule="auto"/>
        <w:jc w:val="center"/>
        <w:outlineLvl w:val="0"/>
        <w:rPr>
          <w:rFonts w:ascii="黑体" w:hAnsi="宋体" w:eastAsia="黑体"/>
          <w:b w:val="0"/>
          <w:sz w:val="32"/>
          <w:szCs w:val="32"/>
        </w:rPr>
      </w:pPr>
      <w:bookmarkStart w:id="541" w:name="_Toc110569913"/>
      <w:bookmarkStart w:id="542" w:name="_Toc239191524"/>
      <w:bookmarkStart w:id="543" w:name="_Toc233449812"/>
      <w:r>
        <w:rPr>
          <w:rFonts w:hint="eastAsia" w:ascii="黑体" w:hAnsi="宋体" w:eastAsia="黑体"/>
          <w:b w:val="0"/>
          <w:sz w:val="32"/>
          <w:szCs w:val="32"/>
        </w:rPr>
        <w:t>第六章 安全对策措施建议</w:t>
      </w:r>
      <w:bookmarkEnd w:id="541"/>
      <w:bookmarkEnd w:id="542"/>
      <w:bookmarkEnd w:id="543"/>
    </w:p>
    <w:p w14:paraId="4CC038A5">
      <w:pPr>
        <w:spacing w:line="360" w:lineRule="auto"/>
        <w:ind w:firstLine="536" w:firstLineChars="200"/>
        <w:rPr>
          <w:rFonts w:ascii="宋体" w:hAnsi="宋体"/>
          <w:b w:val="0"/>
          <w:sz w:val="28"/>
        </w:rPr>
      </w:pPr>
      <w:bookmarkStart w:id="544" w:name="_Toc233449813"/>
      <w:r>
        <w:rPr>
          <w:rFonts w:hint="eastAsia" w:ascii="宋体" w:hAnsi="宋体"/>
          <w:b w:val="0"/>
          <w:spacing w:val="-6"/>
          <w:sz w:val="28"/>
        </w:rPr>
        <w:t>针对该企业泉水工区扩建项目建成后存在的危险危害因素，并根据《烟花爆竹工程设计安全标准》（GB50161-2022）等相关法律、法规和标准，提出安全对策措施及建议，作为设计单位在项目设计过程中和建设单位在项目管理过程中用以预防、防止、消除或减弱危险危害因素的技术及管理措施。</w:t>
      </w:r>
    </w:p>
    <w:p w14:paraId="054A01AA">
      <w:pPr>
        <w:keepNext/>
        <w:keepLines/>
        <w:spacing w:before="120" w:beforeLines="50" w:line="360" w:lineRule="auto"/>
        <w:outlineLvl w:val="1"/>
        <w:rPr>
          <w:rFonts w:ascii="黑体" w:hAnsi="宋体" w:eastAsia="黑体"/>
          <w:b w:val="0"/>
          <w:bCs/>
          <w:snapToGrid w:val="0"/>
          <w:sz w:val="30"/>
          <w:szCs w:val="30"/>
        </w:rPr>
      </w:pPr>
      <w:bookmarkStart w:id="545" w:name="_Toc239191525"/>
      <w:r>
        <w:rPr>
          <w:rFonts w:hint="eastAsia" w:ascii="黑体" w:hAnsi="宋体" w:eastAsia="黑体"/>
          <w:b w:val="0"/>
          <w:bCs/>
          <w:snapToGrid w:val="0"/>
          <w:sz w:val="30"/>
          <w:szCs w:val="30"/>
        </w:rPr>
        <w:t>6.1安全对策措施建议的依据</w:t>
      </w:r>
      <w:bookmarkEnd w:id="544"/>
      <w:bookmarkEnd w:id="545"/>
    </w:p>
    <w:p w14:paraId="032E8392">
      <w:pPr>
        <w:spacing w:line="360" w:lineRule="auto"/>
        <w:ind w:firstLine="560" w:firstLineChars="200"/>
        <w:rPr>
          <w:rFonts w:ascii="宋体" w:hAnsi="宋体"/>
          <w:b w:val="0"/>
          <w:sz w:val="28"/>
        </w:rPr>
      </w:pPr>
      <w:r>
        <w:rPr>
          <w:rFonts w:hint="eastAsia" w:ascii="宋体" w:hAnsi="宋体"/>
          <w:b w:val="0"/>
          <w:sz w:val="28"/>
        </w:rPr>
        <w:t>安全对策措施及建议主要依据国家相关法律、法规及烟花爆竹有关行业标准规范。</w:t>
      </w:r>
    </w:p>
    <w:p w14:paraId="2A7A1CFB">
      <w:pPr>
        <w:keepNext/>
        <w:keepLines/>
        <w:spacing w:before="120" w:beforeLines="50" w:line="360" w:lineRule="auto"/>
        <w:outlineLvl w:val="1"/>
        <w:rPr>
          <w:rFonts w:ascii="黑体" w:hAnsi="宋体" w:eastAsia="黑体"/>
          <w:b w:val="0"/>
          <w:bCs/>
          <w:snapToGrid w:val="0"/>
          <w:sz w:val="30"/>
          <w:szCs w:val="30"/>
        </w:rPr>
      </w:pPr>
      <w:bookmarkStart w:id="546" w:name="_Toc239191526"/>
      <w:bookmarkStart w:id="547" w:name="_Toc233449814"/>
      <w:bookmarkStart w:id="548" w:name="_Toc233449815"/>
      <w:r>
        <w:rPr>
          <w:rFonts w:hint="eastAsia" w:ascii="黑体" w:hAnsi="宋体" w:eastAsia="黑体"/>
          <w:b w:val="0"/>
          <w:bCs/>
          <w:snapToGrid w:val="0"/>
          <w:sz w:val="30"/>
          <w:szCs w:val="30"/>
        </w:rPr>
        <w:t>6.2安全对策措施建议的原则</w:t>
      </w:r>
      <w:bookmarkEnd w:id="546"/>
      <w:bookmarkEnd w:id="547"/>
    </w:p>
    <w:p w14:paraId="29B691B8">
      <w:pPr>
        <w:spacing w:line="360" w:lineRule="auto"/>
        <w:ind w:firstLine="599" w:firstLineChars="214"/>
        <w:rPr>
          <w:rFonts w:ascii="Arial" w:hAnsi="Arial" w:cs="Arial"/>
          <w:b w:val="0"/>
          <w:sz w:val="28"/>
        </w:rPr>
      </w:pPr>
      <w:r>
        <w:rPr>
          <w:rFonts w:ascii="Arial" w:hAnsi="Times New Roman" w:cs="Arial"/>
          <w:b w:val="0"/>
          <w:sz w:val="28"/>
        </w:rPr>
        <w:t>安全对策措施及建议的原则主要根据风险水平和控制风险的顺序决定。一般根据风险水平采取的措施。</w:t>
      </w:r>
    </w:p>
    <w:p w14:paraId="5C0103BA">
      <w:pPr>
        <w:jc w:val="center"/>
        <w:rPr>
          <w:rFonts w:ascii="黑体" w:hAnsi="黑体" w:eastAsia="黑体" w:cs="Arial"/>
          <w:b w:val="0"/>
          <w:sz w:val="24"/>
        </w:rPr>
      </w:pPr>
      <w:r>
        <w:rPr>
          <w:rFonts w:ascii="黑体" w:hAnsi="黑体" w:eastAsia="黑体" w:cs="Arial"/>
          <w:b w:val="0"/>
          <w:sz w:val="24"/>
        </w:rPr>
        <w:t>表6.2-1  根据风险水平采取的安全对策措施及建议</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7296"/>
      </w:tblGrid>
      <w:tr w14:paraId="1728A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2DF8E624">
            <w:pPr>
              <w:adjustRightInd w:val="0"/>
              <w:snapToGrid w:val="0"/>
              <w:jc w:val="center"/>
              <w:rPr>
                <w:rFonts w:ascii="Arial" w:hAnsi="Arial"/>
                <w:bCs/>
                <w:szCs w:val="21"/>
              </w:rPr>
            </w:pPr>
            <w:r>
              <w:rPr>
                <w:rFonts w:ascii="Arial" w:hAnsi="宋体"/>
                <w:bCs/>
                <w:szCs w:val="21"/>
              </w:rPr>
              <w:t>风险水平</w:t>
            </w:r>
          </w:p>
        </w:tc>
        <w:tc>
          <w:tcPr>
            <w:tcW w:w="7296" w:type="dxa"/>
            <w:vAlign w:val="center"/>
          </w:tcPr>
          <w:p w14:paraId="40A1B850">
            <w:pPr>
              <w:adjustRightInd w:val="0"/>
              <w:snapToGrid w:val="0"/>
              <w:jc w:val="center"/>
              <w:rPr>
                <w:rFonts w:ascii="Arial" w:hAnsi="Arial"/>
                <w:bCs/>
                <w:szCs w:val="21"/>
              </w:rPr>
            </w:pPr>
            <w:r>
              <w:rPr>
                <w:rFonts w:ascii="Arial" w:hAnsi="宋体"/>
                <w:bCs/>
                <w:szCs w:val="21"/>
              </w:rPr>
              <w:t>安全对策措施及建议</w:t>
            </w:r>
          </w:p>
        </w:tc>
      </w:tr>
      <w:tr w14:paraId="79F7C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0DD93075">
            <w:pPr>
              <w:adjustRightInd w:val="0"/>
              <w:snapToGrid w:val="0"/>
              <w:jc w:val="center"/>
              <w:rPr>
                <w:rFonts w:ascii="Arial" w:hAnsi="Arial"/>
                <w:b w:val="0"/>
                <w:szCs w:val="21"/>
              </w:rPr>
            </w:pPr>
            <w:r>
              <w:rPr>
                <w:rFonts w:ascii="Arial" w:hAnsi="宋体"/>
                <w:b w:val="0"/>
                <w:szCs w:val="21"/>
              </w:rPr>
              <w:t>可忽视风险</w:t>
            </w:r>
          </w:p>
        </w:tc>
        <w:tc>
          <w:tcPr>
            <w:tcW w:w="7296" w:type="dxa"/>
            <w:vAlign w:val="center"/>
          </w:tcPr>
          <w:p w14:paraId="6024AC6D">
            <w:pPr>
              <w:adjustRightInd w:val="0"/>
              <w:snapToGrid w:val="0"/>
              <w:jc w:val="center"/>
              <w:rPr>
                <w:rFonts w:ascii="Arial" w:hAnsi="Arial"/>
                <w:b w:val="0"/>
                <w:szCs w:val="21"/>
              </w:rPr>
            </w:pPr>
            <w:r>
              <w:rPr>
                <w:rFonts w:ascii="Arial" w:hAnsi="宋体"/>
                <w:b w:val="0"/>
                <w:szCs w:val="21"/>
              </w:rPr>
              <w:t>无须采取措施且不必保持记录</w:t>
            </w:r>
          </w:p>
        </w:tc>
      </w:tr>
      <w:tr w14:paraId="0C1E9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32835F4B">
            <w:pPr>
              <w:adjustRightInd w:val="0"/>
              <w:snapToGrid w:val="0"/>
              <w:jc w:val="center"/>
              <w:rPr>
                <w:rFonts w:ascii="Arial" w:hAnsi="Arial"/>
                <w:b w:val="0"/>
                <w:szCs w:val="21"/>
              </w:rPr>
            </w:pPr>
            <w:r>
              <w:rPr>
                <w:rFonts w:ascii="Arial" w:hAnsi="宋体"/>
                <w:b w:val="0"/>
                <w:szCs w:val="21"/>
              </w:rPr>
              <w:t>可承受风险</w:t>
            </w:r>
          </w:p>
        </w:tc>
        <w:tc>
          <w:tcPr>
            <w:tcW w:w="7296" w:type="dxa"/>
            <w:vAlign w:val="center"/>
          </w:tcPr>
          <w:p w14:paraId="74EB90CB">
            <w:pPr>
              <w:adjustRightInd w:val="0"/>
              <w:snapToGrid w:val="0"/>
              <w:jc w:val="center"/>
              <w:rPr>
                <w:rFonts w:ascii="Arial" w:hAnsi="Arial"/>
                <w:b w:val="0"/>
                <w:szCs w:val="21"/>
              </w:rPr>
            </w:pPr>
            <w:r>
              <w:rPr>
                <w:rFonts w:ascii="Arial" w:hAnsi="宋体"/>
                <w:b w:val="0"/>
                <w:szCs w:val="21"/>
              </w:rPr>
              <w:t>不需另外的控制措施，需要监测来确保控制措施得以维持</w:t>
            </w:r>
          </w:p>
        </w:tc>
      </w:tr>
      <w:tr w14:paraId="64107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0DE17BDC">
            <w:pPr>
              <w:adjustRightInd w:val="0"/>
              <w:snapToGrid w:val="0"/>
              <w:jc w:val="center"/>
              <w:rPr>
                <w:rFonts w:ascii="Arial" w:hAnsi="Arial"/>
                <w:b w:val="0"/>
                <w:szCs w:val="21"/>
              </w:rPr>
            </w:pPr>
            <w:r>
              <w:rPr>
                <w:rFonts w:ascii="Arial" w:hAnsi="宋体"/>
                <w:b w:val="0"/>
                <w:szCs w:val="21"/>
              </w:rPr>
              <w:t>中度风险</w:t>
            </w:r>
          </w:p>
        </w:tc>
        <w:tc>
          <w:tcPr>
            <w:tcW w:w="7296" w:type="dxa"/>
            <w:vAlign w:val="center"/>
          </w:tcPr>
          <w:p w14:paraId="1E5954A1">
            <w:pPr>
              <w:adjustRightInd w:val="0"/>
              <w:snapToGrid w:val="0"/>
              <w:jc w:val="center"/>
              <w:rPr>
                <w:rFonts w:ascii="Arial" w:hAnsi="Arial"/>
                <w:b w:val="0"/>
                <w:szCs w:val="21"/>
              </w:rPr>
            </w:pPr>
            <w:r>
              <w:rPr>
                <w:rFonts w:ascii="Arial" w:hAnsi="宋体"/>
                <w:b w:val="0"/>
                <w:szCs w:val="21"/>
              </w:rPr>
              <w:t>努力降低风险，但要符合成本</w:t>
            </w:r>
            <w:r>
              <w:rPr>
                <w:rFonts w:ascii="Arial" w:hAnsi="Arial"/>
                <w:b w:val="0"/>
                <w:szCs w:val="21"/>
              </w:rPr>
              <w:t>---</w:t>
            </w:r>
            <w:r>
              <w:rPr>
                <w:rFonts w:ascii="Arial" w:hAnsi="宋体"/>
                <w:b w:val="0"/>
                <w:szCs w:val="21"/>
              </w:rPr>
              <w:t>有效性原则</w:t>
            </w:r>
          </w:p>
        </w:tc>
      </w:tr>
      <w:tr w14:paraId="6C055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66A5FB60">
            <w:pPr>
              <w:adjustRightInd w:val="0"/>
              <w:snapToGrid w:val="0"/>
              <w:jc w:val="center"/>
              <w:rPr>
                <w:rFonts w:ascii="Arial" w:hAnsi="Arial"/>
                <w:b w:val="0"/>
                <w:szCs w:val="21"/>
              </w:rPr>
            </w:pPr>
            <w:r>
              <w:rPr>
                <w:rFonts w:ascii="Arial" w:hAnsi="宋体"/>
                <w:b w:val="0"/>
                <w:szCs w:val="21"/>
              </w:rPr>
              <w:t>重大风险</w:t>
            </w:r>
          </w:p>
        </w:tc>
        <w:tc>
          <w:tcPr>
            <w:tcW w:w="7296" w:type="dxa"/>
            <w:vAlign w:val="center"/>
          </w:tcPr>
          <w:p w14:paraId="08A98FFC">
            <w:pPr>
              <w:adjustRightInd w:val="0"/>
              <w:snapToGrid w:val="0"/>
              <w:jc w:val="center"/>
              <w:rPr>
                <w:rFonts w:ascii="Arial" w:hAnsi="Arial"/>
                <w:b w:val="0"/>
                <w:szCs w:val="21"/>
              </w:rPr>
            </w:pPr>
            <w:r>
              <w:rPr>
                <w:rFonts w:ascii="Arial" w:hAnsi="宋体"/>
                <w:b w:val="0"/>
                <w:szCs w:val="21"/>
              </w:rPr>
              <w:t>紧急行动降低风险</w:t>
            </w:r>
          </w:p>
        </w:tc>
      </w:tr>
      <w:tr w14:paraId="5F75E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2074" w:type="dxa"/>
            <w:vAlign w:val="center"/>
          </w:tcPr>
          <w:p w14:paraId="25096DA4">
            <w:pPr>
              <w:adjustRightInd w:val="0"/>
              <w:snapToGrid w:val="0"/>
              <w:jc w:val="center"/>
              <w:rPr>
                <w:rFonts w:ascii="Arial" w:hAnsi="Arial"/>
                <w:b w:val="0"/>
                <w:szCs w:val="21"/>
              </w:rPr>
            </w:pPr>
            <w:r>
              <w:rPr>
                <w:rFonts w:ascii="Arial" w:hAnsi="宋体"/>
                <w:b w:val="0"/>
                <w:szCs w:val="21"/>
              </w:rPr>
              <w:t>不可承受风险</w:t>
            </w:r>
          </w:p>
        </w:tc>
        <w:tc>
          <w:tcPr>
            <w:tcW w:w="7296" w:type="dxa"/>
            <w:vAlign w:val="center"/>
          </w:tcPr>
          <w:p w14:paraId="75BFF063">
            <w:pPr>
              <w:adjustRightInd w:val="0"/>
              <w:snapToGrid w:val="0"/>
              <w:jc w:val="center"/>
              <w:rPr>
                <w:rFonts w:ascii="Arial" w:hAnsi="Arial"/>
                <w:b w:val="0"/>
                <w:szCs w:val="21"/>
              </w:rPr>
            </w:pPr>
            <w:r>
              <w:rPr>
                <w:rFonts w:ascii="Arial" w:hAnsi="宋体"/>
                <w:b w:val="0"/>
                <w:szCs w:val="21"/>
              </w:rPr>
              <w:t>只有当风险已降低时，才能开始或继续工作，为降低危险不限成本。若即使以无限资源投入也不能降低风险，应停止工作。</w:t>
            </w:r>
          </w:p>
        </w:tc>
      </w:tr>
    </w:tbl>
    <w:p w14:paraId="4A4DFA08">
      <w:pPr>
        <w:spacing w:before="120" w:beforeLines="50" w:line="360" w:lineRule="auto"/>
        <w:ind w:firstLine="560" w:firstLineChars="200"/>
        <w:rPr>
          <w:rFonts w:ascii="Times New Roman" w:hAnsi="Times New Roman"/>
          <w:b w:val="0"/>
          <w:sz w:val="28"/>
        </w:rPr>
      </w:pPr>
      <w:r>
        <w:rPr>
          <w:rFonts w:ascii="Times New Roman" w:hAnsi="Times New Roman"/>
          <w:b w:val="0"/>
          <w:sz w:val="28"/>
        </w:rPr>
        <w:t>选择风险控制措施时的优先顺序：</w:t>
      </w:r>
      <w:r>
        <w:rPr>
          <w:rFonts w:hint="eastAsia" w:ascii="Times New Roman" w:hAnsi="Times New Roman"/>
          <w:b w:val="0"/>
          <w:sz w:val="28"/>
        </w:rPr>
        <w:t>消除危害→降低风险→个体防护。</w:t>
      </w:r>
    </w:p>
    <w:p w14:paraId="2C7DD814">
      <w:pPr>
        <w:keepNext/>
        <w:keepLines/>
        <w:spacing w:before="120" w:beforeLines="50" w:line="360" w:lineRule="auto"/>
        <w:outlineLvl w:val="1"/>
        <w:rPr>
          <w:rFonts w:ascii="黑体" w:hAnsi="宋体" w:eastAsia="黑体"/>
          <w:b w:val="0"/>
          <w:bCs/>
          <w:snapToGrid w:val="0"/>
          <w:sz w:val="30"/>
          <w:szCs w:val="30"/>
        </w:rPr>
      </w:pPr>
      <w:bookmarkStart w:id="549" w:name="_Toc239191527"/>
      <w:r>
        <w:rPr>
          <w:rFonts w:hint="eastAsia" w:ascii="黑体" w:hAnsi="宋体" w:eastAsia="黑体"/>
          <w:b w:val="0"/>
          <w:bCs/>
          <w:snapToGrid w:val="0"/>
          <w:sz w:val="30"/>
          <w:szCs w:val="30"/>
        </w:rPr>
        <w:t>6.3安全对策措施</w:t>
      </w:r>
      <w:bookmarkEnd w:id="548"/>
      <w:r>
        <w:rPr>
          <w:rFonts w:hint="eastAsia" w:ascii="黑体" w:hAnsi="宋体" w:eastAsia="黑体"/>
          <w:b w:val="0"/>
          <w:bCs/>
          <w:snapToGrid w:val="0"/>
          <w:sz w:val="30"/>
          <w:szCs w:val="30"/>
        </w:rPr>
        <w:t>建议</w:t>
      </w:r>
      <w:bookmarkEnd w:id="549"/>
    </w:p>
    <w:p w14:paraId="72D74291">
      <w:pPr>
        <w:spacing w:line="360" w:lineRule="auto"/>
        <w:ind w:firstLine="560" w:firstLineChars="200"/>
        <w:rPr>
          <w:rFonts w:ascii="宋体" w:hAnsi="宋体" w:cs="宋体"/>
          <w:b w:val="0"/>
          <w:sz w:val="28"/>
          <w:szCs w:val="28"/>
        </w:rPr>
      </w:pPr>
      <w:bookmarkStart w:id="550" w:name="_Toc233449816"/>
      <w:bookmarkStart w:id="551" w:name="_Toc165038836"/>
      <w:r>
        <w:rPr>
          <w:rFonts w:hint="eastAsia" w:ascii="宋体" w:hAnsi="宋体" w:cs="宋体"/>
          <w:b w:val="0"/>
          <w:sz w:val="28"/>
          <w:szCs w:val="28"/>
        </w:rPr>
        <w:t>为降低本项目燃烧、爆炸事故发生的概率，针对项目施工设计、建设和使用全过程，本报告从十四个方面提出如下安全对策措施建议。</w:t>
      </w:r>
    </w:p>
    <w:p w14:paraId="4721A392">
      <w:pPr>
        <w:pStyle w:val="7"/>
        <w:rPr>
          <w:rFonts w:ascii="黑体" w:hAnsi="黑体" w:eastAsia="黑体" w:cs="宋体"/>
          <w:b w:val="0"/>
          <w:szCs w:val="28"/>
        </w:rPr>
      </w:pPr>
      <w:r>
        <w:rPr>
          <w:rFonts w:hint="eastAsia" w:ascii="黑体" w:hAnsi="黑体" w:eastAsia="黑体" w:cs="宋体"/>
          <w:b w:val="0"/>
          <w:szCs w:val="28"/>
        </w:rPr>
        <w:t>6.3.1工程设计与建设方面</w:t>
      </w:r>
    </w:p>
    <w:p w14:paraId="708CEB48">
      <w:pPr>
        <w:spacing w:line="360" w:lineRule="auto"/>
        <w:ind w:firstLine="560" w:firstLineChars="200"/>
        <w:rPr>
          <w:rFonts w:ascii="宋体" w:hAnsi="宋体"/>
          <w:b w:val="0"/>
          <w:bCs/>
          <w:sz w:val="28"/>
          <w:szCs w:val="28"/>
        </w:rPr>
      </w:pPr>
      <w:r>
        <w:rPr>
          <w:rFonts w:hint="eastAsia" w:ascii="宋体" w:hAnsi="宋体"/>
          <w:b w:val="0"/>
          <w:bCs/>
          <w:sz w:val="28"/>
          <w:szCs w:val="28"/>
        </w:rPr>
        <w:t>1、应按照本报告所提出的对策措施，补充完善该扩建项目的不足之处；</w:t>
      </w:r>
    </w:p>
    <w:p w14:paraId="692B21CA">
      <w:pPr>
        <w:pStyle w:val="2"/>
        <w:ind w:firstLine="560"/>
        <w:rPr>
          <w:rFonts w:asciiTheme="minorEastAsia" w:hAnsiTheme="minorEastAsia" w:eastAsiaTheme="minorEastAsia"/>
          <w:b w:val="0"/>
          <w:bCs/>
        </w:rPr>
      </w:pPr>
      <w:r>
        <w:rPr>
          <w:rFonts w:hint="eastAsia" w:asciiTheme="minorEastAsia" w:hAnsiTheme="minorEastAsia" w:eastAsiaTheme="minorEastAsia"/>
          <w:b w:val="0"/>
          <w:bCs/>
        </w:rPr>
        <w:t>2、湖南金帝烟花爆竹制造有限公司委托具备相应资质的设计单位（大连市化工设计院有限公司）应按照《烟花爆竹工程设计安全标准》（G</w:t>
      </w:r>
      <w:r>
        <w:rPr>
          <w:rFonts w:asciiTheme="minorEastAsia" w:hAnsiTheme="minorEastAsia" w:eastAsiaTheme="minorEastAsia"/>
          <w:b w:val="0"/>
          <w:bCs/>
        </w:rPr>
        <w:t>B50161-2022</w:t>
      </w:r>
      <w:r>
        <w:rPr>
          <w:rFonts w:hint="eastAsia" w:asciiTheme="minorEastAsia" w:hAnsiTheme="minorEastAsia" w:eastAsiaTheme="minorEastAsia"/>
          <w:b w:val="0"/>
          <w:bCs/>
        </w:rPr>
        <w:t>）、《烟花爆竹工程设计安全审查规范》（A</w:t>
      </w:r>
      <w:r>
        <w:rPr>
          <w:rFonts w:asciiTheme="minorEastAsia" w:hAnsiTheme="minorEastAsia" w:eastAsiaTheme="minorEastAsia"/>
          <w:b w:val="0"/>
          <w:bCs/>
        </w:rPr>
        <w:t>Q4126-2018</w:t>
      </w:r>
      <w:r>
        <w:rPr>
          <w:rFonts w:hint="eastAsia" w:asciiTheme="minorEastAsia" w:hAnsiTheme="minorEastAsia" w:eastAsiaTheme="minorEastAsia"/>
          <w:b w:val="0"/>
          <w:bCs/>
        </w:rPr>
        <w:t>）等有关标准要求，进行该扩建项目的初步设计，编制安全设施设计并经审查合格；完成厂区土建、电气线路及照明、给排水、道路、消防、防雷及防静电、风险预警与防控系统等专业的工程设计。</w:t>
      </w:r>
    </w:p>
    <w:p w14:paraId="36BC2D4E">
      <w:pPr>
        <w:spacing w:line="360" w:lineRule="auto"/>
        <w:ind w:firstLine="560" w:firstLineChars="200"/>
        <w:rPr>
          <w:rFonts w:ascii="宋体" w:hAnsi="宋体"/>
          <w:b w:val="0"/>
          <w:bCs/>
          <w:sz w:val="28"/>
        </w:rPr>
      </w:pPr>
      <w:r>
        <w:rPr>
          <w:rFonts w:hint="eastAsia" w:ascii="宋体" w:hAnsi="宋体"/>
          <w:b w:val="0"/>
          <w:bCs/>
          <w:sz w:val="28"/>
        </w:rPr>
        <w:t>3、设计中一定要注意拟建场地的地质条件，采取合理措施，防止地质危害和地质灾害的发生。特提出以下对策措施建议：</w:t>
      </w:r>
    </w:p>
    <w:p w14:paraId="6C22EAE4">
      <w:pPr>
        <w:spacing w:line="360" w:lineRule="auto"/>
        <w:ind w:firstLine="560" w:firstLineChars="200"/>
        <w:rPr>
          <w:rFonts w:ascii="宋体" w:hAnsi="宋体"/>
          <w:b w:val="0"/>
          <w:bCs/>
          <w:sz w:val="28"/>
        </w:rPr>
      </w:pPr>
      <w:r>
        <w:rPr>
          <w:rFonts w:hint="eastAsia" w:ascii="宋体" w:hAnsi="宋体"/>
          <w:b w:val="0"/>
          <w:bCs/>
          <w:sz w:val="28"/>
        </w:rPr>
        <w:t>本工程设计时，应注意以下地质条件：</w:t>
      </w:r>
    </w:p>
    <w:p w14:paraId="129A19B4">
      <w:pPr>
        <w:spacing w:line="360" w:lineRule="auto"/>
        <w:ind w:firstLine="560" w:firstLineChars="200"/>
        <w:rPr>
          <w:rFonts w:ascii="宋体" w:hAnsi="宋体"/>
          <w:b w:val="0"/>
          <w:bCs/>
          <w:sz w:val="28"/>
        </w:rPr>
      </w:pPr>
      <w:r>
        <w:rPr>
          <w:rFonts w:hint="eastAsia" w:ascii="宋体" w:hAnsi="宋体"/>
          <w:b w:val="0"/>
          <w:bCs/>
          <w:sz w:val="28"/>
        </w:rPr>
        <w:t>（1）有无影响场地稳定性的不良地质条件及其危害程度；</w:t>
      </w:r>
    </w:p>
    <w:p w14:paraId="3CD8BF05">
      <w:pPr>
        <w:spacing w:line="360" w:lineRule="auto"/>
        <w:ind w:firstLine="560" w:firstLineChars="200"/>
        <w:rPr>
          <w:rFonts w:ascii="宋体" w:hAnsi="宋体"/>
          <w:b w:val="0"/>
          <w:bCs/>
          <w:sz w:val="28"/>
        </w:rPr>
      </w:pPr>
      <w:r>
        <w:rPr>
          <w:rFonts w:hint="eastAsia" w:ascii="宋体" w:hAnsi="宋体"/>
          <w:b w:val="0"/>
          <w:bCs/>
          <w:sz w:val="28"/>
        </w:rPr>
        <w:t>（2）场地范围内的地层结构及其均匀性，以及各岩土层的物理力学性质；</w:t>
      </w:r>
    </w:p>
    <w:p w14:paraId="6224F83C">
      <w:pPr>
        <w:spacing w:line="360" w:lineRule="auto"/>
        <w:ind w:firstLine="560" w:firstLineChars="200"/>
        <w:rPr>
          <w:rFonts w:ascii="宋体" w:hAnsi="宋体"/>
          <w:b w:val="0"/>
          <w:bCs/>
          <w:sz w:val="28"/>
        </w:rPr>
      </w:pPr>
      <w:r>
        <w:rPr>
          <w:rFonts w:hint="eastAsia" w:ascii="宋体" w:hAnsi="宋体"/>
          <w:b w:val="0"/>
          <w:bCs/>
          <w:sz w:val="28"/>
        </w:rPr>
        <w:t>（3）地下水埋藏情况，类型和水位变化幅度及规律，以及对建筑材料的腐蚀性；</w:t>
      </w:r>
    </w:p>
    <w:p w14:paraId="3F53F255">
      <w:pPr>
        <w:spacing w:line="360" w:lineRule="auto"/>
        <w:ind w:firstLine="560" w:firstLineChars="200"/>
        <w:rPr>
          <w:rFonts w:ascii="宋体" w:hAnsi="宋体"/>
          <w:b w:val="0"/>
          <w:bCs/>
          <w:sz w:val="28"/>
        </w:rPr>
      </w:pPr>
      <w:r>
        <w:rPr>
          <w:rFonts w:hint="eastAsia" w:ascii="宋体" w:hAnsi="宋体"/>
          <w:b w:val="0"/>
          <w:bCs/>
          <w:sz w:val="28"/>
        </w:rPr>
        <w:t>（4）在抗震设防区应划分场地土类型和场地类别，并对饱和砂土及粉土进行液化判别；</w:t>
      </w:r>
    </w:p>
    <w:p w14:paraId="12848D3C">
      <w:pPr>
        <w:spacing w:line="360" w:lineRule="auto"/>
        <w:ind w:firstLine="560" w:firstLineChars="200"/>
        <w:rPr>
          <w:rFonts w:ascii="宋体" w:hAnsi="宋体"/>
          <w:b w:val="0"/>
          <w:bCs/>
          <w:sz w:val="28"/>
        </w:rPr>
      </w:pPr>
      <w:r>
        <w:rPr>
          <w:rFonts w:hint="eastAsia" w:ascii="宋体" w:hAnsi="宋体"/>
          <w:b w:val="0"/>
          <w:bCs/>
          <w:sz w:val="28"/>
        </w:rPr>
        <w:t>（5）对可供采用的地基基础设计方案进行论证分析，提出经济合理的设计方案建议；提供与设计要求相对应的地基承载力及变形计算参数，并对设计与施工应注意的问题提出建议；</w:t>
      </w:r>
    </w:p>
    <w:p w14:paraId="022AEEEC">
      <w:pPr>
        <w:spacing w:line="360" w:lineRule="auto"/>
        <w:ind w:firstLine="560" w:firstLineChars="200"/>
        <w:rPr>
          <w:rFonts w:ascii="宋体" w:hAnsi="宋体"/>
          <w:b w:val="0"/>
          <w:bCs/>
          <w:sz w:val="28"/>
        </w:rPr>
      </w:pPr>
      <w:r>
        <w:rPr>
          <w:rFonts w:hint="eastAsia" w:ascii="宋体" w:hAnsi="宋体"/>
          <w:b w:val="0"/>
          <w:bCs/>
          <w:sz w:val="28"/>
        </w:rPr>
        <w:t>（6）土壤电阻率；</w:t>
      </w:r>
    </w:p>
    <w:p w14:paraId="441C8915">
      <w:pPr>
        <w:spacing w:line="360" w:lineRule="auto"/>
        <w:ind w:firstLine="560" w:firstLineChars="200"/>
        <w:rPr>
          <w:rFonts w:ascii="宋体" w:hAnsi="宋体"/>
          <w:b w:val="0"/>
          <w:bCs/>
          <w:sz w:val="28"/>
        </w:rPr>
      </w:pPr>
      <w:r>
        <w:rPr>
          <w:rFonts w:hint="eastAsia" w:ascii="宋体" w:hAnsi="宋体"/>
          <w:b w:val="0"/>
          <w:bCs/>
          <w:sz w:val="28"/>
        </w:rPr>
        <w:t>（7）地基土冻胀性、湿陷性、膨胀性、腐蚀性评价；</w:t>
      </w:r>
    </w:p>
    <w:p w14:paraId="15C3D110">
      <w:pPr>
        <w:pStyle w:val="2"/>
        <w:ind w:firstLine="560"/>
        <w:rPr>
          <w:rFonts w:ascii="宋体" w:hAnsi="宋体" w:eastAsia="宋体"/>
          <w:b w:val="0"/>
          <w:bCs/>
          <w:kern w:val="2"/>
          <w:szCs w:val="24"/>
        </w:rPr>
      </w:pPr>
      <w:r>
        <w:rPr>
          <w:rFonts w:hint="eastAsia" w:ascii="宋体" w:hAnsi="宋体" w:eastAsia="宋体"/>
          <w:b w:val="0"/>
          <w:bCs/>
          <w:kern w:val="2"/>
          <w:szCs w:val="24"/>
        </w:rPr>
        <w:t>（8）山体滑坡和地基土沉降或不均匀沉降：该项目工房、仓储场所地处小丘陵地带，在土质较松散、边坡不稳或遇有连续大暴雨、冰冻的情况下，有可能发生山体滑坡冲毁工库房，进而可能导致黑火药爆炸事故。所以应做好安全管理工作，加强对边坡监控、巡查、加固等防范措施。</w:t>
      </w:r>
    </w:p>
    <w:p w14:paraId="1438028B">
      <w:pPr>
        <w:pStyle w:val="2"/>
        <w:ind w:firstLine="560"/>
        <w:rPr>
          <w:rFonts w:asciiTheme="minorEastAsia" w:hAnsiTheme="minorEastAsia" w:eastAsiaTheme="minorEastAsia"/>
          <w:b w:val="0"/>
          <w:bCs/>
        </w:rPr>
      </w:pPr>
      <w:r>
        <w:rPr>
          <w:rFonts w:hint="eastAsia" w:asciiTheme="minorEastAsia" w:hAnsiTheme="minorEastAsia" w:eastAsiaTheme="minorEastAsia"/>
          <w:b w:val="0"/>
          <w:bCs/>
        </w:rPr>
        <w:t>4、待工程设计完成并通过评审后，湖南金帝烟花爆竹制造有限公司应组织具有相应建筑施工资质的单位进行施工，并督促施工单位严格按设计文件和设计要求施工。项目建设完成后，应按《烟花爆竹工程竣工验收规范》（A</w:t>
      </w:r>
      <w:r>
        <w:rPr>
          <w:rFonts w:asciiTheme="minorEastAsia" w:hAnsiTheme="minorEastAsia" w:eastAsiaTheme="minorEastAsia"/>
          <w:b w:val="0"/>
          <w:bCs/>
        </w:rPr>
        <w:t>Q4127-2026</w:t>
      </w:r>
      <w:r>
        <w:rPr>
          <w:rFonts w:hint="eastAsia" w:asciiTheme="minorEastAsia" w:hAnsiTheme="minorEastAsia" w:eastAsiaTheme="minorEastAsia"/>
          <w:b w:val="0"/>
          <w:bCs/>
        </w:rPr>
        <w:t>）的规定由建设单位会同施工单位、设计单位、安全评价机构等相关人员进行竣工验收，出具工程竣工验收报告并到当地政府主管部门完成工程建设备案手续；建设单位应委托有关部门、单位完成防雷、防静电、消防、风险预警与防控系统等单项工程验收并出具验收报告。</w:t>
      </w:r>
    </w:p>
    <w:p w14:paraId="43C65D05">
      <w:pPr>
        <w:pStyle w:val="2"/>
        <w:ind w:firstLine="560"/>
        <w:rPr>
          <w:rFonts w:ascii="宋体" w:hAnsi="宋体"/>
          <w:b w:val="0"/>
          <w:bCs/>
        </w:rPr>
      </w:pPr>
      <w:r>
        <w:rPr>
          <w:rFonts w:asciiTheme="minorEastAsia" w:hAnsiTheme="minorEastAsia" w:eastAsiaTheme="minorEastAsia"/>
          <w:b w:val="0"/>
          <w:bCs/>
        </w:rPr>
        <w:t>5</w:t>
      </w:r>
      <w:r>
        <w:rPr>
          <w:rFonts w:hint="eastAsia" w:asciiTheme="minorEastAsia" w:hAnsiTheme="minorEastAsia" w:eastAsiaTheme="minorEastAsia"/>
          <w:b w:val="0"/>
          <w:bCs/>
        </w:rPr>
        <w:t>、在项目建设过程中，有关方应严格安全管理，严格施工质量控制，保证施工安全和质量，建设方应与施工方签订安全管理协议，明确落实施工期间各方的安全责任。</w:t>
      </w:r>
    </w:p>
    <w:p w14:paraId="2BEB7072">
      <w:pPr>
        <w:spacing w:line="360" w:lineRule="auto"/>
        <w:ind w:firstLine="560" w:firstLineChars="200"/>
        <w:rPr>
          <w:rFonts w:ascii="宋体" w:hAnsi="宋体"/>
          <w:b w:val="0"/>
          <w:bCs/>
          <w:sz w:val="28"/>
        </w:rPr>
      </w:pPr>
      <w:r>
        <w:rPr>
          <w:rFonts w:ascii="宋体" w:hAnsi="宋体"/>
          <w:b w:val="0"/>
          <w:bCs/>
          <w:sz w:val="28"/>
        </w:rPr>
        <w:t>6</w:t>
      </w:r>
      <w:r>
        <w:rPr>
          <w:rFonts w:hint="eastAsia" w:ascii="宋体" w:hAnsi="宋体"/>
          <w:b w:val="0"/>
          <w:bCs/>
          <w:sz w:val="28"/>
        </w:rPr>
        <w:t>、项目建设完成，并完成各种单项验收后，应委托具有符合要求资质的安全评价单位完成安全验收评价，并按要求组织项目验收，该扩建项目未按要求完成验收、备案手续则不得启用。</w:t>
      </w:r>
    </w:p>
    <w:p w14:paraId="024580E9">
      <w:pPr>
        <w:pStyle w:val="2"/>
        <w:ind w:firstLine="560"/>
        <w:rPr>
          <w:rFonts w:asciiTheme="minorEastAsia" w:hAnsiTheme="minorEastAsia" w:eastAsiaTheme="minorEastAsia"/>
          <w:b w:val="0"/>
          <w:bCs/>
        </w:rPr>
      </w:pPr>
      <w:r>
        <w:rPr>
          <w:rFonts w:asciiTheme="minorEastAsia" w:hAnsiTheme="minorEastAsia" w:eastAsiaTheme="minorEastAsia"/>
          <w:b w:val="0"/>
          <w:bCs/>
        </w:rPr>
        <w:t>7</w:t>
      </w:r>
      <w:r>
        <w:rPr>
          <w:rFonts w:hint="eastAsia" w:asciiTheme="minorEastAsia" w:hAnsiTheme="minorEastAsia" w:eastAsiaTheme="minorEastAsia"/>
          <w:b w:val="0"/>
          <w:bCs/>
        </w:rPr>
        <w:t>、在施工设计与建设工程中应严格落实建设项目安全设施“三同时”。</w:t>
      </w:r>
    </w:p>
    <w:p w14:paraId="3F6F26AA">
      <w:pPr>
        <w:pStyle w:val="2"/>
        <w:ind w:firstLine="560"/>
        <w:rPr>
          <w:rFonts w:asciiTheme="minorEastAsia" w:hAnsiTheme="minorEastAsia" w:eastAsiaTheme="minorEastAsia"/>
          <w:b w:val="0"/>
          <w:bCs/>
        </w:rPr>
      </w:pPr>
      <w:r>
        <w:rPr>
          <w:rFonts w:asciiTheme="minorEastAsia" w:hAnsiTheme="minorEastAsia" w:eastAsiaTheme="minorEastAsia"/>
          <w:b w:val="0"/>
          <w:bCs/>
        </w:rPr>
        <w:t>8</w:t>
      </w:r>
      <w:r>
        <w:rPr>
          <w:rFonts w:hint="eastAsia" w:asciiTheme="minorEastAsia" w:hAnsiTheme="minorEastAsia" w:eastAsiaTheme="minorEastAsia"/>
          <w:b w:val="0"/>
          <w:bCs/>
        </w:rPr>
        <w:t>、湖南金帝烟花爆竹制造有限公司泉水工区扩建项目建设完成后，应按《烟花爆竹生产企业安全生产许可证实施办法》等相关规定申请办理安全生产许可证，取得安全生产许可证后方可从事黑火药生产。</w:t>
      </w:r>
    </w:p>
    <w:p w14:paraId="262B0E32">
      <w:pPr>
        <w:pStyle w:val="7"/>
        <w:jc w:val="both"/>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.3.2</w:t>
      </w:r>
      <w:r>
        <w:rPr>
          <w:rFonts w:hint="eastAsia" w:ascii="黑体" w:hAnsi="黑体" w:eastAsia="黑体" w:cs="宋体"/>
          <w:b w:val="0"/>
          <w:szCs w:val="28"/>
        </w:rPr>
        <w:t>总平面布置方面</w:t>
      </w:r>
    </w:p>
    <w:p w14:paraId="5CCC54C0">
      <w:pPr>
        <w:spacing w:line="360" w:lineRule="auto"/>
        <w:ind w:firstLine="560" w:firstLineChars="200"/>
        <w:rPr>
          <w:rFonts w:ascii="宋体" w:hAnsi="宋体"/>
          <w:b w:val="0"/>
          <w:bCs/>
          <w:sz w:val="28"/>
          <w:szCs w:val="28"/>
        </w:rPr>
      </w:pPr>
      <w:r>
        <w:rPr>
          <w:rFonts w:hint="eastAsia" w:ascii="宋体" w:hAnsi="宋体"/>
          <w:b w:val="0"/>
          <w:bCs/>
          <w:sz w:val="28"/>
          <w:szCs w:val="28"/>
        </w:rPr>
        <w:t>1、在正式进行设计时，应严格执行《烟花爆竹工程设计安全标准》（G</w:t>
      </w:r>
      <w:r>
        <w:rPr>
          <w:rFonts w:ascii="宋体" w:hAnsi="宋体"/>
          <w:b w:val="0"/>
          <w:bCs/>
          <w:sz w:val="28"/>
          <w:szCs w:val="28"/>
        </w:rPr>
        <w:t>B50161-2022</w:t>
      </w:r>
      <w:r>
        <w:rPr>
          <w:rFonts w:hint="eastAsia" w:ascii="宋体" w:hAnsi="宋体"/>
          <w:b w:val="0"/>
          <w:bCs/>
          <w:sz w:val="28"/>
          <w:szCs w:val="28"/>
        </w:rPr>
        <w:t>）的标准要求。</w:t>
      </w:r>
    </w:p>
    <w:p w14:paraId="25DC399F">
      <w:pPr>
        <w:spacing w:line="360" w:lineRule="auto"/>
        <w:ind w:firstLine="560" w:firstLineChars="200"/>
        <w:rPr>
          <w:rFonts w:ascii="宋体" w:hAnsi="宋体"/>
          <w:b w:val="0"/>
          <w:bCs/>
          <w:sz w:val="28"/>
          <w:szCs w:val="28"/>
        </w:rPr>
      </w:pPr>
      <w:r>
        <w:rPr>
          <w:rFonts w:ascii="宋体" w:hAnsi="宋体"/>
          <w:b w:val="0"/>
          <w:bCs/>
          <w:sz w:val="28"/>
          <w:szCs w:val="28"/>
        </w:rPr>
        <w:t>2</w:t>
      </w:r>
      <w:r>
        <w:rPr>
          <w:rFonts w:hint="eastAsia" w:ascii="宋体" w:hAnsi="宋体"/>
          <w:b w:val="0"/>
          <w:bCs/>
          <w:sz w:val="28"/>
          <w:szCs w:val="28"/>
        </w:rPr>
        <w:t>、危险品生产区的总平面布置应根据黑火药（粒状、粉状）工艺特性分别建立生产线，并宜做到分小区布置；应满足生产工艺流程顺畅及生产能力匹配的要求，宜避免危险品的往返和交叉运输；粉尘污染比较大的厂房应布置在厂区的边缘地带，且宜布置在厂区全年最小频率风向的上风侧；危险品厂房靠山布置时，距山脚不宜小于3</w:t>
      </w:r>
      <w:r>
        <w:rPr>
          <w:rFonts w:ascii="宋体" w:hAnsi="宋体"/>
          <w:b w:val="0"/>
          <w:bCs/>
          <w:sz w:val="28"/>
          <w:szCs w:val="28"/>
        </w:rPr>
        <w:t>m</w:t>
      </w:r>
      <w:r>
        <w:rPr>
          <w:rFonts w:hint="eastAsia" w:ascii="宋体" w:hAnsi="宋体"/>
          <w:b w:val="0"/>
          <w:bCs/>
          <w:sz w:val="28"/>
          <w:szCs w:val="28"/>
        </w:rPr>
        <w:t>；当危险品生产厂房布置在山凹中时，应利于人员的安全疏散和有害气体的扩散。</w:t>
      </w:r>
    </w:p>
    <w:p w14:paraId="0C9B4382">
      <w:pPr>
        <w:pStyle w:val="2"/>
        <w:ind w:firstLine="560"/>
        <w:rPr>
          <w:rFonts w:ascii="宋体" w:hAnsi="宋体" w:eastAsia="宋体"/>
          <w:b w:val="0"/>
          <w:bCs/>
        </w:rPr>
      </w:pPr>
      <w:r>
        <w:rPr>
          <w:rFonts w:ascii="宋体" w:hAnsi="宋体" w:eastAsia="宋体"/>
          <w:b w:val="0"/>
          <w:bCs/>
        </w:rPr>
        <w:t>3</w:t>
      </w:r>
      <w:r>
        <w:rPr>
          <w:rFonts w:hint="eastAsia" w:ascii="宋体" w:hAnsi="宋体" w:eastAsia="宋体"/>
          <w:b w:val="0"/>
          <w:bCs/>
        </w:rPr>
        <w:t>、化工原材料库、黑火药库宜分区布置；同一危险等级的仓库宜集中布置，计算药量大或危险性大的仓库宜布置在总仓库区的边缘或其他有利于安全的地形处。</w:t>
      </w:r>
    </w:p>
    <w:p w14:paraId="3B79954A">
      <w:pPr>
        <w:pStyle w:val="2"/>
        <w:ind w:firstLine="560"/>
        <w:rPr>
          <w:rFonts w:ascii="宋体" w:hAnsi="宋体" w:eastAsia="宋体"/>
          <w:b w:val="0"/>
          <w:bCs/>
        </w:rPr>
      </w:pPr>
      <w:r>
        <w:rPr>
          <w:rFonts w:hint="eastAsia" w:ascii="宋体" w:hAnsi="宋体" w:eastAsia="宋体"/>
          <w:b w:val="0"/>
          <w:bCs/>
        </w:rPr>
        <w:t>4、危险品总仓库区内应设置门卫值班室，不宜设置其他辅助用室。</w:t>
      </w:r>
    </w:p>
    <w:p w14:paraId="4261012A">
      <w:pPr>
        <w:pStyle w:val="2"/>
        <w:ind w:firstLine="560"/>
        <w:rPr>
          <w:rFonts w:ascii="宋体" w:hAnsi="宋体" w:eastAsia="宋体"/>
          <w:b w:val="0"/>
          <w:bCs/>
        </w:rPr>
      </w:pPr>
      <w:r>
        <w:rPr>
          <w:rFonts w:hint="eastAsia" w:ascii="宋体" w:hAnsi="宋体" w:eastAsia="宋体"/>
          <w:b w:val="0"/>
          <w:bCs/>
        </w:rPr>
        <w:t>5、危险品生产区和危险品总仓库区应设置高度不低于2</w:t>
      </w:r>
      <w:r>
        <w:rPr>
          <w:rFonts w:ascii="宋体" w:hAnsi="宋体" w:eastAsia="宋体"/>
          <w:b w:val="0"/>
          <w:bCs/>
        </w:rPr>
        <w:t>m</w:t>
      </w:r>
      <w:r>
        <w:rPr>
          <w:rFonts w:hint="eastAsia" w:ascii="宋体" w:hAnsi="宋体" w:eastAsia="宋体"/>
          <w:b w:val="0"/>
          <w:bCs/>
        </w:rPr>
        <w:t>的密砌围墙，特殊地形设置密砌围墙有困难时，可设刺丝网围墙；围墙与危险性工库房的距离不应小于5</w:t>
      </w:r>
      <w:r>
        <w:rPr>
          <w:rFonts w:ascii="宋体" w:hAnsi="宋体" w:eastAsia="宋体"/>
          <w:b w:val="0"/>
          <w:bCs/>
        </w:rPr>
        <w:t>m</w:t>
      </w:r>
      <w:r>
        <w:rPr>
          <w:rFonts w:hint="eastAsia" w:ascii="宋体" w:hAnsi="宋体" w:eastAsia="宋体"/>
          <w:b w:val="0"/>
          <w:bCs/>
        </w:rPr>
        <w:t>，宜不小于1</w:t>
      </w:r>
      <w:r>
        <w:rPr>
          <w:rFonts w:ascii="宋体" w:hAnsi="宋体" w:eastAsia="宋体"/>
          <w:b w:val="0"/>
          <w:bCs/>
        </w:rPr>
        <w:t>2m</w:t>
      </w:r>
      <w:r>
        <w:rPr>
          <w:rFonts w:hint="eastAsia" w:ascii="宋体" w:hAnsi="宋体" w:eastAsia="宋体"/>
          <w:b w:val="0"/>
          <w:bCs/>
        </w:rPr>
        <w:t>。</w:t>
      </w:r>
    </w:p>
    <w:p w14:paraId="1E767476">
      <w:pPr>
        <w:pStyle w:val="2"/>
        <w:ind w:firstLine="560"/>
        <w:rPr>
          <w:rFonts w:ascii="宋体" w:hAnsi="宋体" w:eastAsia="宋体"/>
          <w:b w:val="0"/>
          <w:bCs/>
        </w:rPr>
      </w:pPr>
      <w:r>
        <w:rPr>
          <w:rFonts w:hint="eastAsia" w:ascii="宋体" w:hAnsi="宋体" w:eastAsia="宋体"/>
          <w:b w:val="0"/>
          <w:bCs/>
        </w:rPr>
        <w:t>6、危险品生产区和危险品总仓库区的绿化，宜种植阔叶树，不宜种植针叶树或竹林，不应种植庄稼、蔬菜。</w:t>
      </w:r>
    </w:p>
    <w:p w14:paraId="415EA24B">
      <w:pPr>
        <w:pStyle w:val="2"/>
        <w:ind w:firstLine="560"/>
        <w:rPr>
          <w:rFonts w:ascii="宋体" w:hAnsi="宋体" w:eastAsia="宋体"/>
          <w:b w:val="0"/>
          <w:bCs/>
        </w:rPr>
      </w:pPr>
      <w:r>
        <w:rPr>
          <w:rFonts w:hint="eastAsia" w:ascii="宋体" w:hAnsi="宋体" w:eastAsia="宋体"/>
          <w:b w:val="0"/>
          <w:bCs/>
        </w:rPr>
        <w:t>7、在距离危险性建（构）筑物外墙四周5</w:t>
      </w:r>
      <w:r>
        <w:rPr>
          <w:rFonts w:ascii="宋体" w:hAnsi="宋体" w:eastAsia="宋体"/>
          <w:b w:val="0"/>
          <w:bCs/>
        </w:rPr>
        <w:t>m</w:t>
      </w:r>
      <w:r>
        <w:rPr>
          <w:rFonts w:hint="eastAsia" w:ascii="宋体" w:hAnsi="宋体" w:eastAsia="宋体"/>
          <w:b w:val="0"/>
          <w:bCs/>
        </w:rPr>
        <w:t>范围内宜设置防火隔离带。</w:t>
      </w:r>
    </w:p>
    <w:p w14:paraId="6684DF66">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.3.3</w:t>
      </w:r>
      <w:r>
        <w:rPr>
          <w:rFonts w:hint="eastAsia" w:ascii="黑体" w:hAnsi="黑体" w:eastAsia="黑体" w:cs="宋体"/>
          <w:b w:val="0"/>
          <w:szCs w:val="28"/>
        </w:rPr>
        <w:t>危险等级划分及定员定量</w:t>
      </w:r>
    </w:p>
    <w:p w14:paraId="127B4930">
      <w:pPr>
        <w:spacing w:line="360" w:lineRule="auto"/>
        <w:ind w:firstLine="560" w:firstLineChars="200"/>
        <w:rPr>
          <w:rFonts w:ascii="宋体" w:hAnsi="宋体"/>
          <w:b w:val="0"/>
          <w:bCs/>
          <w:sz w:val="28"/>
          <w:szCs w:val="28"/>
        </w:rPr>
      </w:pPr>
      <w:r>
        <w:rPr>
          <w:rFonts w:hint="eastAsia" w:ascii="宋体" w:hAnsi="宋体"/>
          <w:b w:val="0"/>
          <w:bCs/>
          <w:sz w:val="28"/>
          <w:szCs w:val="28"/>
        </w:rPr>
        <w:t>湖南金帝烟花爆竹制造有限公司泉水工区扩建项目，建成后拟申请生产：黑火药（粒状）、黑火药（粉状）。</w:t>
      </w:r>
    </w:p>
    <w:p w14:paraId="1EB376F4">
      <w:pPr>
        <w:pStyle w:val="2"/>
        <w:ind w:firstLine="560"/>
        <w:rPr>
          <w:rFonts w:asciiTheme="minorEastAsia" w:hAnsiTheme="minorEastAsia" w:eastAsiaTheme="minorEastAsia"/>
          <w:b w:val="0"/>
          <w:bCs/>
        </w:rPr>
      </w:pPr>
      <w:r>
        <w:rPr>
          <w:rFonts w:asciiTheme="minorEastAsia" w:hAnsiTheme="minorEastAsia" w:eastAsiaTheme="minorEastAsia"/>
          <w:b w:val="0"/>
          <w:bCs/>
        </w:rPr>
        <w:t>1</w:t>
      </w:r>
      <w:r>
        <w:rPr>
          <w:rFonts w:hint="eastAsia" w:asciiTheme="minorEastAsia" w:hAnsiTheme="minorEastAsia" w:eastAsiaTheme="minorEastAsia"/>
          <w:b w:val="0"/>
          <w:bCs/>
        </w:rPr>
        <w:t>、三味球磨/筛选（硝酸钾、木炭、硫磺）、自动混合/上潮/装模制片、压药、拆磨（撕片）、凉片、碎片、造粒、抛光、浆药、干燥、散热、筛选、计量包装等生产工序危险等级应为1</w:t>
      </w:r>
      <w:r>
        <w:rPr>
          <w:rFonts w:asciiTheme="minorEastAsia" w:hAnsiTheme="minorEastAsia" w:eastAsiaTheme="minorEastAsia"/>
          <w:b w:val="0"/>
          <w:bCs/>
        </w:rPr>
        <w:t>.1</w:t>
      </w:r>
      <w:r>
        <w:rPr>
          <w:rFonts w:asciiTheme="minorEastAsia" w:hAnsiTheme="minorEastAsia" w:eastAsiaTheme="minorEastAsia"/>
          <w:b w:val="0"/>
          <w:bCs/>
          <w:vertAlign w:val="superscript"/>
        </w:rPr>
        <w:t>-2</w:t>
      </w:r>
      <w:r>
        <w:rPr>
          <w:rFonts w:hint="eastAsia" w:asciiTheme="minorEastAsia" w:hAnsiTheme="minorEastAsia" w:eastAsiaTheme="minorEastAsia"/>
          <w:b w:val="0"/>
          <w:bCs/>
        </w:rPr>
        <w:t>级。</w:t>
      </w:r>
    </w:p>
    <w:p w14:paraId="65E7312D">
      <w:pPr>
        <w:pStyle w:val="2"/>
        <w:ind w:firstLine="560"/>
        <w:rPr>
          <w:rFonts w:asciiTheme="minorEastAsia" w:hAnsiTheme="minorEastAsia" w:eastAsiaTheme="minorEastAsia"/>
          <w:b w:val="0"/>
          <w:bCs/>
        </w:rPr>
      </w:pPr>
      <w:r>
        <w:rPr>
          <w:rFonts w:hint="eastAsia" w:asciiTheme="minorEastAsia" w:hAnsiTheme="minorEastAsia" w:eastAsiaTheme="minorEastAsia"/>
          <w:b w:val="0"/>
          <w:bCs/>
        </w:rPr>
        <w:t>2、氧化剂（硝酸钾）粉碎、筛选、干燥、称料、二味球磨（硫磺、木炭）等生产工序危险等级应为1</w:t>
      </w:r>
      <w:r>
        <w:rPr>
          <w:rFonts w:asciiTheme="minorEastAsia" w:hAnsiTheme="minorEastAsia" w:eastAsiaTheme="minorEastAsia"/>
          <w:b w:val="0"/>
          <w:bCs/>
        </w:rPr>
        <w:t>.3</w:t>
      </w:r>
      <w:r>
        <w:rPr>
          <w:rFonts w:hint="eastAsia" w:asciiTheme="minorEastAsia" w:hAnsiTheme="minorEastAsia" w:eastAsiaTheme="minorEastAsia"/>
          <w:b w:val="0"/>
          <w:bCs/>
        </w:rPr>
        <w:t>级。</w:t>
      </w:r>
    </w:p>
    <w:p w14:paraId="71567093">
      <w:pPr>
        <w:pStyle w:val="2"/>
        <w:ind w:firstLine="560"/>
        <w:rPr>
          <w:rFonts w:asciiTheme="minorEastAsia" w:hAnsiTheme="minorEastAsia" w:eastAsiaTheme="minorEastAsia"/>
          <w:b w:val="0"/>
          <w:bCs/>
        </w:rPr>
      </w:pPr>
      <w:r>
        <w:rPr>
          <w:rFonts w:hint="eastAsia" w:asciiTheme="minorEastAsia" w:hAnsiTheme="minorEastAsia" w:eastAsiaTheme="minorEastAsia"/>
          <w:b w:val="0"/>
          <w:bCs/>
        </w:rPr>
        <w:t>3、在设计时，定员定量应符合《烟花爆竹作业安全技术规程》（G</w:t>
      </w:r>
      <w:r>
        <w:rPr>
          <w:rFonts w:asciiTheme="minorEastAsia" w:hAnsiTheme="minorEastAsia" w:eastAsiaTheme="minorEastAsia"/>
          <w:b w:val="0"/>
          <w:bCs/>
        </w:rPr>
        <w:t>B11652-2012</w:t>
      </w:r>
      <w:r>
        <w:rPr>
          <w:rFonts w:hint="eastAsia" w:asciiTheme="minorEastAsia" w:hAnsiTheme="minorEastAsia" w:eastAsiaTheme="minorEastAsia"/>
          <w:b w:val="0"/>
          <w:bCs/>
        </w:rPr>
        <w:t>）相关要求。</w:t>
      </w:r>
    </w:p>
    <w:p w14:paraId="1C29A074">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.3.4</w:t>
      </w:r>
      <w:r>
        <w:rPr>
          <w:rFonts w:hint="eastAsia" w:ascii="黑体" w:hAnsi="黑体" w:eastAsia="黑体" w:cs="宋体"/>
          <w:b w:val="0"/>
          <w:szCs w:val="28"/>
        </w:rPr>
        <w:t>外部安全距离方面</w:t>
      </w:r>
    </w:p>
    <w:p w14:paraId="03FD4F19">
      <w:pPr>
        <w:spacing w:line="360" w:lineRule="auto"/>
        <w:ind w:firstLine="560" w:firstLineChars="200"/>
        <w:rPr>
          <w:b w:val="0"/>
          <w:bCs/>
          <w:sz w:val="28"/>
          <w:szCs w:val="28"/>
        </w:rPr>
      </w:pPr>
      <w:r>
        <w:rPr>
          <w:rFonts w:hint="eastAsia"/>
          <w:b w:val="0"/>
          <w:bCs/>
          <w:sz w:val="28"/>
          <w:szCs w:val="28"/>
        </w:rPr>
        <w:t>湖南金帝烟花爆竹制造有限公司应密切关注该建设项目周围环境，一旦发现在厂区的外部安全距离内增建建筑、设施，或原废弃建（构）筑物重新启用，应立即报告当地政府，并积极协助政府妥善解决。</w:t>
      </w:r>
    </w:p>
    <w:p w14:paraId="27D0141A">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.3.5</w:t>
      </w:r>
      <w:r>
        <w:rPr>
          <w:rFonts w:hint="eastAsia" w:ascii="黑体" w:hAnsi="黑体" w:eastAsia="黑体" w:cs="宋体"/>
          <w:b w:val="0"/>
          <w:szCs w:val="28"/>
        </w:rPr>
        <w:t>内部安全距离方面</w:t>
      </w:r>
    </w:p>
    <w:p w14:paraId="749FEEC0">
      <w:pPr>
        <w:spacing w:line="360" w:lineRule="auto"/>
        <w:ind w:firstLine="560" w:firstLineChars="200"/>
        <w:rPr>
          <w:rFonts w:asciiTheme="minorEastAsia" w:hAnsiTheme="minorEastAsia" w:eastAsiaTheme="minorEastAsia"/>
          <w:b w:val="0"/>
          <w:bCs/>
          <w:sz w:val="28"/>
          <w:szCs w:val="28"/>
        </w:rPr>
      </w:pPr>
      <w:r>
        <w:rPr>
          <w:rFonts w:hint="eastAsia" w:asciiTheme="minorEastAsia" w:hAnsiTheme="minorEastAsia" w:eastAsiaTheme="minorEastAsia"/>
          <w:b w:val="0"/>
          <w:bCs/>
          <w:sz w:val="28"/>
          <w:szCs w:val="28"/>
        </w:rPr>
        <w:t>根据《湖南金帝烟花爆竹制造有限公司泉水工区扩建项目安全设施设计平面布置图》（初步设计方案图）（由大连市化工设计院有限公司提供）和本报告表</w:t>
      </w:r>
      <w:r>
        <w:rPr>
          <w:rFonts w:asciiTheme="minorEastAsia" w:hAnsiTheme="minorEastAsia" w:eastAsiaTheme="minorEastAsia"/>
          <w:b w:val="0"/>
          <w:bCs/>
          <w:sz w:val="28"/>
          <w:szCs w:val="28"/>
        </w:rPr>
        <w:t>2.7-2</w:t>
      </w:r>
      <w:r>
        <w:rPr>
          <w:rFonts w:hint="eastAsia" w:asciiTheme="minorEastAsia" w:hAnsiTheme="minorEastAsia" w:eastAsiaTheme="minorEastAsia"/>
          <w:b w:val="0"/>
          <w:bCs/>
          <w:sz w:val="28"/>
          <w:szCs w:val="28"/>
        </w:rPr>
        <w:t>可知，拟建项目工库房的内部安全距离能满足《烟花爆竹工程设计安全标准》（G</w:t>
      </w:r>
      <w:r>
        <w:rPr>
          <w:rFonts w:asciiTheme="minorEastAsia" w:hAnsiTheme="minorEastAsia" w:eastAsiaTheme="minorEastAsia"/>
          <w:b w:val="0"/>
          <w:bCs/>
          <w:sz w:val="28"/>
          <w:szCs w:val="28"/>
        </w:rPr>
        <w:t>B50161-2022</w:t>
      </w:r>
      <w:r>
        <w:rPr>
          <w:rFonts w:hint="eastAsia" w:asciiTheme="minorEastAsia" w:hAnsiTheme="minorEastAsia" w:eastAsiaTheme="minorEastAsia"/>
          <w:b w:val="0"/>
          <w:bCs/>
          <w:sz w:val="28"/>
          <w:szCs w:val="28"/>
        </w:rPr>
        <w:t>）的相应要求。企业自身应杜绝在厂区内随意建设，按经评审通过后的安全设施设计要求建设建（构）筑物。</w:t>
      </w:r>
    </w:p>
    <w:p w14:paraId="36973CA1">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.3.6</w:t>
      </w:r>
      <w:r>
        <w:rPr>
          <w:rFonts w:hint="eastAsia" w:ascii="黑体" w:hAnsi="黑体" w:eastAsia="黑体" w:cs="宋体"/>
          <w:b w:val="0"/>
          <w:szCs w:val="28"/>
        </w:rPr>
        <w:t>建筑结构方面</w:t>
      </w:r>
    </w:p>
    <w:p w14:paraId="62FDB026">
      <w:pPr>
        <w:pStyle w:val="2"/>
        <w:ind w:firstLine="560"/>
        <w:rPr>
          <w:rFonts w:ascii="宋体" w:hAnsi="宋体" w:eastAsia="宋体"/>
          <w:b w:val="0"/>
          <w:bCs/>
        </w:rPr>
      </w:pPr>
      <w:r>
        <w:rPr>
          <w:rFonts w:hint="eastAsia" w:ascii="宋体" w:hAnsi="宋体" w:eastAsia="宋体"/>
          <w:b w:val="0"/>
          <w:bCs/>
        </w:rPr>
        <w:t>1）危险性建（构）筑物室内梁或板中的最低净空高度不宜小于2</w:t>
      </w:r>
      <w:r>
        <w:rPr>
          <w:rFonts w:ascii="宋体" w:hAnsi="宋体" w:eastAsia="宋体"/>
          <w:b w:val="0"/>
          <w:bCs/>
        </w:rPr>
        <w:t>.8m</w:t>
      </w:r>
      <w:r>
        <w:rPr>
          <w:rFonts w:hint="eastAsia" w:ascii="宋体" w:hAnsi="宋体" w:eastAsia="宋体"/>
          <w:b w:val="0"/>
          <w:bCs/>
        </w:rPr>
        <w:t>，并应满足正常的采光和通风要求。</w:t>
      </w:r>
    </w:p>
    <w:p w14:paraId="395B7C78">
      <w:pPr>
        <w:pStyle w:val="2"/>
        <w:ind w:firstLine="560"/>
        <w:rPr>
          <w:rFonts w:ascii="宋体" w:hAnsi="宋体" w:eastAsia="宋体"/>
          <w:b w:val="0"/>
          <w:bCs/>
        </w:rPr>
      </w:pPr>
      <w:r>
        <w:rPr>
          <w:rFonts w:hint="eastAsia" w:ascii="宋体" w:hAnsi="宋体" w:eastAsia="宋体"/>
          <w:b w:val="0"/>
          <w:bCs/>
        </w:rPr>
        <w:t>2）</w:t>
      </w:r>
      <w:r>
        <w:rPr>
          <w:rFonts w:ascii="宋体" w:hAnsi="宋体" w:eastAsia="宋体"/>
          <w:b w:val="0"/>
          <w:bCs/>
        </w:rPr>
        <w:t>1.1级建(构)筑物应采用现浇钢筋混凝土框架结构或整体现浇钢筋混凝土结构，也可采用钢筋混凝土柱、梁承重结构或砌体承重结构。框架结构的填充墙应采用实心砖或多孔砖密砌。当采用钢筋混凝土柱、梁承重结构或砌体承重结构时，应符合下列规定之一：</w:t>
      </w:r>
    </w:p>
    <w:p w14:paraId="05C2D932">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厂房的建筑面积应小于20m²,且操作人员不应超过1人；</w:t>
      </w:r>
    </w:p>
    <w:p w14:paraId="1F12FF39">
      <w:pPr>
        <w:pStyle w:val="2"/>
        <w:ind w:firstLine="560"/>
        <w:rPr>
          <w:rFonts w:ascii="宋体" w:hAnsi="宋体" w:eastAsia="宋体"/>
          <w:b w:val="0"/>
          <w:bCs/>
        </w:rPr>
      </w:pPr>
      <w:r>
        <w:rPr>
          <w:rFonts w:hint="eastAsia" w:ascii="宋体" w:hAnsi="宋体" w:eastAsia="宋体"/>
          <w:b w:val="0"/>
          <w:bCs/>
        </w:rPr>
        <w:t>（2）</w:t>
      </w:r>
      <w:r>
        <w:rPr>
          <w:rFonts w:ascii="宋体" w:hAnsi="宋体" w:eastAsia="宋体"/>
          <w:b w:val="0"/>
          <w:bCs/>
        </w:rPr>
        <w:t>生产过程采用远距离控制且室内无人操作</w:t>
      </w:r>
      <w:r>
        <w:rPr>
          <w:rFonts w:hint="eastAsia" w:ascii="宋体" w:hAnsi="宋体" w:eastAsia="宋体"/>
          <w:b w:val="0"/>
          <w:bCs/>
        </w:rPr>
        <w:t>。</w:t>
      </w:r>
    </w:p>
    <w:p w14:paraId="36D6000E">
      <w:pPr>
        <w:pStyle w:val="2"/>
        <w:ind w:firstLine="560"/>
        <w:rPr>
          <w:rFonts w:ascii="宋体" w:hAnsi="宋体" w:eastAsia="宋体"/>
          <w:b w:val="0"/>
          <w:bCs/>
        </w:rPr>
      </w:pPr>
      <w:r>
        <w:rPr>
          <w:rFonts w:hint="eastAsia" w:ascii="宋体" w:hAnsi="宋体" w:eastAsia="宋体"/>
          <w:b w:val="0"/>
          <w:bCs/>
        </w:rPr>
        <w:t>3）1</w:t>
      </w:r>
      <w:r>
        <w:rPr>
          <w:rFonts w:ascii="宋体" w:hAnsi="宋体" w:eastAsia="宋体"/>
          <w:b w:val="0"/>
          <w:bCs/>
        </w:rPr>
        <w:t>.1</w:t>
      </w:r>
      <w:r>
        <w:rPr>
          <w:rFonts w:ascii="宋体" w:hAnsi="宋体" w:eastAsia="宋体"/>
          <w:b w:val="0"/>
          <w:bCs/>
          <w:vertAlign w:val="superscript"/>
        </w:rPr>
        <w:t>-2</w:t>
      </w:r>
      <w:r>
        <w:rPr>
          <w:rFonts w:hint="eastAsia" w:ascii="宋体" w:hAnsi="宋体" w:eastAsia="宋体"/>
          <w:b w:val="0"/>
          <w:bCs/>
        </w:rPr>
        <w:t>级黑火药生产厂房宜采用轻质易碎屋盖或轻型泄压屋盖。轻质易碎部分的单位面积重量不应大于1</w:t>
      </w:r>
      <w:r>
        <w:rPr>
          <w:rFonts w:ascii="宋体" w:hAnsi="宋体" w:eastAsia="宋体"/>
          <w:b w:val="0"/>
          <w:bCs/>
        </w:rPr>
        <w:t>.5kN/m</w:t>
      </w:r>
      <w:r>
        <w:rPr>
          <w:rFonts w:ascii="宋体" w:hAnsi="宋体" w:eastAsia="宋体"/>
          <w:b w:val="0"/>
          <w:bCs/>
          <w:vertAlign w:val="superscript"/>
        </w:rPr>
        <w:t>2</w:t>
      </w:r>
      <w:r>
        <w:rPr>
          <w:rFonts w:hint="eastAsia" w:ascii="宋体" w:hAnsi="宋体" w:eastAsia="宋体"/>
          <w:b w:val="0"/>
          <w:bCs/>
        </w:rPr>
        <w:t>。</w:t>
      </w:r>
    </w:p>
    <w:p w14:paraId="4ACCE477">
      <w:pPr>
        <w:pStyle w:val="2"/>
        <w:ind w:firstLine="560"/>
        <w:rPr>
          <w:rFonts w:ascii="宋体" w:hAnsi="宋体" w:eastAsia="宋体"/>
          <w:b w:val="0"/>
          <w:bCs/>
        </w:rPr>
      </w:pPr>
      <w:r>
        <w:rPr>
          <w:rFonts w:hint="eastAsia" w:ascii="宋体" w:hAnsi="宋体" w:eastAsia="宋体"/>
          <w:b w:val="0"/>
          <w:bCs/>
        </w:rPr>
        <w:t>4）有易燃易爆粉尘的建（构）筑物，应采用外形平整、不易积尘的结构构件和构造。</w:t>
      </w:r>
    </w:p>
    <w:p w14:paraId="316578BB">
      <w:pPr>
        <w:pStyle w:val="2"/>
        <w:ind w:firstLine="560"/>
        <w:rPr>
          <w:rFonts w:ascii="宋体" w:hAnsi="宋体" w:eastAsia="宋体"/>
          <w:b w:val="0"/>
          <w:bCs/>
        </w:rPr>
      </w:pPr>
      <w:r>
        <w:rPr>
          <w:rFonts w:hint="eastAsia" w:ascii="宋体" w:hAnsi="宋体" w:eastAsia="宋体"/>
          <w:b w:val="0"/>
          <w:bCs/>
        </w:rPr>
        <w:t>5）</w:t>
      </w:r>
      <w:r>
        <w:rPr>
          <w:rFonts w:ascii="宋体" w:hAnsi="宋体" w:eastAsia="宋体"/>
          <w:b w:val="0"/>
          <w:bCs/>
        </w:rPr>
        <w:t>1.1</w:t>
      </w:r>
      <w:r>
        <w:rPr>
          <w:rFonts w:hint="eastAsia" w:ascii="宋体" w:hAnsi="宋体" w:eastAsia="宋体"/>
          <w:b w:val="0"/>
          <w:bCs/>
        </w:rPr>
        <w:t>级黑火药生产厂房的门窗，应采用木质门窗，门窗的配件应采用不产生火花的材料。</w:t>
      </w:r>
    </w:p>
    <w:p w14:paraId="1CD56D0F">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.3.7</w:t>
      </w:r>
      <w:r>
        <w:rPr>
          <w:rFonts w:hint="eastAsia" w:ascii="黑体" w:hAnsi="黑体" w:eastAsia="黑体" w:cs="宋体"/>
          <w:b w:val="0"/>
          <w:szCs w:val="28"/>
        </w:rPr>
        <w:t>危险品储存与运输方面</w:t>
      </w:r>
    </w:p>
    <w:p w14:paraId="42C5AB18">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1）黑火药库的单库存药量不应超过现行国家标准《烟花爆竹作业安全技术规程》G</w:t>
      </w:r>
      <w:r>
        <w:rPr>
          <w:rFonts w:ascii="宋体" w:hAnsi="宋体" w:eastAsia="宋体" w:cs="宋体"/>
          <w:b w:val="0"/>
          <w:bCs/>
          <w:kern w:val="2"/>
          <w:szCs w:val="28"/>
        </w:rPr>
        <w:t>B11652</w:t>
      </w:r>
      <w:r>
        <w:rPr>
          <w:rFonts w:hint="eastAsia" w:ascii="宋体" w:hAnsi="宋体" w:eastAsia="宋体" w:cs="宋体"/>
          <w:b w:val="0"/>
          <w:bCs/>
          <w:kern w:val="2"/>
          <w:szCs w:val="28"/>
        </w:rPr>
        <w:t>的规定量。</w:t>
      </w:r>
    </w:p>
    <w:p w14:paraId="34419EF9">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2）危险品生产区运输危险品的主干道中心线，与各级危险性建（构）筑物的距离应符合下列规定：</w:t>
      </w:r>
    </w:p>
    <w:p w14:paraId="547C7579">
      <w:pPr>
        <w:pStyle w:val="2"/>
        <w:ind w:firstLine="1120" w:firstLineChars="400"/>
        <w:rPr>
          <w:rFonts w:ascii="宋体" w:hAnsi="宋体" w:eastAsia="宋体" w:cs="宋体"/>
          <w:b w:val="0"/>
          <w:bCs/>
          <w:kern w:val="2"/>
          <w:szCs w:val="28"/>
        </w:rPr>
      </w:pPr>
      <w:r>
        <w:rPr>
          <w:rFonts w:hint="eastAsia" w:ascii="宋体" w:hAnsi="宋体" w:eastAsia="宋体" w:cs="宋体"/>
          <w:b w:val="0"/>
          <w:bCs/>
          <w:kern w:val="2"/>
          <w:szCs w:val="28"/>
        </w:rPr>
        <w:t>①距离1</w:t>
      </w:r>
      <w:r>
        <w:rPr>
          <w:rFonts w:ascii="宋体" w:hAnsi="宋体" w:eastAsia="宋体" w:cs="宋体"/>
          <w:b w:val="0"/>
          <w:bCs/>
          <w:kern w:val="2"/>
          <w:szCs w:val="28"/>
        </w:rPr>
        <w:t>.1</w:t>
      </w:r>
      <w:r>
        <w:rPr>
          <w:rFonts w:hint="eastAsia" w:ascii="宋体" w:hAnsi="宋体" w:eastAsia="宋体" w:cs="宋体"/>
          <w:b w:val="0"/>
          <w:bCs/>
          <w:kern w:val="2"/>
          <w:szCs w:val="28"/>
        </w:rPr>
        <w:t>级建（构）筑物不宜小于1</w:t>
      </w:r>
      <w:r>
        <w:rPr>
          <w:rFonts w:ascii="宋体" w:hAnsi="宋体" w:eastAsia="宋体" w:cs="宋体"/>
          <w:b w:val="0"/>
          <w:bCs/>
          <w:kern w:val="2"/>
          <w:szCs w:val="28"/>
        </w:rPr>
        <w:t>5m</w:t>
      </w:r>
      <w:r>
        <w:rPr>
          <w:rFonts w:hint="eastAsia" w:ascii="宋体" w:hAnsi="宋体" w:eastAsia="宋体" w:cs="宋体"/>
          <w:b w:val="0"/>
          <w:bCs/>
          <w:kern w:val="2"/>
          <w:szCs w:val="28"/>
        </w:rPr>
        <w:t>；有防护屏障时，可不小于1</w:t>
      </w:r>
      <w:r>
        <w:rPr>
          <w:rFonts w:ascii="宋体" w:hAnsi="宋体" w:eastAsia="宋体" w:cs="宋体"/>
          <w:b w:val="0"/>
          <w:bCs/>
          <w:kern w:val="2"/>
          <w:szCs w:val="28"/>
        </w:rPr>
        <w:t>0m</w:t>
      </w:r>
      <w:r>
        <w:rPr>
          <w:rFonts w:hint="eastAsia" w:ascii="宋体" w:hAnsi="宋体" w:eastAsia="宋体" w:cs="宋体"/>
          <w:b w:val="0"/>
          <w:bCs/>
          <w:kern w:val="2"/>
          <w:szCs w:val="28"/>
        </w:rPr>
        <w:t>；</w:t>
      </w:r>
    </w:p>
    <w:p w14:paraId="45B37394">
      <w:pPr>
        <w:pStyle w:val="2"/>
        <w:ind w:firstLine="1120" w:firstLineChars="400"/>
        <w:rPr>
          <w:rFonts w:ascii="宋体" w:hAnsi="宋体" w:eastAsia="宋体" w:cs="宋体"/>
          <w:b w:val="0"/>
          <w:bCs/>
          <w:kern w:val="2"/>
          <w:szCs w:val="28"/>
        </w:rPr>
      </w:pPr>
      <w:r>
        <w:rPr>
          <w:rFonts w:hint="eastAsia" w:ascii="宋体" w:hAnsi="宋体" w:eastAsia="宋体" w:cs="宋体"/>
          <w:b w:val="0"/>
          <w:bCs/>
          <w:kern w:val="2"/>
          <w:szCs w:val="28"/>
        </w:rPr>
        <w:t>②距离1</w:t>
      </w:r>
      <w:r>
        <w:rPr>
          <w:rFonts w:ascii="宋体" w:hAnsi="宋体" w:eastAsia="宋体" w:cs="宋体"/>
          <w:b w:val="0"/>
          <w:bCs/>
          <w:kern w:val="2"/>
          <w:szCs w:val="28"/>
        </w:rPr>
        <w:t>.3</w:t>
      </w:r>
      <w:r>
        <w:rPr>
          <w:rFonts w:hint="eastAsia" w:ascii="宋体" w:hAnsi="宋体" w:eastAsia="宋体" w:cs="宋体"/>
          <w:b w:val="0"/>
          <w:bCs/>
          <w:kern w:val="2"/>
          <w:szCs w:val="28"/>
        </w:rPr>
        <w:t>级建（构）筑物不宜小于1</w:t>
      </w:r>
      <w:r>
        <w:rPr>
          <w:rFonts w:ascii="宋体" w:hAnsi="宋体" w:eastAsia="宋体" w:cs="宋体"/>
          <w:b w:val="0"/>
          <w:bCs/>
          <w:kern w:val="2"/>
          <w:szCs w:val="28"/>
        </w:rPr>
        <w:t>0m</w:t>
      </w:r>
      <w:r>
        <w:rPr>
          <w:rFonts w:hint="eastAsia" w:ascii="宋体" w:hAnsi="宋体" w:eastAsia="宋体" w:cs="宋体"/>
          <w:b w:val="0"/>
          <w:bCs/>
          <w:kern w:val="2"/>
          <w:szCs w:val="28"/>
        </w:rPr>
        <w:t>；与道路相对的墙面为密实墙体时，可不小于6</w:t>
      </w:r>
      <w:r>
        <w:rPr>
          <w:rFonts w:ascii="宋体" w:hAnsi="宋体" w:eastAsia="宋体" w:cs="宋体"/>
          <w:b w:val="0"/>
          <w:bCs/>
          <w:kern w:val="2"/>
          <w:szCs w:val="28"/>
        </w:rPr>
        <w:t>m</w:t>
      </w:r>
      <w:r>
        <w:rPr>
          <w:rFonts w:hint="eastAsia" w:ascii="宋体" w:hAnsi="宋体" w:eastAsia="宋体" w:cs="宋体"/>
          <w:b w:val="0"/>
          <w:bCs/>
          <w:kern w:val="2"/>
          <w:szCs w:val="28"/>
        </w:rPr>
        <w:t>；</w:t>
      </w:r>
    </w:p>
    <w:p w14:paraId="1065DFB1">
      <w:pPr>
        <w:pStyle w:val="2"/>
        <w:ind w:firstLine="1120" w:firstLineChars="400"/>
        <w:rPr>
          <w:rFonts w:ascii="宋体" w:hAnsi="宋体" w:eastAsia="宋体" w:cs="宋体"/>
          <w:b w:val="0"/>
          <w:bCs/>
          <w:kern w:val="2"/>
          <w:szCs w:val="28"/>
        </w:rPr>
      </w:pPr>
      <w:r>
        <w:rPr>
          <w:rFonts w:hint="eastAsia" w:ascii="宋体" w:hAnsi="宋体" w:eastAsia="宋体" w:cs="宋体"/>
          <w:b w:val="0"/>
          <w:bCs/>
          <w:kern w:val="2"/>
          <w:szCs w:val="28"/>
        </w:rPr>
        <w:t>③运输裸露危险品的道路中心线距离有明火或散发火花的建筑物不应小于3</w:t>
      </w:r>
      <w:r>
        <w:rPr>
          <w:rFonts w:ascii="宋体" w:hAnsi="宋体" w:eastAsia="宋体" w:cs="宋体"/>
          <w:b w:val="0"/>
          <w:bCs/>
          <w:kern w:val="2"/>
          <w:szCs w:val="28"/>
        </w:rPr>
        <w:t>0m</w:t>
      </w:r>
      <w:r>
        <w:rPr>
          <w:rFonts w:hint="eastAsia" w:ascii="宋体" w:hAnsi="宋体" w:eastAsia="宋体" w:cs="宋体"/>
          <w:b w:val="0"/>
          <w:bCs/>
          <w:kern w:val="2"/>
          <w:szCs w:val="28"/>
        </w:rPr>
        <w:t>。</w:t>
      </w:r>
    </w:p>
    <w:p w14:paraId="2F43447F">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3）黑火药库区运输危险品的主干道中心线与各黑火药库的距离不应小于1</w:t>
      </w:r>
      <w:r>
        <w:rPr>
          <w:rFonts w:ascii="宋体" w:hAnsi="宋体" w:eastAsia="宋体" w:cs="宋体"/>
          <w:b w:val="0"/>
          <w:bCs/>
          <w:kern w:val="2"/>
          <w:szCs w:val="28"/>
        </w:rPr>
        <w:t>0m</w:t>
      </w:r>
      <w:r>
        <w:rPr>
          <w:rFonts w:hint="eastAsia" w:ascii="宋体" w:hAnsi="宋体" w:eastAsia="宋体" w:cs="宋体"/>
          <w:b w:val="0"/>
          <w:bCs/>
          <w:kern w:val="2"/>
          <w:szCs w:val="28"/>
        </w:rPr>
        <w:t>。</w:t>
      </w:r>
    </w:p>
    <w:p w14:paraId="42A782A5">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4）装卸黑火药时，进入库房定员2人，电瓶车、板车、手推车不应进入黑火药库内，并单件装卸。</w:t>
      </w:r>
    </w:p>
    <w:p w14:paraId="2F4BCADC">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5）机动车应安装阻火器，配备消防灭火器并设置明显的爆炸危险品标志，进入生产区和仓库区时，速度不应超过1</w:t>
      </w:r>
      <w:r>
        <w:rPr>
          <w:rFonts w:ascii="宋体" w:hAnsi="宋体" w:eastAsia="宋体" w:cs="宋体"/>
          <w:b w:val="0"/>
          <w:bCs/>
          <w:kern w:val="2"/>
          <w:szCs w:val="28"/>
        </w:rPr>
        <w:t>5km/h</w:t>
      </w:r>
      <w:r>
        <w:rPr>
          <w:rFonts w:hint="eastAsia" w:ascii="宋体" w:hAnsi="宋体" w:eastAsia="宋体" w:cs="宋体"/>
          <w:b w:val="0"/>
          <w:bCs/>
          <w:kern w:val="2"/>
          <w:szCs w:val="28"/>
        </w:rPr>
        <w:t>。</w:t>
      </w:r>
    </w:p>
    <w:p w14:paraId="09B22860">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6）危险品运输车辆不应混装性质不相容的物品，除驾驶员和押运员外，不应有其他人员搭乘。</w:t>
      </w:r>
    </w:p>
    <w:p w14:paraId="12C3A52C">
      <w:pPr>
        <w:pStyle w:val="2"/>
        <w:ind w:firstLine="560"/>
        <w:rPr>
          <w:rFonts w:ascii="宋体" w:hAnsi="宋体" w:eastAsia="宋体" w:cs="宋体"/>
          <w:b w:val="0"/>
          <w:bCs/>
          <w:kern w:val="2"/>
          <w:szCs w:val="28"/>
        </w:rPr>
      </w:pPr>
      <w:r>
        <w:rPr>
          <w:rFonts w:hint="eastAsia" w:ascii="宋体" w:hAnsi="宋体" w:eastAsia="宋体" w:cs="宋体"/>
          <w:b w:val="0"/>
          <w:bCs/>
          <w:kern w:val="2"/>
          <w:szCs w:val="28"/>
        </w:rPr>
        <w:t>7）仓库应设置专门保管员和守护员，并分库建立危险品登记台账和定期进行货账核对。</w:t>
      </w:r>
    </w:p>
    <w:p w14:paraId="76A44898">
      <w:pPr>
        <w:pStyle w:val="2"/>
        <w:ind w:firstLine="560"/>
        <w:rPr>
          <w:rFonts w:ascii="宋体" w:hAnsi="宋体" w:eastAsia="宋体" w:cs="宋体"/>
          <w:b w:val="0"/>
          <w:bCs/>
          <w:kern w:val="2"/>
          <w:szCs w:val="28"/>
        </w:rPr>
      </w:pPr>
      <w:r>
        <w:rPr>
          <w:rFonts w:hint="eastAsia" w:ascii="宋体" w:hAnsi="宋体" w:eastAsia="宋体"/>
          <w:b w:val="0"/>
        </w:rPr>
        <w:t>8）</w:t>
      </w:r>
      <w:r>
        <w:rPr>
          <w:rFonts w:hint="eastAsia" w:ascii="宋体" w:hAnsi="宋体" w:eastAsia="宋体"/>
          <w:b w:val="0"/>
          <w:bCs/>
          <w:szCs w:val="28"/>
        </w:rPr>
        <w:t>厂内运输防范措施：①严格按运输操作规程安排运输；同时，运输应错开上班高峰期并保证在上班前配送到位；②装卸作业中只许单件搬运，不得碰撞、拖拉、摩擦、翻滚和剧烈振动，不许使用铁撬等铁质工具；③生产区内运输采用电瓶车，其中黑火药应采用防爆厢式电瓶车运输。电瓶车按要求在车体金属骨架处安装拖地带，拖地带应有足够长度接触地面，且必须使用内含导电纤维的橡胶带或复合导电材料。</w:t>
      </w:r>
    </w:p>
    <w:p w14:paraId="1781F797">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.3.8</w:t>
      </w:r>
      <w:r>
        <w:rPr>
          <w:rFonts w:hint="eastAsia" w:ascii="黑体" w:hAnsi="黑体" w:eastAsia="黑体" w:cs="宋体"/>
          <w:b w:val="0"/>
          <w:szCs w:val="28"/>
        </w:rPr>
        <w:t>消防方面</w:t>
      </w:r>
    </w:p>
    <w:p w14:paraId="700425CF">
      <w:pPr>
        <w:spacing w:line="360" w:lineRule="auto"/>
        <w:ind w:firstLine="560" w:firstLineChars="200"/>
        <w:rPr>
          <w:rFonts w:ascii="宋体" w:hAnsi="宋体"/>
          <w:b w:val="0"/>
          <w:bCs/>
          <w:sz w:val="28"/>
          <w:szCs w:val="28"/>
        </w:rPr>
      </w:pPr>
      <w:r>
        <w:rPr>
          <w:rFonts w:hint="eastAsia" w:ascii="宋体" w:hAnsi="宋体"/>
          <w:b w:val="0"/>
          <w:bCs/>
          <w:sz w:val="28"/>
          <w:szCs w:val="28"/>
        </w:rPr>
        <w:t>1、厂区内应配备一定数量的消防水带、消防水枪，并定期检测以保证消防设施合格有效。</w:t>
      </w:r>
    </w:p>
    <w:p w14:paraId="6A2B5AC0">
      <w:pPr>
        <w:pStyle w:val="2"/>
        <w:ind w:firstLine="560"/>
        <w:rPr>
          <w:rFonts w:ascii="宋体" w:hAnsi="宋体" w:eastAsia="宋体"/>
          <w:b w:val="0"/>
          <w:bCs/>
        </w:rPr>
      </w:pPr>
      <w:r>
        <w:rPr>
          <w:rFonts w:hint="eastAsia" w:ascii="宋体" w:hAnsi="宋体" w:eastAsia="宋体"/>
          <w:b w:val="0"/>
          <w:bCs/>
        </w:rPr>
        <w:t>2、若设置消防给水管网宜布置成环状。若地形限制不能设计为环状官网时，可设计为枝状消防给水官网，但生产应无不间断给水要求，且厂区两端应分别设置高位水池。</w:t>
      </w:r>
    </w:p>
    <w:p w14:paraId="1C456EF7">
      <w:pPr>
        <w:pStyle w:val="2"/>
        <w:ind w:firstLine="560"/>
        <w:rPr>
          <w:rFonts w:ascii="宋体" w:hAnsi="宋体" w:eastAsia="宋体"/>
          <w:b w:val="0"/>
          <w:bCs/>
        </w:rPr>
      </w:pPr>
      <w:r>
        <w:rPr>
          <w:rFonts w:hint="eastAsia" w:ascii="宋体" w:hAnsi="宋体" w:eastAsia="宋体"/>
          <w:b w:val="0"/>
          <w:bCs/>
        </w:rPr>
        <w:t>3、项目投入使用后，不应在厂区内吸烟、生火取暖或使用其他明火。</w:t>
      </w:r>
    </w:p>
    <w:p w14:paraId="2EBEACD5">
      <w:pPr>
        <w:pStyle w:val="2"/>
        <w:ind w:firstLine="560"/>
        <w:rPr>
          <w:rFonts w:ascii="宋体" w:hAnsi="宋体" w:eastAsia="宋体"/>
          <w:b w:val="0"/>
          <w:bCs/>
        </w:rPr>
      </w:pPr>
      <w:r>
        <w:rPr>
          <w:rFonts w:hint="eastAsia" w:ascii="宋体" w:hAnsi="宋体" w:eastAsia="宋体"/>
          <w:b w:val="0"/>
          <w:bCs/>
        </w:rPr>
        <w:t>4、易发生燃爆事故的工作间宜设置雨淋灭火系统。</w:t>
      </w:r>
    </w:p>
    <w:p w14:paraId="63F93C92">
      <w:pPr>
        <w:spacing w:line="360" w:lineRule="auto"/>
        <w:ind w:firstLine="560" w:firstLineChars="200"/>
        <w:rPr>
          <w:rFonts w:ascii="宋体" w:hAnsi="宋体"/>
          <w:b w:val="0"/>
          <w:bCs/>
          <w:sz w:val="28"/>
          <w:szCs w:val="28"/>
        </w:rPr>
      </w:pPr>
      <w:r>
        <w:rPr>
          <w:rFonts w:ascii="宋体" w:hAnsi="宋体"/>
          <w:b w:val="0"/>
          <w:bCs/>
          <w:sz w:val="28"/>
          <w:szCs w:val="28"/>
        </w:rPr>
        <w:t>5</w:t>
      </w:r>
      <w:r>
        <w:rPr>
          <w:rFonts w:hint="eastAsia" w:ascii="宋体" w:hAnsi="宋体"/>
          <w:b w:val="0"/>
          <w:bCs/>
          <w:sz w:val="28"/>
          <w:szCs w:val="28"/>
        </w:rPr>
        <w:t>、独立建造的水泵房耐火等级不应低于二级，消防水泵应确保在火灾时能及时启动，停泵应有人工控制，不应自动停泵，并应设置备用泵。</w:t>
      </w:r>
    </w:p>
    <w:p w14:paraId="6B959B08">
      <w:pPr>
        <w:spacing w:line="360" w:lineRule="auto"/>
        <w:ind w:firstLine="560" w:firstLineChars="200"/>
        <w:rPr>
          <w:rFonts w:ascii="宋体" w:hAnsi="宋体"/>
          <w:b w:val="0"/>
          <w:bCs/>
          <w:sz w:val="28"/>
          <w:szCs w:val="28"/>
        </w:rPr>
      </w:pPr>
      <w:r>
        <w:rPr>
          <w:rFonts w:ascii="宋体" w:hAnsi="宋体"/>
          <w:b w:val="0"/>
          <w:bCs/>
          <w:sz w:val="28"/>
          <w:szCs w:val="28"/>
        </w:rPr>
        <w:t>6</w:t>
      </w:r>
      <w:r>
        <w:rPr>
          <w:rFonts w:hint="eastAsia" w:ascii="宋体" w:hAnsi="宋体"/>
          <w:b w:val="0"/>
          <w:bCs/>
          <w:sz w:val="28"/>
          <w:szCs w:val="28"/>
        </w:rPr>
        <w:t>、手提式灭火器宜设置在灭火器箱内或挂钩、托架上，不宜设置在高温、潮湿或强腐蚀性的地点。</w:t>
      </w:r>
    </w:p>
    <w:p w14:paraId="6569749F">
      <w:pPr>
        <w:pStyle w:val="2"/>
        <w:ind w:firstLine="560"/>
        <w:rPr>
          <w:rFonts w:ascii="宋体" w:hAnsi="宋体" w:eastAsia="宋体"/>
          <w:b w:val="0"/>
          <w:bCs/>
        </w:rPr>
      </w:pPr>
      <w:r>
        <w:rPr>
          <w:rFonts w:ascii="宋体" w:hAnsi="宋体" w:eastAsia="宋体"/>
          <w:b w:val="0"/>
          <w:bCs/>
        </w:rPr>
        <w:t>7</w:t>
      </w:r>
      <w:r>
        <w:rPr>
          <w:rFonts w:hint="eastAsia" w:ascii="宋体" w:hAnsi="宋体" w:eastAsia="宋体"/>
          <w:b w:val="0"/>
          <w:bCs/>
        </w:rPr>
        <w:t>、当灭火器配置场所的火灾种类、危险等级和建（构）筑物总平面布局或平面布置等发生变化时，应校核或重新配置灭火器。</w:t>
      </w:r>
    </w:p>
    <w:p w14:paraId="19ABD533">
      <w:pPr>
        <w:spacing w:line="360" w:lineRule="auto"/>
        <w:ind w:firstLine="560" w:firstLineChars="200"/>
        <w:rPr>
          <w:rFonts w:ascii="宋体" w:hAnsi="宋体"/>
          <w:b w:val="0"/>
          <w:bCs/>
          <w:sz w:val="28"/>
        </w:rPr>
      </w:pPr>
      <w:r>
        <w:rPr>
          <w:rFonts w:ascii="宋体" w:hAnsi="宋体"/>
          <w:b w:val="0"/>
          <w:bCs/>
          <w:sz w:val="28"/>
        </w:rPr>
        <w:t>8</w:t>
      </w:r>
      <w:r>
        <w:rPr>
          <w:rFonts w:hint="eastAsia" w:ascii="宋体" w:hAnsi="宋体"/>
          <w:b w:val="0"/>
          <w:bCs/>
          <w:sz w:val="28"/>
        </w:rPr>
        <w:t>、防火对策</w:t>
      </w:r>
    </w:p>
    <w:p w14:paraId="701ECC68">
      <w:pPr>
        <w:spacing w:line="360" w:lineRule="auto"/>
        <w:ind w:firstLine="560" w:firstLineChars="200"/>
        <w:rPr>
          <w:rFonts w:ascii="宋体" w:hAnsi="宋体"/>
          <w:b w:val="0"/>
          <w:bCs/>
          <w:sz w:val="28"/>
        </w:rPr>
      </w:pPr>
      <w:r>
        <w:rPr>
          <w:rFonts w:hint="eastAsia" w:ascii="宋体" w:hAnsi="宋体"/>
          <w:b w:val="0"/>
          <w:bCs/>
          <w:sz w:val="28"/>
        </w:rPr>
        <w:t>（1）控制着火源</w:t>
      </w:r>
    </w:p>
    <w:p w14:paraId="6894AB8A">
      <w:pPr>
        <w:spacing w:line="360" w:lineRule="auto"/>
        <w:ind w:firstLine="560" w:firstLineChars="200"/>
        <w:rPr>
          <w:rFonts w:ascii="宋体" w:hAnsi="宋体"/>
          <w:b w:val="0"/>
          <w:bCs/>
          <w:sz w:val="28"/>
        </w:rPr>
      </w:pPr>
      <w:r>
        <w:rPr>
          <w:rFonts w:hint="eastAsia" w:ascii="宋体" w:hAnsi="宋体"/>
          <w:b w:val="0"/>
          <w:bCs/>
          <w:sz w:val="28"/>
        </w:rPr>
        <w:t>着火源主要包括：明火、撞击与摩擦、静电火花、电气火花及电弧、雷击等，对上述着火源应采取严格控制措施。</w:t>
      </w:r>
    </w:p>
    <w:p w14:paraId="2A85AD6B">
      <w:pPr>
        <w:spacing w:line="360" w:lineRule="auto"/>
        <w:ind w:firstLine="560" w:firstLineChars="200"/>
        <w:rPr>
          <w:rFonts w:ascii="宋体" w:hAnsi="宋体"/>
          <w:b w:val="0"/>
          <w:bCs/>
          <w:sz w:val="28"/>
        </w:rPr>
      </w:pPr>
      <w:r>
        <w:rPr>
          <w:rFonts w:hint="eastAsia" w:ascii="宋体" w:hAnsi="宋体"/>
          <w:b w:val="0"/>
          <w:bCs/>
          <w:sz w:val="28"/>
        </w:rPr>
        <w:t>1）明火：在厂区内严禁吸烟，严禁在仓库内进行设备维修作业。</w:t>
      </w:r>
    </w:p>
    <w:p w14:paraId="655AA501">
      <w:pPr>
        <w:spacing w:line="360" w:lineRule="auto"/>
        <w:ind w:firstLine="560" w:firstLineChars="200"/>
        <w:rPr>
          <w:rFonts w:ascii="宋体" w:hAnsi="宋体"/>
          <w:b w:val="0"/>
          <w:bCs/>
          <w:sz w:val="28"/>
        </w:rPr>
      </w:pPr>
      <w:r>
        <w:rPr>
          <w:rFonts w:hint="eastAsia" w:ascii="宋体" w:hAnsi="宋体"/>
          <w:b w:val="0"/>
          <w:bCs/>
          <w:sz w:val="28"/>
        </w:rPr>
        <w:t>2）摩擦与撞击:摩擦与撞击也是导致火灾、爆炸的原因之一，因此在搬运黑火药成品时，严禁跌落、抛掷、翻滚、拖拉、震动与撞击；严禁使用铁质等易产生火花的工具；禁止穿带铁钉的鞋及硬质饰物上班。</w:t>
      </w:r>
    </w:p>
    <w:p w14:paraId="61790DF9">
      <w:pPr>
        <w:spacing w:line="360" w:lineRule="auto"/>
        <w:ind w:firstLine="560" w:firstLineChars="200"/>
        <w:rPr>
          <w:rFonts w:ascii="宋体" w:hAnsi="宋体"/>
          <w:b w:val="0"/>
          <w:bCs/>
          <w:sz w:val="28"/>
        </w:rPr>
      </w:pPr>
      <w:r>
        <w:rPr>
          <w:rFonts w:hint="eastAsia" w:ascii="宋体" w:hAnsi="宋体"/>
          <w:b w:val="0"/>
          <w:bCs/>
          <w:sz w:val="28"/>
        </w:rPr>
        <w:t>3）静电：静电能够引起火灾爆炸的根本原因，在于静电的电火花具有点火能量。静电防护主要是设法消除或控制静电的产生和积累的条件，对容易积聚电荷的设备或容器安装可靠的接地装置，用导电材料铺设地面，工人应穿棉质工作服。在仓库门口安装导静电装置，能有效防止外界带入的静电。</w:t>
      </w:r>
    </w:p>
    <w:p w14:paraId="7C19F7E6">
      <w:pPr>
        <w:spacing w:line="360" w:lineRule="auto"/>
        <w:ind w:firstLine="560" w:firstLineChars="200"/>
        <w:rPr>
          <w:rFonts w:ascii="宋体" w:hAnsi="宋体"/>
          <w:b w:val="0"/>
          <w:bCs/>
          <w:sz w:val="28"/>
        </w:rPr>
      </w:pPr>
      <w:r>
        <w:rPr>
          <w:rFonts w:hint="eastAsia" w:ascii="宋体" w:hAnsi="宋体"/>
          <w:b w:val="0"/>
          <w:bCs/>
          <w:sz w:val="28"/>
        </w:rPr>
        <w:t>4）电气火花及电弧:电火花是电极间的击穿和放电，电弧则是大量的电火花汇集的结果。所有电气必须选择防尘防爆电气。</w:t>
      </w:r>
    </w:p>
    <w:p w14:paraId="0B4828B8">
      <w:pPr>
        <w:spacing w:line="360" w:lineRule="auto"/>
        <w:ind w:firstLine="560" w:firstLineChars="200"/>
        <w:rPr>
          <w:rFonts w:ascii="宋体" w:hAnsi="宋体"/>
          <w:b w:val="0"/>
          <w:bCs/>
          <w:sz w:val="28"/>
        </w:rPr>
      </w:pPr>
      <w:r>
        <w:rPr>
          <w:rFonts w:hint="eastAsia" w:ascii="宋体" w:hAnsi="宋体"/>
          <w:b w:val="0"/>
          <w:bCs/>
          <w:sz w:val="28"/>
        </w:rPr>
        <w:t>5）雷电：强大雷电流或电磁场通过导体时，在极短的时间将转化为大量热量、产生高温会造成易燃物燃烧，药物爆炸事件。常用的防雷装置主要包括避雷针、避雷线、避雷网、避雷带、保护间隙及避雷器。</w:t>
      </w:r>
    </w:p>
    <w:p w14:paraId="6A4EDF8D">
      <w:pPr>
        <w:spacing w:line="360" w:lineRule="auto"/>
        <w:ind w:firstLine="560" w:firstLineChars="200"/>
        <w:rPr>
          <w:rFonts w:ascii="宋体" w:hAnsi="宋体"/>
          <w:b w:val="0"/>
          <w:bCs/>
          <w:sz w:val="28"/>
        </w:rPr>
      </w:pPr>
      <w:r>
        <w:rPr>
          <w:rFonts w:hint="eastAsia" w:ascii="宋体" w:hAnsi="宋体"/>
          <w:b w:val="0"/>
          <w:bCs/>
          <w:sz w:val="28"/>
        </w:rPr>
        <w:t>6）受潮发热：在烟火药原材料中含有大量的金属粉末，受潮即会发生化学反应，放出热量，产生高温，如果散热不好即会引起燃烧、爆炸。因此，库房要保持通风良好，产品堆积应严格控制在标准要求内。</w:t>
      </w:r>
    </w:p>
    <w:p w14:paraId="6EE313B7">
      <w:pPr>
        <w:spacing w:line="360" w:lineRule="auto"/>
        <w:ind w:firstLine="560" w:firstLineChars="200"/>
        <w:rPr>
          <w:rFonts w:ascii="宋体" w:hAnsi="宋体"/>
          <w:b w:val="0"/>
          <w:bCs/>
          <w:sz w:val="28"/>
        </w:rPr>
      </w:pPr>
      <w:r>
        <w:rPr>
          <w:rFonts w:hint="eastAsia" w:ascii="宋体" w:hAnsi="宋体"/>
          <w:b w:val="0"/>
          <w:bCs/>
          <w:sz w:val="28"/>
        </w:rPr>
        <w:t>（2）监视火灾酝酿期特征；</w:t>
      </w:r>
    </w:p>
    <w:p w14:paraId="1878381D">
      <w:pPr>
        <w:spacing w:line="360" w:lineRule="auto"/>
        <w:ind w:firstLine="560" w:firstLineChars="200"/>
        <w:rPr>
          <w:rFonts w:ascii="宋体" w:hAnsi="宋体"/>
          <w:b w:val="0"/>
          <w:bCs/>
          <w:sz w:val="28"/>
        </w:rPr>
      </w:pPr>
      <w:r>
        <w:rPr>
          <w:rFonts w:hint="eastAsia" w:ascii="宋体" w:hAnsi="宋体"/>
          <w:b w:val="0"/>
          <w:bCs/>
          <w:sz w:val="28"/>
        </w:rPr>
        <w:t>（3）采用耐火建筑；</w:t>
      </w:r>
    </w:p>
    <w:p w14:paraId="570D61E9">
      <w:pPr>
        <w:spacing w:line="360" w:lineRule="auto"/>
        <w:ind w:firstLine="560" w:firstLineChars="200"/>
        <w:rPr>
          <w:rFonts w:ascii="宋体" w:hAnsi="宋体"/>
          <w:b w:val="0"/>
          <w:bCs/>
          <w:sz w:val="28"/>
        </w:rPr>
      </w:pPr>
      <w:r>
        <w:rPr>
          <w:rFonts w:hint="eastAsia" w:ascii="宋体" w:hAnsi="宋体"/>
          <w:b w:val="0"/>
          <w:bCs/>
          <w:sz w:val="28"/>
        </w:rPr>
        <w:t>（4）阻止火势蔓延；</w:t>
      </w:r>
    </w:p>
    <w:p w14:paraId="37721C62">
      <w:pPr>
        <w:spacing w:line="360" w:lineRule="auto"/>
        <w:ind w:firstLine="560" w:firstLineChars="200"/>
        <w:rPr>
          <w:rFonts w:ascii="宋体" w:hAnsi="宋体"/>
          <w:b w:val="0"/>
          <w:bCs/>
          <w:sz w:val="28"/>
        </w:rPr>
      </w:pPr>
      <w:r>
        <w:rPr>
          <w:rFonts w:hint="eastAsia" w:ascii="宋体" w:hAnsi="宋体"/>
          <w:b w:val="0"/>
          <w:bCs/>
          <w:sz w:val="28"/>
        </w:rPr>
        <w:t>（5）抑制火灾的可能发展规模；</w:t>
      </w:r>
    </w:p>
    <w:p w14:paraId="2FB7B54B">
      <w:pPr>
        <w:spacing w:line="360" w:lineRule="auto"/>
        <w:ind w:firstLine="560" w:firstLineChars="200"/>
        <w:rPr>
          <w:rFonts w:ascii="宋体" w:hAnsi="宋体"/>
          <w:b w:val="0"/>
          <w:bCs/>
          <w:sz w:val="28"/>
        </w:rPr>
      </w:pPr>
      <w:r>
        <w:rPr>
          <w:rFonts w:hint="eastAsia" w:ascii="宋体" w:hAnsi="宋体"/>
          <w:b w:val="0"/>
          <w:bCs/>
          <w:sz w:val="28"/>
        </w:rPr>
        <w:t>（6）组织训练消防队伍；</w:t>
      </w:r>
    </w:p>
    <w:p w14:paraId="35B2C1FB">
      <w:pPr>
        <w:spacing w:line="360" w:lineRule="auto"/>
        <w:ind w:firstLine="560" w:firstLineChars="200"/>
        <w:rPr>
          <w:rFonts w:ascii="宋体" w:hAnsi="宋体"/>
          <w:b w:val="0"/>
          <w:bCs/>
          <w:sz w:val="28"/>
        </w:rPr>
      </w:pPr>
      <w:r>
        <w:rPr>
          <w:rFonts w:hint="eastAsia" w:ascii="宋体" w:hAnsi="宋体"/>
          <w:b w:val="0"/>
          <w:bCs/>
          <w:sz w:val="28"/>
        </w:rPr>
        <w:t>（7）配备相应的消防器材。</w:t>
      </w:r>
    </w:p>
    <w:p w14:paraId="25C89BD1">
      <w:pPr>
        <w:pStyle w:val="2"/>
        <w:ind w:firstLine="560"/>
        <w:rPr>
          <w:rFonts w:ascii="宋体" w:hAnsi="宋体" w:eastAsia="宋体"/>
          <w:b w:val="0"/>
          <w:bCs/>
        </w:rPr>
      </w:pPr>
      <w:r>
        <w:rPr>
          <w:rFonts w:ascii="宋体" w:hAnsi="宋体" w:eastAsia="宋体"/>
          <w:b w:val="0"/>
          <w:bCs/>
        </w:rPr>
        <w:t>9</w:t>
      </w:r>
      <w:r>
        <w:rPr>
          <w:rFonts w:hint="eastAsia" w:ascii="宋体" w:hAnsi="宋体" w:eastAsia="宋体"/>
          <w:b w:val="0"/>
          <w:bCs/>
        </w:rPr>
        <w:t>、防爆对策</w:t>
      </w:r>
    </w:p>
    <w:p w14:paraId="1C0E6E67">
      <w:pPr>
        <w:spacing w:line="360" w:lineRule="auto"/>
        <w:ind w:firstLine="560" w:firstLineChars="200"/>
        <w:rPr>
          <w:rFonts w:ascii="宋体" w:hAnsi="宋体"/>
          <w:b w:val="0"/>
          <w:bCs/>
          <w:sz w:val="28"/>
        </w:rPr>
      </w:pPr>
      <w:r>
        <w:rPr>
          <w:rFonts w:hint="eastAsia" w:ascii="宋体" w:hAnsi="宋体"/>
          <w:b w:val="0"/>
          <w:bCs/>
          <w:sz w:val="28"/>
        </w:rPr>
        <w:t>根据爆炸过程的特点，防爆应以阻止第一过程出现，限制第二过程发展，防止第三过程危害为基本原则。主要应采取以下对策措施：</w:t>
      </w:r>
    </w:p>
    <w:p w14:paraId="70AE3836">
      <w:pPr>
        <w:spacing w:line="360" w:lineRule="auto"/>
        <w:ind w:firstLine="560" w:firstLineChars="200"/>
        <w:rPr>
          <w:rFonts w:ascii="宋体" w:hAnsi="宋体"/>
          <w:b w:val="0"/>
          <w:bCs/>
          <w:sz w:val="28"/>
        </w:rPr>
      </w:pPr>
      <w:r>
        <w:rPr>
          <w:rFonts w:hint="eastAsia" w:ascii="宋体" w:hAnsi="宋体"/>
          <w:b w:val="0"/>
          <w:bCs/>
          <w:sz w:val="28"/>
        </w:rPr>
        <w:t>（1）防止爆炸性混合物形成；</w:t>
      </w:r>
    </w:p>
    <w:p w14:paraId="66AF64CE">
      <w:pPr>
        <w:spacing w:line="360" w:lineRule="auto"/>
        <w:ind w:firstLine="560" w:firstLineChars="200"/>
        <w:rPr>
          <w:rFonts w:ascii="宋体" w:hAnsi="宋体"/>
          <w:b w:val="0"/>
          <w:bCs/>
          <w:sz w:val="28"/>
        </w:rPr>
      </w:pPr>
      <w:r>
        <w:rPr>
          <w:rFonts w:hint="eastAsia" w:ascii="宋体" w:hAnsi="宋体"/>
          <w:b w:val="0"/>
          <w:bCs/>
          <w:sz w:val="28"/>
        </w:rPr>
        <w:t>（2）严格控制点火能源；</w:t>
      </w:r>
    </w:p>
    <w:p w14:paraId="71BB0FF8">
      <w:pPr>
        <w:spacing w:line="360" w:lineRule="auto"/>
        <w:ind w:firstLine="560" w:firstLineChars="200"/>
        <w:rPr>
          <w:rFonts w:ascii="宋体" w:hAnsi="宋体"/>
          <w:b w:val="0"/>
          <w:bCs/>
          <w:sz w:val="28"/>
        </w:rPr>
      </w:pPr>
      <w:r>
        <w:rPr>
          <w:rFonts w:hint="eastAsia" w:ascii="宋体" w:hAnsi="宋体"/>
          <w:b w:val="0"/>
          <w:bCs/>
          <w:sz w:val="28"/>
        </w:rPr>
        <w:t>（3）及时泄出燃爆开始时的压力；</w:t>
      </w:r>
    </w:p>
    <w:p w14:paraId="306094D5">
      <w:pPr>
        <w:spacing w:line="360" w:lineRule="auto"/>
        <w:ind w:firstLine="560" w:firstLineChars="200"/>
        <w:rPr>
          <w:rFonts w:ascii="宋体" w:hAnsi="宋体"/>
          <w:b w:val="0"/>
          <w:bCs/>
          <w:sz w:val="28"/>
        </w:rPr>
      </w:pPr>
      <w:r>
        <w:rPr>
          <w:rFonts w:hint="eastAsia" w:ascii="宋体" w:hAnsi="宋体"/>
          <w:b w:val="0"/>
          <w:bCs/>
          <w:sz w:val="28"/>
        </w:rPr>
        <w:t>（4）切断爆炸传播途径；</w:t>
      </w:r>
    </w:p>
    <w:p w14:paraId="043A6D0D">
      <w:pPr>
        <w:spacing w:line="360" w:lineRule="auto"/>
        <w:ind w:firstLine="560" w:firstLineChars="200"/>
        <w:rPr>
          <w:rFonts w:ascii="宋体" w:hAnsi="宋体"/>
          <w:b w:val="0"/>
          <w:bCs/>
          <w:sz w:val="28"/>
        </w:rPr>
      </w:pPr>
      <w:r>
        <w:rPr>
          <w:rFonts w:hint="eastAsia" w:ascii="宋体" w:hAnsi="宋体"/>
          <w:b w:val="0"/>
          <w:bCs/>
          <w:sz w:val="28"/>
        </w:rPr>
        <w:t>（5）减弱爆炸压力和冲击波对人员、设备和建筑物的破坏。</w:t>
      </w:r>
    </w:p>
    <w:p w14:paraId="50762BA4">
      <w:pPr>
        <w:pStyle w:val="2"/>
        <w:ind w:firstLine="560"/>
        <w:rPr>
          <w:rFonts w:ascii="宋体" w:hAnsi="宋体" w:eastAsia="宋体"/>
          <w:b w:val="0"/>
          <w:bCs/>
        </w:rPr>
      </w:pPr>
      <w:r>
        <w:rPr>
          <w:rFonts w:ascii="宋体" w:hAnsi="宋体" w:eastAsia="宋体"/>
          <w:b w:val="0"/>
          <w:bCs/>
        </w:rPr>
        <w:t>10</w:t>
      </w:r>
      <w:r>
        <w:rPr>
          <w:rFonts w:hint="eastAsia" w:ascii="宋体" w:hAnsi="宋体" w:eastAsia="宋体"/>
          <w:b w:val="0"/>
          <w:bCs/>
        </w:rPr>
        <w:t>、灭火对策措施</w:t>
      </w:r>
    </w:p>
    <w:p w14:paraId="60751AF4">
      <w:pPr>
        <w:spacing w:line="360" w:lineRule="auto"/>
        <w:ind w:firstLine="560" w:firstLineChars="200"/>
        <w:rPr>
          <w:rFonts w:ascii="宋体" w:hAnsi="宋体"/>
          <w:b w:val="0"/>
          <w:bCs/>
          <w:sz w:val="28"/>
        </w:rPr>
      </w:pPr>
      <w:r>
        <w:rPr>
          <w:rFonts w:hint="eastAsia" w:ascii="宋体" w:hAnsi="宋体"/>
          <w:b w:val="0"/>
          <w:bCs/>
          <w:sz w:val="28"/>
        </w:rPr>
        <w:t>监视火灾酝酿期特征、采用耐火建筑、、阻止火陷蔓延、抑止火灾的可能发展规模、组织训练消防队伍、配备相应的消防器材</w:t>
      </w:r>
    </w:p>
    <w:p w14:paraId="0797DD75">
      <w:pPr>
        <w:spacing w:line="360" w:lineRule="auto"/>
        <w:ind w:firstLine="560" w:firstLineChars="200"/>
        <w:rPr>
          <w:rFonts w:ascii="宋体" w:hAnsi="宋体"/>
          <w:b w:val="0"/>
          <w:bCs/>
          <w:sz w:val="28"/>
        </w:rPr>
      </w:pPr>
      <w:r>
        <w:rPr>
          <w:rFonts w:hint="eastAsia" w:ascii="宋体" w:hAnsi="宋体"/>
          <w:b w:val="0"/>
          <w:bCs/>
          <w:sz w:val="28"/>
        </w:rPr>
        <w:t>（1）控制四周易燃易爆物，防止事故扩大；</w:t>
      </w:r>
    </w:p>
    <w:p w14:paraId="68178AAC">
      <w:pPr>
        <w:spacing w:line="360" w:lineRule="auto"/>
        <w:ind w:firstLine="560" w:firstLineChars="200"/>
        <w:rPr>
          <w:rFonts w:ascii="宋体" w:hAnsi="宋体"/>
          <w:b w:val="0"/>
          <w:bCs/>
          <w:sz w:val="28"/>
        </w:rPr>
      </w:pPr>
      <w:r>
        <w:rPr>
          <w:rFonts w:hint="eastAsia" w:ascii="宋体" w:hAnsi="宋体"/>
          <w:b w:val="0"/>
          <w:bCs/>
          <w:sz w:val="28"/>
        </w:rPr>
        <w:t>（2）生产岗位每人一桶水，用于灭火或自救；</w:t>
      </w:r>
    </w:p>
    <w:p w14:paraId="6A2FD906">
      <w:pPr>
        <w:spacing w:line="360" w:lineRule="auto"/>
        <w:ind w:firstLine="560" w:firstLineChars="200"/>
        <w:rPr>
          <w:rFonts w:ascii="宋体" w:hAnsi="宋体"/>
          <w:b w:val="0"/>
          <w:bCs/>
          <w:sz w:val="28"/>
        </w:rPr>
      </w:pPr>
      <w:r>
        <w:rPr>
          <w:rFonts w:hint="eastAsia" w:ascii="宋体" w:hAnsi="宋体"/>
          <w:b w:val="0"/>
          <w:bCs/>
          <w:sz w:val="28"/>
        </w:rPr>
        <w:t>（3）启用干粉灭火器或消防水枪灭火；</w:t>
      </w:r>
    </w:p>
    <w:p w14:paraId="48A5B4A3">
      <w:pPr>
        <w:spacing w:line="360" w:lineRule="auto"/>
        <w:ind w:firstLine="560" w:firstLineChars="200"/>
        <w:rPr>
          <w:rFonts w:ascii="宋体" w:hAnsi="宋体"/>
          <w:b w:val="0"/>
          <w:bCs/>
          <w:sz w:val="28"/>
        </w:rPr>
      </w:pPr>
      <w:r>
        <w:rPr>
          <w:rFonts w:hint="eastAsia" w:ascii="宋体" w:hAnsi="宋体"/>
          <w:b w:val="0"/>
          <w:bCs/>
          <w:sz w:val="28"/>
        </w:rPr>
        <w:t>（4）灭火剂主要以水为主。金属起火用砂土、水泥等扑灭。</w:t>
      </w:r>
    </w:p>
    <w:p w14:paraId="180FBBEA">
      <w:pPr>
        <w:spacing w:line="360" w:lineRule="auto"/>
        <w:ind w:firstLine="560" w:firstLineChars="200"/>
        <w:rPr>
          <w:rFonts w:ascii="宋体" w:hAnsi="宋体"/>
          <w:b w:val="0"/>
          <w:bCs/>
          <w:sz w:val="28"/>
        </w:rPr>
      </w:pPr>
      <w:r>
        <w:rPr>
          <w:rFonts w:hint="eastAsia" w:ascii="宋体" w:hAnsi="宋体"/>
          <w:b w:val="0"/>
          <w:bCs/>
          <w:sz w:val="28"/>
        </w:rPr>
        <w:t>根据具体情况，一旦发生火灾，应确认无爆炸危险才开展救火工作。</w:t>
      </w:r>
    </w:p>
    <w:p w14:paraId="2EA8CCA9">
      <w:pPr>
        <w:pStyle w:val="2"/>
        <w:ind w:firstLine="560"/>
        <w:rPr>
          <w:rFonts w:ascii="宋体" w:hAnsi="宋体" w:eastAsia="宋体"/>
          <w:b w:val="0"/>
          <w:bCs/>
        </w:rPr>
      </w:pPr>
      <w:r>
        <w:rPr>
          <w:rFonts w:ascii="宋体" w:hAnsi="宋体" w:eastAsia="宋体"/>
          <w:b w:val="0"/>
          <w:bCs/>
        </w:rPr>
        <w:t>11</w:t>
      </w:r>
      <w:r>
        <w:rPr>
          <w:rFonts w:hint="eastAsia" w:ascii="宋体" w:hAnsi="宋体" w:eastAsia="宋体"/>
          <w:b w:val="0"/>
          <w:bCs/>
        </w:rPr>
        <w:t>、冲击波的预防控制措施</w:t>
      </w:r>
    </w:p>
    <w:p w14:paraId="1CC04245">
      <w:pPr>
        <w:spacing w:line="360" w:lineRule="auto"/>
        <w:ind w:firstLine="560" w:firstLineChars="200"/>
        <w:rPr>
          <w:rFonts w:ascii="宋体" w:hAnsi="宋体"/>
          <w:b w:val="0"/>
          <w:bCs/>
          <w:sz w:val="28"/>
        </w:rPr>
      </w:pPr>
      <w:r>
        <w:rPr>
          <w:rFonts w:hint="eastAsia" w:ascii="宋体" w:hAnsi="宋体"/>
          <w:b w:val="0"/>
          <w:bCs/>
          <w:sz w:val="28"/>
        </w:rPr>
        <w:t>冲击波是发生爆炸后释放的爆炸能破坏能量巨大，是烟花爆竹企业发生事故损失的主要方面。对其实行有效控制，是防止烟花爆竹生产发生重、特大安全事故的重要手段。主要从三个方面进行控制：</w:t>
      </w:r>
    </w:p>
    <w:p w14:paraId="16BB0080">
      <w:pPr>
        <w:spacing w:line="360" w:lineRule="auto"/>
        <w:ind w:firstLine="560" w:firstLineChars="200"/>
        <w:rPr>
          <w:rFonts w:ascii="宋体" w:hAnsi="宋体"/>
          <w:b w:val="0"/>
          <w:bCs/>
          <w:sz w:val="28"/>
        </w:rPr>
      </w:pPr>
      <w:r>
        <w:rPr>
          <w:rFonts w:hint="eastAsia" w:ascii="宋体" w:hAnsi="宋体"/>
          <w:b w:val="0"/>
          <w:bCs/>
          <w:sz w:val="28"/>
        </w:rPr>
        <w:t>（1）控制间距：是防止冲击波的最有效的手段，冲击波强度随距离而急剧降低。</w:t>
      </w:r>
    </w:p>
    <w:p w14:paraId="1F0EE127">
      <w:pPr>
        <w:spacing w:line="360" w:lineRule="auto"/>
        <w:ind w:firstLine="560" w:firstLineChars="200"/>
        <w:rPr>
          <w:rFonts w:ascii="宋体" w:hAnsi="宋体"/>
          <w:b w:val="0"/>
          <w:bCs/>
          <w:sz w:val="28"/>
        </w:rPr>
      </w:pPr>
      <w:r>
        <w:rPr>
          <w:rFonts w:hint="eastAsia" w:ascii="宋体" w:hAnsi="宋体"/>
          <w:b w:val="0"/>
          <w:bCs/>
          <w:sz w:val="28"/>
        </w:rPr>
        <w:t>（2）防护屏障：是烟花爆竹行业有效遏止冲击波的手段，防护屏障不能离爆炸源太远，高度不低于屋顶，截面为锥形，防爆堤的作用一是削弱冲击波，二是引导冲击波，改变方向。单一防爆堤可以将防爆堤后的冲击波降低 1/3。</w:t>
      </w:r>
    </w:p>
    <w:p w14:paraId="18E066EB">
      <w:pPr>
        <w:spacing w:line="360" w:lineRule="auto"/>
        <w:ind w:firstLine="560" w:firstLineChars="200"/>
        <w:rPr>
          <w:rFonts w:ascii="宋体" w:hAnsi="宋体"/>
          <w:b w:val="0"/>
          <w:bCs/>
          <w:sz w:val="28"/>
        </w:rPr>
      </w:pPr>
      <w:r>
        <w:rPr>
          <w:rFonts w:hint="eastAsia" w:ascii="宋体" w:hAnsi="宋体"/>
          <w:b w:val="0"/>
          <w:bCs/>
          <w:sz w:val="28"/>
        </w:rPr>
        <w:t>（3）控制药量：冲击波影响的大小与药量的 1/3 次方成正比，所以，安全距离必须与药量相联系，严格限制药量是保证不发生殉爆事故的重要手段。</w:t>
      </w:r>
    </w:p>
    <w:p w14:paraId="73D8FF5D">
      <w:pPr>
        <w:pStyle w:val="2"/>
        <w:ind w:firstLine="560"/>
        <w:rPr>
          <w:rFonts w:ascii="宋体" w:hAnsi="宋体" w:eastAsia="宋体"/>
          <w:b w:val="0"/>
          <w:bCs/>
        </w:rPr>
      </w:pPr>
      <w:r>
        <w:rPr>
          <w:rFonts w:ascii="宋体" w:hAnsi="宋体" w:eastAsia="宋体"/>
          <w:b w:val="0"/>
          <w:bCs/>
        </w:rPr>
        <w:t>12</w:t>
      </w:r>
      <w:r>
        <w:rPr>
          <w:rFonts w:hint="eastAsia" w:ascii="宋体" w:hAnsi="宋体" w:eastAsia="宋体"/>
          <w:b w:val="0"/>
          <w:bCs/>
        </w:rPr>
        <w:t>、火灾与爆炸限制措施</w:t>
      </w:r>
    </w:p>
    <w:p w14:paraId="66C98340">
      <w:pPr>
        <w:spacing w:line="360" w:lineRule="auto"/>
        <w:ind w:firstLine="560" w:firstLineChars="200"/>
        <w:rPr>
          <w:rFonts w:ascii="宋体" w:hAnsi="宋体"/>
          <w:b w:val="0"/>
          <w:bCs/>
          <w:sz w:val="28"/>
        </w:rPr>
      </w:pPr>
      <w:r>
        <w:rPr>
          <w:rFonts w:hint="eastAsia" w:ascii="宋体" w:hAnsi="宋体"/>
          <w:b w:val="0"/>
          <w:bCs/>
          <w:sz w:val="28"/>
        </w:rPr>
        <w:t>一旦发生火灾、爆炸事故，限制其蔓延扩大及减少其损失的措施。例如必要的内、外部安全距离，合理的厂区、库区和厂房布局，建筑结构防火防爆措施，生产工艺布置。厂（库）房的定员、定量规定等都属于防止事故影响扩大的限制性措施。</w:t>
      </w:r>
    </w:p>
    <w:p w14:paraId="5BBD20D0">
      <w:pPr>
        <w:pStyle w:val="2"/>
        <w:ind w:firstLine="560"/>
        <w:rPr>
          <w:rFonts w:ascii="宋体" w:hAnsi="宋体" w:eastAsia="宋体"/>
          <w:b w:val="0"/>
          <w:bCs/>
        </w:rPr>
      </w:pPr>
      <w:r>
        <w:rPr>
          <w:rFonts w:ascii="宋体" w:hAnsi="宋体" w:eastAsia="宋体"/>
          <w:b w:val="0"/>
          <w:bCs/>
        </w:rPr>
        <w:t>13</w:t>
      </w:r>
      <w:r>
        <w:rPr>
          <w:rFonts w:hint="eastAsia" w:ascii="宋体" w:hAnsi="宋体" w:eastAsia="宋体"/>
          <w:b w:val="0"/>
          <w:bCs/>
        </w:rPr>
        <w:t>、火灾与爆炸控制措施</w:t>
      </w:r>
    </w:p>
    <w:p w14:paraId="01A0C15B">
      <w:pPr>
        <w:spacing w:line="360" w:lineRule="auto"/>
        <w:ind w:firstLine="560" w:firstLineChars="200"/>
        <w:rPr>
          <w:rFonts w:ascii="宋体" w:hAnsi="宋体"/>
          <w:b w:val="0"/>
          <w:bCs/>
          <w:sz w:val="28"/>
        </w:rPr>
      </w:pPr>
      <w:r>
        <w:rPr>
          <w:rFonts w:hint="eastAsia" w:ascii="宋体" w:hAnsi="宋体"/>
          <w:b w:val="0"/>
          <w:bCs/>
          <w:sz w:val="28"/>
        </w:rPr>
        <w:t>（1）要根据储存场所规模大小、库房布置分散密集程度、建筑物耐火等级以及消防车到达时间长短等布置消防系统，配备固定灭火装置（消防栓）、消防水泵、干粉灭火器材等。</w:t>
      </w:r>
    </w:p>
    <w:p w14:paraId="0F2661DB">
      <w:pPr>
        <w:spacing w:line="360" w:lineRule="auto"/>
        <w:ind w:firstLine="560" w:firstLineChars="200"/>
        <w:rPr>
          <w:rFonts w:ascii="宋体" w:hAnsi="宋体"/>
          <w:b w:val="0"/>
          <w:bCs/>
          <w:sz w:val="28"/>
          <w:szCs w:val="28"/>
        </w:rPr>
      </w:pPr>
      <w:r>
        <w:rPr>
          <w:rFonts w:hint="eastAsia" w:ascii="宋体" w:hAnsi="宋体"/>
          <w:b w:val="0"/>
          <w:bCs/>
          <w:sz w:val="28"/>
        </w:rPr>
        <w:t>（2）危险品生产厂房和中转库的室外消防用水量，应按现行国家标准《消防给水及消火栓系统技术规范》（GB50974-2014）及《消防设施通用规范》（GB55036-</w:t>
      </w:r>
      <w:r>
        <w:rPr>
          <w:rFonts w:ascii="宋体" w:hAnsi="宋体"/>
          <w:b w:val="0"/>
          <w:bCs/>
          <w:sz w:val="28"/>
        </w:rPr>
        <w:t>2024</w:t>
      </w:r>
      <w:r>
        <w:rPr>
          <w:rFonts w:hint="eastAsia" w:ascii="宋体" w:hAnsi="宋体"/>
          <w:b w:val="0"/>
          <w:bCs/>
          <w:sz w:val="28"/>
        </w:rPr>
        <w:t>）中甲类建</w:t>
      </w:r>
      <w:r>
        <w:rPr>
          <w:rFonts w:hint="eastAsia" w:ascii="宋体" w:hAnsi="宋体" w:cs="宋体"/>
          <w:b w:val="0"/>
          <w:bCs/>
          <w:sz w:val="28"/>
          <w:szCs w:val="28"/>
        </w:rPr>
        <w:t>筑物的规定执行</w:t>
      </w:r>
      <w:r>
        <w:rPr>
          <w:rFonts w:hint="eastAsia" w:ascii="宋体" w:hAnsi="宋体"/>
          <w:b w:val="0"/>
          <w:bCs/>
          <w:sz w:val="28"/>
          <w:szCs w:val="28"/>
        </w:rPr>
        <w:t>。</w:t>
      </w:r>
    </w:p>
    <w:p w14:paraId="4E84BEF6">
      <w:pPr>
        <w:spacing w:line="360" w:lineRule="auto"/>
        <w:ind w:firstLine="560" w:firstLineChars="200"/>
        <w:rPr>
          <w:rFonts w:ascii="宋体" w:hAnsi="宋体"/>
          <w:b w:val="0"/>
          <w:bCs/>
          <w:sz w:val="28"/>
        </w:rPr>
      </w:pPr>
      <w:r>
        <w:rPr>
          <w:rFonts w:hint="eastAsia" w:ascii="宋体" w:hAnsi="宋体"/>
          <w:b w:val="0"/>
          <w:bCs/>
          <w:sz w:val="28"/>
        </w:rPr>
        <w:t>（3）危险品库区根据当地消防供水条件，可设消防蓄水池、高位水池、室外消防栓或利用天然河流、水塘。消防用水量应按</w:t>
      </w:r>
      <w:r>
        <w:rPr>
          <w:rFonts w:ascii="宋体" w:hAnsi="宋体"/>
          <w:b w:val="0"/>
          <w:bCs/>
          <w:sz w:val="28"/>
        </w:rPr>
        <w:t>2</w:t>
      </w:r>
      <w:r>
        <w:rPr>
          <w:rFonts w:hint="eastAsia" w:ascii="宋体" w:hAnsi="宋体"/>
          <w:b w:val="0"/>
          <w:bCs/>
          <w:sz w:val="28"/>
        </w:rPr>
        <w:t>5L/S、消防延续时间应按3小时计算。室外消火栓的保护半径，不应超过1</w:t>
      </w:r>
      <w:r>
        <w:rPr>
          <w:rFonts w:ascii="宋体" w:hAnsi="宋体"/>
          <w:b w:val="0"/>
          <w:bCs/>
          <w:sz w:val="28"/>
        </w:rPr>
        <w:t>50m</w:t>
      </w:r>
      <w:r>
        <w:rPr>
          <w:rFonts w:hint="eastAsia" w:ascii="宋体" w:hAnsi="宋体"/>
          <w:b w:val="0"/>
          <w:bCs/>
          <w:sz w:val="28"/>
        </w:rPr>
        <w:t>，间距不应大于1</w:t>
      </w:r>
      <w:r>
        <w:rPr>
          <w:rFonts w:ascii="宋体" w:hAnsi="宋体"/>
          <w:b w:val="0"/>
          <w:bCs/>
          <w:sz w:val="28"/>
        </w:rPr>
        <w:t>20m</w:t>
      </w:r>
      <w:r>
        <w:rPr>
          <w:rFonts w:hint="eastAsia" w:ascii="宋体" w:hAnsi="宋体"/>
          <w:b w:val="0"/>
          <w:bCs/>
          <w:sz w:val="28"/>
        </w:rPr>
        <w:t>。</w:t>
      </w:r>
    </w:p>
    <w:p w14:paraId="559ED5BF">
      <w:pPr>
        <w:spacing w:line="360" w:lineRule="auto"/>
        <w:ind w:firstLine="560" w:firstLineChars="200"/>
        <w:rPr>
          <w:rFonts w:ascii="宋体" w:hAnsi="宋体"/>
          <w:b w:val="0"/>
          <w:bCs/>
          <w:sz w:val="28"/>
        </w:rPr>
      </w:pPr>
      <w:r>
        <w:rPr>
          <w:rFonts w:hint="eastAsia" w:ascii="宋体" w:hAnsi="宋体"/>
          <w:b w:val="0"/>
          <w:bCs/>
          <w:sz w:val="28"/>
        </w:rPr>
        <w:t>（4）消防储备水应有平时不被运用的措施，使用后的补给恢复时间不应超过48小时。</w:t>
      </w:r>
    </w:p>
    <w:p w14:paraId="497AD19C">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4</w:t>
      </w:r>
      <w:r>
        <w:rPr>
          <w:rFonts w:hint="eastAsia" w:ascii="宋体" w:hAnsi="宋体" w:eastAsia="宋体"/>
          <w:b w:val="0"/>
          <w:bCs/>
        </w:rPr>
        <w:t>、预防粉尘爆炸安全对策措施</w:t>
      </w:r>
    </w:p>
    <w:p w14:paraId="07C8239E">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（1）工艺方面</w:t>
      </w:r>
    </w:p>
    <w:p w14:paraId="240B24F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加工易产生爆炸性粉尘的设备应配备较好的除尘设施。</w:t>
      </w:r>
    </w:p>
    <w:p w14:paraId="5A96C76A">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（2）防雷、防静电方面</w:t>
      </w:r>
    </w:p>
    <w:p w14:paraId="656D0E9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lang w:val="en-GB"/>
        </w:rPr>
        <w:t>防雷设施在每年的第一场春雨来临之前，应请有相应资质的检验机构进行检验，且每半年至少应检验一次；防静电接地设施每年至少应检验一次。</w:t>
      </w:r>
    </w:p>
    <w:p w14:paraId="23D68676">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（3）电气方面</w:t>
      </w:r>
    </w:p>
    <w:p w14:paraId="77F12625">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1）粉尘爆炸环境内的电动机防护等级，一般不得低于IP54。</w:t>
      </w:r>
    </w:p>
    <w:p w14:paraId="79514C01">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2）加工或使用高挥发的爆炸性粉尘，除了要考虑防止粉尘爆炸的危险因素以外，还要考虑防止挥发出来的可燃气体发生爆炸。如粉碎硫磺的电动机防爆等级应满足dⅡBT4的要求。</w:t>
      </w:r>
    </w:p>
    <w:p w14:paraId="3EDDB83A">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3）粉尘爆炸环境内的照明灯具，应采用带有DT型的防爆照明灯具。</w:t>
      </w:r>
    </w:p>
    <w:p w14:paraId="5AF15845">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4）进入粉尘爆炸环境内维修、维护设备，应采用防爆照明灯或手电。</w:t>
      </w:r>
    </w:p>
    <w:p w14:paraId="77D428AD">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（4）其他方面</w:t>
      </w:r>
    </w:p>
    <w:p w14:paraId="21297E58">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进入粉尘爆炸环境内维修、维护设备，不得采用产生火花工具（如普通钢扳子、管钳子、铁锤等）进行现场作业，如现场没有产生火花工具，可以考虑采用水喷雾进行浇湿和熄灭所产生火花的方法，进行现场作业。</w:t>
      </w:r>
    </w:p>
    <w:p w14:paraId="4FE0B56F">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2）进入粉尘爆炸环境内清理沉积的可燃性粉尘，不得使用铁锨等产生火花的工具，而应采用木锨。</w:t>
      </w:r>
    </w:p>
    <w:p w14:paraId="7A9D3764">
      <w:pPr>
        <w:spacing w:line="360" w:lineRule="auto"/>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3）进入有粉尘爆炸环境里的作业人员，应穿着防静电工作服。</w:t>
      </w:r>
    </w:p>
    <w:p w14:paraId="7C62EFE2">
      <w:pPr>
        <w:pStyle w:val="2"/>
        <w:ind w:firstLine="560"/>
        <w:rPr>
          <w:rFonts w:ascii="宋体" w:hAnsi="宋体" w:eastAsia="宋体"/>
          <w:b w:val="0"/>
          <w:bCs/>
        </w:rPr>
      </w:pPr>
      <w:r>
        <w:rPr>
          <w:rFonts w:hint="eastAsia" w:cs="宋体" w:asciiTheme="minorEastAsia" w:hAnsiTheme="minorEastAsia" w:eastAsiaTheme="minorEastAsia"/>
          <w:b w:val="0"/>
          <w:bCs/>
          <w:szCs w:val="28"/>
        </w:rPr>
        <w:t>4）进入粉尘爆炸环境内的作业人员，不得使用手机进行工作通讯联系，而应采用手语、旗语或人工通讯等方式联系。</w:t>
      </w:r>
    </w:p>
    <w:p w14:paraId="7A99BB57">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.3.9</w:t>
      </w:r>
      <w:r>
        <w:rPr>
          <w:rFonts w:hint="eastAsia" w:ascii="黑体" w:hAnsi="黑体" w:eastAsia="黑体" w:cs="宋体"/>
          <w:b w:val="0"/>
          <w:szCs w:val="28"/>
        </w:rPr>
        <w:t>风险监测预警系统方面</w:t>
      </w:r>
    </w:p>
    <w:p w14:paraId="76B4FDC0">
      <w:pPr>
        <w:spacing w:line="360" w:lineRule="auto"/>
        <w:ind w:firstLine="560" w:firstLineChars="200"/>
        <w:rPr>
          <w:rFonts w:cs="宋体" w:asciiTheme="minorEastAsia" w:hAnsiTheme="minorEastAsia" w:eastAsiaTheme="minorEastAsia"/>
          <w:b w:val="0"/>
          <w:bCs/>
          <w:sz w:val="28"/>
          <w:szCs w:val="28"/>
        </w:rPr>
      </w:pPr>
      <w:r>
        <w:rPr>
          <w:rFonts w:hint="eastAsia" w:ascii="宋体" w:hAnsi="宋体"/>
          <w:b w:val="0"/>
          <w:bCs/>
          <w:sz w:val="28"/>
          <w:szCs w:val="28"/>
        </w:rPr>
        <w:t>本项目设置安全生产风险监测预警系统（以下简称“预警系统”），</w:t>
      </w:r>
      <w:r>
        <w:rPr>
          <w:rFonts w:hint="eastAsia" w:cs="宋体" w:asciiTheme="minorEastAsia" w:hAnsiTheme="minorEastAsia" w:eastAsiaTheme="minorEastAsia"/>
          <w:b w:val="0"/>
          <w:bCs/>
          <w:sz w:val="28"/>
          <w:szCs w:val="28"/>
        </w:rPr>
        <w:t>技术参数应当符合《关于2021年度烟花爆竹生产企业安全风险监测预警系统基本功能和相关要求的函》（2021年8月13日）、《烟花爆竹工程设计安全标准》（GB50161-2022）、《烟花爆竹安全生产风险监测预警技术规范》（AQ4101-2026）、《视频安防监控系统技术要求》（GA/T367-2001）等国家标准、行业标准的相关规定。</w:t>
      </w:r>
    </w:p>
    <w:p w14:paraId="1877A66A">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1、企业端应将企业内部数据采集、处理并将数据上传至政府监管端；预警系统应保证数据连续、完整，运行稳定、安全、可靠；维护和升级不应影响安全运行。</w:t>
      </w:r>
    </w:p>
    <w:p w14:paraId="4137E721">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2、预警系统应具备通过标准通信协议、接口规范、数据编码共享监测信息的功能，符合《公共安全视频监控联网系统信息传输、交换、控制技术要求》（G</w:t>
      </w:r>
      <w:r>
        <w:rPr>
          <w:rFonts w:asciiTheme="majorEastAsia" w:hAnsiTheme="majorEastAsia" w:eastAsiaTheme="majorEastAsia"/>
          <w:b w:val="0"/>
          <w:bCs/>
        </w:rPr>
        <w:t>B/T28181-2022</w:t>
      </w:r>
      <w:r>
        <w:rPr>
          <w:rFonts w:hint="eastAsia" w:asciiTheme="majorEastAsia" w:hAnsiTheme="majorEastAsia" w:eastAsiaTheme="majorEastAsia"/>
          <w:b w:val="0"/>
          <w:bCs/>
        </w:rPr>
        <w:t>）的相关规定，并保障网络安全和信息安全。</w:t>
      </w:r>
    </w:p>
    <w:p w14:paraId="18AAC6CA">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3、预警系统应具备各类监测参数的信息采集、实时展示、操作处理、数据记录、预警报警、信息存储等功能，支持查询各类监控信息的实时数据、历史数据、报警数据，支持视频实时查看与回放。</w:t>
      </w:r>
    </w:p>
    <w:p w14:paraId="6A98F924">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4、视频监控系统的本地视频存储时间不应少于9</w:t>
      </w:r>
      <w:r>
        <w:rPr>
          <w:rFonts w:asciiTheme="majorEastAsia" w:hAnsiTheme="majorEastAsia" w:eastAsiaTheme="majorEastAsia"/>
          <w:b w:val="0"/>
          <w:bCs/>
        </w:rPr>
        <w:t>0</w:t>
      </w:r>
      <w:r>
        <w:rPr>
          <w:rFonts w:hint="eastAsia" w:asciiTheme="majorEastAsia" w:hAnsiTheme="majorEastAsia" w:eastAsiaTheme="majorEastAsia"/>
          <w:b w:val="0"/>
          <w:bCs/>
        </w:rPr>
        <w:t>天，物联感知系统感知监测信息存储时间不应少于1</w:t>
      </w:r>
      <w:r>
        <w:rPr>
          <w:rFonts w:asciiTheme="majorEastAsia" w:hAnsiTheme="majorEastAsia" w:eastAsiaTheme="majorEastAsia"/>
          <w:b w:val="0"/>
          <w:bCs/>
        </w:rPr>
        <w:t>80</w:t>
      </w:r>
      <w:r>
        <w:rPr>
          <w:rFonts w:hint="eastAsia" w:asciiTheme="majorEastAsia" w:hAnsiTheme="majorEastAsia" w:eastAsiaTheme="majorEastAsia"/>
          <w:b w:val="0"/>
          <w:bCs/>
        </w:rPr>
        <w:t>天，各类报警信息存储时间不应少于1年。</w:t>
      </w:r>
    </w:p>
    <w:p w14:paraId="099AB80B">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5、企业应在危险品生产区出入口、库区出入口处设置门禁系统，门禁系统报告车辆道闸、人行闸机等设备，实现进出厂库区车辆、人员识别记录功能，并应符合下列要求：</w:t>
      </w:r>
    </w:p>
    <w:p w14:paraId="0F9328EF">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①企业提前将车辆信息录入预警系统企业端，车辆道闸支持车头、车尾双重车牌比对识别，车辆通过核验后进入；</w:t>
      </w:r>
    </w:p>
    <w:p w14:paraId="1B960F60">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②企业将员工基础信息录入预警系统企业端，同时通过人行闸机的生物识别验证和刷卡（或扫码）信息核验后进入；非本单位人员通过授权刷卡进入。</w:t>
      </w:r>
    </w:p>
    <w:p w14:paraId="66D89257">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6、预警系统应通过监测仓库内产品堆码高度、长度、宽度、主通道和检查通道宽度等方式，智能识别违规储存行为。</w:t>
      </w:r>
    </w:p>
    <w:p w14:paraId="1D7303DA">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7、预警系统的各类设备及电气线路应符合《烟花爆竹工程设计安全标准》（GB</w:t>
      </w:r>
      <w:r>
        <w:rPr>
          <w:rFonts w:asciiTheme="majorEastAsia" w:hAnsiTheme="majorEastAsia" w:eastAsiaTheme="majorEastAsia"/>
          <w:b w:val="0"/>
          <w:bCs/>
        </w:rPr>
        <w:t>50161-2022</w:t>
      </w:r>
      <w:r>
        <w:rPr>
          <w:rFonts w:hint="eastAsia" w:asciiTheme="majorEastAsia" w:hAnsiTheme="majorEastAsia" w:eastAsiaTheme="majorEastAsia"/>
          <w:b w:val="0"/>
          <w:bCs/>
        </w:rPr>
        <w:t>）中有关防爆、防雷、防静电等要求，防爆设备的防爆等级应不低于安装场所防爆等级要求，并取得防爆C</w:t>
      </w:r>
      <w:r>
        <w:rPr>
          <w:rFonts w:asciiTheme="majorEastAsia" w:hAnsiTheme="majorEastAsia" w:eastAsiaTheme="majorEastAsia"/>
          <w:b w:val="0"/>
          <w:bCs/>
        </w:rPr>
        <w:t>CC</w:t>
      </w:r>
      <w:r>
        <w:rPr>
          <w:rFonts w:hint="eastAsia" w:asciiTheme="majorEastAsia" w:hAnsiTheme="majorEastAsia" w:eastAsiaTheme="majorEastAsia"/>
          <w:b w:val="0"/>
          <w:bCs/>
        </w:rPr>
        <w:t>证书。</w:t>
      </w:r>
    </w:p>
    <w:p w14:paraId="6067796A">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8、若安装智能静电释放报警器、本安型温湿度传感器则应使用有线网络连接，智能静电释放报警器接地桩的接地阻值应不大于1</w:t>
      </w:r>
      <w:r>
        <w:rPr>
          <w:rFonts w:asciiTheme="majorEastAsia" w:hAnsiTheme="majorEastAsia" w:eastAsiaTheme="majorEastAsia"/>
          <w:b w:val="0"/>
          <w:bCs/>
        </w:rPr>
        <w:t>00</w:t>
      </w:r>
      <w:r>
        <w:rPr>
          <w:rFonts w:hint="eastAsia" w:asciiTheme="majorEastAsia" w:hAnsiTheme="majorEastAsia" w:eastAsiaTheme="majorEastAsia"/>
          <w:b w:val="0"/>
          <w:bCs/>
        </w:rPr>
        <w:t>Ω。</w:t>
      </w:r>
    </w:p>
    <w:p w14:paraId="7CA9D2B0">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9、预警系统应具备现场异常情况语音自动播报功能，语音播报音箱应独立供电和传输信号，非防爆型语音播报音箱应安装在工库房5</w:t>
      </w:r>
      <w:r>
        <w:rPr>
          <w:rFonts w:asciiTheme="majorEastAsia" w:hAnsiTheme="majorEastAsia" w:eastAsiaTheme="majorEastAsia"/>
          <w:b w:val="0"/>
          <w:bCs/>
        </w:rPr>
        <w:t>m</w:t>
      </w:r>
      <w:r>
        <w:rPr>
          <w:rFonts w:hint="eastAsia" w:asciiTheme="majorEastAsia" w:hAnsiTheme="majorEastAsia" w:eastAsiaTheme="majorEastAsia"/>
          <w:b w:val="0"/>
          <w:bCs/>
        </w:rPr>
        <w:t>以外。</w:t>
      </w:r>
    </w:p>
    <w:p w14:paraId="1A049B75">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0</w:t>
      </w:r>
      <w:r>
        <w:rPr>
          <w:rFonts w:hint="eastAsia" w:asciiTheme="majorEastAsia" w:hAnsiTheme="majorEastAsia" w:eastAsiaTheme="majorEastAsia"/>
          <w:b w:val="0"/>
          <w:bCs/>
        </w:rPr>
        <w:t>、预警系统应具备报警分级管理功能，区分设置不同级别的报警声音和显示画面。</w:t>
      </w:r>
    </w:p>
    <w:p w14:paraId="3DCC922C">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1</w:t>
      </w:r>
      <w:r>
        <w:rPr>
          <w:rFonts w:hint="eastAsia" w:asciiTheme="majorEastAsia" w:hAnsiTheme="majorEastAsia" w:eastAsiaTheme="majorEastAsia"/>
          <w:b w:val="0"/>
          <w:bCs/>
        </w:rPr>
        <w:t>、建设项目预警系统应具备超员超量行为识别、未释放静电行为识别、违法违规入侵行为识别、厂内运输车辆异常行为识别、黑火药仓库内湿温度监测、监控摄像机异常情况识别、停工停产期间作业行为识别、进出厂库区人员车辆识别、仓库内产品堆垛情况识别等功能。</w:t>
      </w:r>
    </w:p>
    <w:p w14:paraId="6C108470">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2</w:t>
      </w:r>
      <w:r>
        <w:rPr>
          <w:rFonts w:hint="eastAsia" w:asciiTheme="majorEastAsia" w:hAnsiTheme="majorEastAsia" w:eastAsiaTheme="majorEastAsia"/>
          <w:b w:val="0"/>
          <w:bCs/>
        </w:rPr>
        <w:t>、建设单位（湖南金帝烟花爆竹制造有限公司）应在以下位置安装监控摄像机或扫描雷达等监测设备：</w:t>
      </w:r>
    </w:p>
    <w:p w14:paraId="50B5B073">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①1</w:t>
      </w:r>
      <w:r>
        <w:rPr>
          <w:rFonts w:asciiTheme="majorEastAsia" w:hAnsiTheme="majorEastAsia" w:eastAsiaTheme="majorEastAsia"/>
          <w:b w:val="0"/>
          <w:bCs/>
        </w:rPr>
        <w:t>.1</w:t>
      </w:r>
      <w:r>
        <w:rPr>
          <w:rFonts w:hint="eastAsia" w:asciiTheme="majorEastAsia" w:hAnsiTheme="majorEastAsia" w:eastAsiaTheme="majorEastAsia"/>
          <w:b w:val="0"/>
          <w:bCs/>
        </w:rPr>
        <w:t>级工房的作业区域、1</w:t>
      </w:r>
      <w:r>
        <w:rPr>
          <w:rFonts w:asciiTheme="majorEastAsia" w:hAnsiTheme="majorEastAsia" w:eastAsiaTheme="majorEastAsia"/>
          <w:b w:val="0"/>
          <w:bCs/>
        </w:rPr>
        <w:t>.1</w:t>
      </w:r>
      <w:r>
        <w:rPr>
          <w:rFonts w:hint="eastAsia" w:asciiTheme="majorEastAsia" w:hAnsiTheme="majorEastAsia" w:eastAsiaTheme="majorEastAsia"/>
          <w:b w:val="0"/>
          <w:bCs/>
        </w:rPr>
        <w:t>级中转库的出入口安装监控摄像机；</w:t>
      </w:r>
    </w:p>
    <w:p w14:paraId="653F1E0B">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②1</w:t>
      </w:r>
      <w:r>
        <w:rPr>
          <w:rFonts w:asciiTheme="majorEastAsia" w:hAnsiTheme="majorEastAsia" w:eastAsiaTheme="majorEastAsia"/>
          <w:b w:val="0"/>
          <w:bCs/>
        </w:rPr>
        <w:t>.3</w:t>
      </w:r>
      <w:r>
        <w:rPr>
          <w:rFonts w:hint="eastAsia" w:asciiTheme="majorEastAsia" w:hAnsiTheme="majorEastAsia" w:eastAsiaTheme="majorEastAsia"/>
          <w:b w:val="0"/>
          <w:bCs/>
        </w:rPr>
        <w:t>级工房的作业区域、无药工房作业区域、1</w:t>
      </w:r>
      <w:r>
        <w:rPr>
          <w:rFonts w:asciiTheme="majorEastAsia" w:hAnsiTheme="majorEastAsia" w:eastAsiaTheme="majorEastAsia"/>
          <w:b w:val="0"/>
          <w:bCs/>
        </w:rPr>
        <w:t>.3</w:t>
      </w:r>
      <w:r>
        <w:rPr>
          <w:rFonts w:hint="eastAsia" w:asciiTheme="majorEastAsia" w:hAnsiTheme="majorEastAsia" w:eastAsiaTheme="majorEastAsia"/>
          <w:b w:val="0"/>
          <w:bCs/>
        </w:rPr>
        <w:t>级中转库内及出入口安装监控摄像机；</w:t>
      </w:r>
    </w:p>
    <w:p w14:paraId="417065E9">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③黑火药库的出入口、化工原材料库的出入库安装监控摄像机；</w:t>
      </w:r>
    </w:p>
    <w:p w14:paraId="1002744A">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④涉裸药机械设备工房的人员操作区域、机械设备关键部位，以及涉裸药区域与其他区域之间的人员出入口安装监控摄像机；</w:t>
      </w:r>
    </w:p>
    <w:p w14:paraId="4933E9CA">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⑤厂内药物和黑火药车辆运输通道、成品和半成品车辆运输主通道的路口处安装监控摄像机；</w:t>
      </w:r>
    </w:p>
    <w:p w14:paraId="679CB8FB">
      <w:pPr>
        <w:pStyle w:val="2"/>
        <w:ind w:firstLine="1120" w:firstLineChars="400"/>
        <w:rPr>
          <w:rFonts w:asciiTheme="majorEastAsia" w:hAnsiTheme="majorEastAsia" w:eastAsiaTheme="majorEastAsia"/>
          <w:b w:val="0"/>
          <w:bCs/>
        </w:rPr>
      </w:pPr>
      <w:r>
        <w:rPr>
          <w:rFonts w:hint="eastAsia" w:asciiTheme="majorEastAsia" w:hAnsiTheme="majorEastAsia" w:eastAsiaTheme="majorEastAsia"/>
          <w:b w:val="0"/>
          <w:bCs/>
        </w:rPr>
        <w:t>⑥危险品生产区、总库区的出入口安装监控摄像机、车辆道闸和人行闸机。</w:t>
      </w:r>
    </w:p>
    <w:p w14:paraId="027163C8">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3</w:t>
      </w:r>
      <w:r>
        <w:rPr>
          <w:rFonts w:hint="eastAsia" w:asciiTheme="majorEastAsia" w:hAnsiTheme="majorEastAsia" w:eastAsiaTheme="majorEastAsia"/>
          <w:b w:val="0"/>
          <w:bCs/>
        </w:rPr>
        <w:t>、预警系统向企业端及政府监管端传输数据应使用带独立</w:t>
      </w:r>
      <w:r>
        <w:rPr>
          <w:rFonts w:asciiTheme="majorEastAsia" w:hAnsiTheme="majorEastAsia" w:eastAsiaTheme="majorEastAsia"/>
          <w:b w:val="0"/>
          <w:bCs/>
        </w:rPr>
        <w:t>IP</w:t>
      </w:r>
      <w:r>
        <w:rPr>
          <w:rFonts w:hint="eastAsia" w:asciiTheme="majorEastAsia" w:hAnsiTheme="majorEastAsia" w:eastAsiaTheme="majorEastAsia"/>
          <w:b w:val="0"/>
          <w:bCs/>
        </w:rPr>
        <w:t>的互联网专线，带宽不低于2</w:t>
      </w:r>
      <w:r>
        <w:rPr>
          <w:rFonts w:asciiTheme="majorEastAsia" w:hAnsiTheme="majorEastAsia" w:eastAsiaTheme="majorEastAsia"/>
          <w:b w:val="0"/>
          <w:bCs/>
        </w:rPr>
        <w:t>0M</w:t>
      </w:r>
      <w:r>
        <w:rPr>
          <w:rFonts w:hint="eastAsia" w:asciiTheme="majorEastAsia" w:hAnsiTheme="majorEastAsia" w:eastAsiaTheme="majorEastAsia"/>
          <w:b w:val="0"/>
          <w:bCs/>
        </w:rPr>
        <w:t>。</w:t>
      </w:r>
    </w:p>
    <w:p w14:paraId="530DA707">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4</w:t>
      </w:r>
      <w:r>
        <w:rPr>
          <w:rFonts w:hint="eastAsia" w:asciiTheme="majorEastAsia" w:hAnsiTheme="majorEastAsia" w:eastAsiaTheme="majorEastAsia"/>
          <w:b w:val="0"/>
          <w:bCs/>
        </w:rPr>
        <w:t>、建设单位（湖南金帝烟花爆竹制造有限公司）应在施工前组织编制预警系统施工设计文件，包括企业C</w:t>
      </w:r>
      <w:r>
        <w:rPr>
          <w:rFonts w:asciiTheme="majorEastAsia" w:hAnsiTheme="majorEastAsia" w:eastAsiaTheme="majorEastAsia"/>
          <w:b w:val="0"/>
          <w:bCs/>
        </w:rPr>
        <w:t>AD</w:t>
      </w:r>
      <w:r>
        <w:rPr>
          <w:rFonts w:hint="eastAsia" w:asciiTheme="majorEastAsia" w:hAnsiTheme="majorEastAsia" w:eastAsiaTheme="majorEastAsia"/>
          <w:b w:val="0"/>
          <w:bCs/>
        </w:rPr>
        <w:t>图纸、设计说明、线路走线图、设备安装位置等。</w:t>
      </w:r>
    </w:p>
    <w:p w14:paraId="4DCD9A4D">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5</w:t>
      </w:r>
      <w:r>
        <w:rPr>
          <w:rFonts w:hint="eastAsia" w:asciiTheme="majorEastAsia" w:hAnsiTheme="majorEastAsia" w:eastAsiaTheme="majorEastAsia"/>
          <w:b w:val="0"/>
          <w:bCs/>
        </w:rPr>
        <w:t>、预警系统施工单位应按照施工设计文件、建单位技术交底内容等编写施工方案，并由建设单位审核确认。</w:t>
      </w:r>
    </w:p>
    <w:p w14:paraId="63A555E2">
      <w:pPr>
        <w:pStyle w:val="2"/>
        <w:ind w:firstLine="560"/>
        <w:rPr>
          <w:rFonts w:asciiTheme="majorEastAsia" w:hAnsiTheme="majorEastAsia" w:eastAsiaTheme="majorEastAsia"/>
          <w:b w:val="0"/>
          <w:bCs/>
        </w:rPr>
      </w:pPr>
      <w:r>
        <w:rPr>
          <w:rFonts w:asciiTheme="majorEastAsia" w:hAnsiTheme="majorEastAsia" w:eastAsiaTheme="majorEastAsia"/>
          <w:b w:val="0"/>
          <w:bCs/>
        </w:rPr>
        <w:t>16</w:t>
      </w:r>
      <w:r>
        <w:rPr>
          <w:rFonts w:hint="eastAsia" w:asciiTheme="majorEastAsia" w:hAnsiTheme="majorEastAsia" w:eastAsiaTheme="majorEastAsia"/>
          <w:b w:val="0"/>
          <w:bCs/>
        </w:rPr>
        <w:t>、预警系统施工单位应在施工前对预警系统设备、管件、电线、光纤等完好性进行现场检查，并按施工设计文件、施工方案进行施工，如需变更时，应履行变更手续。</w:t>
      </w:r>
    </w:p>
    <w:p w14:paraId="58DCBE1B">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7</w:t>
      </w:r>
      <w:r>
        <w:rPr>
          <w:rFonts w:hint="eastAsia" w:asciiTheme="majorEastAsia" w:hAnsiTheme="majorEastAsia" w:eastAsiaTheme="majorEastAsia"/>
          <w:b w:val="0"/>
          <w:bCs/>
        </w:rPr>
        <w:t>、预警系统经安装完成并调试正常后，应按要求组织验收并达到合格，验收不合格不应投入使用。</w:t>
      </w:r>
    </w:p>
    <w:p w14:paraId="2775E714">
      <w:pPr>
        <w:pStyle w:val="2"/>
        <w:ind w:firstLine="560"/>
        <w:rPr>
          <w:rFonts w:asciiTheme="majorEastAsia" w:hAnsiTheme="majorEastAsia" w:eastAsiaTheme="majorEastAsia"/>
          <w:b w:val="0"/>
          <w:bCs/>
        </w:rPr>
      </w:pPr>
      <w:r>
        <w:rPr>
          <w:rFonts w:hint="eastAsia" w:asciiTheme="majorEastAsia" w:hAnsiTheme="majorEastAsia" w:eastAsiaTheme="majorEastAsia"/>
          <w:b w:val="0"/>
          <w:bCs/>
        </w:rPr>
        <w:t>1</w:t>
      </w:r>
      <w:r>
        <w:rPr>
          <w:rFonts w:asciiTheme="majorEastAsia" w:hAnsiTheme="majorEastAsia" w:eastAsiaTheme="majorEastAsia"/>
          <w:b w:val="0"/>
          <w:bCs/>
        </w:rPr>
        <w:t>8</w:t>
      </w:r>
      <w:r>
        <w:rPr>
          <w:rFonts w:hint="eastAsia" w:asciiTheme="majorEastAsia" w:hAnsiTheme="majorEastAsia" w:eastAsiaTheme="majorEastAsia"/>
          <w:b w:val="0"/>
          <w:bCs/>
        </w:rPr>
        <w:t>、预警系统应定期检测检验、维护保养，并做好记录、签字确认。</w:t>
      </w:r>
    </w:p>
    <w:p w14:paraId="712EB8DD">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.3.10</w:t>
      </w:r>
      <w:r>
        <w:rPr>
          <w:rFonts w:hint="eastAsia" w:ascii="黑体" w:hAnsi="黑体" w:eastAsia="黑体" w:cs="宋体"/>
          <w:b w:val="0"/>
          <w:szCs w:val="28"/>
        </w:rPr>
        <w:t>涉药设备方面</w:t>
      </w:r>
    </w:p>
    <w:p w14:paraId="2876E4E2">
      <w:pPr>
        <w:spacing w:line="360" w:lineRule="auto"/>
        <w:ind w:firstLine="560" w:firstLineChars="200"/>
        <w:rPr>
          <w:rFonts w:asciiTheme="minorEastAsia" w:hAnsiTheme="minorEastAsia" w:eastAsiaTheme="minorEastAsia"/>
          <w:b w:val="0"/>
          <w:bCs/>
          <w:sz w:val="28"/>
          <w:szCs w:val="28"/>
        </w:rPr>
      </w:pPr>
      <w:r>
        <w:rPr>
          <w:rFonts w:hint="eastAsia" w:asciiTheme="minorEastAsia" w:hAnsiTheme="minorEastAsia" w:eastAsiaTheme="minorEastAsia"/>
          <w:b w:val="0"/>
          <w:bCs/>
          <w:sz w:val="28"/>
          <w:szCs w:val="28"/>
        </w:rPr>
        <w:t>1、本项目所安装涉药设备应按规定通过安全论证，设备的定员、定机和定量应符合《烟花爆竹工程设计安全标准》（G</w:t>
      </w:r>
      <w:r>
        <w:rPr>
          <w:rFonts w:asciiTheme="minorEastAsia" w:hAnsiTheme="minorEastAsia" w:eastAsiaTheme="minorEastAsia"/>
          <w:b w:val="0"/>
          <w:bCs/>
          <w:sz w:val="28"/>
          <w:szCs w:val="28"/>
        </w:rPr>
        <w:t>B50161-2022</w:t>
      </w:r>
      <w:r>
        <w:rPr>
          <w:rFonts w:hint="eastAsia" w:asciiTheme="minorEastAsia" w:hAnsiTheme="minorEastAsia" w:eastAsiaTheme="minorEastAsia"/>
          <w:b w:val="0"/>
          <w:bCs/>
          <w:sz w:val="28"/>
          <w:szCs w:val="28"/>
        </w:rPr>
        <w:t>）和《烟花爆竹作业安全技术规程》（G</w:t>
      </w:r>
      <w:r>
        <w:rPr>
          <w:rFonts w:asciiTheme="minorEastAsia" w:hAnsiTheme="minorEastAsia" w:eastAsiaTheme="minorEastAsia"/>
          <w:b w:val="0"/>
          <w:bCs/>
          <w:sz w:val="28"/>
          <w:szCs w:val="28"/>
        </w:rPr>
        <w:t>B11652-2012</w:t>
      </w:r>
      <w:r>
        <w:rPr>
          <w:rFonts w:hint="eastAsia" w:asciiTheme="minorEastAsia" w:hAnsiTheme="minorEastAsia" w:eastAsiaTheme="minorEastAsia"/>
          <w:b w:val="0"/>
          <w:bCs/>
          <w:sz w:val="28"/>
          <w:szCs w:val="28"/>
        </w:rPr>
        <w:t>）的要求，并在设备安全论证时予以明确。</w:t>
      </w:r>
    </w:p>
    <w:p w14:paraId="74376979">
      <w:pPr>
        <w:pStyle w:val="2"/>
        <w:ind w:firstLine="560"/>
        <w:rPr>
          <w:rFonts w:ascii="宋体" w:hAnsi="宋体" w:eastAsia="宋体"/>
          <w:b w:val="0"/>
          <w:bCs/>
        </w:rPr>
      </w:pPr>
      <w:r>
        <w:rPr>
          <w:rFonts w:hint="eastAsia" w:ascii="宋体" w:hAnsi="宋体" w:eastAsia="宋体"/>
          <w:b w:val="0"/>
          <w:bCs/>
        </w:rPr>
        <w:t>2、设备应配有相应的技术文件，其内容应包含设备本身使用说明书、设备的安全性能、安全注意事项、安装装配说明以及检修的安全要求，以及与设备安装、使用相配套的工艺流程图、总平面布置图以及工房结构图。</w:t>
      </w:r>
    </w:p>
    <w:p w14:paraId="0CD629B7">
      <w:pPr>
        <w:pStyle w:val="2"/>
        <w:ind w:firstLine="560"/>
        <w:rPr>
          <w:rFonts w:ascii="宋体" w:hAnsi="宋体" w:eastAsia="宋体"/>
          <w:b w:val="0"/>
          <w:bCs/>
        </w:rPr>
      </w:pPr>
      <w:r>
        <w:rPr>
          <w:rFonts w:hint="eastAsia" w:ascii="宋体" w:hAnsi="宋体" w:eastAsia="宋体"/>
          <w:b w:val="0"/>
          <w:bCs/>
        </w:rPr>
        <w:t>3、设备所在的建（构）筑物建筑结构、防火等级、防爆设施、工房布局等应符合《烟花爆竹工程设计安全标准》（G</w:t>
      </w:r>
      <w:r>
        <w:rPr>
          <w:rFonts w:ascii="宋体" w:hAnsi="宋体" w:eastAsia="宋体"/>
          <w:b w:val="0"/>
          <w:bCs/>
        </w:rPr>
        <w:t>B50161-2022</w:t>
      </w:r>
      <w:r>
        <w:rPr>
          <w:rFonts w:hint="eastAsia" w:ascii="宋体" w:hAnsi="宋体" w:eastAsia="宋体"/>
          <w:b w:val="0"/>
          <w:bCs/>
        </w:rPr>
        <w:t>）规定，并与安全论证的要求相一致。</w:t>
      </w:r>
    </w:p>
    <w:p w14:paraId="0F0B148B">
      <w:pPr>
        <w:pStyle w:val="2"/>
        <w:ind w:firstLine="560"/>
        <w:rPr>
          <w:rFonts w:ascii="宋体" w:hAnsi="宋体" w:eastAsia="宋体"/>
          <w:b w:val="0"/>
          <w:bCs/>
        </w:rPr>
      </w:pPr>
      <w:r>
        <w:rPr>
          <w:rFonts w:hint="eastAsia" w:ascii="宋体" w:hAnsi="宋体" w:eastAsia="宋体"/>
          <w:b w:val="0"/>
          <w:bCs/>
        </w:rPr>
        <w:t>4、设备的安装应由专业人员严格按照设计文件、安装说明书和布局示意图要求进行，并应符合《烟花爆竹工程设计安全标准》（G</w:t>
      </w:r>
      <w:r>
        <w:rPr>
          <w:rFonts w:ascii="宋体" w:hAnsi="宋体" w:eastAsia="宋体"/>
          <w:b w:val="0"/>
          <w:bCs/>
        </w:rPr>
        <w:t>B50161-2022</w:t>
      </w:r>
      <w:r>
        <w:rPr>
          <w:rFonts w:hint="eastAsia" w:ascii="宋体" w:hAnsi="宋体" w:eastAsia="宋体"/>
          <w:b w:val="0"/>
          <w:bCs/>
        </w:rPr>
        <w:t>）规定，且满足劳动者保护要求。</w:t>
      </w:r>
    </w:p>
    <w:p w14:paraId="371FE1C7">
      <w:pPr>
        <w:pStyle w:val="2"/>
        <w:ind w:firstLine="560"/>
        <w:rPr>
          <w:rFonts w:ascii="宋体" w:hAnsi="宋体" w:eastAsia="宋体"/>
          <w:b w:val="0"/>
          <w:bCs/>
        </w:rPr>
      </w:pPr>
      <w:r>
        <w:rPr>
          <w:rFonts w:hint="eastAsia" w:ascii="宋体" w:hAnsi="宋体" w:eastAsia="宋体"/>
          <w:b w:val="0"/>
          <w:bCs/>
        </w:rPr>
        <w:t>5、作业场所内设备安装布置应科学合理，固定良好，留有不小于1</w:t>
      </w:r>
      <w:r>
        <w:rPr>
          <w:rFonts w:ascii="宋体" w:hAnsi="宋体" w:eastAsia="宋体"/>
          <w:b w:val="0"/>
          <w:bCs/>
        </w:rPr>
        <w:t>.5m</w:t>
      </w:r>
      <w:r>
        <w:rPr>
          <w:rFonts w:hint="eastAsia" w:ascii="宋体" w:hAnsi="宋体" w:eastAsia="宋体"/>
          <w:b w:val="0"/>
          <w:bCs/>
        </w:rPr>
        <w:t>宽的通道，能满足人员、物流的畅通，同时满足紧急情况下人员疏散的要求。</w:t>
      </w:r>
    </w:p>
    <w:p w14:paraId="5D255B7E">
      <w:pPr>
        <w:pStyle w:val="2"/>
        <w:ind w:firstLine="560"/>
        <w:rPr>
          <w:rFonts w:ascii="宋体" w:hAnsi="宋体" w:eastAsia="宋体"/>
          <w:b w:val="0"/>
          <w:bCs/>
        </w:rPr>
      </w:pPr>
      <w:r>
        <w:rPr>
          <w:rFonts w:hint="eastAsia" w:ascii="宋体" w:hAnsi="宋体" w:eastAsia="宋体"/>
          <w:b w:val="0"/>
          <w:bCs/>
        </w:rPr>
        <w:t>6、设备及工房的防雷、防静电设施应符合《烟花爆竹工程设计安全标准》（G</w:t>
      </w:r>
      <w:r>
        <w:rPr>
          <w:rFonts w:ascii="宋体" w:hAnsi="宋体" w:eastAsia="宋体"/>
          <w:b w:val="0"/>
          <w:bCs/>
        </w:rPr>
        <w:t>B50161-2022</w:t>
      </w:r>
      <w:r>
        <w:rPr>
          <w:rFonts w:hint="eastAsia" w:ascii="宋体" w:hAnsi="宋体" w:eastAsia="宋体"/>
          <w:b w:val="0"/>
          <w:bCs/>
        </w:rPr>
        <w:t>）规定并定期进行检测。</w:t>
      </w:r>
    </w:p>
    <w:p w14:paraId="7D33E68F">
      <w:pPr>
        <w:pStyle w:val="2"/>
        <w:ind w:firstLine="560"/>
        <w:rPr>
          <w:rFonts w:ascii="宋体" w:hAnsi="宋体" w:eastAsia="宋体"/>
          <w:b w:val="0"/>
          <w:bCs/>
        </w:rPr>
      </w:pPr>
      <w:r>
        <w:rPr>
          <w:rFonts w:hint="eastAsia" w:ascii="宋体" w:hAnsi="宋体" w:eastAsia="宋体"/>
          <w:b w:val="0"/>
          <w:bCs/>
        </w:rPr>
        <w:t>7、设备工作间的地面应符合《烟花爆竹工程设计安全标准》（G</w:t>
      </w:r>
      <w:r>
        <w:rPr>
          <w:rFonts w:ascii="宋体" w:hAnsi="宋体" w:eastAsia="宋体"/>
          <w:b w:val="0"/>
          <w:bCs/>
        </w:rPr>
        <w:t>B50161-2022</w:t>
      </w:r>
      <w:r>
        <w:rPr>
          <w:rFonts w:hint="eastAsia" w:ascii="宋体" w:hAnsi="宋体" w:eastAsia="宋体"/>
          <w:b w:val="0"/>
          <w:bCs/>
        </w:rPr>
        <w:t>）规定、《导（防）静电地面设计规范》（G</w:t>
      </w:r>
      <w:r>
        <w:rPr>
          <w:rFonts w:ascii="宋体" w:hAnsi="宋体" w:eastAsia="宋体"/>
          <w:b w:val="0"/>
          <w:bCs/>
        </w:rPr>
        <w:t>B50515-2010</w:t>
      </w:r>
      <w:r>
        <w:rPr>
          <w:rFonts w:hint="eastAsia" w:ascii="宋体" w:hAnsi="宋体" w:eastAsia="宋体"/>
          <w:b w:val="0"/>
          <w:bCs/>
        </w:rPr>
        <w:t>）规定，保持地面平整，不易积聚粉尘。</w:t>
      </w:r>
    </w:p>
    <w:p w14:paraId="4B20EA78">
      <w:pPr>
        <w:pStyle w:val="2"/>
        <w:ind w:firstLine="560"/>
        <w:rPr>
          <w:rFonts w:ascii="宋体" w:hAnsi="宋体" w:eastAsia="宋体"/>
          <w:b w:val="0"/>
          <w:bCs/>
        </w:rPr>
      </w:pPr>
      <w:r>
        <w:rPr>
          <w:rFonts w:hint="eastAsia" w:ascii="宋体" w:hAnsi="宋体" w:eastAsia="宋体"/>
          <w:b w:val="0"/>
          <w:bCs/>
        </w:rPr>
        <w:t>8、设备的金属设备、金属管道、金属支架及金属导体，均应进行静电接地，设备工作间出入口应设置人体静电释放设施。</w:t>
      </w:r>
    </w:p>
    <w:p w14:paraId="48CFD46F">
      <w:pPr>
        <w:pStyle w:val="2"/>
        <w:ind w:firstLine="560"/>
        <w:rPr>
          <w:rFonts w:ascii="宋体" w:hAnsi="宋体" w:eastAsia="宋体"/>
          <w:b w:val="0"/>
          <w:bCs/>
        </w:rPr>
      </w:pPr>
      <w:r>
        <w:rPr>
          <w:rFonts w:hint="eastAsia" w:ascii="宋体" w:hAnsi="宋体" w:eastAsia="宋体"/>
          <w:b w:val="0"/>
          <w:bCs/>
        </w:rPr>
        <w:t>9、设备涉及到混药、装药的区域应设置运行期间禁止人员进入预警功能和明显标识，且应纳入安全风险监测预警系统管理，实现视频监控全覆盖。</w:t>
      </w:r>
    </w:p>
    <w:p w14:paraId="6815942B">
      <w:pPr>
        <w:pStyle w:val="2"/>
        <w:ind w:firstLine="560"/>
        <w:rPr>
          <w:rFonts w:ascii="宋体" w:hAnsi="宋体" w:eastAsia="宋体"/>
          <w:b w:val="0"/>
          <w:bCs/>
        </w:rPr>
      </w:pPr>
      <w:r>
        <w:rPr>
          <w:rFonts w:ascii="宋体" w:hAnsi="宋体" w:eastAsia="宋体"/>
          <w:b w:val="0"/>
          <w:bCs/>
        </w:rPr>
        <w:t>10</w:t>
      </w:r>
      <w:r>
        <w:rPr>
          <w:rFonts w:hint="eastAsia" w:ascii="宋体" w:hAnsi="宋体" w:eastAsia="宋体"/>
          <w:b w:val="0"/>
          <w:bCs/>
        </w:rPr>
        <w:t>、应配备消防器材和应急救援器材。</w:t>
      </w:r>
    </w:p>
    <w:p w14:paraId="1EE21A67">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1</w:t>
      </w:r>
      <w:r>
        <w:rPr>
          <w:rFonts w:hint="eastAsia" w:ascii="宋体" w:hAnsi="宋体" w:eastAsia="宋体"/>
          <w:b w:val="0"/>
          <w:bCs/>
        </w:rPr>
        <w:t>、设备应设置铭牌，包括设备名称、机械制造企业名称、型号、出厂日期等。</w:t>
      </w:r>
    </w:p>
    <w:p w14:paraId="631BA0A8">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2</w:t>
      </w:r>
      <w:r>
        <w:rPr>
          <w:rFonts w:hint="eastAsia" w:ascii="宋体" w:hAnsi="宋体" w:eastAsia="宋体"/>
          <w:b w:val="0"/>
          <w:bCs/>
        </w:rPr>
        <w:t>、设备及各间室（含无人操作间）应按照《烟花爆竹安全生产标志》（A</w:t>
      </w:r>
      <w:r>
        <w:rPr>
          <w:rFonts w:ascii="宋体" w:hAnsi="宋体" w:eastAsia="宋体"/>
          <w:b w:val="0"/>
          <w:bCs/>
        </w:rPr>
        <w:t>Q4114-2011</w:t>
      </w:r>
      <w:r>
        <w:rPr>
          <w:rFonts w:hint="eastAsia" w:ascii="宋体" w:hAnsi="宋体" w:eastAsia="宋体"/>
          <w:b w:val="0"/>
          <w:bCs/>
        </w:rPr>
        <w:t>）规定设置安全标识牌，包括编号、用途、危险等级、定员、定量、责任人等。</w:t>
      </w:r>
    </w:p>
    <w:p w14:paraId="35EF328F">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3</w:t>
      </w:r>
      <w:r>
        <w:rPr>
          <w:rFonts w:hint="eastAsia" w:ascii="宋体" w:hAnsi="宋体" w:eastAsia="宋体"/>
          <w:b w:val="0"/>
          <w:bCs/>
        </w:rPr>
        <w:t>、设备操作间（不含无人操作间）应悬挂安全操作规程，内容包括开机前准备和正常操作、故障操作处置程序等，岗位人员应数量掌握相应的规定和程序。设备操作人员应使用与该工种相适应的劳动防护用品。</w:t>
      </w:r>
    </w:p>
    <w:p w14:paraId="34737682">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4</w:t>
      </w:r>
      <w:r>
        <w:rPr>
          <w:rFonts w:hint="eastAsia" w:ascii="宋体" w:hAnsi="宋体" w:eastAsia="宋体"/>
          <w:b w:val="0"/>
          <w:bCs/>
        </w:rPr>
        <w:t>、设备应在其设计范围内使用，禁止超负荷生产、禁止随意对设备进行改造。</w:t>
      </w:r>
    </w:p>
    <w:p w14:paraId="4C963BE8">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5</w:t>
      </w:r>
      <w:r>
        <w:rPr>
          <w:rFonts w:hint="eastAsia" w:ascii="宋体" w:hAnsi="宋体" w:eastAsia="宋体"/>
          <w:b w:val="0"/>
          <w:bCs/>
        </w:rPr>
        <w:t>、设备应有专人负责日常维护保养，定期进行检修，当进行设备检修、动火、动土、临时用电等作业时，应按程序进行审批和作业。</w:t>
      </w:r>
    </w:p>
    <w:p w14:paraId="3A851596">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6</w:t>
      </w:r>
      <w:r>
        <w:rPr>
          <w:rFonts w:hint="eastAsia" w:ascii="宋体" w:hAnsi="宋体" w:eastAsia="宋体"/>
          <w:b w:val="0"/>
          <w:bCs/>
        </w:rPr>
        <w:t>、生产期间应每天对粉尘进行清理，保持设备整洁、无杂物；不应使用手持高压气枪吹扫药物粉尘。</w:t>
      </w:r>
    </w:p>
    <w:p w14:paraId="1E9A0152">
      <w:pPr>
        <w:pStyle w:val="2"/>
        <w:ind w:firstLine="560"/>
        <w:rPr>
          <w:rFonts w:ascii="宋体" w:hAnsi="宋体" w:eastAsia="宋体"/>
          <w:b w:val="0"/>
          <w:bCs/>
        </w:rPr>
      </w:pPr>
      <w:r>
        <w:rPr>
          <w:rFonts w:hint="eastAsia" w:ascii="宋体" w:hAnsi="宋体" w:eastAsia="宋体"/>
          <w:b w:val="0"/>
          <w:bCs/>
        </w:rPr>
        <w:t>1</w:t>
      </w:r>
      <w:r>
        <w:rPr>
          <w:rFonts w:ascii="宋体" w:hAnsi="宋体" w:eastAsia="宋体"/>
          <w:b w:val="0"/>
          <w:bCs/>
        </w:rPr>
        <w:t>7</w:t>
      </w:r>
      <w:r>
        <w:rPr>
          <w:rFonts w:hint="eastAsia" w:ascii="宋体" w:hAnsi="宋体" w:eastAsia="宋体"/>
          <w:b w:val="0"/>
          <w:bCs/>
        </w:rPr>
        <w:t>、应定期委托具有资质的检测检验机构按照国家法律法规、标准和性能要求对设备安全性能进行检测。</w:t>
      </w:r>
    </w:p>
    <w:p w14:paraId="15317ADD">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.3.11</w:t>
      </w:r>
      <w:r>
        <w:rPr>
          <w:rFonts w:hint="eastAsia" w:ascii="黑体" w:hAnsi="黑体" w:eastAsia="黑体" w:cs="宋体"/>
          <w:b w:val="0"/>
          <w:szCs w:val="28"/>
        </w:rPr>
        <w:t>电气及防雷、防静电方面</w:t>
      </w:r>
    </w:p>
    <w:p w14:paraId="26431C1F">
      <w:pPr>
        <w:spacing w:line="360" w:lineRule="auto"/>
        <w:ind w:firstLine="560" w:firstLineChars="200"/>
        <w:rPr>
          <w:rFonts w:ascii="宋体" w:hAnsi="宋体"/>
          <w:b w:val="0"/>
          <w:bCs/>
          <w:sz w:val="28"/>
        </w:rPr>
      </w:pPr>
      <w:r>
        <w:rPr>
          <w:rFonts w:hint="eastAsia" w:ascii="宋体" w:hAnsi="宋体"/>
          <w:b w:val="0"/>
          <w:bCs/>
          <w:sz w:val="28"/>
          <w:szCs w:val="28"/>
        </w:rPr>
        <w:t>1、</w:t>
      </w:r>
      <w:r>
        <w:rPr>
          <w:rFonts w:hint="eastAsia" w:ascii="宋体" w:hAnsi="宋体"/>
          <w:b w:val="0"/>
          <w:bCs/>
          <w:sz w:val="28"/>
        </w:rPr>
        <w:t>必须选用经国家指定的防爆检验单位检验合格的防爆电气产品，不得降低防爆等级使用，并定期检验、维修。</w:t>
      </w:r>
    </w:p>
    <w:p w14:paraId="779A8EB3">
      <w:pPr>
        <w:pStyle w:val="2"/>
        <w:ind w:firstLine="560"/>
        <w:rPr>
          <w:rFonts w:ascii="宋体" w:hAnsi="宋体" w:eastAsia="宋体"/>
          <w:b w:val="0"/>
          <w:bCs/>
        </w:rPr>
      </w:pPr>
      <w:r>
        <w:rPr>
          <w:rFonts w:hint="eastAsia" w:ascii="宋体" w:hAnsi="宋体" w:eastAsia="宋体"/>
          <w:b w:val="0"/>
          <w:bCs/>
        </w:rPr>
        <w:t>2、将设备分室安装在非火灾爆炸危险场所。当电气设备的非火灾爆炸危险场所贴近邻爆炸危险场所时，应采取密封措施（包括传动轴和穿墙孔间的密闭等）防止爆炸性混合物进入。</w:t>
      </w:r>
    </w:p>
    <w:p w14:paraId="7F616721">
      <w:pPr>
        <w:pStyle w:val="2"/>
        <w:ind w:firstLine="560"/>
        <w:rPr>
          <w:rFonts w:ascii="宋体" w:hAnsi="宋体" w:eastAsia="宋体"/>
          <w:b w:val="0"/>
          <w:bCs/>
        </w:rPr>
      </w:pPr>
      <w:r>
        <w:rPr>
          <w:rFonts w:hint="eastAsia" w:ascii="宋体" w:hAnsi="宋体" w:eastAsia="宋体"/>
          <w:b w:val="0"/>
          <w:bCs/>
        </w:rPr>
        <w:t>3、为防止电气设备线路因过载、短路等故障，产生引燃温度、引起电气火灾，导致药物燃烧、爆炸，除按常规设置过载、过电流、短路等电气保护装置外，还应装设漏电流超过预定值时，能发出声、光报警信号或自动切断电源的漏电保护器。</w:t>
      </w:r>
    </w:p>
    <w:p w14:paraId="56BE51CD">
      <w:pPr>
        <w:spacing w:line="360" w:lineRule="auto"/>
        <w:ind w:firstLine="560" w:firstLineChars="200"/>
        <w:rPr>
          <w:rFonts w:ascii="宋体" w:hAnsi="宋体"/>
          <w:b w:val="0"/>
          <w:bCs/>
          <w:sz w:val="28"/>
        </w:rPr>
      </w:pPr>
      <w:r>
        <w:rPr>
          <w:rFonts w:ascii="宋体" w:hAnsi="宋体"/>
          <w:b w:val="0"/>
          <w:bCs/>
          <w:sz w:val="28"/>
          <w:szCs w:val="28"/>
        </w:rPr>
        <w:t>4</w:t>
      </w:r>
      <w:r>
        <w:rPr>
          <w:rFonts w:hint="eastAsia" w:ascii="宋体" w:hAnsi="宋体"/>
          <w:b w:val="0"/>
          <w:bCs/>
          <w:sz w:val="28"/>
          <w:szCs w:val="28"/>
        </w:rPr>
        <w:t>、电</w:t>
      </w:r>
      <w:r>
        <w:rPr>
          <w:rFonts w:hint="eastAsia" w:ascii="宋体" w:hAnsi="宋体"/>
          <w:b w:val="0"/>
          <w:bCs/>
          <w:sz w:val="28"/>
        </w:rPr>
        <w:t>气线路应采用铜芯阻燃绝缘电线或铜芯阻燃电缆。当采用绝缘电线敷设时,应穿钢管保护,线路宜明敷,进入防爆电气设备时,应装设相适应的密封装置。除照明分支线路外,电缆不应有分支或中间接头。</w:t>
      </w:r>
    </w:p>
    <w:p w14:paraId="5E550634">
      <w:pPr>
        <w:pStyle w:val="2"/>
        <w:ind w:firstLine="560"/>
        <w:rPr>
          <w:rFonts w:ascii="宋体" w:hAnsi="宋体" w:eastAsia="宋体"/>
          <w:b w:val="0"/>
          <w:bCs/>
        </w:rPr>
      </w:pPr>
      <w:r>
        <w:rPr>
          <w:rFonts w:hint="eastAsia" w:ascii="宋体" w:hAnsi="宋体" w:eastAsia="宋体"/>
          <w:b w:val="0"/>
          <w:bCs/>
        </w:rPr>
        <w:t>5、涉裸露药物（黑火药）工库房入口处外墙外侧、涉裸露自动化生产线出入口处应设置人体静电释放装置，人体静电释放装置应方便人员触摸。</w:t>
      </w:r>
    </w:p>
    <w:p w14:paraId="7EDBE5D5">
      <w:pPr>
        <w:pStyle w:val="2"/>
        <w:ind w:firstLine="560"/>
        <w:rPr>
          <w:rFonts w:ascii="宋体" w:hAnsi="宋体" w:eastAsia="宋体"/>
          <w:b w:val="0"/>
          <w:bCs/>
        </w:rPr>
      </w:pPr>
      <w:r>
        <w:rPr>
          <w:rFonts w:hint="eastAsia" w:ascii="宋体" w:hAnsi="宋体" w:eastAsia="宋体"/>
          <w:b w:val="0"/>
          <w:bCs/>
        </w:rPr>
        <w:t>6、采取相应的防雷、防静电措施，定期检测、维护。建议企业应对特殊的涉药危险工序（如自动混合/上潮/装模制片等工序）列入企业安措整改计划，按规范要求进行导除静电接地，并要有资质的专业部门对接地电阻检测合格；同时为防止侵入雷的危害，根据《建筑物防雷设计规范》（GB50057-2010）要求，企业对进入工房的管线应改用铠装电缆或金属管埋地敷设，并在进入工房前进行接地处理。</w:t>
      </w:r>
    </w:p>
    <w:p w14:paraId="550D20A0">
      <w:pPr>
        <w:pStyle w:val="2"/>
        <w:ind w:firstLine="560"/>
        <w:rPr>
          <w:rFonts w:ascii="宋体" w:hAnsi="宋体" w:eastAsia="宋体"/>
          <w:b w:val="0"/>
          <w:bCs/>
        </w:rPr>
      </w:pPr>
      <w:r>
        <w:rPr>
          <w:rFonts w:ascii="宋体" w:hAnsi="宋体" w:eastAsia="宋体"/>
          <w:b w:val="0"/>
          <w:bCs/>
        </w:rPr>
        <w:t>7</w:t>
      </w:r>
      <w:r>
        <w:rPr>
          <w:rFonts w:hint="eastAsia" w:ascii="宋体" w:hAnsi="宋体" w:eastAsia="宋体"/>
          <w:b w:val="0"/>
          <w:bCs/>
        </w:rPr>
        <w:t>、人体静电释放装置与接地线之间应采取焊接或固定螺栓等方式牢固连接，接地电阻不应大于1</w:t>
      </w:r>
      <w:r>
        <w:rPr>
          <w:rFonts w:ascii="宋体" w:hAnsi="宋体" w:eastAsia="宋体"/>
          <w:b w:val="0"/>
          <w:bCs/>
        </w:rPr>
        <w:t>00</w:t>
      </w:r>
      <w:r>
        <w:rPr>
          <w:rFonts w:hint="eastAsia" w:ascii="宋体" w:hAnsi="宋体" w:eastAsia="宋体"/>
          <w:b w:val="0"/>
          <w:bCs/>
        </w:rPr>
        <w:t>Ω.</w:t>
      </w:r>
    </w:p>
    <w:p w14:paraId="73A98AE4">
      <w:pPr>
        <w:pStyle w:val="2"/>
        <w:ind w:firstLine="560"/>
        <w:rPr>
          <w:rFonts w:ascii="宋体" w:hAnsi="宋体" w:eastAsia="宋体"/>
          <w:b w:val="0"/>
          <w:bCs/>
        </w:rPr>
      </w:pPr>
      <w:r>
        <w:rPr>
          <w:rFonts w:hint="eastAsia" w:ascii="宋体" w:hAnsi="宋体" w:eastAsia="宋体"/>
          <w:b w:val="0"/>
          <w:bCs/>
        </w:rPr>
        <w:t>8、人体静电释放装置的接地线不应与独立接闪杆的接地线相连，接地线间隔距离应保持3</w:t>
      </w:r>
      <w:r>
        <w:rPr>
          <w:rFonts w:ascii="宋体" w:hAnsi="宋体" w:eastAsia="宋体"/>
          <w:b w:val="0"/>
          <w:bCs/>
        </w:rPr>
        <w:t>m</w:t>
      </w:r>
      <w:r>
        <w:rPr>
          <w:rFonts w:hint="eastAsia" w:ascii="宋体" w:hAnsi="宋体" w:eastAsia="宋体"/>
          <w:b w:val="0"/>
          <w:bCs/>
        </w:rPr>
        <w:t>以上。</w:t>
      </w:r>
    </w:p>
    <w:p w14:paraId="4A4234D4">
      <w:pPr>
        <w:spacing w:line="360" w:lineRule="auto"/>
        <w:ind w:firstLine="560" w:firstLineChars="200"/>
        <w:rPr>
          <w:rFonts w:ascii="宋体" w:hAnsi="宋体"/>
          <w:b w:val="0"/>
          <w:bCs/>
          <w:sz w:val="28"/>
        </w:rPr>
      </w:pPr>
      <w:r>
        <w:rPr>
          <w:rFonts w:hint="eastAsia" w:ascii="宋体" w:hAnsi="宋体"/>
          <w:b w:val="0"/>
          <w:bCs/>
          <w:sz w:val="28"/>
          <w:szCs w:val="28"/>
        </w:rPr>
        <w:t>9、</w:t>
      </w:r>
      <w:r>
        <w:rPr>
          <w:rFonts w:hint="eastAsia" w:ascii="宋体" w:hAnsi="宋体"/>
          <w:b w:val="0"/>
          <w:bCs/>
          <w:sz w:val="28"/>
        </w:rPr>
        <w:t>工作服不得使用化纤面料，应穿棉制工作服、软底鞋等不易产生静电的工装上班；应采用喷雾、洒水等方法提高环境湿度，抑制静电的产生；应使用静电消除器，进行静电中和，并在危险品工库房的出入口安装导静电装置，</w:t>
      </w:r>
      <w:r>
        <w:rPr>
          <w:rFonts w:hint="eastAsia" w:ascii="宋体" w:hAnsi="宋体" w:cs="宋体"/>
          <w:b w:val="0"/>
          <w:bCs/>
          <w:sz w:val="28"/>
          <w:szCs w:val="28"/>
          <w:lang w:bidi="ar"/>
        </w:rPr>
        <w:t>1</w:t>
      </w:r>
      <w:r>
        <w:rPr>
          <w:rFonts w:hint="eastAsia" w:ascii="宋体" w:hAnsi="宋体"/>
          <w:b w:val="0"/>
          <w:bCs/>
          <w:sz w:val="28"/>
          <w:szCs w:val="28"/>
        </w:rPr>
        <w:t>.</w:t>
      </w:r>
      <w:r>
        <w:rPr>
          <w:rFonts w:hint="eastAsia" w:ascii="宋体" w:hAnsi="宋体"/>
          <w:b w:val="0"/>
          <w:bCs/>
          <w:sz w:val="28"/>
        </w:rPr>
        <w:t>1级工房应采用导静电地面、工作台面，防静电工作台面应采用铺设防静电橡胶板方式，防静电地面应采用环氧树脂（或聚氨酯）自流平涂料地面，自流平涂料面下方应设静电接地网（带），或防静电地面采用铺设防静电橡胶板方式。</w:t>
      </w:r>
    </w:p>
    <w:p w14:paraId="68F18759">
      <w:pPr>
        <w:pStyle w:val="2"/>
        <w:ind w:firstLine="560"/>
        <w:rPr>
          <w:rFonts w:asciiTheme="minorEastAsia" w:hAnsiTheme="minorEastAsia" w:eastAsiaTheme="minorEastAsia"/>
          <w:b w:val="0"/>
          <w:bCs/>
          <w:szCs w:val="28"/>
        </w:rPr>
      </w:pPr>
      <w:r>
        <w:rPr>
          <w:rFonts w:hint="eastAsia" w:asciiTheme="minorEastAsia" w:hAnsiTheme="minorEastAsia" w:eastAsiaTheme="minorEastAsia"/>
          <w:b w:val="0"/>
          <w:bCs/>
          <w:szCs w:val="28"/>
        </w:rPr>
        <w:t>1</w:t>
      </w:r>
      <w:r>
        <w:rPr>
          <w:rFonts w:asciiTheme="minorEastAsia" w:hAnsiTheme="minorEastAsia" w:eastAsiaTheme="minorEastAsia"/>
          <w:b w:val="0"/>
          <w:bCs/>
          <w:szCs w:val="28"/>
        </w:rPr>
        <w:t>0</w:t>
      </w:r>
      <w:r>
        <w:rPr>
          <w:rFonts w:hint="eastAsia" w:asciiTheme="minorEastAsia" w:hAnsiTheme="minorEastAsia" w:eastAsiaTheme="minorEastAsia"/>
          <w:b w:val="0"/>
          <w:bCs/>
          <w:szCs w:val="28"/>
        </w:rPr>
        <w:t>、危险性建（构）筑物的防雷类别应符合《烟花爆竹工程设计安全标准》（G</w:t>
      </w:r>
      <w:r>
        <w:rPr>
          <w:rFonts w:asciiTheme="minorEastAsia" w:hAnsiTheme="minorEastAsia" w:eastAsiaTheme="minorEastAsia"/>
          <w:b w:val="0"/>
          <w:bCs/>
          <w:szCs w:val="28"/>
        </w:rPr>
        <w:t>B50161-2022</w:t>
      </w:r>
      <w:r>
        <w:rPr>
          <w:rFonts w:hint="eastAsia" w:asciiTheme="minorEastAsia" w:hAnsiTheme="minorEastAsia" w:eastAsiaTheme="minorEastAsia"/>
          <w:b w:val="0"/>
          <w:bCs/>
          <w:szCs w:val="28"/>
        </w:rPr>
        <w:t>）的相关规定。</w:t>
      </w:r>
    </w:p>
    <w:p w14:paraId="14E25579">
      <w:pPr>
        <w:spacing w:line="360" w:lineRule="auto"/>
        <w:ind w:firstLine="560" w:firstLineChars="200"/>
        <w:rPr>
          <w:rFonts w:ascii="宋体" w:hAnsi="宋体"/>
          <w:b w:val="0"/>
          <w:bCs/>
          <w:sz w:val="28"/>
        </w:rPr>
      </w:pPr>
      <w:r>
        <w:rPr>
          <w:rFonts w:hint="eastAsia" w:ascii="宋体" w:hAnsi="宋体"/>
          <w:b w:val="0"/>
          <w:bCs/>
          <w:sz w:val="28"/>
        </w:rPr>
        <w:t>1</w:t>
      </w:r>
      <w:r>
        <w:rPr>
          <w:rFonts w:ascii="宋体" w:hAnsi="宋体"/>
          <w:b w:val="0"/>
          <w:bCs/>
          <w:sz w:val="28"/>
        </w:rPr>
        <w:t>1</w:t>
      </w:r>
      <w:r>
        <w:rPr>
          <w:rFonts w:hint="eastAsia" w:ascii="宋体" w:hAnsi="宋体"/>
          <w:b w:val="0"/>
          <w:bCs/>
          <w:sz w:val="28"/>
        </w:rPr>
        <w:t>、根据《建筑物防雷设计规范》（GB50057-2010），按建筑物、构筑物的重要性、使用性质、发生雷电事故的可能性及其后果，结合地形、气象、地质、环境等条件，采取相应的防雷措施。烟花爆竹企业主要是防止直击雷和雷电感应等引起的药物燃烧、爆炸。</w:t>
      </w:r>
    </w:p>
    <w:p w14:paraId="49F5CB43">
      <w:pPr>
        <w:spacing w:line="360" w:lineRule="auto"/>
        <w:ind w:firstLine="560" w:firstLineChars="200"/>
        <w:rPr>
          <w:rFonts w:ascii="宋体" w:hAnsi="宋体"/>
          <w:b w:val="0"/>
          <w:bCs/>
          <w:sz w:val="28"/>
        </w:rPr>
      </w:pPr>
      <w:r>
        <w:rPr>
          <w:rFonts w:hint="eastAsia" w:ascii="宋体" w:hAnsi="宋体"/>
          <w:b w:val="0"/>
          <w:bCs/>
          <w:sz w:val="28"/>
        </w:rPr>
        <w:t>（1）防直击雷设施有：避雷针、架空避雷线、避雷网、避雷针杆等。</w:t>
      </w:r>
    </w:p>
    <w:p w14:paraId="7583AE0A">
      <w:pPr>
        <w:spacing w:line="360" w:lineRule="auto"/>
        <w:ind w:firstLine="560" w:firstLineChars="200"/>
        <w:rPr>
          <w:rFonts w:ascii="宋体" w:hAnsi="宋体"/>
          <w:b w:val="0"/>
          <w:bCs/>
          <w:sz w:val="28"/>
        </w:rPr>
      </w:pPr>
      <w:r>
        <w:rPr>
          <w:rFonts w:hint="eastAsia" w:ascii="宋体" w:hAnsi="宋体"/>
          <w:b w:val="0"/>
          <w:bCs/>
          <w:sz w:val="28"/>
        </w:rPr>
        <w:t>（2）防雷电感应（静电感应和电磁感应），可采取建筑物内金属物接地、保证平行长金属物间的最小距离或金属线跨接等措施。</w:t>
      </w:r>
    </w:p>
    <w:p w14:paraId="57B8BAA1">
      <w:pPr>
        <w:spacing w:line="360" w:lineRule="auto"/>
        <w:ind w:firstLine="560" w:firstLineChars="200"/>
        <w:rPr>
          <w:rFonts w:ascii="宋体" w:hAnsi="宋体"/>
          <w:b w:val="0"/>
          <w:bCs/>
          <w:sz w:val="28"/>
        </w:rPr>
      </w:pPr>
      <w:r>
        <w:rPr>
          <w:rFonts w:hint="eastAsia" w:ascii="宋体" w:hAnsi="宋体"/>
          <w:b w:val="0"/>
          <w:bCs/>
          <w:sz w:val="28"/>
        </w:rPr>
        <w:t>（3）雷雨天气原则上应停止作业，具体按照政府相关主管部门规定进行。</w:t>
      </w:r>
    </w:p>
    <w:p w14:paraId="64DC9C36">
      <w:pPr>
        <w:spacing w:line="360" w:lineRule="auto"/>
        <w:ind w:firstLine="560" w:firstLineChars="200"/>
        <w:rPr>
          <w:rFonts w:ascii="宋体" w:hAnsi="宋体"/>
          <w:b w:val="0"/>
          <w:bCs/>
        </w:rPr>
      </w:pPr>
      <w:r>
        <w:rPr>
          <w:rFonts w:hint="eastAsia" w:ascii="宋体" w:hAnsi="宋体"/>
          <w:b w:val="0"/>
          <w:bCs/>
          <w:sz w:val="28"/>
        </w:rPr>
        <w:t>由于客观存在火灾、爆炸、中毒等危险有害因素，决不可掉以轻心。希望企业就本报告提出的安全对策和措施，结合企业具体情况，制订切实可行的整改方案和实施计划；要适当加大安全投入，进一步加大管理力度,要严格执行各项安全管理制度,并能在生产经营全过程中确保相关措施得到认真落实；应重视本报告提出的各项安全对策措施,并根据企业的具体情况，早日进行整改和完善，进一步降低企业的风险程度，提高本质安全化的程度。</w:t>
      </w:r>
    </w:p>
    <w:p w14:paraId="7E61A8C4">
      <w:pPr>
        <w:pStyle w:val="7"/>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.3.12</w:t>
      </w:r>
      <w:r>
        <w:rPr>
          <w:rFonts w:hint="eastAsia" w:ascii="黑体" w:hAnsi="黑体" w:eastAsia="黑体" w:cs="宋体"/>
          <w:b w:val="0"/>
          <w:szCs w:val="28"/>
        </w:rPr>
        <w:t>建筑施工安全方面</w:t>
      </w:r>
    </w:p>
    <w:p w14:paraId="03946FA7">
      <w:pPr>
        <w:spacing w:line="360" w:lineRule="auto"/>
        <w:ind w:firstLine="560" w:firstLineChars="200"/>
        <w:rPr>
          <w:rFonts w:ascii="宋体" w:hAnsi="宋体"/>
          <w:b w:val="0"/>
          <w:bCs/>
          <w:sz w:val="28"/>
        </w:rPr>
      </w:pPr>
      <w:r>
        <w:rPr>
          <w:rFonts w:hint="eastAsia" w:ascii="宋体" w:hAnsi="宋体"/>
          <w:b w:val="0"/>
          <w:bCs/>
          <w:sz w:val="28"/>
        </w:rPr>
        <w:t>1、建立健全安全生产责任制，增强各级人员安全责任意识</w:t>
      </w:r>
    </w:p>
    <w:p w14:paraId="708C044D">
      <w:pPr>
        <w:spacing w:line="360" w:lineRule="auto"/>
        <w:ind w:firstLine="560" w:firstLineChars="200"/>
        <w:rPr>
          <w:rFonts w:ascii="宋体" w:hAnsi="宋体"/>
          <w:b w:val="0"/>
          <w:bCs/>
          <w:sz w:val="28"/>
        </w:rPr>
      </w:pPr>
      <w:r>
        <w:rPr>
          <w:rFonts w:hint="eastAsia" w:ascii="宋体" w:hAnsi="宋体"/>
          <w:b w:val="0"/>
          <w:bCs/>
          <w:sz w:val="28"/>
        </w:rPr>
        <w:t>项目负责人必须自觉增强安全责任意识，牢固确立“安全第一，预防为主，综合治理 ”的思想，真正把安全生产作为项目永恒的主题，始终贯穿于项目施工的全过程。始终将安全生产工作放在最重要的位置，将安全生产作为工程施工最主要的工作来抓。要以工程项目和劳务人员为对象，树立“ 以人为本 ”的安全生产观念，重点突出人的因素，强调以人为中心，根据不同的施工项目、不同的人员结构、不同的地理环境，采取具有针对性的管理办法，制定有效的激励机制，充分调动员工的积极性，使安全生产成为员工的自身需要，使遵章守纪成为员工的自觉行动。</w:t>
      </w:r>
    </w:p>
    <w:p w14:paraId="468DE560">
      <w:pPr>
        <w:spacing w:line="360" w:lineRule="auto"/>
        <w:ind w:firstLine="560" w:firstLineChars="200"/>
        <w:rPr>
          <w:rFonts w:ascii="宋体" w:hAnsi="宋体"/>
          <w:b w:val="0"/>
          <w:bCs/>
          <w:sz w:val="28"/>
        </w:rPr>
      </w:pPr>
      <w:r>
        <w:rPr>
          <w:rFonts w:hint="eastAsia" w:ascii="宋体" w:hAnsi="宋体"/>
          <w:b w:val="0"/>
          <w:bCs/>
          <w:sz w:val="28"/>
        </w:rPr>
        <w:t>2、严格执行国家有关安全生产法律法规</w:t>
      </w:r>
    </w:p>
    <w:p w14:paraId="4CA560D3">
      <w:pPr>
        <w:spacing w:line="360" w:lineRule="auto"/>
        <w:ind w:firstLine="560" w:firstLineChars="200"/>
        <w:rPr>
          <w:rFonts w:ascii="宋体" w:hAnsi="宋体"/>
          <w:b w:val="0"/>
          <w:bCs/>
          <w:sz w:val="28"/>
        </w:rPr>
      </w:pPr>
      <w:r>
        <w:rPr>
          <w:rFonts w:hint="eastAsia" w:ascii="宋体" w:hAnsi="宋体"/>
          <w:b w:val="0"/>
          <w:bCs/>
          <w:sz w:val="28"/>
        </w:rPr>
        <w:t>自《中华人民共和国安全生产法》以及《安全生产许可证条例》等行政法规颁布实施以来，国家安全生产形式总体趋于好转，安全事故发生频率有所下降。可见，只有严格执行安全生产法律法规，进行广泛的宣传教育学习，按照规定要求将法律法规精神贯彻到底，才能真正实现生产安全。应当创造良好的建筑施工环境，严格执行安全教育培训、危险预控、安全专项方案、劳保用品配备、应急救援等等规定，努力营造良性的建筑施工安全生产氛围。</w:t>
      </w:r>
    </w:p>
    <w:p w14:paraId="7F806D65">
      <w:pPr>
        <w:spacing w:line="360" w:lineRule="auto"/>
        <w:ind w:firstLine="560" w:firstLineChars="200"/>
        <w:rPr>
          <w:rFonts w:ascii="宋体" w:hAnsi="宋体"/>
          <w:b w:val="0"/>
          <w:bCs/>
          <w:sz w:val="28"/>
        </w:rPr>
      </w:pPr>
      <w:r>
        <w:rPr>
          <w:rFonts w:ascii="宋体" w:hAnsi="宋体"/>
          <w:b w:val="0"/>
          <w:bCs/>
          <w:sz w:val="28"/>
        </w:rPr>
        <w:t>3</w:t>
      </w:r>
      <w:r>
        <w:rPr>
          <w:rFonts w:hint="eastAsia" w:ascii="宋体" w:hAnsi="宋体"/>
          <w:b w:val="0"/>
          <w:bCs/>
          <w:sz w:val="28"/>
        </w:rPr>
        <w:t>、加强对从业人员的安全教育与培训工作</w:t>
      </w:r>
    </w:p>
    <w:p w14:paraId="7CF1A75C">
      <w:pPr>
        <w:spacing w:line="360" w:lineRule="auto"/>
        <w:ind w:firstLine="560" w:firstLineChars="200"/>
        <w:rPr>
          <w:rFonts w:ascii="宋体" w:hAnsi="宋体"/>
          <w:b w:val="0"/>
          <w:bCs/>
          <w:sz w:val="28"/>
        </w:rPr>
      </w:pPr>
      <w:r>
        <w:rPr>
          <w:rFonts w:hint="eastAsia" w:ascii="宋体" w:hAnsi="宋体"/>
          <w:b w:val="0"/>
          <w:bCs/>
          <w:sz w:val="28"/>
        </w:rPr>
        <w:t>安全管理首先是对人的管理，要强化安全教育培训，不断提高工人安全知识，增强工人的安全防范意识，同时采取有效措施规范人的操作行为，实行规范化作业，杜绝工作凭感觉、靠经验现象，使工人形成一种程序化、标准化的工作习惯。</w:t>
      </w:r>
    </w:p>
    <w:p w14:paraId="5DAE755F">
      <w:pPr>
        <w:spacing w:line="360" w:lineRule="auto"/>
        <w:ind w:firstLine="560" w:firstLineChars="200"/>
        <w:rPr>
          <w:rFonts w:ascii="宋体" w:hAnsi="宋体"/>
          <w:b w:val="0"/>
          <w:bCs/>
          <w:sz w:val="28"/>
        </w:rPr>
      </w:pPr>
      <w:r>
        <w:rPr>
          <w:rFonts w:hint="eastAsia" w:ascii="宋体" w:hAnsi="宋体"/>
          <w:b w:val="0"/>
          <w:bCs/>
          <w:sz w:val="28"/>
        </w:rPr>
        <w:t>1）要重视员工的安全教育培训工作</w:t>
      </w:r>
    </w:p>
    <w:p w14:paraId="08D9AE95">
      <w:pPr>
        <w:spacing w:line="360" w:lineRule="auto"/>
        <w:ind w:firstLine="560" w:firstLineChars="200"/>
        <w:rPr>
          <w:rFonts w:ascii="宋体" w:hAnsi="宋体"/>
          <w:b w:val="0"/>
          <w:bCs/>
          <w:sz w:val="28"/>
        </w:rPr>
      </w:pPr>
      <w:r>
        <w:rPr>
          <w:rFonts w:hint="eastAsia" w:ascii="宋体" w:hAnsi="宋体"/>
          <w:b w:val="0"/>
          <w:bCs/>
          <w:sz w:val="28"/>
        </w:rPr>
        <w:t>企业应重新对全体员工进行安全教育培训，安全教育培训针对新产品特点，有针对性，防止搞形式走过场，不断提高全员安全素质。应当抓好工程项目负责人、技术人员、安全管理人员的安全培训工作，重点对班组长、危险作业岗位工人、关键岗位作业的人员进行安全教育和培训。认真做好三级安全教育、岗前安全教育和安全技术交底等工作。应当积极开展班组“班前会 ”活动，各班组长应对所施工工艺流程及作业中安全操作规程以及安全注意事项进行讲解和要求并作好相应的记录，不得有代签、补签和漏签现象，严禁流于形式、走过场，强化一线员工安全意识和班组安全教育；大力开展安全技术练兵和技术比武活动，逐步提高员工的技术操作水平。</w:t>
      </w:r>
    </w:p>
    <w:p w14:paraId="220B4147">
      <w:pPr>
        <w:spacing w:line="360" w:lineRule="auto"/>
        <w:ind w:firstLine="560" w:firstLineChars="200"/>
        <w:rPr>
          <w:rFonts w:ascii="宋体" w:hAnsi="宋体"/>
          <w:b w:val="0"/>
          <w:bCs/>
          <w:sz w:val="28"/>
        </w:rPr>
      </w:pPr>
      <w:r>
        <w:rPr>
          <w:rFonts w:hint="eastAsia" w:ascii="宋体" w:hAnsi="宋体"/>
          <w:b w:val="0"/>
          <w:bCs/>
          <w:sz w:val="28"/>
        </w:rPr>
        <w:t>2）抓好特殊工种作业人员的安全教育</w:t>
      </w:r>
    </w:p>
    <w:p w14:paraId="24D40EA5">
      <w:pPr>
        <w:spacing w:line="360" w:lineRule="auto"/>
        <w:ind w:firstLine="560" w:firstLineChars="200"/>
        <w:rPr>
          <w:rFonts w:ascii="宋体" w:hAnsi="宋体"/>
          <w:b w:val="0"/>
          <w:bCs/>
          <w:sz w:val="28"/>
        </w:rPr>
      </w:pPr>
      <w:r>
        <w:rPr>
          <w:rFonts w:hint="eastAsia" w:ascii="宋体" w:hAnsi="宋体"/>
          <w:b w:val="0"/>
          <w:bCs/>
          <w:sz w:val="28"/>
        </w:rPr>
        <w:t>特殊工种作业人员必须经过严格培训和考核，持证上岗。一些工人虽然持有特殊工种操作证，但安全技术、安全知识掌握甚少，对这部分人应当定期或不定期的组织进行安全教育培训，提高他们的综合安全素质。未经过培训、无特殊工种操作证者绝对禁止从事该工作。</w:t>
      </w:r>
    </w:p>
    <w:p w14:paraId="76429F36">
      <w:pPr>
        <w:spacing w:line="360" w:lineRule="auto"/>
        <w:ind w:firstLine="560" w:firstLineChars="200"/>
        <w:rPr>
          <w:rFonts w:ascii="宋体" w:hAnsi="宋体"/>
          <w:b w:val="0"/>
          <w:bCs/>
          <w:sz w:val="28"/>
        </w:rPr>
      </w:pPr>
      <w:r>
        <w:rPr>
          <w:rFonts w:hint="eastAsia" w:ascii="宋体" w:hAnsi="宋体"/>
          <w:b w:val="0"/>
          <w:bCs/>
          <w:sz w:val="28"/>
        </w:rPr>
        <w:t>3）努力营造丰富多彩的安全文化</w:t>
      </w:r>
    </w:p>
    <w:p w14:paraId="74E2E18F">
      <w:pPr>
        <w:spacing w:line="360" w:lineRule="auto"/>
        <w:ind w:firstLine="560" w:firstLineChars="200"/>
        <w:rPr>
          <w:rFonts w:ascii="宋体" w:hAnsi="宋体"/>
          <w:b w:val="0"/>
          <w:bCs/>
          <w:sz w:val="28"/>
        </w:rPr>
      </w:pPr>
      <w:r>
        <w:rPr>
          <w:rFonts w:hint="eastAsia" w:ascii="宋体" w:hAnsi="宋体"/>
          <w:b w:val="0"/>
          <w:bCs/>
          <w:sz w:val="28"/>
        </w:rPr>
        <w:t>可以结合国家每年统一开展的“安全生产月 ”、“平安工地 ”等活动，组织各种形式的安全文化活动，采取正反面教育和寓教于乐相结合等等方式，让全体员工都参加到活动中来，从而普及安全知识，强化安全意识，营造良好的安全生产氛围。</w:t>
      </w:r>
    </w:p>
    <w:p w14:paraId="3EF43066">
      <w:pPr>
        <w:spacing w:line="360" w:lineRule="auto"/>
        <w:ind w:firstLine="560" w:firstLineChars="200"/>
        <w:rPr>
          <w:rFonts w:ascii="宋体" w:hAnsi="宋体"/>
          <w:b w:val="0"/>
          <w:bCs/>
          <w:sz w:val="28"/>
        </w:rPr>
      </w:pPr>
      <w:r>
        <w:rPr>
          <w:rFonts w:hint="eastAsia" w:ascii="宋体" w:hAnsi="宋体"/>
          <w:b w:val="0"/>
          <w:bCs/>
          <w:sz w:val="28"/>
        </w:rPr>
        <w:t>4）按照要求投入安全经费</w:t>
      </w:r>
    </w:p>
    <w:p w14:paraId="38F17FDD">
      <w:pPr>
        <w:spacing w:line="360" w:lineRule="auto"/>
        <w:ind w:firstLine="560" w:firstLineChars="200"/>
        <w:rPr>
          <w:rFonts w:ascii="宋体" w:hAnsi="宋体"/>
          <w:b w:val="0"/>
          <w:bCs/>
          <w:sz w:val="28"/>
        </w:rPr>
      </w:pPr>
      <w:r>
        <w:rPr>
          <w:rFonts w:hint="eastAsia" w:ascii="宋体" w:hAnsi="宋体"/>
          <w:b w:val="0"/>
          <w:bCs/>
          <w:sz w:val="28"/>
        </w:rPr>
        <w:t>安全经费投入，与安全工作的好坏息息相关，是安全管理过程中的一个重要组成部分，是搞好安全生产管理的重要环节。必要的安全投入是确保安全管理有序可控的一个重要前提。在安全教育培训、个人防护用品、安全警示标志标牌、临边洞口防护、应急救援等等方面的安全投入，必须严格按照规定进行。</w:t>
      </w:r>
    </w:p>
    <w:p w14:paraId="23C30DB7">
      <w:pPr>
        <w:spacing w:line="360" w:lineRule="auto"/>
        <w:ind w:firstLine="560" w:firstLineChars="200"/>
        <w:rPr>
          <w:rFonts w:ascii="宋体" w:hAnsi="宋体"/>
          <w:b w:val="0"/>
          <w:bCs/>
          <w:sz w:val="28"/>
        </w:rPr>
      </w:pPr>
      <w:r>
        <w:rPr>
          <w:rFonts w:hint="eastAsia" w:ascii="宋体" w:hAnsi="宋体"/>
          <w:b w:val="0"/>
          <w:bCs/>
          <w:sz w:val="28"/>
        </w:rPr>
        <w:t>5）认真开展安全检查，切实消除事故隐患</w:t>
      </w:r>
    </w:p>
    <w:p w14:paraId="0CF1E373">
      <w:pPr>
        <w:spacing w:line="360" w:lineRule="auto"/>
        <w:ind w:firstLine="560" w:firstLineChars="200"/>
        <w:rPr>
          <w:rFonts w:ascii="宋体" w:hAnsi="宋体"/>
          <w:b w:val="0"/>
          <w:bCs/>
          <w:sz w:val="28"/>
        </w:rPr>
      </w:pPr>
      <w:r>
        <w:rPr>
          <w:rFonts w:hint="eastAsia" w:ascii="宋体" w:hAnsi="宋体"/>
          <w:b w:val="0"/>
          <w:bCs/>
          <w:sz w:val="28"/>
        </w:rPr>
        <w:t>安全检查是实现施工生产安全，杜绝事故发生必不可少的重要工作。安全检查的目的是创建一个良好的安全生产作业环境，是实现施工生产安全的重要手段之一。安全检查重点在于发现不安全因素的存在状况，如装置、设备、设施、工具、附件等的潜在不安全因素状况、不安全的作业环境场所条件、不安全的作业职工行为和操作潜在危险，以利采取防范措施，防止或减少伤亡事故的发生。安全检查形式应当多样化，一般可开展常规性安全检查、特殊性安全大检查、定期检查和不定期抽查等活动。项目部应当由主管安全工作的领导定期主持进行安全生产大检查，将检查中发现的问题及时落实责任人进行整改，并在月度安全例会上用PPT 方式进行通报。对施工用电、季节性施工、危险性较大的作业点还应当进行专项检查。只有通过检查，消除事故隐患之后，工人在良好的生产环境下工作，其生命安全才能得到更好保障。</w:t>
      </w:r>
    </w:p>
    <w:p w14:paraId="36AF6E92">
      <w:pPr>
        <w:spacing w:line="360" w:lineRule="auto"/>
        <w:ind w:firstLine="560" w:firstLineChars="200"/>
        <w:rPr>
          <w:rFonts w:ascii="宋体" w:hAnsi="宋体"/>
          <w:b w:val="0"/>
          <w:bCs/>
          <w:sz w:val="28"/>
        </w:rPr>
      </w:pPr>
      <w:r>
        <w:rPr>
          <w:rFonts w:hint="eastAsia" w:ascii="宋体" w:hAnsi="宋体"/>
          <w:b w:val="0"/>
          <w:bCs/>
          <w:sz w:val="28"/>
        </w:rPr>
        <w:t>6）做好危险源的识别与控制</w:t>
      </w:r>
    </w:p>
    <w:p w14:paraId="0331AEEF">
      <w:pPr>
        <w:spacing w:line="360" w:lineRule="auto"/>
        <w:ind w:firstLine="560" w:firstLineChars="200"/>
        <w:rPr>
          <w:rFonts w:ascii="宋体" w:hAnsi="宋体"/>
          <w:b w:val="0"/>
          <w:bCs/>
          <w:sz w:val="28"/>
        </w:rPr>
      </w:pPr>
      <w:r>
        <w:rPr>
          <w:rFonts w:hint="eastAsia" w:ascii="宋体" w:hAnsi="宋体"/>
          <w:b w:val="0"/>
          <w:bCs/>
          <w:sz w:val="28"/>
        </w:rPr>
        <w:t>要全面做好施工生产安全，其中一项重要的工作，就是准确及时地对危险源进行识别和有效的控制。危险源的识别和控制是一项事前控制，安全生产只有事前进行有效的控制才能避免和减少事故的发生。对危险源的识别和确定要准确才能有效地制定针对危险所采取的相应的技术措施和防护方法。应对安全隐患实行动态信息管理，危险源一经确定，就必须纳入控制管理范围及时传达到施工作业区的每位工作人员，并在施工现场醒目地带设置危险源公示牌和安全隐患动态信息牌；任何人不得随意破坏危险源区域内的安全警示标志，现场指挥人员和施工人员要高度重视本区域安全动态，危险源若发生变化，尤其是升级时，应采取有效措施，保证人员和机械设备的安全。</w:t>
      </w:r>
    </w:p>
    <w:p w14:paraId="2410BCC6">
      <w:pPr>
        <w:spacing w:line="360" w:lineRule="auto"/>
        <w:ind w:firstLine="560" w:firstLineChars="200"/>
        <w:rPr>
          <w:rFonts w:ascii="宋体" w:hAnsi="宋体"/>
          <w:b w:val="0"/>
          <w:bCs/>
          <w:sz w:val="28"/>
        </w:rPr>
      </w:pPr>
      <w:r>
        <w:rPr>
          <w:rFonts w:hint="eastAsia" w:ascii="宋体" w:hAnsi="宋体"/>
          <w:b w:val="0"/>
          <w:bCs/>
          <w:sz w:val="28"/>
        </w:rPr>
        <w:t>7）严格执行规章制度，加大安全奖罚力度</w:t>
      </w:r>
    </w:p>
    <w:p w14:paraId="3126C961">
      <w:pPr>
        <w:spacing w:line="360" w:lineRule="auto"/>
        <w:ind w:firstLine="560" w:firstLineChars="200"/>
        <w:rPr>
          <w:rFonts w:ascii="宋体" w:hAnsi="宋体"/>
          <w:b w:val="0"/>
          <w:bCs/>
          <w:sz w:val="28"/>
        </w:rPr>
      </w:pPr>
      <w:r>
        <w:rPr>
          <w:rFonts w:hint="eastAsia" w:ascii="宋体" w:hAnsi="宋体"/>
          <w:b w:val="0"/>
          <w:bCs/>
          <w:sz w:val="28"/>
        </w:rPr>
        <w:t>对在施工生产过程中违章操作、不服从管理的工人进行安全教育之后，可根据情况，给予相应的违章处罚，利用强制性的手段迫使其遵章守纪。对屡教不改的实行重罚，直至清退出场。对劳务单位未按期完成整改指令、不落实安全要求等情形采取加大处罚力度、违规通报、降低信誉评价等措施，但必须得到项目领导的大力支持和配合。采取激励机制，对在工作中服从安全管理，严格遵章守纪，自觉主动及时消除安全隐患，积极配合安全管理人员工作的班组、工人予以安全奖励，对直接避免事故发生的给予重奖。还可以定期开展安全评比活动，对相关人员进行评先授奖。</w:t>
      </w:r>
    </w:p>
    <w:p w14:paraId="380869BA">
      <w:pPr>
        <w:spacing w:line="360" w:lineRule="auto"/>
        <w:ind w:firstLine="560" w:firstLineChars="200"/>
        <w:rPr>
          <w:rFonts w:ascii="宋体" w:hAnsi="宋体"/>
          <w:b w:val="0"/>
          <w:bCs/>
          <w:sz w:val="28"/>
        </w:rPr>
      </w:pPr>
      <w:r>
        <w:rPr>
          <w:rFonts w:hint="eastAsia" w:ascii="宋体" w:hAnsi="宋体"/>
          <w:b w:val="0"/>
          <w:bCs/>
          <w:sz w:val="28"/>
        </w:rPr>
        <w:t>8）做好现场应急救援演练工作</w:t>
      </w:r>
    </w:p>
    <w:p w14:paraId="35CCD618">
      <w:pPr>
        <w:spacing w:line="360" w:lineRule="auto"/>
        <w:ind w:firstLine="560" w:firstLineChars="200"/>
        <w:rPr>
          <w:rFonts w:ascii="宋体" w:hAnsi="宋体"/>
          <w:b w:val="0"/>
          <w:bCs/>
          <w:sz w:val="28"/>
        </w:rPr>
      </w:pPr>
      <w:r>
        <w:rPr>
          <w:rFonts w:hint="eastAsia" w:ascii="宋体" w:hAnsi="宋体"/>
          <w:b w:val="0"/>
          <w:bCs/>
          <w:sz w:val="28"/>
        </w:rPr>
        <w:t>项目上的应急救援预案编制好之后，还应当组织进行应急演练，只有通过演练，才能发现编制的预案存在哪些问题和不足，增强预案的实用性和可操作性。提高应急队伍应对突发事故的快速反应能力、应急处理能力和协调作战能力，切实保障职工生命、设备、财产的安全，将事故损失降到最低。</w:t>
      </w:r>
    </w:p>
    <w:p w14:paraId="0E3E222D">
      <w:pPr>
        <w:spacing w:line="360" w:lineRule="auto"/>
        <w:ind w:firstLine="560" w:firstLineChars="200"/>
        <w:rPr>
          <w:rFonts w:ascii="宋体" w:hAnsi="宋体"/>
          <w:b w:val="0"/>
          <w:bCs/>
          <w:sz w:val="28"/>
        </w:rPr>
      </w:pPr>
      <w:r>
        <w:rPr>
          <w:rFonts w:hint="eastAsia" w:ascii="宋体" w:hAnsi="宋体"/>
          <w:b w:val="0"/>
          <w:bCs/>
          <w:sz w:val="28"/>
        </w:rPr>
        <w:t>9）动火作业要求及安全措施</w:t>
      </w:r>
    </w:p>
    <w:p w14:paraId="00B1C875">
      <w:pPr>
        <w:spacing w:line="360" w:lineRule="auto"/>
        <w:ind w:firstLine="560" w:firstLineChars="200"/>
        <w:rPr>
          <w:rFonts w:ascii="宋体" w:hAnsi="宋体"/>
          <w:b w:val="0"/>
          <w:bCs/>
          <w:sz w:val="28"/>
        </w:rPr>
      </w:pPr>
      <w:r>
        <w:rPr>
          <w:rFonts w:hint="eastAsia" w:ascii="宋体" w:hAnsi="宋体"/>
          <w:b w:val="0"/>
          <w:bCs/>
          <w:sz w:val="28"/>
        </w:rPr>
        <w:t>①动火作业实行作业审批制度，现场应配备现场管理和安全管理人员；</w:t>
      </w:r>
    </w:p>
    <w:p w14:paraId="3F63D525">
      <w:pPr>
        <w:spacing w:line="360" w:lineRule="auto"/>
        <w:ind w:firstLine="560" w:firstLineChars="200"/>
        <w:rPr>
          <w:rFonts w:ascii="宋体" w:hAnsi="宋体"/>
          <w:b w:val="0"/>
          <w:bCs/>
          <w:sz w:val="28"/>
        </w:rPr>
      </w:pPr>
      <w:r>
        <w:rPr>
          <w:rFonts w:hint="eastAsia" w:ascii="宋体" w:hAnsi="宋体"/>
          <w:b w:val="0"/>
          <w:bCs/>
          <w:sz w:val="28"/>
        </w:rPr>
        <w:t>②动火作业区域必须远离容易引燃的物品（诸如木材、纸张、包装材料等）；</w:t>
      </w:r>
    </w:p>
    <w:p w14:paraId="73F4BF76">
      <w:pPr>
        <w:spacing w:line="360" w:lineRule="auto"/>
        <w:ind w:firstLine="560" w:firstLineChars="200"/>
        <w:rPr>
          <w:rFonts w:ascii="宋体" w:hAnsi="宋体"/>
          <w:b w:val="0"/>
          <w:bCs/>
          <w:sz w:val="28"/>
        </w:rPr>
      </w:pPr>
      <w:r>
        <w:rPr>
          <w:rFonts w:hint="eastAsia" w:ascii="宋体" w:hAnsi="宋体"/>
          <w:b w:val="0"/>
          <w:bCs/>
          <w:sz w:val="28"/>
        </w:rPr>
        <w:t>③动火作业区域必须予以明确标明，并且应有必要的警告标志；</w:t>
      </w:r>
    </w:p>
    <w:p w14:paraId="0F620110">
      <w:pPr>
        <w:spacing w:line="360" w:lineRule="auto"/>
        <w:ind w:firstLine="560" w:firstLineChars="200"/>
        <w:rPr>
          <w:rFonts w:ascii="宋体" w:hAnsi="宋体"/>
          <w:b w:val="0"/>
          <w:bCs/>
          <w:sz w:val="28"/>
        </w:rPr>
      </w:pPr>
      <w:r>
        <w:rPr>
          <w:rFonts w:hint="eastAsia" w:ascii="宋体" w:hAnsi="宋体"/>
          <w:b w:val="0"/>
          <w:bCs/>
          <w:sz w:val="28"/>
        </w:rPr>
        <w:t>④为防止电弧的辐射及飞溅伤害，应采用不燃或耐火屏板（或屏罩）隔离保护操作人员；</w:t>
      </w:r>
    </w:p>
    <w:p w14:paraId="3DCF8B91">
      <w:pPr>
        <w:spacing w:line="360" w:lineRule="auto"/>
        <w:ind w:firstLine="560" w:firstLineChars="200"/>
        <w:rPr>
          <w:rFonts w:ascii="宋体" w:hAnsi="宋体"/>
          <w:b w:val="0"/>
          <w:bCs/>
          <w:sz w:val="28"/>
        </w:rPr>
      </w:pPr>
      <w:r>
        <w:rPr>
          <w:rFonts w:hint="eastAsia" w:ascii="宋体" w:hAnsi="宋体"/>
          <w:b w:val="0"/>
          <w:bCs/>
          <w:sz w:val="28"/>
        </w:rPr>
        <w:t>⑤动火作业区域有关操作必须在足够的通风条件下进行；</w:t>
      </w:r>
    </w:p>
    <w:p w14:paraId="5E2A21D3">
      <w:pPr>
        <w:spacing w:line="600" w:lineRule="exact"/>
        <w:ind w:firstLine="560" w:firstLineChars="200"/>
        <w:rPr>
          <w:rFonts w:ascii="宋体" w:hAnsi="宋体"/>
          <w:b w:val="0"/>
          <w:bCs/>
          <w:sz w:val="28"/>
        </w:rPr>
      </w:pPr>
      <w:r>
        <w:rPr>
          <w:rFonts w:hint="eastAsia" w:ascii="宋体" w:hAnsi="宋体"/>
          <w:b w:val="0"/>
          <w:bCs/>
          <w:sz w:val="28"/>
        </w:rPr>
        <w:t>⑥作业现场必须配置足够的灭火设备。</w:t>
      </w:r>
    </w:p>
    <w:p w14:paraId="116087ED">
      <w:pPr>
        <w:spacing w:line="600" w:lineRule="exact"/>
        <w:ind w:firstLine="560" w:firstLineChars="200"/>
        <w:rPr>
          <w:rFonts w:ascii="宋体" w:hAnsi="宋体"/>
          <w:b w:val="0"/>
          <w:bCs/>
          <w:sz w:val="28"/>
        </w:rPr>
      </w:pPr>
      <w:r>
        <w:rPr>
          <w:rFonts w:hint="eastAsia" w:ascii="宋体" w:hAnsi="宋体"/>
          <w:b w:val="0"/>
          <w:bCs/>
          <w:sz w:val="28"/>
        </w:rPr>
        <w:t>⑦安全生产是企业永恒的主题。安全工作必须从思想上高度重视，从源头 开始，严格落实责任，全方位强化监管，及时消除不利因素。只有及时解决 安全生产投入、安全教育培训、从业人员安全意识较低等问题，施工现场安 全事故才能有效控制。只有全员参与，共同管理，群策群力，全面提高施工 人员的素质，严格执行规章制度，切实把“安全第一，预防为主，综合治理 ”的安全生产方针落到实处，才能有效避免或减少事故的发生。</w:t>
      </w:r>
    </w:p>
    <w:p w14:paraId="3F4B54A2">
      <w:pPr>
        <w:spacing w:line="600" w:lineRule="exact"/>
        <w:ind w:firstLine="560" w:firstLineChars="200"/>
        <w:rPr>
          <w:rFonts w:ascii="宋体" w:hAnsi="宋体"/>
          <w:b w:val="0"/>
          <w:bCs/>
          <w:sz w:val="28"/>
        </w:rPr>
      </w:pPr>
      <w:r>
        <w:rPr>
          <w:rFonts w:hint="eastAsia" w:ascii="宋体" w:hAnsi="宋体"/>
          <w:b w:val="0"/>
          <w:bCs/>
          <w:sz w:val="28"/>
        </w:rPr>
        <w:t>10）土建施工过程中采取的安全措施</w:t>
      </w:r>
    </w:p>
    <w:p w14:paraId="47FA93E8">
      <w:pPr>
        <w:spacing w:line="600" w:lineRule="exact"/>
        <w:ind w:firstLine="560" w:firstLineChars="200"/>
        <w:rPr>
          <w:rFonts w:ascii="宋体" w:hAnsi="宋体"/>
          <w:b w:val="0"/>
          <w:bCs/>
          <w:sz w:val="28"/>
        </w:rPr>
      </w:pPr>
      <w:r>
        <w:rPr>
          <w:rFonts w:hint="eastAsia" w:ascii="宋体" w:hAnsi="宋体"/>
          <w:b w:val="0"/>
          <w:bCs/>
          <w:sz w:val="28"/>
        </w:rPr>
        <w:t>①土建过程中部建筑物不安全因素较多，施工场所秩序混乱，且员工素质普遍偏低。企业应对员工进行安全培训，告知员工土建施工过程中所存在的风险，并应制定相应的施工管理制度。</w:t>
      </w:r>
    </w:p>
    <w:p w14:paraId="730908F0">
      <w:pPr>
        <w:spacing w:line="600" w:lineRule="exact"/>
        <w:ind w:firstLine="560" w:firstLineChars="200"/>
        <w:rPr>
          <w:rFonts w:ascii="宋体" w:hAnsi="宋体"/>
          <w:b w:val="0"/>
          <w:bCs/>
          <w:sz w:val="28"/>
        </w:rPr>
      </w:pPr>
      <w:r>
        <w:rPr>
          <w:rFonts w:hint="eastAsia" w:ascii="宋体" w:hAnsi="宋体"/>
          <w:b w:val="0"/>
          <w:bCs/>
          <w:sz w:val="28"/>
        </w:rPr>
        <w:t>②土建施工过程中存在诸多不安全因素，施工时间应与生产时间错开或施工时应停产，不允许边生产边施工。</w:t>
      </w:r>
    </w:p>
    <w:p w14:paraId="3CA8E157">
      <w:pPr>
        <w:spacing w:line="600" w:lineRule="exact"/>
        <w:ind w:firstLine="560" w:firstLineChars="200"/>
        <w:rPr>
          <w:rFonts w:ascii="宋体" w:hAnsi="宋体"/>
          <w:b w:val="0"/>
          <w:bCs/>
          <w:sz w:val="28"/>
        </w:rPr>
      </w:pPr>
      <w:r>
        <w:rPr>
          <w:rFonts w:hint="eastAsia" w:ascii="宋体" w:hAnsi="宋体"/>
          <w:b w:val="0"/>
          <w:bCs/>
          <w:sz w:val="28"/>
        </w:rPr>
        <w:t>③粉尘防治</w:t>
      </w:r>
    </w:p>
    <w:p w14:paraId="35D98DB7">
      <w:pPr>
        <w:spacing w:line="600" w:lineRule="exact"/>
        <w:ind w:firstLine="560" w:firstLineChars="200"/>
        <w:rPr>
          <w:rFonts w:ascii="宋体" w:hAnsi="宋体"/>
          <w:b w:val="0"/>
          <w:bCs/>
          <w:sz w:val="28"/>
        </w:rPr>
      </w:pPr>
      <w:r>
        <w:rPr>
          <w:rFonts w:hint="eastAsia" w:ascii="宋体" w:hAnsi="宋体"/>
          <w:b w:val="0"/>
          <w:bCs/>
          <w:sz w:val="28"/>
        </w:rPr>
        <w:t>⑴加强对可能产生扬尘的物资管理，袋装水泥、粉煤灰、石灰等在装卸及使用过程中，应避免从高处摔落，应轻拿轻放，不应用力摔打。</w:t>
      </w:r>
    </w:p>
    <w:p w14:paraId="761E676A">
      <w:pPr>
        <w:spacing w:line="600" w:lineRule="exact"/>
        <w:ind w:firstLine="560" w:firstLineChars="200"/>
        <w:rPr>
          <w:rFonts w:ascii="宋体" w:hAnsi="宋体"/>
          <w:b w:val="0"/>
          <w:bCs/>
          <w:sz w:val="28"/>
        </w:rPr>
      </w:pPr>
      <w:r>
        <w:rPr>
          <w:rFonts w:hint="eastAsia" w:ascii="宋体" w:hAnsi="宋体"/>
          <w:b w:val="0"/>
          <w:bCs/>
          <w:sz w:val="28"/>
        </w:rPr>
        <w:t>⑵对施工现场的道路、砂石等建筑材料堆场及其他作业区，在连续高湿地面干燥时，要经常洒水湿润，保持尘土不上扬。</w:t>
      </w:r>
    </w:p>
    <w:p w14:paraId="077247B8">
      <w:pPr>
        <w:spacing w:line="600" w:lineRule="exact"/>
        <w:ind w:firstLine="560" w:firstLineChars="200"/>
        <w:rPr>
          <w:rFonts w:ascii="宋体" w:hAnsi="宋体"/>
          <w:b w:val="0"/>
          <w:bCs/>
          <w:sz w:val="28"/>
        </w:rPr>
      </w:pPr>
      <w:r>
        <w:rPr>
          <w:rFonts w:hint="eastAsia" w:ascii="宋体" w:hAnsi="宋体"/>
          <w:b w:val="0"/>
          <w:bCs/>
          <w:sz w:val="28"/>
        </w:rPr>
        <w:t>⑶散体物料、建筑垃圾必须按照规定实行车辆密闭化运输，装卸时严禁凌空抛散。要严格控制搅拌机械的扬尘。脚手架等设施要先除尘后拆除，并做到拆除时有人监控安全和环保。</w:t>
      </w:r>
    </w:p>
    <w:p w14:paraId="46361B36">
      <w:pPr>
        <w:spacing w:line="600" w:lineRule="exact"/>
        <w:ind w:firstLine="560" w:firstLineChars="200"/>
        <w:rPr>
          <w:rFonts w:ascii="宋体" w:hAnsi="宋体"/>
          <w:b w:val="0"/>
          <w:bCs/>
          <w:sz w:val="28"/>
        </w:rPr>
      </w:pPr>
      <w:r>
        <w:rPr>
          <w:rFonts w:hint="eastAsia" w:ascii="宋体" w:hAnsi="宋体"/>
          <w:b w:val="0"/>
          <w:bCs/>
          <w:sz w:val="28"/>
        </w:rPr>
        <w:t>⑷有粉尘的作业场所，操作人员佩戴防尘口罩、防尘帽等防护用品作业。</w:t>
      </w:r>
    </w:p>
    <w:p w14:paraId="24BEB764">
      <w:pPr>
        <w:pStyle w:val="7"/>
        <w:spacing w:line="600" w:lineRule="exact"/>
        <w:rPr>
          <w:rFonts w:ascii="黑体" w:hAnsi="黑体" w:eastAsia="黑体" w:cs="宋体"/>
          <w:b w:val="0"/>
          <w:szCs w:val="28"/>
        </w:rPr>
      </w:pPr>
      <w:r>
        <w:rPr>
          <w:rFonts w:hint="eastAsia" w:ascii="黑体" w:hAnsi="黑体" w:eastAsia="黑体" w:cs="宋体"/>
          <w:b w:val="0"/>
          <w:szCs w:val="28"/>
        </w:rPr>
        <w:t>6</w:t>
      </w:r>
      <w:r>
        <w:rPr>
          <w:rFonts w:ascii="黑体" w:hAnsi="黑体" w:eastAsia="黑体" w:cs="宋体"/>
          <w:b w:val="0"/>
          <w:szCs w:val="28"/>
        </w:rPr>
        <w:t>.3.13</w:t>
      </w:r>
      <w:r>
        <w:rPr>
          <w:rFonts w:hint="eastAsia" w:ascii="黑体" w:hAnsi="黑体" w:eastAsia="黑体" w:cs="宋体"/>
          <w:b w:val="0"/>
          <w:szCs w:val="28"/>
        </w:rPr>
        <w:t>安全管理方面</w:t>
      </w:r>
    </w:p>
    <w:p w14:paraId="438E49D3">
      <w:pPr>
        <w:spacing w:line="600" w:lineRule="exact"/>
        <w:ind w:firstLine="560" w:firstLineChars="200"/>
        <w:rPr>
          <w:rFonts w:ascii="宋体" w:hAnsi="宋体" w:cs="宋体"/>
          <w:b w:val="0"/>
          <w:sz w:val="28"/>
          <w:szCs w:val="28"/>
        </w:rPr>
      </w:pPr>
      <w:r>
        <w:rPr>
          <w:rFonts w:hint="eastAsia" w:ascii="宋体" w:hAnsi="宋体" w:cs="宋体"/>
          <w:b w:val="0"/>
          <w:sz w:val="28"/>
          <w:szCs w:val="28"/>
        </w:rPr>
        <w:t>1、</w:t>
      </w:r>
      <w:r>
        <w:rPr>
          <w:rFonts w:ascii="宋体" w:hAnsi="宋体" w:cs="宋体"/>
          <w:b w:val="0"/>
          <w:sz w:val="28"/>
          <w:szCs w:val="28"/>
        </w:rPr>
        <w:t>在本项目建设完成投入使用前，</w:t>
      </w:r>
      <w:r>
        <w:rPr>
          <w:rFonts w:hint="eastAsia" w:ascii="宋体" w:hAnsi="宋体" w:cs="宋体"/>
          <w:b w:val="0"/>
          <w:sz w:val="28"/>
          <w:szCs w:val="28"/>
        </w:rPr>
        <w:t>该企业</w:t>
      </w:r>
      <w:r>
        <w:rPr>
          <w:rFonts w:ascii="宋体" w:hAnsi="宋体" w:cs="宋体"/>
          <w:b w:val="0"/>
          <w:sz w:val="28"/>
          <w:szCs w:val="28"/>
        </w:rPr>
        <w:t>应根据国家有关安全生产要求，建立安全管理体系，成立安全生产组织机构、质量检测检验管理机构、保卫组织机构、应急救援组织机构</w:t>
      </w:r>
      <w:r>
        <w:rPr>
          <w:rFonts w:hint="eastAsia" w:ascii="宋体" w:hAnsi="宋体" w:cs="宋体"/>
          <w:b w:val="0"/>
          <w:sz w:val="28"/>
          <w:szCs w:val="28"/>
        </w:rPr>
        <w:t>。</w:t>
      </w:r>
    </w:p>
    <w:p w14:paraId="44B2FCF8">
      <w:pPr>
        <w:spacing w:line="600" w:lineRule="exact"/>
        <w:ind w:firstLine="560" w:firstLineChars="200"/>
        <w:rPr>
          <w:rFonts w:ascii="宋体" w:hAnsi="宋体" w:cs="宋体"/>
          <w:b w:val="0"/>
          <w:sz w:val="28"/>
          <w:szCs w:val="28"/>
        </w:rPr>
      </w:pPr>
      <w:r>
        <w:rPr>
          <w:rFonts w:ascii="宋体" w:hAnsi="宋体" w:cs="宋体"/>
          <w:b w:val="0"/>
          <w:sz w:val="28"/>
          <w:szCs w:val="28"/>
        </w:rPr>
        <w:t>2</w:t>
      </w:r>
      <w:r>
        <w:rPr>
          <w:rFonts w:hint="eastAsia" w:ascii="宋体" w:hAnsi="宋体" w:cs="宋体"/>
          <w:b w:val="0"/>
          <w:sz w:val="28"/>
          <w:szCs w:val="28"/>
        </w:rPr>
        <w:t>、</w:t>
      </w:r>
      <w:r>
        <w:rPr>
          <w:rFonts w:ascii="宋体" w:hAnsi="宋体" w:cs="宋体"/>
          <w:b w:val="0"/>
          <w:sz w:val="28"/>
          <w:szCs w:val="28"/>
        </w:rPr>
        <w:t>企业应制定安全生产责任制度，单位的主要负责人对本单位的安全储存工作全面负责，并依据制定的安全生产责任制，制定并分解落实企业安全责任目标</w:t>
      </w:r>
      <w:r>
        <w:rPr>
          <w:rFonts w:hint="eastAsia" w:ascii="宋体" w:hAnsi="宋体" w:cs="宋体"/>
          <w:b w:val="0"/>
          <w:sz w:val="28"/>
          <w:szCs w:val="28"/>
        </w:rPr>
        <w:t>。</w:t>
      </w:r>
    </w:p>
    <w:p w14:paraId="219F7D5A">
      <w:pPr>
        <w:spacing w:line="600" w:lineRule="exact"/>
        <w:ind w:firstLine="560" w:firstLineChars="200"/>
        <w:rPr>
          <w:rFonts w:ascii="宋体" w:hAnsi="宋体"/>
          <w:b w:val="0"/>
          <w:bCs/>
          <w:sz w:val="28"/>
        </w:rPr>
      </w:pPr>
      <w:r>
        <w:rPr>
          <w:rFonts w:hint="eastAsia" w:ascii="宋体" w:hAnsi="宋体"/>
          <w:b w:val="0"/>
          <w:bCs/>
          <w:sz w:val="28"/>
        </w:rPr>
        <w:t>3、</w:t>
      </w:r>
      <w:r>
        <w:rPr>
          <w:rFonts w:hint="eastAsia" w:ascii="宋体" w:hAnsi="宋体" w:cs="宋体"/>
          <w:b w:val="0"/>
          <w:bCs/>
          <w:sz w:val="28"/>
          <w:szCs w:val="28"/>
        </w:rPr>
        <w:t>根据国家有关安全生产法律、法规、规章和标准，结合本企业的实际情况，不断对制定的安全管理制度进行修改和完善；根据《烟花爆竹作业安全技术规程》以及相关的法规和标准对岗位操作规程进行修改和完善。项目确立后制定相应管理制度和操作规程，安全管理制度、操作规程制定后必须严格遵守、执行</w:t>
      </w:r>
      <w:r>
        <w:rPr>
          <w:rFonts w:hint="eastAsia" w:ascii="宋体" w:hAnsi="宋体"/>
          <w:b w:val="0"/>
          <w:bCs/>
          <w:sz w:val="28"/>
        </w:rPr>
        <w:t>。</w:t>
      </w:r>
    </w:p>
    <w:p w14:paraId="7E98B591">
      <w:pPr>
        <w:spacing w:line="600" w:lineRule="exact"/>
        <w:ind w:firstLine="560" w:firstLineChars="200"/>
        <w:rPr>
          <w:rFonts w:ascii="宋体" w:hAnsi="宋体"/>
          <w:b w:val="0"/>
          <w:bCs/>
          <w:sz w:val="28"/>
        </w:rPr>
      </w:pPr>
      <w:r>
        <w:rPr>
          <w:rFonts w:hint="eastAsia" w:ascii="宋体" w:hAnsi="宋体"/>
          <w:b w:val="0"/>
          <w:bCs/>
          <w:sz w:val="28"/>
        </w:rPr>
        <w:t>4、</w:t>
      </w:r>
      <w:r>
        <w:rPr>
          <w:rFonts w:ascii="宋体" w:hAnsi="宋体" w:cs="宋体"/>
          <w:b w:val="0"/>
          <w:sz w:val="28"/>
          <w:szCs w:val="28"/>
        </w:rPr>
        <w:t>建设项目投入使用前，应当对从业人员进行安全教育和培训，保证从业人员具备需要的安全知识，熟悉有关的安全规章制度和安全操作规程，掌握本岗位的安全操作技能，做到持证上岗。未经安全教育和培训合格的 从业人员，不得上岗作业</w:t>
      </w:r>
      <w:r>
        <w:rPr>
          <w:rFonts w:hint="eastAsia" w:ascii="宋体" w:hAnsi="宋体"/>
          <w:b w:val="0"/>
          <w:bCs/>
          <w:sz w:val="28"/>
        </w:rPr>
        <w:t>。</w:t>
      </w:r>
    </w:p>
    <w:p w14:paraId="437A6DA4">
      <w:pPr>
        <w:spacing w:line="600" w:lineRule="exact"/>
        <w:ind w:firstLine="560" w:firstLineChars="200"/>
        <w:rPr>
          <w:rFonts w:ascii="宋体" w:hAnsi="宋体" w:cs="宋体"/>
          <w:b w:val="0"/>
          <w:sz w:val="28"/>
        </w:rPr>
      </w:pPr>
      <w:r>
        <w:rPr>
          <w:rFonts w:hint="eastAsia" w:ascii="宋体" w:hAnsi="宋体"/>
          <w:b w:val="0"/>
          <w:bCs/>
          <w:sz w:val="28"/>
        </w:rPr>
        <w:t>5、按</w:t>
      </w:r>
      <w:r>
        <w:rPr>
          <w:rFonts w:hint="eastAsia" w:ascii="宋体" w:hAnsi="宋体" w:cs="宋体"/>
          <w:b w:val="0"/>
          <w:sz w:val="28"/>
        </w:rPr>
        <w:t>《特种作业人员安全技术培训考核管理规定》（国家应急管理部令第1</w:t>
      </w:r>
      <w:r>
        <w:rPr>
          <w:rFonts w:ascii="宋体" w:hAnsi="宋体" w:cs="宋体"/>
          <w:b w:val="0"/>
          <w:sz w:val="28"/>
        </w:rPr>
        <w:t>9</w:t>
      </w:r>
      <w:r>
        <w:rPr>
          <w:rFonts w:hint="eastAsia" w:ascii="宋体" w:hAnsi="宋体" w:cs="宋体"/>
          <w:b w:val="0"/>
          <w:sz w:val="28"/>
        </w:rPr>
        <w:t>号）</w:t>
      </w:r>
      <w:r>
        <w:rPr>
          <w:rFonts w:ascii="宋体" w:hAnsi="宋体" w:cs="宋体"/>
          <w:b w:val="0"/>
          <w:sz w:val="28"/>
          <w:szCs w:val="28"/>
        </w:rPr>
        <w:t>的规定，</w:t>
      </w:r>
      <w:r>
        <w:rPr>
          <w:rFonts w:hint="eastAsia" w:ascii="宋体" w:hAnsi="宋体" w:cs="宋体"/>
          <w:b w:val="0"/>
          <w:sz w:val="28"/>
          <w:szCs w:val="28"/>
        </w:rPr>
        <w:t>黑火药制造作业、烟花爆竹搬运作业均</w:t>
      </w:r>
      <w:r>
        <w:rPr>
          <w:rFonts w:ascii="宋体" w:hAnsi="宋体" w:cs="宋体"/>
          <w:b w:val="0"/>
          <w:sz w:val="28"/>
          <w:szCs w:val="28"/>
        </w:rPr>
        <w:t>属特种作业</w:t>
      </w:r>
      <w:r>
        <w:rPr>
          <w:rFonts w:hint="eastAsia" w:ascii="宋体" w:hAnsi="宋体" w:cs="宋体"/>
          <w:b w:val="0"/>
          <w:sz w:val="28"/>
          <w:szCs w:val="28"/>
        </w:rPr>
        <w:t>。</w:t>
      </w:r>
    </w:p>
    <w:p w14:paraId="4ACD110E">
      <w:pPr>
        <w:spacing w:line="600" w:lineRule="exact"/>
        <w:ind w:firstLine="560" w:firstLineChars="200"/>
        <w:rPr>
          <w:rFonts w:ascii="宋体" w:hAnsi="宋体"/>
          <w:b w:val="0"/>
          <w:bCs/>
          <w:sz w:val="28"/>
        </w:rPr>
      </w:pPr>
      <w:r>
        <w:rPr>
          <w:rFonts w:hint="eastAsia" w:ascii="宋体" w:hAnsi="宋体"/>
          <w:b w:val="0"/>
          <w:bCs/>
          <w:sz w:val="28"/>
        </w:rPr>
        <w:t>6、对从业人员要进行定期职业性健康检查，并建立职业健康档案，发现健康问题及时采取措施。</w:t>
      </w:r>
    </w:p>
    <w:p w14:paraId="3814362E">
      <w:pPr>
        <w:spacing w:line="600" w:lineRule="exact"/>
        <w:ind w:firstLine="560" w:firstLineChars="200"/>
        <w:rPr>
          <w:rFonts w:ascii="宋体" w:hAnsi="宋体"/>
          <w:b w:val="0"/>
          <w:bCs/>
          <w:sz w:val="28"/>
        </w:rPr>
      </w:pPr>
      <w:r>
        <w:rPr>
          <w:rFonts w:hint="eastAsia" w:ascii="宋体" w:hAnsi="宋体"/>
          <w:b w:val="0"/>
          <w:bCs/>
          <w:sz w:val="28"/>
        </w:rPr>
        <w:t>7、</w:t>
      </w:r>
      <w:r>
        <w:rPr>
          <w:rFonts w:hint="eastAsia" w:ascii="宋体" w:hAnsi="宋体" w:cs="宋体"/>
          <w:b w:val="0"/>
          <w:sz w:val="28"/>
          <w:szCs w:val="28"/>
        </w:rPr>
        <w:t>企业</w:t>
      </w:r>
      <w:r>
        <w:rPr>
          <w:rFonts w:ascii="宋体" w:hAnsi="宋体" w:cs="宋体"/>
          <w:b w:val="0"/>
          <w:sz w:val="28"/>
          <w:szCs w:val="28"/>
        </w:rPr>
        <w:t>应按照《生产安全事故应急条例》（国务院令第 708 号）、《生产安全事故应急预案管理办法》（原安监总局令第 88 号，2019 年应急管理部令第 2 号）、</w:t>
      </w:r>
      <w:r>
        <w:rPr>
          <w:rFonts w:hint="eastAsia" w:ascii="宋体" w:hAnsi="宋体" w:cs="宋体"/>
          <w:b w:val="0"/>
          <w:sz w:val="28"/>
          <w:szCs w:val="28"/>
        </w:rPr>
        <w:t>《生产经营单位生产安全事故应急预案编制导则》</w:t>
      </w:r>
      <w:r>
        <w:rPr>
          <w:rFonts w:ascii="宋体" w:hAnsi="宋体" w:cs="宋体"/>
          <w:b w:val="0"/>
          <w:sz w:val="28"/>
          <w:szCs w:val="28"/>
        </w:rPr>
        <w:t>的要求编制应急救援预案，且</w:t>
      </w:r>
      <w:r>
        <w:rPr>
          <w:rFonts w:hint="eastAsia" w:ascii="宋体" w:hAnsi="宋体" w:cs="宋体"/>
          <w:b w:val="0"/>
          <w:bCs/>
          <w:sz w:val="28"/>
          <w:szCs w:val="28"/>
        </w:rPr>
        <w:t>企业应根据实际情况及时修订事故应急救援预案，并定期进行演练；针对演练中暴露的问题，进一步完善预案并应配备相应的应急救援设施设备，以提高应急救援能力，将事故带来的损失减少到最低限度</w:t>
      </w:r>
      <w:r>
        <w:rPr>
          <w:rFonts w:hint="eastAsia" w:ascii="宋体" w:hAnsi="宋体"/>
          <w:b w:val="0"/>
          <w:bCs/>
          <w:sz w:val="28"/>
        </w:rPr>
        <w:t>。</w:t>
      </w:r>
    </w:p>
    <w:p w14:paraId="7A6F525B">
      <w:pPr>
        <w:spacing w:line="600" w:lineRule="exact"/>
        <w:ind w:firstLine="560" w:firstLineChars="200"/>
        <w:rPr>
          <w:rFonts w:ascii="宋体" w:hAnsi="宋体"/>
          <w:b w:val="0"/>
          <w:bCs/>
          <w:sz w:val="28"/>
          <w:szCs w:val="28"/>
        </w:rPr>
      </w:pPr>
      <w:r>
        <w:rPr>
          <w:rFonts w:ascii="宋体" w:hAnsi="宋体"/>
          <w:b w:val="0"/>
          <w:bCs/>
          <w:sz w:val="28"/>
        </w:rPr>
        <w:t>8</w:t>
      </w:r>
      <w:r>
        <w:rPr>
          <w:rFonts w:hint="eastAsia" w:ascii="宋体" w:hAnsi="宋体"/>
          <w:b w:val="0"/>
          <w:bCs/>
          <w:sz w:val="28"/>
        </w:rPr>
        <w:t>、</w:t>
      </w:r>
      <w:r>
        <w:rPr>
          <w:rFonts w:hint="eastAsia" w:ascii="宋体" w:hAnsi="宋体"/>
          <w:b w:val="0"/>
          <w:bCs/>
          <w:sz w:val="28"/>
          <w:szCs w:val="28"/>
        </w:rPr>
        <w:t>建立安全风险分级管控和隐患排查治理双重预防机制，明确工作内容、职责分工、基本流程、保障措施等相关内容，主要负责人为第一责任人。建立健全事故隐患排查治理责任体系和工作制度，明确事故隐患排查治理工作职责。对排查出的事故隐患进行分级，按事故隐患等级进行登记、治理、验收、销号。完善隐患排查治理台账。对照风险管控责任和管控措施开展日常检查，对风险管控不到位形成事故隐患的，要纳入隐患管理。</w:t>
      </w:r>
    </w:p>
    <w:bookmarkEnd w:id="550"/>
    <w:bookmarkEnd w:id="551"/>
    <w:p w14:paraId="1BB7707C">
      <w:pPr>
        <w:spacing w:line="600" w:lineRule="exact"/>
        <w:ind w:firstLine="560" w:firstLineChars="200"/>
        <w:rPr>
          <w:rFonts w:ascii="宋体" w:hAnsi="宋体"/>
          <w:b w:val="0"/>
          <w:bCs/>
          <w:sz w:val="28"/>
        </w:rPr>
      </w:pPr>
      <w:bookmarkStart w:id="552" w:name="_Toc165038837"/>
      <w:bookmarkStart w:id="553" w:name="_Toc233449817"/>
      <w:bookmarkStart w:id="554" w:name="_Toc176863173"/>
      <w:r>
        <w:rPr>
          <w:rFonts w:hint="eastAsia" w:ascii="宋体" w:hAnsi="宋体"/>
          <w:b w:val="0"/>
          <w:bCs/>
          <w:sz w:val="28"/>
        </w:rPr>
        <w:t>9、</w:t>
      </w:r>
      <w:r>
        <w:rPr>
          <w:rFonts w:ascii="宋体" w:hAnsi="宋体" w:cs="宋体"/>
          <w:b w:val="0"/>
          <w:sz w:val="28"/>
          <w:szCs w:val="28"/>
        </w:rPr>
        <w:t>项目建成后，企业应依法为员工缴纳工伤保险，并办理安全生产责任保险。</w:t>
      </w:r>
    </w:p>
    <w:p w14:paraId="67630F99">
      <w:pPr>
        <w:spacing w:line="600" w:lineRule="exact"/>
        <w:ind w:firstLine="560" w:firstLineChars="200"/>
        <w:rPr>
          <w:rFonts w:ascii="宋体" w:hAnsi="宋体"/>
          <w:b w:val="0"/>
          <w:bCs/>
          <w:sz w:val="24"/>
        </w:rPr>
      </w:pPr>
      <w:r>
        <w:rPr>
          <w:rFonts w:ascii="宋体" w:hAnsi="宋体"/>
          <w:b w:val="0"/>
          <w:bCs/>
          <w:sz w:val="28"/>
        </w:rPr>
        <w:t>10</w:t>
      </w:r>
      <w:r>
        <w:rPr>
          <w:rFonts w:hint="eastAsia" w:ascii="宋体" w:hAnsi="宋体"/>
          <w:b w:val="0"/>
          <w:bCs/>
          <w:sz w:val="28"/>
        </w:rPr>
        <w:t>、建议与邻厂（醴陵市楚丰出口烟花鞭炮制造有限公司）签订好安全责任协议、明确双方职责。</w:t>
      </w:r>
    </w:p>
    <w:bookmarkEnd w:id="552"/>
    <w:bookmarkEnd w:id="553"/>
    <w:bookmarkEnd w:id="554"/>
    <w:p w14:paraId="5E5A5685">
      <w:pPr>
        <w:pStyle w:val="7"/>
        <w:spacing w:line="600" w:lineRule="exact"/>
        <w:jc w:val="both"/>
        <w:rPr>
          <w:rFonts w:ascii="黑体" w:hAnsi="黑体" w:eastAsia="黑体" w:cs="宋体"/>
          <w:b w:val="0"/>
          <w:szCs w:val="28"/>
        </w:rPr>
      </w:pPr>
      <w:r>
        <w:rPr>
          <w:rFonts w:hint="eastAsia" w:ascii="黑体" w:hAnsi="黑体" w:eastAsia="黑体" w:cs="宋体"/>
          <w:b w:val="0"/>
          <w:szCs w:val="28"/>
        </w:rPr>
        <w:t>6.3.</w:t>
      </w:r>
      <w:r>
        <w:rPr>
          <w:rFonts w:ascii="黑体" w:hAnsi="黑体" w:eastAsia="黑体" w:cs="宋体"/>
          <w:b w:val="0"/>
          <w:szCs w:val="28"/>
        </w:rPr>
        <w:t>14</w:t>
      </w:r>
      <w:r>
        <w:rPr>
          <w:rFonts w:hint="eastAsia" w:ascii="黑体" w:hAnsi="黑体" w:eastAsia="黑体" w:cs="宋体"/>
          <w:b w:val="0"/>
          <w:szCs w:val="28"/>
        </w:rPr>
        <w:t>应重视的安全对策措施建议</w:t>
      </w:r>
    </w:p>
    <w:p w14:paraId="4AB60269">
      <w:pPr>
        <w:spacing w:line="600" w:lineRule="exact"/>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1、企业在设计时，必须确保各工库房外部距离和内部距离、建筑结构等符合《烟花爆竹工程设计安全标准》（GB50161-2022）和《烟花爆竹作业安全技术规程》（GB11652-2012）等标准和法律法规要求。</w:t>
      </w:r>
    </w:p>
    <w:p w14:paraId="438744AB">
      <w:pPr>
        <w:spacing w:line="600" w:lineRule="exact"/>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2、</w:t>
      </w:r>
      <w:r>
        <w:rPr>
          <w:rFonts w:hint="eastAsia" w:ascii="宋体" w:hAnsi="宋体"/>
          <w:b w:val="0"/>
          <w:color w:val="000000"/>
          <w:sz w:val="28"/>
        </w:rPr>
        <w:t>项目应严格依照建设项目“三同时”要求，安全设施设计未取得批准前不得开工建设</w:t>
      </w:r>
      <w:r>
        <w:rPr>
          <w:rFonts w:hint="eastAsia" w:asciiTheme="minorEastAsia" w:hAnsiTheme="minorEastAsia" w:eastAsiaTheme="minorEastAsia"/>
          <w:b w:val="0"/>
          <w:bCs/>
          <w:sz w:val="28"/>
          <w:szCs w:val="28"/>
        </w:rPr>
        <w:t>。</w:t>
      </w:r>
    </w:p>
    <w:p w14:paraId="37623BBF">
      <w:pPr>
        <w:spacing w:line="600" w:lineRule="exact"/>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3</w:t>
      </w:r>
      <w:bookmarkStart w:id="555" w:name="_Hlk137201926"/>
      <w:r>
        <w:rPr>
          <w:rFonts w:hint="eastAsia" w:cs="宋体" w:asciiTheme="minorEastAsia" w:hAnsiTheme="minorEastAsia" w:eastAsiaTheme="minorEastAsia"/>
          <w:b w:val="0"/>
          <w:bCs/>
          <w:sz w:val="28"/>
          <w:szCs w:val="28"/>
        </w:rPr>
        <w:t>、</w:t>
      </w:r>
      <w:r>
        <w:rPr>
          <w:rFonts w:hint="eastAsia" w:ascii="宋体" w:hAnsi="宋体"/>
          <w:b w:val="0"/>
          <w:color w:val="000000"/>
          <w:sz w:val="28"/>
        </w:rPr>
        <w:t>应严格依照设计图纸进行施工，保证建成后的现状与设计图纸一致，达到标准和设计要求，严禁擅自变更设计</w:t>
      </w:r>
      <w:r>
        <w:rPr>
          <w:rFonts w:hint="eastAsia" w:cs="宋体" w:asciiTheme="minorEastAsia" w:hAnsiTheme="minorEastAsia" w:eastAsiaTheme="minorEastAsia"/>
          <w:b w:val="0"/>
          <w:bCs/>
          <w:sz w:val="28"/>
          <w:szCs w:val="28"/>
        </w:rPr>
        <w:t>。</w:t>
      </w:r>
    </w:p>
    <w:bookmarkEnd w:id="555"/>
    <w:p w14:paraId="4E9AF03E">
      <w:pPr>
        <w:spacing w:line="600" w:lineRule="exact"/>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4、</w:t>
      </w:r>
      <w:r>
        <w:rPr>
          <w:rFonts w:hint="eastAsia" w:ascii="宋体" w:hAnsi="宋体"/>
          <w:b w:val="0"/>
          <w:color w:val="000000"/>
          <w:sz w:val="28"/>
        </w:rPr>
        <w:t>建设过程中，必须严格执行国家现行施工验收标准及规范，请有资质的施工建筑单位进行施工</w:t>
      </w:r>
      <w:r>
        <w:rPr>
          <w:rFonts w:hint="eastAsia" w:cs="宋体" w:asciiTheme="minorEastAsia" w:hAnsiTheme="minorEastAsia" w:eastAsiaTheme="minorEastAsia"/>
          <w:b w:val="0"/>
          <w:bCs/>
          <w:sz w:val="28"/>
          <w:szCs w:val="28"/>
        </w:rPr>
        <w:t>。</w:t>
      </w:r>
    </w:p>
    <w:p w14:paraId="28FF5CE8">
      <w:pPr>
        <w:spacing w:line="600" w:lineRule="exact"/>
        <w:ind w:firstLine="560" w:firstLineChars="200"/>
        <w:rPr>
          <w:rFonts w:cs="宋体" w:asciiTheme="minorEastAsia" w:hAnsiTheme="minorEastAsia" w:eastAsiaTheme="minorEastAsia"/>
          <w:b w:val="0"/>
          <w:bCs/>
          <w:sz w:val="28"/>
          <w:szCs w:val="28"/>
        </w:rPr>
      </w:pPr>
      <w:r>
        <w:rPr>
          <w:rFonts w:hint="eastAsia" w:cs="宋体" w:asciiTheme="minorEastAsia" w:hAnsiTheme="minorEastAsia" w:eastAsiaTheme="minorEastAsia"/>
          <w:b w:val="0"/>
          <w:bCs/>
          <w:sz w:val="28"/>
          <w:szCs w:val="28"/>
        </w:rPr>
        <w:t>5、</w:t>
      </w:r>
      <w:r>
        <w:rPr>
          <w:rFonts w:hint="eastAsia" w:ascii="宋体" w:hAnsi="宋体"/>
          <w:b w:val="0"/>
          <w:color w:val="000000"/>
          <w:sz w:val="28"/>
        </w:rPr>
        <w:t>企业应加强该项目隐蔽工程的施工质量监管及验收</w:t>
      </w:r>
      <w:r>
        <w:rPr>
          <w:rFonts w:hint="eastAsia" w:cs="宋体" w:asciiTheme="minorEastAsia" w:hAnsiTheme="minorEastAsia" w:eastAsiaTheme="minorEastAsia"/>
          <w:b w:val="0"/>
          <w:bCs/>
          <w:sz w:val="28"/>
          <w:szCs w:val="28"/>
        </w:rPr>
        <w:t>。</w:t>
      </w:r>
    </w:p>
    <w:p w14:paraId="679BF6B6">
      <w:pPr>
        <w:spacing w:line="600" w:lineRule="exact"/>
        <w:ind w:firstLine="560" w:firstLineChars="200"/>
        <w:rPr>
          <w:rFonts w:ascii="宋体" w:hAnsi="宋体"/>
          <w:b w:val="0"/>
          <w:color w:val="000000"/>
          <w:sz w:val="28"/>
        </w:rPr>
      </w:pPr>
      <w:r>
        <w:rPr>
          <w:rFonts w:hint="eastAsia" w:ascii="宋体" w:hAnsi="宋体"/>
          <w:b w:val="0"/>
          <w:color w:val="000000"/>
          <w:sz w:val="28"/>
        </w:rPr>
        <w:t>6、</w:t>
      </w:r>
      <w:r>
        <w:rPr>
          <w:rFonts w:hint="eastAsia" w:ascii="宋体" w:hAnsi="宋体"/>
          <w:b w:val="0"/>
          <w:bCs/>
          <w:color w:val="000000"/>
          <w:sz w:val="28"/>
        </w:rPr>
        <w:t>企业应按照《烟花爆竹工程设计安全标准》（GB50161-2022）对 1.1级建构筑物设置防护屏障，并应满足相关要求。</w:t>
      </w:r>
    </w:p>
    <w:p w14:paraId="65549A6D">
      <w:pPr>
        <w:spacing w:line="600" w:lineRule="exact"/>
        <w:ind w:firstLine="560" w:firstLineChars="200"/>
        <w:rPr>
          <w:rFonts w:ascii="宋体" w:hAnsi="宋体"/>
          <w:b w:val="0"/>
          <w:color w:val="000000"/>
          <w:sz w:val="28"/>
        </w:rPr>
      </w:pPr>
      <w:r>
        <w:rPr>
          <w:rFonts w:hint="eastAsia" w:ascii="宋体" w:hAnsi="宋体"/>
          <w:b w:val="0"/>
          <w:color w:val="000000"/>
          <w:sz w:val="28"/>
        </w:rPr>
        <w:t>7、建设项目建成完工后，企业应按有关规定，按时进行安全评价和通过工程竣工验收合格后方可投入使用。</w:t>
      </w:r>
    </w:p>
    <w:p w14:paraId="79B54087">
      <w:pPr>
        <w:spacing w:line="600" w:lineRule="exact"/>
        <w:ind w:firstLine="562" w:firstLineChars="200"/>
        <w:rPr>
          <w:rFonts w:ascii="宋体" w:hAnsi="宋体" w:cs="宋体"/>
          <w:b w:val="0"/>
          <w:spacing w:val="-6"/>
          <w:sz w:val="28"/>
          <w:szCs w:val="28"/>
        </w:rPr>
      </w:pPr>
      <w:r>
        <w:rPr>
          <w:rFonts w:hint="eastAsia" w:ascii="宋体" w:hAnsi="宋体"/>
          <w:sz w:val="28"/>
        </w:rPr>
        <w:t>综上所述，该项目所有新建工库房均应按上述要求进行建设，应在湖南金帝烟花爆竹制造有限公司泉水工区扩建项目设计中予以落实。</w:t>
      </w:r>
    </w:p>
    <w:p w14:paraId="397981B1">
      <w:pPr>
        <w:keepNext/>
        <w:pageBreakBefore/>
        <w:widowControl/>
        <w:spacing w:before="120" w:beforeLines="50" w:line="360" w:lineRule="auto"/>
        <w:jc w:val="center"/>
        <w:outlineLvl w:val="0"/>
        <w:rPr>
          <w:rFonts w:ascii="黑体" w:hAnsi="宋体" w:eastAsia="黑体"/>
          <w:b w:val="0"/>
          <w:sz w:val="32"/>
          <w:szCs w:val="32"/>
        </w:rPr>
      </w:pPr>
      <w:bookmarkStart w:id="556" w:name="_Toc98992047"/>
      <w:bookmarkStart w:id="557" w:name="_Toc233449818"/>
      <w:bookmarkStart w:id="558" w:name="_Toc110569915"/>
      <w:bookmarkStart w:id="559" w:name="_Toc239191528"/>
      <w:r>
        <w:rPr>
          <w:rFonts w:hint="eastAsia" w:ascii="黑体" w:hAnsi="宋体" w:eastAsia="黑体"/>
          <w:b w:val="0"/>
          <w:sz w:val="32"/>
          <w:szCs w:val="32"/>
        </w:rPr>
        <w:t>第七章 安全预评价结论</w:t>
      </w:r>
      <w:bookmarkEnd w:id="556"/>
      <w:bookmarkEnd w:id="557"/>
      <w:bookmarkEnd w:id="558"/>
      <w:bookmarkEnd w:id="559"/>
    </w:p>
    <w:p w14:paraId="05712684">
      <w:pPr>
        <w:keepNext/>
        <w:keepLines/>
        <w:spacing w:before="120" w:beforeLines="50" w:after="120" w:afterLines="50" w:line="600" w:lineRule="exact"/>
        <w:outlineLvl w:val="1"/>
        <w:rPr>
          <w:rFonts w:ascii="黑体" w:hAnsi="宋体" w:eastAsia="黑体"/>
          <w:b w:val="0"/>
          <w:bCs/>
          <w:snapToGrid w:val="0"/>
          <w:sz w:val="30"/>
          <w:szCs w:val="30"/>
        </w:rPr>
      </w:pPr>
      <w:bookmarkStart w:id="560" w:name="_Toc110569916"/>
      <w:bookmarkStart w:id="561" w:name="_Toc91555135"/>
      <w:bookmarkStart w:id="562" w:name="_Toc233449819"/>
      <w:bookmarkStart w:id="563" w:name="_Toc93977191"/>
      <w:bookmarkStart w:id="564" w:name="_Toc92505501"/>
      <w:bookmarkStart w:id="565" w:name="_Toc239191529"/>
      <w:r>
        <w:rPr>
          <w:rFonts w:hint="eastAsia" w:ascii="黑体" w:hAnsi="宋体" w:eastAsia="黑体"/>
          <w:b w:val="0"/>
          <w:bCs/>
          <w:snapToGrid w:val="0"/>
          <w:sz w:val="30"/>
          <w:szCs w:val="30"/>
        </w:rPr>
        <w:t>7.1</w:t>
      </w:r>
      <w:bookmarkEnd w:id="560"/>
      <w:bookmarkEnd w:id="561"/>
      <w:bookmarkEnd w:id="562"/>
      <w:bookmarkEnd w:id="563"/>
      <w:bookmarkEnd w:id="564"/>
      <w:r>
        <w:rPr>
          <w:rFonts w:hint="eastAsia" w:ascii="黑体" w:hAnsi="宋体" w:eastAsia="黑体"/>
          <w:b w:val="0"/>
          <w:bCs/>
          <w:snapToGrid w:val="0"/>
          <w:sz w:val="30"/>
          <w:szCs w:val="30"/>
        </w:rPr>
        <w:t>主要危险、有害因素分析结果</w:t>
      </w:r>
      <w:bookmarkEnd w:id="565"/>
    </w:p>
    <w:p w14:paraId="60DF46CE">
      <w:pPr>
        <w:adjustRightInd w:val="0"/>
        <w:snapToGrid w:val="0"/>
        <w:spacing w:line="600" w:lineRule="exact"/>
        <w:ind w:firstLine="560"/>
        <w:jc w:val="left"/>
        <w:rPr>
          <w:rFonts w:ascii="宋体" w:hAnsi="宋体" w:cs="宋体"/>
          <w:b w:val="0"/>
          <w:bCs/>
          <w:sz w:val="28"/>
          <w:szCs w:val="28"/>
        </w:rPr>
      </w:pPr>
      <w:r>
        <w:rPr>
          <w:rFonts w:ascii="宋体" w:hAnsi="宋体" w:cs="宋体"/>
          <w:b w:val="0"/>
          <w:bCs/>
          <w:sz w:val="28"/>
          <w:szCs w:val="28"/>
        </w:rPr>
        <w:t>1</w:t>
      </w:r>
      <w:r>
        <w:rPr>
          <w:rFonts w:hint="eastAsia" w:ascii="宋体" w:hAnsi="宋体" w:cs="宋体"/>
          <w:b w:val="0"/>
          <w:bCs/>
          <w:sz w:val="28"/>
          <w:szCs w:val="28"/>
        </w:rPr>
        <w:t>、根据《烟花爆竹重大危险源辨识》（AQ4131-2023）进行烟花爆竹重大危险源辨识，经辨识，该项目辨识单元</w:t>
      </w:r>
      <w:r>
        <w:rPr>
          <w:rFonts w:hint="eastAsia" w:ascii="宋体" w:hAnsi="宋体"/>
          <w:b w:val="0"/>
          <w:sz w:val="28"/>
          <w:szCs w:val="28"/>
        </w:rPr>
        <w:t>中1号黑火药库区储存单元（厂区西南面）和2号黑火药库区储存单元（厂区西北面）已构成三级烟花爆竹重大危险源，其他辨识单位均不构成烟花爆竹重大危险源</w:t>
      </w:r>
      <w:r>
        <w:rPr>
          <w:rFonts w:hint="eastAsia" w:ascii="宋体" w:hAnsi="宋体" w:cs="宋体"/>
          <w:b w:val="0"/>
          <w:bCs/>
          <w:sz w:val="28"/>
          <w:szCs w:val="28"/>
        </w:rPr>
        <w:t>。</w:t>
      </w:r>
    </w:p>
    <w:p w14:paraId="70AC3728">
      <w:pPr>
        <w:pStyle w:val="3"/>
        <w:spacing w:line="600" w:lineRule="exact"/>
        <w:ind w:firstLine="560"/>
        <w:rPr>
          <w:rFonts w:ascii="宋体" w:hAnsi="宋体" w:eastAsia="宋体" w:cs="宋体"/>
          <w:b w:val="0"/>
          <w:bCs/>
          <w:szCs w:val="28"/>
        </w:rPr>
      </w:pPr>
      <w:r>
        <w:rPr>
          <w:rFonts w:hint="eastAsia" w:ascii="宋体" w:hAnsi="宋体" w:eastAsia="宋体" w:cs="宋体"/>
          <w:b w:val="0"/>
          <w:bCs/>
          <w:szCs w:val="28"/>
        </w:rPr>
        <w:t>2、主要危险、危害因素</w:t>
      </w:r>
    </w:p>
    <w:p w14:paraId="19CCF012">
      <w:pPr>
        <w:adjustRightInd w:val="0"/>
        <w:snapToGrid w:val="0"/>
        <w:spacing w:line="600" w:lineRule="exact"/>
        <w:ind w:firstLine="560"/>
        <w:rPr>
          <w:rFonts w:ascii="宋体" w:hAnsi="宋体" w:cs="宋体"/>
          <w:b w:val="0"/>
          <w:bCs/>
          <w:sz w:val="28"/>
          <w:szCs w:val="28"/>
        </w:rPr>
      </w:pPr>
      <w:r>
        <w:rPr>
          <w:rFonts w:hint="eastAsia" w:ascii="宋体" w:hAnsi="宋体" w:cs="宋体"/>
          <w:b w:val="0"/>
          <w:bCs/>
          <w:sz w:val="28"/>
          <w:szCs w:val="28"/>
        </w:rPr>
        <w:t>（1）火灾、爆炸；</w:t>
      </w:r>
    </w:p>
    <w:p w14:paraId="6622A3CD">
      <w:pPr>
        <w:adjustRightInd w:val="0"/>
        <w:snapToGrid w:val="0"/>
        <w:spacing w:line="600" w:lineRule="exact"/>
        <w:ind w:firstLine="560"/>
        <w:rPr>
          <w:rFonts w:ascii="宋体" w:hAnsi="宋体" w:cs="宋体"/>
          <w:b w:val="0"/>
          <w:bCs/>
          <w:sz w:val="28"/>
          <w:szCs w:val="28"/>
        </w:rPr>
      </w:pPr>
      <w:r>
        <w:rPr>
          <w:rFonts w:hint="eastAsia" w:ascii="宋体" w:hAnsi="宋体" w:cs="宋体"/>
          <w:b w:val="0"/>
          <w:bCs/>
          <w:sz w:val="28"/>
          <w:szCs w:val="28"/>
        </w:rPr>
        <w:t>（2）中毒和窒息；</w:t>
      </w:r>
    </w:p>
    <w:p w14:paraId="59F2D154">
      <w:pPr>
        <w:adjustRightInd w:val="0"/>
        <w:snapToGrid w:val="0"/>
        <w:spacing w:line="600" w:lineRule="exact"/>
        <w:ind w:firstLine="560"/>
        <w:rPr>
          <w:rFonts w:ascii="宋体" w:hAnsi="宋体" w:cs="宋体"/>
          <w:b w:val="0"/>
          <w:bCs/>
          <w:sz w:val="28"/>
          <w:szCs w:val="28"/>
        </w:rPr>
      </w:pPr>
      <w:r>
        <w:rPr>
          <w:rFonts w:hint="eastAsia" w:ascii="宋体" w:hAnsi="宋体" w:cs="宋体"/>
          <w:b w:val="0"/>
          <w:bCs/>
          <w:sz w:val="28"/>
          <w:szCs w:val="28"/>
        </w:rPr>
        <w:t>（3）机械致害；</w:t>
      </w:r>
    </w:p>
    <w:p w14:paraId="535565E5">
      <w:pPr>
        <w:adjustRightInd w:val="0"/>
        <w:snapToGrid w:val="0"/>
        <w:spacing w:line="600" w:lineRule="exact"/>
        <w:ind w:firstLine="560"/>
        <w:rPr>
          <w:rFonts w:ascii="宋体" w:hAnsi="宋体" w:cs="宋体"/>
          <w:b w:val="0"/>
          <w:bCs/>
          <w:sz w:val="28"/>
          <w:szCs w:val="28"/>
        </w:rPr>
      </w:pPr>
      <w:r>
        <w:rPr>
          <w:rFonts w:hint="eastAsia" w:ascii="宋体" w:hAnsi="宋体" w:cs="宋体"/>
          <w:b w:val="0"/>
          <w:bCs/>
          <w:sz w:val="28"/>
          <w:szCs w:val="28"/>
        </w:rPr>
        <w:t>（4）触电。</w:t>
      </w:r>
    </w:p>
    <w:p w14:paraId="0E32EEFE">
      <w:pPr>
        <w:keepNext/>
        <w:keepLines/>
        <w:spacing w:before="120" w:beforeLines="50" w:after="120" w:afterLines="50" w:line="600" w:lineRule="exact"/>
        <w:outlineLvl w:val="1"/>
        <w:rPr>
          <w:rFonts w:ascii="黑体" w:hAnsi="宋体" w:eastAsia="黑体"/>
          <w:b w:val="0"/>
          <w:bCs/>
          <w:snapToGrid w:val="0"/>
          <w:sz w:val="30"/>
          <w:szCs w:val="30"/>
        </w:rPr>
      </w:pPr>
      <w:bookmarkStart w:id="566" w:name="_Toc128477417"/>
      <w:bookmarkStart w:id="567" w:name="_Toc233449820"/>
      <w:bookmarkStart w:id="568" w:name="_Toc239191530"/>
      <w:r>
        <w:rPr>
          <w:rFonts w:hint="eastAsia" w:ascii="黑体" w:hAnsi="宋体" w:eastAsia="黑体"/>
          <w:b w:val="0"/>
          <w:bCs/>
          <w:snapToGrid w:val="0"/>
          <w:sz w:val="30"/>
          <w:szCs w:val="30"/>
        </w:rPr>
        <w:t>7.2安全预评价</w:t>
      </w:r>
      <w:bookmarkEnd w:id="566"/>
      <w:bookmarkEnd w:id="567"/>
      <w:r>
        <w:rPr>
          <w:rFonts w:hint="eastAsia" w:ascii="黑体" w:hAnsi="宋体" w:eastAsia="黑体"/>
          <w:b w:val="0"/>
          <w:bCs/>
          <w:snapToGrid w:val="0"/>
          <w:sz w:val="30"/>
          <w:szCs w:val="30"/>
        </w:rPr>
        <w:t>结果</w:t>
      </w:r>
      <w:bookmarkEnd w:id="568"/>
    </w:p>
    <w:p w14:paraId="53072FDC">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1、泉水工区扩建项目安全条件单元安全评价结果</w:t>
      </w:r>
    </w:p>
    <w:p w14:paraId="55C3DD7E">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根据对该项目内在危险有害因素对周边单位生产、经营活动或者居民生活的影响、泉水工区扩建项目周边生产单位、经营活动或居民生活对厂区的影响以及自然条件对泉水工区扩建项目可能产生的影响的分析，周边环境与泉水工区扩建项目的相互影响在可接受范围内。</w:t>
      </w:r>
    </w:p>
    <w:p w14:paraId="56150B0E">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2、泉水工区扩建项目总体布局单元安全评价结果</w:t>
      </w:r>
    </w:p>
    <w:p w14:paraId="00560197">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该项目的选址、总平面布置、工艺布局及内、外部距离均符合《烟花爆竹工程设计安全标准》（GB50161-2022）标准要求。</w:t>
      </w:r>
    </w:p>
    <w:p w14:paraId="7E87A7BD">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3、安全设施及公用工程单元评价结果</w:t>
      </w:r>
    </w:p>
    <w:p w14:paraId="353AEC1B">
      <w:pPr>
        <w:adjustRightInd w:val="0"/>
        <w:snapToGrid w:val="0"/>
        <w:spacing w:line="600" w:lineRule="exact"/>
        <w:ind w:firstLine="560" w:firstLineChars="200"/>
        <w:rPr>
          <w:rFonts w:ascii="宋体" w:hAnsi="宋体" w:cs="宋体"/>
          <w:b w:val="0"/>
          <w:bCs/>
          <w:sz w:val="28"/>
          <w:szCs w:val="28"/>
        </w:rPr>
      </w:pPr>
      <w:r>
        <w:rPr>
          <w:rFonts w:hint="eastAsia" w:ascii="宋体" w:hAnsi="宋体" w:cs="宋体"/>
          <w:b w:val="0"/>
          <w:bCs/>
          <w:sz w:val="28"/>
          <w:szCs w:val="28"/>
        </w:rPr>
        <w:t>根据对该项目的安全设施及公用工程进行分析，综合该企业现场情况，其安全设施及公用工程单元符合要求。</w:t>
      </w:r>
    </w:p>
    <w:p w14:paraId="3080A5FF">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4、安全管理单元评价结果</w:t>
      </w:r>
    </w:p>
    <w:p w14:paraId="526CE77A">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根据对该企业的安全管理资料进行分析，其安全管理单元符合要求。</w:t>
      </w:r>
    </w:p>
    <w:p w14:paraId="36F903DE">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5、生产过程单元评论结果</w:t>
      </w:r>
    </w:p>
    <w:p w14:paraId="0A163F9B">
      <w:pPr>
        <w:pStyle w:val="2"/>
        <w:spacing w:line="600" w:lineRule="exact"/>
        <w:ind w:firstLine="560"/>
        <w:rPr>
          <w:rFonts w:ascii="宋体" w:hAnsi="宋体" w:eastAsia="宋体" w:cs="宋体"/>
          <w:b w:val="0"/>
          <w:bCs/>
          <w:kern w:val="2"/>
          <w:szCs w:val="28"/>
        </w:rPr>
      </w:pPr>
      <w:r>
        <w:rPr>
          <w:rFonts w:hint="eastAsia" w:ascii="宋体" w:hAnsi="宋体" w:eastAsia="宋体" w:cs="宋体"/>
          <w:b w:val="0"/>
          <w:bCs/>
          <w:kern w:val="2"/>
          <w:szCs w:val="28"/>
        </w:rPr>
        <w:t>该项目工艺过程各工序都存在危险有害因素，事故类型主要为火灾、爆炸。危险级别主要为Ⅲ级，明确了发生事故的触发条件并确定了应采取的相应工艺安全对策措施。</w:t>
      </w:r>
    </w:p>
    <w:p w14:paraId="1292DCA0">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6、建筑施工单元评价结果</w:t>
      </w:r>
    </w:p>
    <w:p w14:paraId="2726AC42">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该项目的建筑施工阶段存在的潜在的主要危险有害因素有：高处坠落、物体打击、起重致害、机械致害、厂（场）内车辆致害、火灾、触电和坍塌，当企业采取防护措施后，同时在企业严格按规章制度运行的前提下，其风险在可接受范围内。</w:t>
      </w:r>
    </w:p>
    <w:p w14:paraId="11AB3A6B">
      <w:pPr>
        <w:adjustRightInd w:val="0"/>
        <w:snapToGrid w:val="0"/>
        <w:spacing w:line="600" w:lineRule="exact"/>
        <w:ind w:firstLine="560" w:firstLineChars="200"/>
        <w:jc w:val="left"/>
        <w:rPr>
          <w:rFonts w:ascii="宋体" w:hAnsi="宋体" w:cs="宋体"/>
          <w:b w:val="0"/>
          <w:bCs/>
          <w:sz w:val="28"/>
          <w:szCs w:val="28"/>
        </w:rPr>
      </w:pPr>
      <w:r>
        <w:rPr>
          <w:rFonts w:ascii="宋体" w:hAnsi="宋体" w:cs="宋体"/>
          <w:b w:val="0"/>
          <w:bCs/>
          <w:sz w:val="28"/>
          <w:szCs w:val="28"/>
        </w:rPr>
        <w:t>7</w:t>
      </w:r>
      <w:r>
        <w:rPr>
          <w:rFonts w:hint="eastAsia" w:ascii="宋体" w:hAnsi="宋体" w:cs="宋体"/>
          <w:b w:val="0"/>
          <w:bCs/>
          <w:sz w:val="28"/>
          <w:szCs w:val="28"/>
        </w:rPr>
        <w:t>、事故后果模拟分析</w:t>
      </w:r>
    </w:p>
    <w:p w14:paraId="70ECD78F">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根据对</w:t>
      </w:r>
      <w:r>
        <w:rPr>
          <w:rFonts w:ascii="宋体" w:hAnsi="宋体" w:cs="宋体"/>
          <w:b w:val="0"/>
          <w:bCs/>
          <w:sz w:val="28"/>
          <w:szCs w:val="28"/>
        </w:rPr>
        <w:t>63#</w:t>
      </w:r>
      <w:r>
        <w:rPr>
          <w:rFonts w:hint="eastAsia" w:ascii="宋体" w:hAnsi="宋体" w:cs="宋体"/>
          <w:b w:val="0"/>
          <w:bCs/>
          <w:sz w:val="28"/>
          <w:szCs w:val="28"/>
        </w:rPr>
        <w:t>黑火药库（计算药量</w:t>
      </w:r>
      <w:r>
        <w:rPr>
          <w:rFonts w:ascii="宋体" w:hAnsi="宋体" w:cs="宋体"/>
          <w:b w:val="0"/>
          <w:bCs/>
          <w:sz w:val="28"/>
          <w:szCs w:val="28"/>
        </w:rPr>
        <w:t>7000kg</w:t>
      </w:r>
      <w:r>
        <w:rPr>
          <w:rFonts w:hint="eastAsia" w:ascii="宋体" w:hAnsi="宋体" w:cs="宋体"/>
          <w:b w:val="0"/>
          <w:bCs/>
          <w:sz w:val="28"/>
          <w:szCs w:val="28"/>
        </w:rPr>
        <w:t>）进行事故后果模拟分析，当企业采取防护措施后，同时在企业严格按规章制度运行的前提下，其风险在可接受范围内。</w:t>
      </w:r>
    </w:p>
    <w:p w14:paraId="50EEF657">
      <w:pPr>
        <w:pStyle w:val="2"/>
        <w:spacing w:line="600" w:lineRule="exact"/>
        <w:ind w:firstLine="560"/>
        <w:rPr>
          <w:rFonts w:ascii="宋体" w:hAnsi="宋体" w:eastAsia="宋体" w:cs="宋体"/>
          <w:b w:val="0"/>
          <w:bCs/>
          <w:kern w:val="2"/>
          <w:szCs w:val="28"/>
        </w:rPr>
      </w:pPr>
      <w:r>
        <w:rPr>
          <w:rFonts w:hint="eastAsia" w:ascii="宋体" w:hAnsi="宋体" w:eastAsia="宋体" w:cs="宋体"/>
          <w:b w:val="0"/>
          <w:bCs/>
          <w:kern w:val="2"/>
          <w:szCs w:val="28"/>
        </w:rPr>
        <w:t>8、重大危险源评价结果</w:t>
      </w:r>
    </w:p>
    <w:p w14:paraId="68AD78CB">
      <w:pPr>
        <w:adjustRightInd w:val="0"/>
        <w:snapToGrid w:val="0"/>
        <w:spacing w:line="600" w:lineRule="exact"/>
        <w:ind w:firstLine="560" w:firstLineChars="200"/>
        <w:jc w:val="left"/>
        <w:rPr>
          <w:rFonts w:ascii="宋体" w:hAnsi="宋体" w:cs="宋体"/>
          <w:b w:val="0"/>
          <w:bCs/>
          <w:sz w:val="28"/>
          <w:szCs w:val="28"/>
        </w:rPr>
      </w:pPr>
      <w:r>
        <w:rPr>
          <w:rFonts w:hint="eastAsia" w:ascii="宋体" w:hAnsi="宋体" w:cs="宋体"/>
          <w:b w:val="0"/>
          <w:bCs/>
          <w:sz w:val="28"/>
          <w:szCs w:val="28"/>
        </w:rPr>
        <w:t>通过对该企业的重大危险源辨识，该企业储存单元中的1号黑火药库区（厂区西南面）和2号黑火药库区（厂区西北面）均已构成三级烟花爆竹重大危险源，企业在按照重大危险源的管理办法对其实施管理，其风险在可接受范围内。</w:t>
      </w:r>
    </w:p>
    <w:p w14:paraId="49168E19">
      <w:pPr>
        <w:keepNext/>
        <w:keepLines/>
        <w:spacing w:line="600" w:lineRule="exact"/>
        <w:outlineLvl w:val="1"/>
        <w:rPr>
          <w:rFonts w:ascii="黑体" w:hAnsi="宋体" w:eastAsia="黑体"/>
          <w:b w:val="0"/>
          <w:bCs/>
          <w:snapToGrid w:val="0"/>
          <w:sz w:val="30"/>
          <w:szCs w:val="30"/>
        </w:rPr>
      </w:pPr>
      <w:bookmarkStart w:id="569" w:name="_Toc239191531"/>
      <w:r>
        <w:rPr>
          <w:rFonts w:hint="eastAsia" w:ascii="黑体" w:hAnsi="宋体" w:eastAsia="黑体"/>
          <w:b w:val="0"/>
          <w:bCs/>
          <w:snapToGrid w:val="0"/>
          <w:sz w:val="30"/>
          <w:szCs w:val="30"/>
        </w:rPr>
        <w:t>7.</w:t>
      </w:r>
      <w:r>
        <w:rPr>
          <w:rFonts w:ascii="黑体" w:hAnsi="宋体" w:eastAsia="黑体"/>
          <w:b w:val="0"/>
          <w:bCs/>
          <w:snapToGrid w:val="0"/>
          <w:sz w:val="30"/>
          <w:szCs w:val="30"/>
        </w:rPr>
        <w:t>3</w:t>
      </w:r>
      <w:r>
        <w:rPr>
          <w:rFonts w:hint="eastAsia" w:ascii="黑体" w:hAnsi="宋体" w:eastAsia="黑体"/>
          <w:b w:val="0"/>
          <w:bCs/>
          <w:snapToGrid w:val="0"/>
          <w:sz w:val="30"/>
          <w:szCs w:val="30"/>
        </w:rPr>
        <w:t>综合预评价结论</w:t>
      </w:r>
      <w:bookmarkEnd w:id="569"/>
    </w:p>
    <w:p w14:paraId="01562662">
      <w:pPr>
        <w:adjustRightInd w:val="0"/>
        <w:snapToGrid w:val="0"/>
        <w:spacing w:line="600" w:lineRule="exact"/>
        <w:ind w:firstLine="560" w:firstLineChars="200"/>
        <w:jc w:val="left"/>
        <w:rPr>
          <w:rFonts w:ascii="宋体" w:hAnsi="宋体"/>
          <w:b w:val="0"/>
          <w:bCs/>
          <w:sz w:val="28"/>
          <w:szCs w:val="28"/>
        </w:rPr>
      </w:pPr>
      <w:r>
        <w:rPr>
          <w:rFonts w:hint="eastAsia" w:ascii="宋体" w:hAnsi="宋体"/>
          <w:b w:val="0"/>
          <w:bCs/>
          <w:sz w:val="28"/>
          <w:szCs w:val="28"/>
        </w:rPr>
        <w:t>评价组通过对湖南金帝烟花爆竹制造有限公司泉水工区扩建项目进行安全预评价，得出以下结论：</w:t>
      </w:r>
    </w:p>
    <w:p w14:paraId="610B3426">
      <w:pPr>
        <w:spacing w:line="600" w:lineRule="exact"/>
        <w:ind w:firstLine="562" w:firstLineChars="200"/>
        <w:rPr>
          <w:sz w:val="28"/>
          <w:szCs w:val="28"/>
        </w:rPr>
      </w:pPr>
      <w:r>
        <w:rPr>
          <w:rFonts w:hint="eastAsia"/>
          <w:sz w:val="28"/>
          <w:szCs w:val="28"/>
        </w:rPr>
        <w:t>湖南金帝烟花爆竹制造有限公司泉水工区扩建项目的建设方案符合国家有关法律、法规和技术标准的要求，在落实了本报告提出的安全对策措施后，其安全风险可控，项目可行。</w:t>
      </w:r>
    </w:p>
    <w:p w14:paraId="05DC78A4">
      <w:pPr>
        <w:spacing w:line="600" w:lineRule="exact"/>
        <w:ind w:firstLine="560" w:firstLineChars="200"/>
        <w:rPr>
          <w:rFonts w:ascii="宋体" w:hAnsi="宋体"/>
          <w:sz w:val="28"/>
          <w:szCs w:val="28"/>
        </w:rPr>
      </w:pPr>
      <w:r>
        <w:rPr>
          <w:rFonts w:hint="eastAsia"/>
          <w:b w:val="0"/>
          <w:bCs/>
          <w:sz w:val="28"/>
          <w:szCs w:val="28"/>
        </w:rPr>
        <w:t>注明：最终评价结果是建立在各项安全对策措施和手段有效落实的基础上，所以必须保证各项安全对策措施和手段的切实实施，才能最终达到安全水平。因此，建议项目建设单位，在委托设计单位进行设计时，除已考虑的安全措施外，对本报告所列出的安全对策措施必须根据技术要求进行落实。</w:t>
      </w:r>
      <w:r>
        <w:rPr>
          <w:rFonts w:hint="eastAsia" w:ascii="宋体" w:hAnsi="宋体"/>
          <w:sz w:val="28"/>
          <w:szCs w:val="28"/>
        </w:rPr>
        <w:t>（正文完）</w:t>
      </w:r>
    </w:p>
    <w:p w14:paraId="760CDA8E">
      <w:pPr>
        <w:adjustRightInd w:val="0"/>
        <w:snapToGrid w:val="0"/>
        <w:spacing w:before="120" w:beforeLines="50" w:line="600" w:lineRule="exact"/>
        <w:jc w:val="right"/>
        <w:rPr>
          <w:rFonts w:ascii="宋体" w:hAnsi="宋体" w:cs="宋体"/>
          <w:b w:val="0"/>
          <w:bCs/>
          <w:kern w:val="0"/>
          <w:sz w:val="28"/>
          <w:szCs w:val="28"/>
          <w:lang w:val="ru-RU"/>
        </w:rPr>
      </w:pPr>
      <w:r>
        <w:rPr>
          <w:rFonts w:hint="eastAsia" w:ascii="宋体" w:hAnsi="宋体" w:cs="宋体"/>
          <w:b w:val="0"/>
          <w:bCs/>
          <w:kern w:val="0"/>
          <w:sz w:val="28"/>
          <w:szCs w:val="28"/>
          <w:lang w:val="ru-RU"/>
        </w:rPr>
        <w:t>江西赣安安全生产科学技术咨询服务中心</w:t>
      </w:r>
    </w:p>
    <w:p w14:paraId="4182C81E">
      <w:pPr>
        <w:adjustRightInd w:val="0"/>
        <w:snapToGrid w:val="0"/>
        <w:spacing w:line="600" w:lineRule="exact"/>
        <w:ind w:right="27"/>
        <w:jc w:val="right"/>
        <w:rPr>
          <w:rFonts w:hint="eastAsia" w:ascii="宋体" w:hAnsi="宋体" w:cs="宋体"/>
          <w:b w:val="0"/>
          <w:bCs/>
          <w:kern w:val="0"/>
          <w:sz w:val="28"/>
          <w:szCs w:val="28"/>
          <w:lang w:val="ru-RU"/>
        </w:rPr>
      </w:pPr>
      <w:r>
        <w:rPr>
          <w:rFonts w:hint="eastAsia" w:ascii="宋体" w:hAnsi="宋体" w:cs="宋体"/>
          <w:b w:val="0"/>
          <w:bCs/>
          <w:kern w:val="0"/>
          <w:sz w:val="28"/>
          <w:szCs w:val="28"/>
          <w:lang w:val="ru-RU"/>
        </w:rPr>
        <w:t>202</w:t>
      </w:r>
      <w:r>
        <w:rPr>
          <w:rFonts w:hint="eastAsia" w:ascii="宋体" w:hAnsi="宋体" w:cs="宋体"/>
          <w:b w:val="0"/>
          <w:bCs/>
          <w:kern w:val="0"/>
          <w:sz w:val="28"/>
          <w:szCs w:val="28"/>
        </w:rPr>
        <w:t>6</w:t>
      </w:r>
      <w:r>
        <w:rPr>
          <w:rFonts w:ascii="宋体" w:hAnsi="宋体" w:cs="宋体"/>
          <w:b w:val="0"/>
          <w:bCs/>
          <w:kern w:val="0"/>
          <w:sz w:val="28"/>
          <w:szCs w:val="28"/>
          <w:lang w:val="ru-RU"/>
        </w:rPr>
        <w:t>年</w:t>
      </w:r>
      <w:r>
        <w:rPr>
          <w:rFonts w:ascii="宋体" w:hAnsi="宋体" w:cs="宋体"/>
          <w:b w:val="0"/>
          <w:bCs/>
          <w:kern w:val="0"/>
          <w:sz w:val="28"/>
          <w:szCs w:val="28"/>
        </w:rPr>
        <w:t>09</w:t>
      </w:r>
      <w:r>
        <w:rPr>
          <w:rFonts w:ascii="宋体" w:hAnsi="宋体" w:cs="宋体"/>
          <w:b w:val="0"/>
          <w:bCs/>
          <w:kern w:val="0"/>
          <w:sz w:val="28"/>
          <w:szCs w:val="28"/>
          <w:lang w:val="ru-RU"/>
        </w:rPr>
        <w:t>月</w:t>
      </w:r>
      <w:r>
        <w:rPr>
          <w:rFonts w:ascii="宋体" w:hAnsi="宋体" w:cs="宋体"/>
          <w:b w:val="0"/>
          <w:bCs/>
          <w:kern w:val="0"/>
          <w:sz w:val="28"/>
          <w:szCs w:val="28"/>
        </w:rPr>
        <w:t>03</w:t>
      </w:r>
      <w:r>
        <w:rPr>
          <w:rFonts w:ascii="宋体" w:hAnsi="宋体" w:cs="宋体"/>
          <w:b w:val="0"/>
          <w:bCs/>
          <w:kern w:val="0"/>
          <w:sz w:val="28"/>
          <w:szCs w:val="28"/>
          <w:lang w:val="ru-RU"/>
        </w:rPr>
        <w:t>日</w:t>
      </w:r>
      <w:bookmarkEnd w:id="0"/>
      <w:bookmarkEnd w:id="1"/>
      <w:bookmarkEnd w:id="2"/>
      <w:bookmarkEnd w:id="3"/>
      <w:bookmarkEnd w:id="4"/>
      <w:bookmarkStart w:id="570" w:name="_Toc1852"/>
      <w:bookmarkStart w:id="571" w:name="_Toc27285"/>
      <w:bookmarkStart w:id="572" w:name="_Toc11946"/>
      <w:r>
        <w:rPr>
          <w:rFonts w:hint="eastAsia" w:ascii="宋体" w:hAnsi="宋体" w:cs="宋体"/>
          <w:b w:val="0"/>
          <w:bCs/>
          <w:kern w:val="0"/>
          <w:sz w:val="28"/>
          <w:szCs w:val="28"/>
          <w:lang w:val="ru-RU"/>
        </w:rPr>
        <w:t xml:space="preserve"> </w:t>
      </w:r>
    </w:p>
    <w:p w14:paraId="0C47D775">
      <w:pPr>
        <w:rPr>
          <w:rFonts w:ascii="Times New Roman" w:hAnsi="Times New Roman"/>
          <w:sz w:val="28"/>
          <w:szCs w:val="28"/>
        </w:rPr>
      </w:pPr>
      <w:r>
        <w:rPr>
          <w:rFonts w:ascii="Times New Roman" w:hAnsi="Times New Roman"/>
          <w:sz w:val="28"/>
          <w:szCs w:val="28"/>
        </w:rPr>
        <w:br w:type="page"/>
      </w:r>
    </w:p>
    <w:p w14:paraId="49FA4C66">
      <w:pPr>
        <w:widowControl/>
        <w:jc w:val="left"/>
        <w:rPr>
          <w:rFonts w:cs="宋体" w:asciiTheme="minorEastAsia" w:hAnsiTheme="minorEastAsia" w:eastAsiaTheme="minorEastAsia"/>
          <w:b w:val="0"/>
          <w:sz w:val="28"/>
          <w:szCs w:val="28"/>
        </w:rPr>
      </w:pPr>
      <w:bookmarkStart w:id="573" w:name="_Toc239191532"/>
      <w:r>
        <w:rPr>
          <w:rFonts w:cs="宋体" w:asciiTheme="minorEastAsia" w:hAnsiTheme="minorEastAsia" w:eastAsiaTheme="minorEastAsia"/>
          <w:b w:val="0"/>
          <w:sz w:val="28"/>
          <w:szCs w:val="28"/>
        </w:rPr>
        <w:t>评价人员现场影像</w:t>
      </w:r>
    </w:p>
    <w:p w14:paraId="130904C6">
      <w:pPr>
        <w:pStyle w:val="2"/>
        <w:ind w:firstLine="562"/>
      </w:pPr>
      <w:r>
        <w:drawing>
          <wp:inline distT="0" distB="0" distL="0" distR="0">
            <wp:extent cx="5071745" cy="3801110"/>
            <wp:effectExtent l="0" t="0" r="14605" b="8890"/>
            <wp:docPr id="22" name="图片 22" descr="D:\2026 赣安\8-7 金帝黑火药 预评价\现场照片\5dc29fffaf80f7c4b4b776b596fee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2026 赣安\8-7 金帝黑火药 预评价\现场照片\5dc29fffaf80f7c4b4b776b596feecc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075475" cy="3803928"/>
                    </a:xfrm>
                    <a:prstGeom prst="rect">
                      <a:avLst/>
                    </a:prstGeom>
                    <a:noFill/>
                    <a:ln>
                      <a:noFill/>
                    </a:ln>
                  </pic:spPr>
                </pic:pic>
              </a:graphicData>
            </a:graphic>
          </wp:inline>
        </w:drawing>
      </w:r>
    </w:p>
    <w:p w14:paraId="42DC80A4">
      <w:pPr>
        <w:widowControl/>
        <w:jc w:val="left"/>
        <w:rPr>
          <w:rFonts w:cs="宋体" w:asciiTheme="minorEastAsia" w:hAnsiTheme="minorEastAsia" w:eastAsiaTheme="minorEastAsia"/>
          <w:b w:val="0"/>
          <w:sz w:val="28"/>
          <w:szCs w:val="28"/>
        </w:rPr>
      </w:pPr>
      <w:r>
        <w:rPr>
          <w:rFonts w:cs="宋体" w:asciiTheme="minorEastAsia" w:hAnsiTheme="minorEastAsia" w:eastAsiaTheme="minorEastAsia"/>
          <w:b w:val="0"/>
          <w:sz w:val="28"/>
          <w:szCs w:val="28"/>
        </w:rPr>
        <w:br w:type="page"/>
      </w:r>
    </w:p>
    <w:p w14:paraId="40226799">
      <w:pPr>
        <w:spacing w:line="360" w:lineRule="auto"/>
        <w:ind w:firstLine="560" w:firstLineChars="200"/>
        <w:rPr>
          <w:rFonts w:cs="宋体" w:asciiTheme="minorEastAsia" w:hAnsiTheme="minorEastAsia" w:eastAsiaTheme="minorEastAsia"/>
          <w:b w:val="0"/>
          <w:sz w:val="28"/>
          <w:szCs w:val="28"/>
        </w:rPr>
      </w:pPr>
    </w:p>
    <w:p w14:paraId="56E06C08">
      <w:pPr>
        <w:pStyle w:val="5"/>
        <w:jc w:val="left"/>
        <w:rPr>
          <w:rFonts w:ascii="宋体" w:hAnsi="宋体" w:eastAsia="宋体" w:cs="宋体"/>
          <w:bCs/>
          <w:sz w:val="36"/>
          <w:szCs w:val="36"/>
        </w:rPr>
      </w:pPr>
      <w:r>
        <w:rPr>
          <w:rFonts w:hint="eastAsia" w:ascii="宋体" w:hAnsi="宋体" w:eastAsia="宋体" w:cs="宋体"/>
          <w:bCs/>
          <w:sz w:val="36"/>
          <w:szCs w:val="36"/>
        </w:rPr>
        <w:t>附 件</w:t>
      </w:r>
      <w:bookmarkEnd w:id="573"/>
    </w:p>
    <w:p w14:paraId="27D81375">
      <w:pPr>
        <w:numPr>
          <w:ilvl w:val="0"/>
          <w:numId w:val="21"/>
        </w:numPr>
        <w:tabs>
          <w:tab w:val="left" w:pos="132"/>
          <w:tab w:val="left" w:pos="993"/>
        </w:tabs>
        <w:spacing w:line="360" w:lineRule="auto"/>
        <w:ind w:left="130" w:firstLine="560" w:firstLineChars="200"/>
        <w:rPr>
          <w:rFonts w:ascii="宋体" w:hAnsi="宋体"/>
          <w:b w:val="0"/>
          <w:sz w:val="28"/>
          <w:szCs w:val="28"/>
        </w:rPr>
      </w:pPr>
      <w:r>
        <w:rPr>
          <w:rFonts w:hint="eastAsia" w:ascii="宋体" w:hAnsi="宋体"/>
          <w:b w:val="0"/>
          <w:sz w:val="28"/>
          <w:szCs w:val="28"/>
        </w:rPr>
        <w:t>安全评价委托书</w:t>
      </w:r>
    </w:p>
    <w:p w14:paraId="0CAFB45B">
      <w:pPr>
        <w:numPr>
          <w:ilvl w:val="0"/>
          <w:numId w:val="21"/>
        </w:numPr>
        <w:tabs>
          <w:tab w:val="left" w:pos="132"/>
          <w:tab w:val="left" w:pos="993"/>
        </w:tabs>
        <w:spacing w:line="360" w:lineRule="auto"/>
        <w:ind w:left="130" w:firstLine="560" w:firstLineChars="200"/>
        <w:rPr>
          <w:rFonts w:ascii="宋体" w:hAnsi="宋体"/>
          <w:b w:val="0"/>
          <w:sz w:val="28"/>
          <w:szCs w:val="28"/>
        </w:rPr>
      </w:pPr>
      <w:r>
        <w:rPr>
          <w:rFonts w:hint="eastAsia" w:ascii="宋体" w:hAnsi="宋体"/>
          <w:b w:val="0"/>
          <w:sz w:val="28"/>
          <w:szCs w:val="28"/>
        </w:rPr>
        <w:t>营业执照</w:t>
      </w:r>
    </w:p>
    <w:p w14:paraId="65EFF67B">
      <w:pPr>
        <w:numPr>
          <w:ilvl w:val="0"/>
          <w:numId w:val="21"/>
        </w:numPr>
        <w:tabs>
          <w:tab w:val="left" w:pos="132"/>
          <w:tab w:val="left" w:pos="993"/>
        </w:tabs>
        <w:spacing w:line="360" w:lineRule="auto"/>
        <w:ind w:left="130" w:firstLine="560" w:firstLineChars="200"/>
        <w:rPr>
          <w:rFonts w:ascii="宋体" w:hAnsi="宋体"/>
          <w:b w:val="0"/>
          <w:sz w:val="28"/>
          <w:szCs w:val="28"/>
        </w:rPr>
      </w:pPr>
      <w:r>
        <w:rPr>
          <w:rFonts w:hint="eastAsia" w:ascii="宋体" w:hAnsi="宋体"/>
          <w:b w:val="0"/>
          <w:sz w:val="28"/>
          <w:szCs w:val="28"/>
        </w:rPr>
        <w:t>烟花爆竹安全生产许可证</w:t>
      </w:r>
    </w:p>
    <w:p w14:paraId="03F0B061">
      <w:pPr>
        <w:widowControl/>
        <w:numPr>
          <w:ilvl w:val="0"/>
          <w:numId w:val="21"/>
        </w:numPr>
        <w:tabs>
          <w:tab w:val="left" w:pos="132"/>
          <w:tab w:val="left" w:pos="993"/>
        </w:tabs>
        <w:spacing w:line="360" w:lineRule="auto"/>
        <w:ind w:left="130" w:firstLine="560" w:firstLineChars="200"/>
        <w:rPr>
          <w:rFonts w:ascii="宋体" w:hAnsi="宋体"/>
          <w:b w:val="0"/>
          <w:sz w:val="28"/>
          <w:szCs w:val="28"/>
        </w:rPr>
      </w:pPr>
      <w:r>
        <w:rPr>
          <w:rFonts w:ascii="宋体" w:hAnsi="宋体"/>
          <w:b w:val="0"/>
          <w:sz w:val="28"/>
          <w:szCs w:val="28"/>
        </w:rPr>
        <w:t>《湖南省应急管理厅关于醴陵市增加黑火药供给产能的批复》（湘应急函〔2024〕33 号）</w:t>
      </w:r>
    </w:p>
    <w:p w14:paraId="028794C9">
      <w:pPr>
        <w:widowControl/>
        <w:numPr>
          <w:ilvl w:val="0"/>
          <w:numId w:val="21"/>
        </w:numPr>
        <w:tabs>
          <w:tab w:val="left" w:pos="132"/>
          <w:tab w:val="left" w:pos="993"/>
        </w:tabs>
        <w:spacing w:line="360" w:lineRule="auto"/>
        <w:ind w:left="130" w:firstLine="560" w:firstLineChars="200"/>
        <w:rPr>
          <w:rFonts w:ascii="宋体" w:hAnsi="宋体"/>
          <w:b w:val="0"/>
          <w:sz w:val="28"/>
          <w:szCs w:val="28"/>
        </w:rPr>
      </w:pPr>
      <w:r>
        <w:rPr>
          <w:rFonts w:hint="eastAsia" w:ascii="宋体" w:hAnsi="宋体"/>
          <w:b w:val="0"/>
          <w:sz w:val="28"/>
          <w:szCs w:val="28"/>
        </w:rPr>
        <w:t>《关于</w:t>
      </w:r>
      <w:r>
        <w:rPr>
          <w:rFonts w:ascii="宋体" w:hAnsi="宋体"/>
          <w:b w:val="0"/>
          <w:sz w:val="28"/>
          <w:szCs w:val="28"/>
        </w:rPr>
        <w:t>湖南金帝烟花爆竹制造有限公司</w:t>
      </w:r>
      <w:r>
        <w:rPr>
          <w:rFonts w:hint="eastAsia" w:ascii="宋体" w:hAnsi="宋体"/>
          <w:b w:val="0"/>
          <w:sz w:val="28"/>
          <w:szCs w:val="28"/>
        </w:rPr>
        <w:t>泉水工区黑火药新建项目安全设施设计的批复》（湘应急许烟设审字〔2024〕第</w:t>
      </w:r>
      <w:r>
        <w:rPr>
          <w:rFonts w:ascii="宋体" w:hAnsi="宋体"/>
          <w:b w:val="0"/>
          <w:sz w:val="28"/>
          <w:szCs w:val="28"/>
        </w:rPr>
        <w:t>0</w:t>
      </w:r>
      <w:r>
        <w:rPr>
          <w:rFonts w:hint="eastAsia" w:ascii="宋体" w:hAnsi="宋体"/>
          <w:b w:val="0"/>
          <w:sz w:val="28"/>
          <w:szCs w:val="28"/>
        </w:rPr>
        <w:t>64号）</w:t>
      </w:r>
    </w:p>
    <w:p w14:paraId="011D72AB">
      <w:pPr>
        <w:widowControl/>
        <w:numPr>
          <w:ilvl w:val="0"/>
          <w:numId w:val="21"/>
        </w:numPr>
        <w:tabs>
          <w:tab w:val="left" w:pos="132"/>
          <w:tab w:val="left" w:pos="993"/>
        </w:tabs>
        <w:spacing w:line="360" w:lineRule="auto"/>
        <w:ind w:left="130" w:firstLine="560" w:firstLineChars="200"/>
        <w:rPr>
          <w:rFonts w:ascii="宋体" w:hAnsi="宋体"/>
          <w:b w:val="0"/>
          <w:sz w:val="28"/>
          <w:szCs w:val="28"/>
        </w:rPr>
      </w:pPr>
      <w:r>
        <w:rPr>
          <w:rFonts w:hint="eastAsia" w:ascii="宋体" w:hAnsi="宋体"/>
          <w:b w:val="0"/>
          <w:sz w:val="28"/>
          <w:szCs w:val="28"/>
        </w:rPr>
        <w:t>《湖南省应急管理厅关于同意湖南省科富花炮实业有限公司等两家企业改扩建的批复》（湘应急函〔2024〕3</w:t>
      </w:r>
      <w:r>
        <w:rPr>
          <w:rFonts w:ascii="宋体" w:hAnsi="宋体"/>
          <w:b w:val="0"/>
          <w:sz w:val="28"/>
          <w:szCs w:val="28"/>
        </w:rPr>
        <w:t>04</w:t>
      </w:r>
      <w:r>
        <w:rPr>
          <w:rFonts w:hint="eastAsia" w:ascii="宋体" w:hAnsi="宋体"/>
          <w:b w:val="0"/>
          <w:sz w:val="28"/>
          <w:szCs w:val="28"/>
        </w:rPr>
        <w:t>号）</w:t>
      </w:r>
    </w:p>
    <w:p w14:paraId="2BEEB766">
      <w:pPr>
        <w:widowControl/>
        <w:numPr>
          <w:ilvl w:val="0"/>
          <w:numId w:val="21"/>
        </w:numPr>
        <w:tabs>
          <w:tab w:val="left" w:pos="132"/>
          <w:tab w:val="left" w:pos="993"/>
        </w:tabs>
        <w:spacing w:line="360" w:lineRule="auto"/>
        <w:ind w:left="130" w:firstLine="560" w:firstLineChars="200"/>
        <w:rPr>
          <w:rFonts w:ascii="宋体" w:hAnsi="宋体"/>
          <w:b w:val="0"/>
          <w:sz w:val="28"/>
          <w:szCs w:val="28"/>
        </w:rPr>
      </w:pPr>
      <w:r>
        <w:rPr>
          <w:rFonts w:ascii="宋体" w:hAnsi="宋体"/>
          <w:b w:val="0"/>
          <w:sz w:val="28"/>
          <w:szCs w:val="28"/>
        </w:rPr>
        <w:t>《企业投资项目备案证明》（醴发改备〔202</w:t>
      </w:r>
      <w:r>
        <w:rPr>
          <w:rFonts w:hint="eastAsia" w:ascii="宋体" w:hAnsi="宋体"/>
          <w:b w:val="0"/>
          <w:sz w:val="28"/>
          <w:szCs w:val="28"/>
        </w:rPr>
        <w:t>6</w:t>
      </w:r>
      <w:r>
        <w:rPr>
          <w:rFonts w:ascii="宋体" w:hAnsi="宋体"/>
          <w:b w:val="0"/>
          <w:sz w:val="28"/>
          <w:szCs w:val="28"/>
        </w:rPr>
        <w:t>〕</w:t>
      </w:r>
      <w:r>
        <w:rPr>
          <w:rFonts w:hint="eastAsia" w:ascii="宋体" w:hAnsi="宋体"/>
          <w:b w:val="0"/>
          <w:sz w:val="28"/>
          <w:szCs w:val="28"/>
        </w:rPr>
        <w:t>95</w:t>
      </w:r>
      <w:r>
        <w:rPr>
          <w:rFonts w:ascii="宋体" w:hAnsi="宋体"/>
          <w:b w:val="0"/>
          <w:sz w:val="28"/>
          <w:szCs w:val="28"/>
        </w:rPr>
        <w:t xml:space="preserve"> 号）</w:t>
      </w:r>
    </w:p>
    <w:p w14:paraId="66297584">
      <w:pPr>
        <w:wordWrap w:val="0"/>
        <w:adjustRightInd w:val="0"/>
        <w:snapToGrid w:val="0"/>
        <w:spacing w:line="600" w:lineRule="exact"/>
        <w:ind w:right="27"/>
        <w:jc w:val="right"/>
        <w:rPr>
          <w:rFonts w:ascii="Times New Roman" w:hAnsi="Times New Roman"/>
          <w:sz w:val="28"/>
          <w:szCs w:val="28"/>
        </w:rPr>
      </w:pPr>
      <w:r>
        <w:rPr>
          <w:rFonts w:hint="eastAsia" w:ascii="宋体" w:hAnsi="宋体"/>
          <w:b w:val="0"/>
          <w:sz w:val="28"/>
          <w:szCs w:val="28"/>
        </w:rPr>
        <w:t>《湖南金帝烟花爆竹制造有限公司泉水工区扩建项目安全设施设计平面布置图》（初步设计方案图）</w:t>
      </w:r>
      <w:r>
        <w:rPr>
          <w:rFonts w:ascii="Times New Roman" w:hAnsi="Times New Roman"/>
          <w:sz w:val="28"/>
          <w:szCs w:val="28"/>
        </w:rPr>
        <w:br w:type="page"/>
      </w:r>
    </w:p>
    <w:bookmarkEnd w:id="5"/>
    <w:bookmarkEnd w:id="6"/>
    <w:bookmarkEnd w:id="7"/>
    <w:bookmarkEnd w:id="8"/>
    <w:bookmarkEnd w:id="9"/>
    <w:bookmarkEnd w:id="10"/>
    <w:bookmarkEnd w:id="570"/>
    <w:bookmarkEnd w:id="571"/>
    <w:bookmarkEnd w:id="572"/>
    <w:p w14:paraId="5F8E3393">
      <w:pPr>
        <w:pStyle w:val="5"/>
        <w:jc w:val="left"/>
        <w:rPr>
          <w:rFonts w:ascii="宋体" w:hAnsi="宋体" w:eastAsia="宋体" w:cs="宋体"/>
          <w:bCs/>
          <w:sz w:val="36"/>
          <w:szCs w:val="36"/>
        </w:rPr>
        <w:sectPr>
          <w:footerReference r:id="rId12" w:type="default"/>
          <w:footerReference r:id="rId13" w:type="even"/>
          <w:pgSz w:w="11906" w:h="16838"/>
          <w:pgMar w:top="1387" w:right="1474" w:bottom="1701" w:left="1474" w:header="709" w:footer="907" w:gutter="0"/>
          <w:pgBorders>
            <w:top w:val="none" w:sz="0" w:space="0"/>
            <w:left w:val="none" w:sz="0" w:space="0"/>
            <w:bottom w:val="none" w:sz="0" w:space="0"/>
            <w:right w:val="none" w:sz="0" w:space="0"/>
          </w:pgBorders>
          <w:cols w:space="720" w:num="1"/>
          <w:docGrid w:linePitch="312" w:charSpace="0"/>
        </w:sectPr>
      </w:pPr>
      <w:bookmarkStart w:id="574" w:name="_Toc14497"/>
      <w:bookmarkStart w:id="575" w:name="_Toc28993"/>
      <w:bookmarkStart w:id="576" w:name="_Toc2002"/>
      <w:bookmarkStart w:id="577" w:name="_Toc144559817"/>
      <w:bookmarkStart w:id="578" w:name="_Toc23428"/>
    </w:p>
    <w:bookmarkEnd w:id="574"/>
    <w:bookmarkEnd w:id="575"/>
    <w:bookmarkEnd w:id="576"/>
    <w:bookmarkEnd w:id="577"/>
    <w:bookmarkEnd w:id="578"/>
    <w:p w14:paraId="6E43D1F9">
      <w:pPr>
        <w:pStyle w:val="2"/>
        <w:ind w:left="0" w:leftChars="0" w:firstLine="0" w:firstLineChars="0"/>
        <w:rPr>
          <w:rFonts w:ascii="宋体" w:hAnsi="宋体"/>
          <w:b w:val="0"/>
          <w:sz w:val="28"/>
          <w:szCs w:val="28"/>
        </w:rPr>
      </w:pPr>
      <w:r>
        <w:rPr>
          <w:rFonts w:hint="eastAsia" w:ascii="宋体" w:hAnsi="宋体"/>
          <w:b w:val="0"/>
          <w:sz w:val="28"/>
          <w:szCs w:val="28"/>
        </w:rPr>
        <w:t>安全评价委托书</w:t>
      </w:r>
    </w:p>
    <w:p w14:paraId="3ADB20AA">
      <w:pPr>
        <w:pStyle w:val="2"/>
        <w:ind w:firstLine="0" w:firstLineChars="0"/>
      </w:pPr>
      <w:r>
        <w:drawing>
          <wp:inline distT="0" distB="0" distL="0" distR="0">
            <wp:extent cx="5818505" cy="8229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820903" cy="8232958"/>
                    </a:xfrm>
                    <a:prstGeom prst="rect">
                      <a:avLst/>
                    </a:prstGeom>
                    <a:noFill/>
                    <a:ln>
                      <a:noFill/>
                    </a:ln>
                  </pic:spPr>
                </pic:pic>
              </a:graphicData>
            </a:graphic>
          </wp:inline>
        </w:drawing>
      </w:r>
    </w:p>
    <w:p w14:paraId="0380E01F">
      <w:pPr>
        <w:pStyle w:val="2"/>
        <w:ind w:firstLine="0" w:firstLineChars="0"/>
        <w:rPr>
          <w:rFonts w:asciiTheme="minorEastAsia" w:hAnsiTheme="minorEastAsia" w:eastAsiaTheme="minorEastAsia"/>
          <w:b w:val="0"/>
          <w:bCs/>
        </w:rPr>
      </w:pPr>
      <w:r>
        <w:rPr>
          <w:rFonts w:hint="eastAsia" w:asciiTheme="minorEastAsia" w:hAnsiTheme="minorEastAsia" w:eastAsiaTheme="minorEastAsia"/>
          <w:b w:val="0"/>
          <w:bCs/>
        </w:rPr>
        <w:t>营业执照</w:t>
      </w:r>
    </w:p>
    <w:p w14:paraId="0222A7E2">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8141970" cy="5908675"/>
            <wp:effectExtent l="0" t="7303" r="4128" b="4127"/>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rot="16200000">
                      <a:off x="0" y="0"/>
                      <a:ext cx="8151951" cy="5916035"/>
                    </a:xfrm>
                    <a:prstGeom prst="rect">
                      <a:avLst/>
                    </a:prstGeom>
                    <a:noFill/>
                    <a:ln>
                      <a:noFill/>
                    </a:ln>
                  </pic:spPr>
                </pic:pic>
              </a:graphicData>
            </a:graphic>
          </wp:inline>
        </w:drawing>
      </w:r>
    </w:p>
    <w:p w14:paraId="068F396F">
      <w:pPr>
        <w:pStyle w:val="2"/>
        <w:ind w:firstLine="0" w:firstLineChars="0"/>
        <w:rPr>
          <w:rFonts w:asciiTheme="minorEastAsia" w:hAnsiTheme="minorEastAsia" w:eastAsiaTheme="minorEastAsia"/>
          <w:b w:val="0"/>
          <w:bCs/>
        </w:rPr>
      </w:pPr>
      <w:r>
        <w:rPr>
          <w:rFonts w:hint="eastAsia" w:asciiTheme="minorEastAsia" w:hAnsiTheme="minorEastAsia" w:eastAsiaTheme="minorEastAsia"/>
          <w:b w:val="0"/>
          <w:bCs/>
        </w:rPr>
        <w:t>烟花爆竹安全生产许可证</w:t>
      </w:r>
    </w:p>
    <w:p w14:paraId="3F9B10DF">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920740" cy="8241030"/>
            <wp:effectExtent l="0" t="0" r="381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rot="10800000">
                      <a:off x="0" y="0"/>
                      <a:ext cx="5924209" cy="8245483"/>
                    </a:xfrm>
                    <a:prstGeom prst="rect">
                      <a:avLst/>
                    </a:prstGeom>
                    <a:noFill/>
                    <a:ln>
                      <a:noFill/>
                    </a:ln>
                  </pic:spPr>
                </pic:pic>
              </a:graphicData>
            </a:graphic>
          </wp:inline>
        </w:drawing>
      </w:r>
    </w:p>
    <w:p w14:paraId="3AE318AA">
      <w:pPr>
        <w:widowControl/>
        <w:tabs>
          <w:tab w:val="left" w:pos="132"/>
          <w:tab w:val="left" w:pos="993"/>
          <w:tab w:val="left" w:pos="3110"/>
        </w:tabs>
        <w:spacing w:line="360" w:lineRule="auto"/>
        <w:rPr>
          <w:rFonts w:ascii="宋体" w:hAnsi="宋体"/>
          <w:b w:val="0"/>
          <w:sz w:val="28"/>
          <w:szCs w:val="28"/>
        </w:rPr>
      </w:pPr>
      <w:r>
        <w:rPr>
          <w:rFonts w:ascii="宋体" w:hAnsi="宋体"/>
          <w:b w:val="0"/>
          <w:sz w:val="28"/>
          <w:szCs w:val="28"/>
        </w:rPr>
        <w:t>《湖南省应急管理厅关于醴陵市增加黑火药供给产能的批复》（湘应急函〔2024〕33 号）</w:t>
      </w:r>
    </w:p>
    <w:p w14:paraId="3535FE43">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528310" cy="78193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39361" cy="7834752"/>
                    </a:xfrm>
                    <a:prstGeom prst="rect">
                      <a:avLst/>
                    </a:prstGeom>
                    <a:noFill/>
                    <a:ln>
                      <a:noFill/>
                    </a:ln>
                  </pic:spPr>
                </pic:pic>
              </a:graphicData>
            </a:graphic>
          </wp:inline>
        </w:drawing>
      </w:r>
    </w:p>
    <w:p w14:paraId="73681545">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688330" cy="8046720"/>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688330" cy="8046720"/>
                    </a:xfrm>
                    <a:prstGeom prst="rect">
                      <a:avLst/>
                    </a:prstGeom>
                    <a:noFill/>
                    <a:ln>
                      <a:noFill/>
                    </a:ln>
                  </pic:spPr>
                </pic:pic>
              </a:graphicData>
            </a:graphic>
          </wp:inline>
        </w:drawing>
      </w:r>
    </w:p>
    <w:p w14:paraId="7B04FC76">
      <w:pPr>
        <w:pStyle w:val="2"/>
        <w:ind w:firstLine="0" w:firstLineChars="0"/>
        <w:rPr>
          <w:rFonts w:asciiTheme="minorEastAsia" w:hAnsiTheme="minorEastAsia" w:eastAsiaTheme="minorEastAsia"/>
          <w:b w:val="0"/>
          <w:bCs/>
        </w:rPr>
      </w:pPr>
    </w:p>
    <w:p w14:paraId="09563993">
      <w:pPr>
        <w:widowControl/>
        <w:tabs>
          <w:tab w:val="left" w:pos="132"/>
          <w:tab w:val="left" w:pos="993"/>
          <w:tab w:val="left" w:pos="3110"/>
        </w:tabs>
        <w:spacing w:line="360" w:lineRule="auto"/>
        <w:rPr>
          <w:rFonts w:ascii="宋体" w:hAnsi="宋体"/>
          <w:b w:val="0"/>
          <w:sz w:val="28"/>
          <w:szCs w:val="28"/>
        </w:rPr>
      </w:pPr>
      <w:r>
        <w:rPr>
          <w:rFonts w:hint="eastAsia" w:ascii="宋体" w:hAnsi="宋体"/>
          <w:b w:val="0"/>
          <w:sz w:val="28"/>
          <w:szCs w:val="28"/>
        </w:rPr>
        <w:t>《关于</w:t>
      </w:r>
      <w:r>
        <w:rPr>
          <w:rFonts w:ascii="宋体" w:hAnsi="宋体"/>
          <w:b w:val="0"/>
          <w:sz w:val="28"/>
          <w:szCs w:val="28"/>
        </w:rPr>
        <w:t>湖南金帝烟花爆竹制造有限公司</w:t>
      </w:r>
      <w:r>
        <w:rPr>
          <w:rFonts w:hint="eastAsia" w:ascii="宋体" w:hAnsi="宋体"/>
          <w:b w:val="0"/>
          <w:sz w:val="28"/>
          <w:szCs w:val="28"/>
        </w:rPr>
        <w:t>泉水工区黑火药新建项目安全设施设计的批复》（湘应急许烟设审字〔2024〕第</w:t>
      </w:r>
      <w:r>
        <w:rPr>
          <w:rFonts w:ascii="宋体" w:hAnsi="宋体"/>
          <w:b w:val="0"/>
          <w:sz w:val="28"/>
          <w:szCs w:val="28"/>
        </w:rPr>
        <w:t>0</w:t>
      </w:r>
      <w:r>
        <w:rPr>
          <w:rFonts w:hint="eastAsia" w:ascii="宋体" w:hAnsi="宋体"/>
          <w:b w:val="0"/>
          <w:sz w:val="28"/>
          <w:szCs w:val="28"/>
        </w:rPr>
        <w:t>64号）</w:t>
      </w:r>
    </w:p>
    <w:p w14:paraId="4BEB75DF">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688330" cy="8034655"/>
            <wp:effectExtent l="0" t="0" r="762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688330" cy="8034655"/>
                    </a:xfrm>
                    <a:prstGeom prst="rect">
                      <a:avLst/>
                    </a:prstGeom>
                    <a:noFill/>
                    <a:ln>
                      <a:noFill/>
                    </a:ln>
                  </pic:spPr>
                </pic:pic>
              </a:graphicData>
            </a:graphic>
          </wp:inline>
        </w:drawing>
      </w:r>
    </w:p>
    <w:p w14:paraId="2315D211">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948680" cy="84029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952336" cy="8407558"/>
                    </a:xfrm>
                    <a:prstGeom prst="rect">
                      <a:avLst/>
                    </a:prstGeom>
                    <a:noFill/>
                    <a:ln>
                      <a:noFill/>
                    </a:ln>
                  </pic:spPr>
                </pic:pic>
              </a:graphicData>
            </a:graphic>
          </wp:inline>
        </w:drawing>
      </w:r>
    </w:p>
    <w:p w14:paraId="172898CA">
      <w:pPr>
        <w:widowControl/>
        <w:tabs>
          <w:tab w:val="left" w:pos="132"/>
          <w:tab w:val="left" w:pos="993"/>
          <w:tab w:val="left" w:pos="3110"/>
        </w:tabs>
        <w:spacing w:line="360" w:lineRule="auto"/>
        <w:rPr>
          <w:rFonts w:ascii="宋体" w:hAnsi="宋体"/>
          <w:b w:val="0"/>
          <w:sz w:val="28"/>
          <w:szCs w:val="28"/>
        </w:rPr>
      </w:pPr>
      <w:r>
        <w:rPr>
          <w:rFonts w:hint="eastAsia" w:ascii="宋体" w:hAnsi="宋体"/>
          <w:b w:val="0"/>
          <w:sz w:val="28"/>
          <w:szCs w:val="28"/>
        </w:rPr>
        <w:t>《湖南省应急管理厅关于同意湖南省科富花炮实业有限公司等两家企业改扩建的批复》（湘应急函〔2024〕3</w:t>
      </w:r>
      <w:r>
        <w:rPr>
          <w:rFonts w:ascii="宋体" w:hAnsi="宋体"/>
          <w:b w:val="0"/>
          <w:sz w:val="28"/>
          <w:szCs w:val="28"/>
        </w:rPr>
        <w:t>04</w:t>
      </w:r>
      <w:r>
        <w:rPr>
          <w:rFonts w:hint="eastAsia" w:ascii="宋体" w:hAnsi="宋体"/>
          <w:b w:val="0"/>
          <w:sz w:val="28"/>
          <w:szCs w:val="28"/>
        </w:rPr>
        <w:t>号）</w:t>
      </w:r>
    </w:p>
    <w:p w14:paraId="0B7A4338">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688330" cy="7630795"/>
            <wp:effectExtent l="0" t="0" r="762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688330" cy="7630795"/>
                    </a:xfrm>
                    <a:prstGeom prst="rect">
                      <a:avLst/>
                    </a:prstGeom>
                    <a:noFill/>
                    <a:ln>
                      <a:noFill/>
                    </a:ln>
                  </pic:spPr>
                </pic:pic>
              </a:graphicData>
            </a:graphic>
          </wp:inline>
        </w:drawing>
      </w:r>
    </w:p>
    <w:p w14:paraId="6C7179E8">
      <w:pPr>
        <w:pStyle w:val="2"/>
        <w:ind w:firstLine="0" w:firstLineChars="0"/>
        <w:rPr>
          <w:rFonts w:asciiTheme="minorEastAsia" w:hAnsiTheme="minorEastAsia" w:eastAsiaTheme="minorEastAsia"/>
          <w:b w:val="0"/>
          <w:bCs/>
        </w:rPr>
      </w:pPr>
    </w:p>
    <w:p w14:paraId="585EACD2">
      <w:pPr>
        <w:widowControl/>
        <w:tabs>
          <w:tab w:val="left" w:pos="132"/>
          <w:tab w:val="left" w:pos="993"/>
          <w:tab w:val="left" w:pos="3110"/>
        </w:tabs>
        <w:spacing w:line="360" w:lineRule="auto"/>
        <w:rPr>
          <w:rFonts w:ascii="宋体" w:hAnsi="宋体"/>
          <w:b w:val="0"/>
          <w:sz w:val="28"/>
          <w:szCs w:val="28"/>
        </w:rPr>
      </w:pPr>
      <w:r>
        <w:rPr>
          <w:rFonts w:ascii="宋体" w:hAnsi="宋体"/>
          <w:b w:val="0"/>
          <w:sz w:val="28"/>
          <w:szCs w:val="28"/>
        </w:rPr>
        <w:t>《企业投资项目备案证明》（醴发改备〔202</w:t>
      </w:r>
      <w:r>
        <w:rPr>
          <w:rFonts w:hint="eastAsia" w:ascii="宋体" w:hAnsi="宋体"/>
          <w:b w:val="0"/>
          <w:sz w:val="28"/>
          <w:szCs w:val="28"/>
        </w:rPr>
        <w:t>6</w:t>
      </w:r>
      <w:r>
        <w:rPr>
          <w:rFonts w:ascii="宋体" w:hAnsi="宋体"/>
          <w:b w:val="0"/>
          <w:sz w:val="28"/>
          <w:szCs w:val="28"/>
        </w:rPr>
        <w:t>〕</w:t>
      </w:r>
      <w:r>
        <w:rPr>
          <w:rFonts w:hint="eastAsia" w:ascii="宋体" w:hAnsi="宋体"/>
          <w:b w:val="0"/>
          <w:sz w:val="28"/>
          <w:szCs w:val="28"/>
        </w:rPr>
        <w:t>95</w:t>
      </w:r>
      <w:r>
        <w:rPr>
          <w:rFonts w:ascii="宋体" w:hAnsi="宋体"/>
          <w:b w:val="0"/>
          <w:sz w:val="28"/>
          <w:szCs w:val="28"/>
        </w:rPr>
        <w:t xml:space="preserve"> 号）</w:t>
      </w:r>
    </w:p>
    <w:p w14:paraId="4318D1BA">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688330" cy="8063865"/>
            <wp:effectExtent l="0" t="0" r="762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688330" cy="8063865"/>
                    </a:xfrm>
                    <a:prstGeom prst="rect">
                      <a:avLst/>
                    </a:prstGeom>
                    <a:noFill/>
                    <a:ln>
                      <a:noFill/>
                    </a:ln>
                  </pic:spPr>
                </pic:pic>
              </a:graphicData>
            </a:graphic>
          </wp:inline>
        </w:drawing>
      </w:r>
    </w:p>
    <w:p w14:paraId="2A329374">
      <w:pPr>
        <w:pStyle w:val="2"/>
        <w:ind w:firstLine="0" w:firstLineChars="0"/>
        <w:rPr>
          <w:rFonts w:asciiTheme="minorEastAsia" w:hAnsiTheme="minorEastAsia" w:eastAsiaTheme="minorEastAsia"/>
          <w:b w:val="0"/>
          <w:bCs/>
        </w:rPr>
      </w:pPr>
      <w:r>
        <w:rPr>
          <w:rFonts w:asciiTheme="minorEastAsia" w:hAnsiTheme="minorEastAsia" w:eastAsiaTheme="minorEastAsia"/>
          <w:b w:val="0"/>
          <w:bCs/>
        </w:rPr>
        <w:drawing>
          <wp:inline distT="0" distB="0" distL="0" distR="0">
            <wp:extent cx="5688330" cy="8063865"/>
            <wp:effectExtent l="0" t="0" r="762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688330" cy="8063865"/>
                    </a:xfrm>
                    <a:prstGeom prst="rect">
                      <a:avLst/>
                    </a:prstGeom>
                    <a:noFill/>
                    <a:ln>
                      <a:noFill/>
                    </a:ln>
                  </pic:spPr>
                </pic:pic>
              </a:graphicData>
            </a:graphic>
          </wp:inline>
        </w:drawing>
      </w:r>
    </w:p>
    <w:sectPr>
      <w:headerReference r:id="rId14" w:type="default"/>
      <w:footerReference r:id="rId15" w:type="default"/>
      <w:type w:val="continuous"/>
      <w:pgSz w:w="11906" w:h="16838"/>
      <w:pgMar w:top="1387" w:right="1474" w:bottom="1701" w:left="1474" w:header="709" w:footer="90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隶书">
    <w:altName w:val="微软雅黑"/>
    <w:panose1 w:val="0201050906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汉仪雁翎体简">
    <w:altName w:val="宋体"/>
    <w:panose1 w:val="00000000000000000000"/>
    <w:charset w:val="86"/>
    <w:family w:val="auto"/>
    <w:pitch w:val="default"/>
    <w:sig w:usb0="00000000" w:usb1="00000000" w:usb2="00000002"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Swis721 BT">
    <w:altName w:val="Yu Gothic UI"/>
    <w:panose1 w:val="020B0504020202020204"/>
    <w:charset w:val="00"/>
    <w:family w:val="swiss"/>
    <w:pitch w:val="default"/>
    <w:sig w:usb0="00000000" w:usb1="00000000" w:usb2="00000000" w:usb3="00000000" w:csb0="0000001B"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D1757">
    <w:pPr>
      <w:pStyle w:val="56"/>
      <w:pBdr>
        <w:top w:val="single" w:color="auto" w:sz="4" w:space="1"/>
      </w:pBdr>
      <w:spacing w:line="360" w:lineRule="auto"/>
      <w:rPr>
        <w:rFonts w:ascii="宋体" w:hAnsi="宋体"/>
      </w:rPr>
    </w:pPr>
    <w:r>
      <w:rPr>
        <w:rFonts w:hint="eastAsia" w:ascii="宋体" w:hAnsi="宋体"/>
      </w:rPr>
      <w:t xml:space="preserve">江西赣安安全生产科学技术咨询服务中心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rPr>
      <w:t>II</w:t>
    </w:r>
    <w:r>
      <w:rPr>
        <w:rFonts w:ascii="宋体" w:hAnsi="宋体"/>
      </w:rPr>
      <w:fldChar w:fldCharType="end"/>
    </w:r>
    <w:r>
      <w:rPr>
        <w:rFonts w:hint="eastAsia" w:ascii="宋体" w:hAnsi="宋体"/>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A32A">
    <w:pPr>
      <w:pStyle w:val="56"/>
      <w:framePr w:wrap="around" w:vAnchor="text" w:hAnchor="margin" w:xAlign="outside" w:y="1"/>
      <w:rPr>
        <w:rStyle w:val="94"/>
      </w:rPr>
    </w:pPr>
    <w:r>
      <w:fldChar w:fldCharType="begin"/>
    </w:r>
    <w:r>
      <w:rPr>
        <w:rStyle w:val="94"/>
      </w:rPr>
      <w:instrText xml:space="preserve">PAGE  </w:instrText>
    </w:r>
    <w:r>
      <w:fldChar w:fldCharType="end"/>
    </w:r>
  </w:p>
  <w:p w14:paraId="1B9C555B">
    <w:pPr>
      <w:pStyle w:val="5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A8A8">
    <w:pPr>
      <w:pStyle w:val="56"/>
      <w:pBdr>
        <w:top w:val="single" w:color="auto" w:sz="4" w:space="1"/>
      </w:pBdr>
      <w:spacing w:line="360" w:lineRule="auto"/>
      <w:rPr>
        <w:rFonts w:ascii="宋体" w:hAnsi="宋体"/>
        <w:b w:val="0"/>
      </w:rPr>
    </w:pPr>
    <w:r>
      <w:rPr>
        <w:rFonts w:hint="eastAsia" w:ascii="宋体" w:hAnsi="宋体"/>
        <w:b w:val="0"/>
      </w:rPr>
      <w:t xml:space="preserve">江西赣安安全生产科学技术咨询服务中心              </w:t>
    </w:r>
    <w:r>
      <w:rPr>
        <w:rFonts w:ascii="宋体" w:hAnsi="宋体"/>
        <w:b w:val="0"/>
      </w:rPr>
      <w:fldChar w:fldCharType="begin"/>
    </w:r>
    <w:r>
      <w:rPr>
        <w:rFonts w:ascii="宋体" w:hAnsi="宋体"/>
        <w:b w:val="0"/>
      </w:rPr>
      <w:instrText xml:space="preserve">PAGE   \* MERGEFORMAT</w:instrText>
    </w:r>
    <w:r>
      <w:rPr>
        <w:rFonts w:ascii="宋体" w:hAnsi="宋体"/>
        <w:b w:val="0"/>
      </w:rPr>
      <w:fldChar w:fldCharType="separate"/>
    </w:r>
    <w:r>
      <w:rPr>
        <w:rFonts w:ascii="宋体" w:hAnsi="宋体"/>
        <w:b w:val="0"/>
      </w:rPr>
      <w:t>VII</w:t>
    </w:r>
    <w:r>
      <w:rPr>
        <w:rFonts w:ascii="宋体" w:hAnsi="宋体"/>
        <w:b w:val="0"/>
      </w:rPr>
      <w:fldChar w:fldCharType="end"/>
    </w:r>
    <w:r>
      <w:rPr>
        <w:rFonts w:hint="eastAsia" w:ascii="宋体" w:hAnsi="宋体"/>
        <w:b w:val="0"/>
      </w:rPr>
      <w:t xml:space="preserve">                           </w:t>
    </w:r>
    <w:r>
      <w:rPr>
        <w:rFonts w:ascii="宋体" w:hAnsi="宋体"/>
        <w:b w:val="0"/>
      </w:rPr>
      <w:t xml:space="preserve">   </w:t>
    </w:r>
    <w:r>
      <w:rPr>
        <w:rFonts w:hint="eastAsia" w:ascii="宋体" w:hAnsi="宋体"/>
        <w:b w:val="0"/>
      </w:rPr>
      <w:t xml:space="preserve"> APJ﹣（赣）﹣002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78430">
    <w:pPr>
      <w:pStyle w:val="56"/>
      <w:pBdr>
        <w:top w:val="single" w:color="auto" w:sz="4" w:space="1"/>
      </w:pBdr>
      <w:spacing w:line="360" w:lineRule="auto"/>
      <w:rPr>
        <w:rFonts w:ascii="宋体" w:hAnsi="宋体"/>
        <w:b w:val="0"/>
      </w:rPr>
    </w:pPr>
    <w:r>
      <w:rPr>
        <w:rFonts w:hint="eastAsia" w:ascii="宋体" w:hAnsi="宋体"/>
        <w:b w:val="0"/>
      </w:rPr>
      <w:t xml:space="preserve">江西赣安安全生产科学技术咨询服务中心                    </w:t>
    </w:r>
    <w:r>
      <w:rPr>
        <w:rFonts w:ascii="宋体" w:hAnsi="宋体"/>
        <w:b w:val="0"/>
      </w:rPr>
      <w:fldChar w:fldCharType="begin"/>
    </w:r>
    <w:r>
      <w:rPr>
        <w:rFonts w:ascii="宋体" w:hAnsi="宋体"/>
        <w:b w:val="0"/>
      </w:rPr>
      <w:instrText xml:space="preserve">PAGE   \* MERGEFORMAT</w:instrText>
    </w:r>
    <w:r>
      <w:rPr>
        <w:rFonts w:ascii="宋体" w:hAnsi="宋体"/>
        <w:b w:val="0"/>
      </w:rPr>
      <w:fldChar w:fldCharType="separate"/>
    </w:r>
    <w:r>
      <w:rPr>
        <w:rFonts w:ascii="宋体" w:hAnsi="宋体"/>
        <w:b w:val="0"/>
      </w:rPr>
      <w:t>I</w:t>
    </w:r>
    <w:r>
      <w:rPr>
        <w:rFonts w:ascii="宋体" w:hAnsi="宋体"/>
        <w:b w:val="0"/>
      </w:rPr>
      <w:fldChar w:fldCharType="end"/>
    </w:r>
    <w:r>
      <w:rPr>
        <w:rFonts w:hint="eastAsia" w:ascii="宋体" w:hAnsi="宋体"/>
        <w:b w:val="0"/>
      </w:rPr>
      <w:t xml:space="preserve">          </w:t>
    </w:r>
    <w:r>
      <w:rPr>
        <w:rFonts w:ascii="宋体" w:hAnsi="宋体"/>
        <w:b w:val="0"/>
      </w:rPr>
      <w:t xml:space="preserve"> </w:t>
    </w:r>
    <w:r>
      <w:rPr>
        <w:rFonts w:hint="eastAsia" w:ascii="宋体" w:hAnsi="宋体"/>
        <w:b w:val="0"/>
      </w:rPr>
      <w:t xml:space="preserve">       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F7ADD">
    <w:pPr>
      <w:pStyle w:val="56"/>
      <w:pBdr>
        <w:top w:val="single" w:color="auto" w:sz="4" w:space="1"/>
      </w:pBdr>
      <w:spacing w:line="360" w:lineRule="auto"/>
      <w:rPr>
        <w:rFonts w:ascii="宋体" w:hAnsi="宋体"/>
        <w:b w:val="0"/>
      </w:rPr>
    </w:pPr>
    <w:r>
      <w:rPr>
        <w:rFonts w:hint="eastAsia" w:ascii="宋体" w:hAnsi="宋体"/>
        <w:b w:val="0"/>
      </w:rPr>
      <w:t xml:space="preserve">江西赣安安全生产科学技术咨询服务中心             </w:t>
    </w:r>
    <w:r>
      <w:rPr>
        <w:rFonts w:ascii="宋体" w:hAnsi="宋体"/>
        <w:b w:val="0"/>
      </w:rPr>
      <w:fldChar w:fldCharType="begin"/>
    </w:r>
    <w:r>
      <w:rPr>
        <w:rFonts w:ascii="宋体" w:hAnsi="宋体"/>
        <w:b w:val="0"/>
      </w:rPr>
      <w:instrText xml:space="preserve">PAGE   \* MERGEFORMAT</w:instrText>
    </w:r>
    <w:r>
      <w:rPr>
        <w:rFonts w:ascii="宋体" w:hAnsi="宋体"/>
        <w:b w:val="0"/>
      </w:rPr>
      <w:fldChar w:fldCharType="separate"/>
    </w:r>
    <w:r>
      <w:rPr>
        <w:rFonts w:ascii="宋体" w:hAnsi="宋体"/>
        <w:b w:val="0"/>
      </w:rPr>
      <w:t>2</w:t>
    </w:r>
    <w:r>
      <w:rPr>
        <w:rFonts w:ascii="宋体" w:hAnsi="宋体"/>
        <w:b w:val="0"/>
      </w:rPr>
      <w:fldChar w:fldCharType="end"/>
    </w:r>
    <w:r>
      <w:rPr>
        <w:rFonts w:hint="eastAsia" w:ascii="宋体" w:hAnsi="宋体"/>
        <w:b w:val="0"/>
      </w:rPr>
      <w:t xml:space="preserve">                               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FE50F">
    <w:pPr>
      <w:pBdr>
        <w:top w:val="single" w:color="auto" w:sz="4" w:space="1"/>
      </w:pBdr>
      <w:tabs>
        <w:tab w:val="center" w:pos="4153"/>
        <w:tab w:val="right" w:pos="8306"/>
      </w:tabs>
      <w:snapToGrid w:val="0"/>
      <w:spacing w:line="360" w:lineRule="auto"/>
      <w:jc w:val="center"/>
      <w:rPr>
        <w:rFonts w:ascii="宋体" w:hAnsi="宋体"/>
        <w:b w:val="0"/>
        <w:sz w:val="18"/>
        <w:szCs w:val="18"/>
        <w:lang w:val="zh-CN"/>
      </w:rPr>
    </w:pPr>
    <w:r>
      <w:rPr>
        <w:rFonts w:hint="eastAsia" w:ascii="宋体" w:hAnsi="宋体"/>
        <w:b w:val="0"/>
        <w:sz w:val="18"/>
        <w:szCs w:val="18"/>
        <w:lang w:val="zh-CN"/>
      </w:rPr>
      <w:t xml:space="preserve">江西赣安安全生产科学技术咨询服务中心                   </w:t>
    </w:r>
    <w:r>
      <w:rPr>
        <w:rFonts w:ascii="宋体" w:hAnsi="宋体"/>
        <w:b w:val="0"/>
        <w:sz w:val="18"/>
        <w:szCs w:val="18"/>
        <w:lang w:val="zh-CN"/>
      </w:rPr>
      <w:t xml:space="preserve"> </w:t>
    </w:r>
    <w:r>
      <w:rPr>
        <w:rFonts w:ascii="宋体" w:hAnsi="宋体"/>
        <w:b w:val="0"/>
        <w:sz w:val="18"/>
        <w:szCs w:val="18"/>
        <w:lang w:val="zh-CN"/>
      </w:rPr>
      <w:fldChar w:fldCharType="begin"/>
    </w:r>
    <w:r>
      <w:rPr>
        <w:rFonts w:ascii="宋体" w:hAnsi="宋体"/>
        <w:b w:val="0"/>
        <w:sz w:val="18"/>
        <w:szCs w:val="18"/>
        <w:lang w:val="zh-CN"/>
      </w:rPr>
      <w:instrText xml:space="preserve"> PAGE </w:instrText>
    </w:r>
    <w:r>
      <w:rPr>
        <w:rFonts w:ascii="宋体" w:hAnsi="宋体"/>
        <w:b w:val="0"/>
        <w:sz w:val="18"/>
        <w:szCs w:val="18"/>
        <w:lang w:val="zh-CN"/>
      </w:rPr>
      <w:fldChar w:fldCharType="separate"/>
    </w:r>
    <w:r>
      <w:rPr>
        <w:rFonts w:ascii="宋体" w:hAnsi="宋体"/>
        <w:b w:val="0"/>
        <w:sz w:val="18"/>
        <w:szCs w:val="18"/>
        <w:lang w:val="zh-CN"/>
      </w:rPr>
      <w:t>129</w:t>
    </w:r>
    <w:r>
      <w:rPr>
        <w:rFonts w:ascii="宋体" w:hAnsi="宋体"/>
        <w:b w:val="0"/>
        <w:sz w:val="18"/>
        <w:szCs w:val="18"/>
        <w:lang w:val="zh-CN"/>
      </w:rPr>
      <w:fldChar w:fldCharType="end"/>
    </w:r>
    <w:r>
      <w:rPr>
        <w:rFonts w:hint="eastAsia" w:ascii="宋体" w:hAnsi="宋体"/>
        <w:b w:val="0"/>
        <w:sz w:val="18"/>
        <w:szCs w:val="18"/>
        <w:lang w:val="zh-CN"/>
      </w:rPr>
      <w:t xml:space="preserve">                          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9710E">
    <w:pPr>
      <w:pStyle w:val="71"/>
      <w:ind w:firstLine="120" w:firstLineChars="50"/>
      <w:rPr>
        <w:rFonts w:ascii="宋体" w:hAns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BB2CF68">
                          <w:r>
                            <w:t>*</w:t>
                          </w:r>
                        </w:p>
                      </w:txbxContent>
                    </wps:txbx>
                    <wps:bodyPr rot="0" vert="horz" wrap="none" lIns="0" tIns="0" rIns="0" bIns="0" anchor="t" anchorCtr="0" upright="1">
                      <a:spAutoFit/>
                    </wps:bodyPr>
                  </wps:wsp>
                </a:graphicData>
              </a:graphic>
            </wp:anchor>
          </w:drawing>
        </mc:Choice>
        <mc:Fallback>
          <w:pict>
            <v:shape id="文本框 1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L6DWaAHAgAABwQAAA4AAAAAAAAAAQAgAAAAHgEAAGRycy9l&#10;Mm9Eb2MueG1sUEsFBgAAAAAGAAYAWQEAAJcFAAAAAA==&#10;">
              <v:fill on="f" focussize="0,0"/>
              <v:stroke on="f"/>
              <v:imagedata o:title=""/>
              <o:lock v:ext="edit" aspectratio="f"/>
              <v:textbox inset="0mm,0mm,0mm,0mm" style="mso-fit-shape-to-text:t;">
                <w:txbxContent>
                  <w:p w14:paraId="3BB2CF68">
                    <w: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FB41">
    <w:pPr>
      <w:pStyle w:val="56"/>
      <w:rPr>
        <w:lang w:val="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1E89">
    <w:pPr>
      <w:pStyle w:val="58"/>
      <w:jc w:val="both"/>
      <w:rPr>
        <w:rFonts w:ascii="Arial" w:hAnsi="Arial" w:cs="Arial"/>
      </w:rPr>
    </w:pPr>
    <w:r>
      <w:rPr>
        <w:rFonts w:hint="eastAsia" w:ascii="Arial" w:hAnsi="宋体" w:cs="Arial"/>
        <w:color w:val="000000"/>
      </w:rPr>
      <w:t xml:space="preserve">伊犁福顺竹烟花爆竹销售有限公司烟花爆竹仓库建设项目安全预评价报告                           </w:t>
    </w:r>
    <w:r>
      <w:rPr>
        <w:rFonts w:hint="eastAsia" w:ascii="宋体" w:hAnsi="宋体"/>
        <w:spacing w:val="-2"/>
      </w:rPr>
      <w:t>GAAP[2023]0***号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D1760">
    <w:pPr>
      <w:pStyle w:val="5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DD6E6">
    <w:pPr>
      <w:pStyle w:val="58"/>
      <w:jc w:val="both"/>
      <w:rPr>
        <w:rFonts w:asciiTheme="minorEastAsia" w:hAnsiTheme="minorEastAsia" w:eastAsiaTheme="minorEastAsia"/>
        <w:b w:val="0"/>
      </w:rPr>
    </w:pPr>
    <w:r>
      <w:rPr>
        <w:rFonts w:hint="eastAsia" w:ascii="宋体" w:hAnsi="宋体" w:eastAsia="宋体"/>
        <w:b w:val="0"/>
        <w:spacing w:val="-2"/>
      </w:rPr>
      <w:t xml:space="preserve">湖南金帝烟花爆竹制造有限公司泉水工区扩建项目安全预评价报告 </w:t>
    </w:r>
    <w:r>
      <w:rPr>
        <w:rFonts w:ascii="宋体" w:hAnsi="宋体" w:eastAsia="宋体"/>
        <w:b w:val="0"/>
        <w:spacing w:val="-2"/>
      </w:rPr>
      <w:t xml:space="preserve">              </w:t>
    </w:r>
    <w:r>
      <w:rPr>
        <w:rFonts w:hint="eastAsia" w:ascii="宋体" w:hAnsi="宋体" w:eastAsia="宋体"/>
        <w:b w:val="0"/>
        <w:spacing w:val="-2"/>
      </w:rPr>
      <w:t xml:space="preserve">    </w:t>
    </w:r>
    <w:r>
      <w:rPr>
        <w:rFonts w:ascii="宋体" w:hAnsi="宋体" w:eastAsia="宋体"/>
        <w:b w:val="0"/>
        <w:spacing w:val="-2"/>
      </w:rPr>
      <w:t xml:space="preserve">       </w:t>
    </w:r>
    <w:r>
      <w:rPr>
        <w:rFonts w:hint="eastAsia" w:ascii="宋体" w:hAnsi="宋体" w:eastAsia="宋体"/>
        <w:b w:val="0"/>
        <w:spacing w:val="-2"/>
      </w:rPr>
      <w:t xml:space="preserve"> </w:t>
    </w:r>
    <w:r>
      <w:rPr>
        <w:rFonts w:ascii="宋体" w:hAnsi="宋体" w:eastAsia="宋体"/>
        <w:b w:val="0"/>
        <w:spacing w:val="-2"/>
      </w:rPr>
      <w:t xml:space="preserve"> </w:t>
    </w:r>
    <w:r>
      <w:rPr>
        <w:rFonts w:hint="eastAsia" w:ascii="宋体" w:hAnsi="宋体" w:eastAsia="宋体"/>
        <w:b w:val="0"/>
        <w:spacing w:val="-2"/>
      </w:rPr>
      <w:t>GAAP[202</w:t>
    </w:r>
    <w:r>
      <w:rPr>
        <w:rFonts w:ascii="宋体" w:hAnsi="宋体" w:eastAsia="宋体"/>
        <w:b w:val="0"/>
        <w:spacing w:val="-2"/>
      </w:rPr>
      <w:t>6</w:t>
    </w:r>
    <w:r>
      <w:rPr>
        <w:rFonts w:hint="eastAsia" w:ascii="宋体" w:hAnsi="宋体" w:eastAsia="宋体"/>
        <w:b w:val="0"/>
        <w:spacing w:val="-2"/>
      </w:rPr>
      <w:t>]0</w:t>
    </w:r>
    <w:r>
      <w:rPr>
        <w:rFonts w:hint="eastAsia" w:ascii="宋体" w:hAnsi="宋体" w:eastAsia="宋体"/>
        <w:b w:val="0"/>
        <w:spacing w:val="-2"/>
        <w:lang w:val="en-US" w:eastAsia="zh-CN"/>
      </w:rPr>
      <w:t>304</w:t>
    </w:r>
    <w:r>
      <w:rPr>
        <w:rFonts w:hint="eastAsia" w:ascii="宋体" w:hAnsi="宋体" w:eastAsia="宋体"/>
        <w:b w:val="0"/>
        <w:spacing w:val="-2"/>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A4E8C">
    <w:pPr>
      <w:pStyle w:val="58"/>
      <w:jc w:val="both"/>
      <w:rPr>
        <w:rFonts w:asciiTheme="minorEastAsia" w:hAnsiTheme="minorEastAsia" w:eastAsiaTheme="minorEastAsia"/>
        <w:b w:val="0"/>
      </w:rPr>
    </w:pPr>
    <w:bookmarkStart w:id="579" w:name="OLE_LINK2"/>
    <w:bookmarkStart w:id="580" w:name="OLE_LINK1"/>
    <w:bookmarkStart w:id="581" w:name="OLE_LINK13"/>
    <w:bookmarkStart w:id="582" w:name="_Hlk237353417"/>
    <w:bookmarkStart w:id="583" w:name="OLE_LINK14"/>
    <w:r>
      <w:rPr>
        <w:rFonts w:hint="eastAsia" w:ascii="宋体" w:hAnsi="宋体" w:eastAsia="宋体"/>
        <w:b w:val="0"/>
        <w:spacing w:val="-2"/>
      </w:rPr>
      <w:t xml:space="preserve">湖南金帝烟花爆竹制造有限公司泉水工区扩建项目安全预评价报告 </w:t>
    </w:r>
    <w:r>
      <w:rPr>
        <w:rFonts w:ascii="宋体" w:hAnsi="宋体" w:eastAsia="宋体"/>
        <w:b w:val="0"/>
        <w:spacing w:val="-2"/>
      </w:rPr>
      <w:t xml:space="preserve">              </w:t>
    </w:r>
    <w:r>
      <w:rPr>
        <w:rFonts w:hint="eastAsia" w:ascii="宋体" w:hAnsi="宋体" w:eastAsia="宋体"/>
        <w:b w:val="0"/>
        <w:spacing w:val="-2"/>
      </w:rPr>
      <w:t xml:space="preserve">    </w:t>
    </w:r>
    <w:r>
      <w:rPr>
        <w:rFonts w:ascii="宋体" w:hAnsi="宋体" w:eastAsia="宋体"/>
        <w:b w:val="0"/>
        <w:spacing w:val="-2"/>
      </w:rPr>
      <w:t xml:space="preserve">       </w:t>
    </w:r>
    <w:r>
      <w:rPr>
        <w:rFonts w:hint="eastAsia" w:ascii="宋体" w:hAnsi="宋体" w:eastAsia="宋体"/>
        <w:b w:val="0"/>
        <w:spacing w:val="-2"/>
      </w:rPr>
      <w:t xml:space="preserve"> </w:t>
    </w:r>
    <w:r>
      <w:rPr>
        <w:rFonts w:ascii="宋体" w:hAnsi="宋体" w:eastAsia="宋体"/>
        <w:b w:val="0"/>
        <w:spacing w:val="-2"/>
      </w:rPr>
      <w:t xml:space="preserve"> </w:t>
    </w:r>
    <w:r>
      <w:rPr>
        <w:rFonts w:hint="eastAsia" w:ascii="宋体" w:hAnsi="宋体" w:eastAsia="宋体"/>
        <w:b w:val="0"/>
        <w:spacing w:val="-2"/>
      </w:rPr>
      <w:t>GAAP[202</w:t>
    </w:r>
    <w:r>
      <w:rPr>
        <w:rFonts w:ascii="宋体" w:hAnsi="宋体" w:eastAsia="宋体"/>
        <w:b w:val="0"/>
        <w:spacing w:val="-2"/>
      </w:rPr>
      <w:t>6</w:t>
    </w:r>
    <w:r>
      <w:rPr>
        <w:rFonts w:hint="eastAsia" w:ascii="宋体" w:hAnsi="宋体" w:eastAsia="宋体"/>
        <w:b w:val="0"/>
        <w:spacing w:val="-2"/>
      </w:rPr>
      <w:t>]</w:t>
    </w:r>
    <w:r>
      <w:rPr>
        <w:rFonts w:hint="eastAsia" w:ascii="宋体" w:hAnsi="宋体" w:eastAsia="宋体"/>
        <w:b w:val="0"/>
        <w:spacing w:val="-2"/>
        <w:lang w:val="en-US" w:eastAsia="zh-CN"/>
      </w:rPr>
      <w:t>0304</w:t>
    </w:r>
    <w:r>
      <w:rPr>
        <w:rFonts w:hint="eastAsia" w:ascii="宋体" w:hAnsi="宋体" w:eastAsia="宋体"/>
        <w:b w:val="0"/>
        <w:spacing w:val="-2"/>
      </w:rPr>
      <w:t>号</w:t>
    </w:r>
    <w:bookmarkEnd w:id="579"/>
    <w:bookmarkEnd w:id="580"/>
    <w:bookmarkEnd w:id="581"/>
    <w:bookmarkEnd w:id="582"/>
    <w:bookmarkEnd w:id="583"/>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29F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2F64B"/>
    <w:multiLevelType w:val="singleLevel"/>
    <w:tmpl w:val="9072F64B"/>
    <w:lvl w:ilvl="0" w:tentative="0">
      <w:start w:val="1"/>
      <w:numFmt w:val="decimal"/>
      <w:suff w:val="nothing"/>
      <w:lvlText w:val="（%1）"/>
      <w:lvlJc w:val="left"/>
      <w:pPr>
        <w:ind w:left="454" w:hanging="840"/>
      </w:pPr>
      <w:rPr>
        <w:rFonts w:hint="default"/>
      </w:rPr>
    </w:lvl>
  </w:abstractNum>
  <w:abstractNum w:abstractNumId="1">
    <w:nsid w:val="00000004"/>
    <w:multiLevelType w:val="multilevel"/>
    <w:tmpl w:val="00000004"/>
    <w:lvl w:ilvl="0" w:tentative="0">
      <w:start w:val="1"/>
      <w:numFmt w:val="decimal"/>
      <w:pStyle w:val="137"/>
      <w:lvlText w:val="%1"/>
      <w:lvlJc w:val="left"/>
      <w:pPr>
        <w:tabs>
          <w:tab w:val="left" w:pos="425"/>
        </w:tabs>
        <w:ind w:left="425" w:hanging="425"/>
      </w:pPr>
      <w:rPr>
        <w:rFonts w:hint="eastAsia" w:eastAsia="黑体"/>
        <w:b w:val="0"/>
        <w:i w:val="0"/>
        <w:sz w:val="21"/>
        <w:szCs w:val="21"/>
      </w:rPr>
    </w:lvl>
    <w:lvl w:ilvl="1" w:tentative="0">
      <w:start w:val="1"/>
      <w:numFmt w:val="decimal"/>
      <w:pStyle w:val="348"/>
      <w:lvlText w:val="%1.%2"/>
      <w:lvlJc w:val="left"/>
      <w:pPr>
        <w:tabs>
          <w:tab w:val="left" w:pos="992"/>
        </w:tabs>
        <w:ind w:left="992" w:hanging="567"/>
      </w:pPr>
      <w:rPr>
        <w:rFonts w:hint="eastAsia"/>
        <w:sz w:val="21"/>
        <w:szCs w:val="21"/>
      </w:rPr>
    </w:lvl>
    <w:lvl w:ilvl="2" w:tentative="0">
      <w:start w:val="1"/>
      <w:numFmt w:val="decimal"/>
      <w:pStyle w:val="346"/>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0000000C"/>
    <w:multiLevelType w:val="multilevel"/>
    <w:tmpl w:val="0000000C"/>
    <w:lvl w:ilvl="0" w:tentative="0">
      <w:start w:val="2"/>
      <w:numFmt w:val="decimal"/>
      <w:pStyle w:val="162"/>
      <w:lvlText w:val="%1"/>
      <w:lvlJc w:val="left"/>
      <w:pPr>
        <w:tabs>
          <w:tab w:val="left" w:pos="360"/>
        </w:tabs>
        <w:ind w:left="0" w:firstLine="0"/>
      </w:pPr>
      <w:rPr>
        <w:rFonts w:hint="eastAsia"/>
      </w:rPr>
    </w:lvl>
    <w:lvl w:ilvl="1" w:tentative="0">
      <w:start w:val="1"/>
      <w:numFmt w:val="decimal"/>
      <w:lvlText w:val="%1.%2"/>
      <w:lvlJc w:val="left"/>
      <w:pPr>
        <w:tabs>
          <w:tab w:val="left" w:pos="360"/>
        </w:tabs>
        <w:ind w:left="0" w:firstLine="0"/>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80267E0"/>
    <w:multiLevelType w:val="multilevel"/>
    <w:tmpl w:val="080267E0"/>
    <w:lvl w:ilvl="0" w:tentative="0">
      <w:start w:val="1"/>
      <w:numFmt w:val="decimal"/>
      <w:pStyle w:val="48"/>
      <w:lvlText w:val="（%1）"/>
      <w:lvlJc w:val="left"/>
      <w:pPr>
        <w:ind w:left="1422" w:hanging="720"/>
      </w:pPr>
      <w:rPr>
        <w:rFonts w:hint="default"/>
      </w:rPr>
    </w:lvl>
    <w:lvl w:ilvl="1" w:tentative="0">
      <w:start w:val="1"/>
      <w:numFmt w:val="lowerLetter"/>
      <w:lvlText w:val="%2)"/>
      <w:lvlJc w:val="left"/>
      <w:pPr>
        <w:ind w:left="1542" w:hanging="420"/>
      </w:pPr>
    </w:lvl>
    <w:lvl w:ilvl="2" w:tentative="0">
      <w:start w:val="1"/>
      <w:numFmt w:val="lowerRoman"/>
      <w:lvlText w:val="%3."/>
      <w:lvlJc w:val="right"/>
      <w:pPr>
        <w:ind w:left="1962" w:hanging="420"/>
      </w:pPr>
    </w:lvl>
    <w:lvl w:ilvl="3" w:tentative="0">
      <w:start w:val="1"/>
      <w:numFmt w:val="decimal"/>
      <w:lvlText w:val="%4."/>
      <w:lvlJc w:val="left"/>
      <w:pPr>
        <w:ind w:left="2382" w:hanging="420"/>
      </w:pPr>
    </w:lvl>
    <w:lvl w:ilvl="4" w:tentative="0">
      <w:start w:val="1"/>
      <w:numFmt w:val="lowerLetter"/>
      <w:lvlText w:val="%5)"/>
      <w:lvlJc w:val="left"/>
      <w:pPr>
        <w:ind w:left="2802" w:hanging="420"/>
      </w:pPr>
    </w:lvl>
    <w:lvl w:ilvl="5" w:tentative="0">
      <w:start w:val="1"/>
      <w:numFmt w:val="lowerRoman"/>
      <w:lvlText w:val="%6."/>
      <w:lvlJc w:val="right"/>
      <w:pPr>
        <w:ind w:left="3222" w:hanging="420"/>
      </w:pPr>
    </w:lvl>
    <w:lvl w:ilvl="6" w:tentative="0">
      <w:start w:val="1"/>
      <w:numFmt w:val="decimal"/>
      <w:lvlText w:val="%7."/>
      <w:lvlJc w:val="left"/>
      <w:pPr>
        <w:ind w:left="3642" w:hanging="420"/>
      </w:pPr>
    </w:lvl>
    <w:lvl w:ilvl="7" w:tentative="0">
      <w:start w:val="1"/>
      <w:numFmt w:val="lowerLetter"/>
      <w:lvlText w:val="%8)"/>
      <w:lvlJc w:val="left"/>
      <w:pPr>
        <w:ind w:left="4062" w:hanging="420"/>
      </w:pPr>
    </w:lvl>
    <w:lvl w:ilvl="8" w:tentative="0">
      <w:start w:val="1"/>
      <w:numFmt w:val="lowerRoman"/>
      <w:lvlText w:val="%9."/>
      <w:lvlJc w:val="right"/>
      <w:pPr>
        <w:ind w:left="4482" w:hanging="420"/>
      </w:pPr>
    </w:lvl>
  </w:abstractNum>
  <w:abstractNum w:abstractNumId="4">
    <w:nsid w:val="0F5E494A"/>
    <w:multiLevelType w:val="multilevel"/>
    <w:tmpl w:val="0F5E494A"/>
    <w:lvl w:ilvl="0" w:tentative="0">
      <w:start w:val="1"/>
      <w:numFmt w:val="decimalEnclosedCircle"/>
      <w:lvlText w:val="%1"/>
      <w:lvlJc w:val="left"/>
      <w:pPr>
        <w:ind w:left="981" w:hanging="420"/>
      </w:pPr>
      <w:rPr>
        <w:rFonts w:hint="eastAsia" w:cs="Times New Roman"/>
      </w:rPr>
    </w:lvl>
    <w:lvl w:ilvl="1" w:tentative="0">
      <w:start w:val="1"/>
      <w:numFmt w:val="lowerLetter"/>
      <w:lvlText w:val="%2)"/>
      <w:lvlJc w:val="left"/>
      <w:pPr>
        <w:ind w:left="1401" w:hanging="420"/>
      </w:pPr>
      <w:rPr>
        <w:rFonts w:cs="Times New Roman"/>
      </w:rPr>
    </w:lvl>
    <w:lvl w:ilvl="2" w:tentative="0">
      <w:start w:val="1"/>
      <w:numFmt w:val="lowerRoman"/>
      <w:lvlText w:val="%3."/>
      <w:lvlJc w:val="right"/>
      <w:pPr>
        <w:ind w:left="1821" w:hanging="420"/>
      </w:pPr>
      <w:rPr>
        <w:rFonts w:cs="Times New Roman"/>
      </w:rPr>
    </w:lvl>
    <w:lvl w:ilvl="3" w:tentative="0">
      <w:start w:val="1"/>
      <w:numFmt w:val="decimal"/>
      <w:lvlText w:val="%4."/>
      <w:lvlJc w:val="left"/>
      <w:pPr>
        <w:ind w:left="2241" w:hanging="420"/>
      </w:pPr>
      <w:rPr>
        <w:rFonts w:cs="Times New Roman"/>
      </w:rPr>
    </w:lvl>
    <w:lvl w:ilvl="4" w:tentative="0">
      <w:start w:val="1"/>
      <w:numFmt w:val="lowerLetter"/>
      <w:lvlText w:val="%5)"/>
      <w:lvlJc w:val="left"/>
      <w:pPr>
        <w:ind w:left="2661" w:hanging="420"/>
      </w:pPr>
      <w:rPr>
        <w:rFonts w:cs="Times New Roman"/>
      </w:rPr>
    </w:lvl>
    <w:lvl w:ilvl="5" w:tentative="0">
      <w:start w:val="1"/>
      <w:numFmt w:val="lowerRoman"/>
      <w:lvlText w:val="%6."/>
      <w:lvlJc w:val="right"/>
      <w:pPr>
        <w:ind w:left="3081" w:hanging="420"/>
      </w:pPr>
      <w:rPr>
        <w:rFonts w:cs="Times New Roman"/>
      </w:rPr>
    </w:lvl>
    <w:lvl w:ilvl="6" w:tentative="0">
      <w:start w:val="1"/>
      <w:numFmt w:val="decimal"/>
      <w:lvlText w:val="%7."/>
      <w:lvlJc w:val="left"/>
      <w:pPr>
        <w:ind w:left="3501" w:hanging="420"/>
      </w:pPr>
      <w:rPr>
        <w:rFonts w:cs="Times New Roman"/>
      </w:rPr>
    </w:lvl>
    <w:lvl w:ilvl="7" w:tentative="0">
      <w:start w:val="1"/>
      <w:numFmt w:val="lowerLetter"/>
      <w:lvlText w:val="%8)"/>
      <w:lvlJc w:val="left"/>
      <w:pPr>
        <w:ind w:left="3921" w:hanging="420"/>
      </w:pPr>
      <w:rPr>
        <w:rFonts w:cs="Times New Roman"/>
      </w:rPr>
    </w:lvl>
    <w:lvl w:ilvl="8" w:tentative="0">
      <w:start w:val="1"/>
      <w:numFmt w:val="lowerRoman"/>
      <w:lvlText w:val="%9."/>
      <w:lvlJc w:val="right"/>
      <w:pPr>
        <w:ind w:left="4341" w:hanging="420"/>
      </w:pPr>
      <w:rPr>
        <w:rFonts w:cs="Times New Roman"/>
      </w:rPr>
    </w:lvl>
  </w:abstractNum>
  <w:abstractNum w:abstractNumId="5">
    <w:nsid w:val="1BE559C1"/>
    <w:multiLevelType w:val="multilevel"/>
    <w:tmpl w:val="1BE559C1"/>
    <w:lvl w:ilvl="0" w:tentative="0">
      <w:start w:val="1"/>
      <w:numFmt w:val="decimal"/>
      <w:pStyle w:val="41"/>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26624C3D"/>
    <w:multiLevelType w:val="singleLevel"/>
    <w:tmpl w:val="26624C3D"/>
    <w:lvl w:ilvl="0" w:tentative="0">
      <w:start w:val="1"/>
      <w:numFmt w:val="decimal"/>
      <w:pStyle w:val="37"/>
      <w:suff w:val="nothing"/>
      <w:lvlText w:val="%1）"/>
      <w:lvlJc w:val="left"/>
    </w:lvl>
  </w:abstractNum>
  <w:abstractNum w:abstractNumId="7">
    <w:nsid w:val="29C47111"/>
    <w:multiLevelType w:val="multilevel"/>
    <w:tmpl w:val="29C47111"/>
    <w:lvl w:ilvl="0" w:tentative="0">
      <w:start w:val="1"/>
      <w:numFmt w:val="decimal"/>
      <w:pStyle w:val="2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A8F7113"/>
    <w:multiLevelType w:val="multilevel"/>
    <w:tmpl w:val="2A8F7113"/>
    <w:lvl w:ilvl="0" w:tentative="0">
      <w:start w:val="1"/>
      <w:numFmt w:val="upperLetter"/>
      <w:suff w:val="space"/>
      <w:lvlText w:val="%1"/>
      <w:lvlJc w:val="left"/>
      <w:pPr>
        <w:ind w:left="623" w:hanging="425"/>
      </w:pPr>
      <w:rPr>
        <w:rFonts w:hint="eastAsia"/>
      </w:rPr>
    </w:lvl>
    <w:lvl w:ilvl="1" w:tentative="0">
      <w:start w:val="1"/>
      <w:numFmt w:val="decimal"/>
      <w:pStyle w:val="159"/>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AF712EC"/>
    <w:multiLevelType w:val="multilevel"/>
    <w:tmpl w:val="2AF712EC"/>
    <w:lvl w:ilvl="0" w:tentative="0">
      <w:start w:val="1"/>
      <w:numFmt w:val="decimalEnclosedCircle"/>
      <w:pStyle w:val="47"/>
      <w:lvlText w:val="%1"/>
      <w:lvlJc w:val="left"/>
      <w:pPr>
        <w:ind w:left="920" w:hanging="36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0">
    <w:nsid w:val="3E8371D8"/>
    <w:multiLevelType w:val="multilevel"/>
    <w:tmpl w:val="3E8371D8"/>
    <w:lvl w:ilvl="0" w:tentative="0">
      <w:start w:val="1"/>
      <w:numFmt w:val="decimalEnclosedCircle"/>
      <w:pStyle w:val="66"/>
      <w:lvlText w:val="%1"/>
      <w:lvlJc w:val="left"/>
      <w:pPr>
        <w:ind w:left="920" w:hanging="36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1">
    <w:nsid w:val="44C50F90"/>
    <w:multiLevelType w:val="multilevel"/>
    <w:tmpl w:val="44C50F90"/>
    <w:lvl w:ilvl="0" w:tentative="0">
      <w:start w:val="1"/>
      <w:numFmt w:val="lowerLetter"/>
      <w:pStyle w:val="161"/>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2">
    <w:nsid w:val="45C85C20"/>
    <w:multiLevelType w:val="multilevel"/>
    <w:tmpl w:val="45C85C20"/>
    <w:lvl w:ilvl="0" w:tentative="0">
      <w:start w:val="1"/>
      <w:numFmt w:val="decimal"/>
      <w:lvlText w:val="(%1)"/>
      <w:lvlJc w:val="left"/>
      <w:pPr>
        <w:ind w:left="420" w:hanging="420"/>
      </w:pPr>
      <w:rPr>
        <w:rFonts w:hint="eastAsia"/>
      </w:rPr>
    </w:lvl>
    <w:lvl w:ilvl="1" w:tentative="0">
      <w:start w:val="1"/>
      <w:numFmt w:val="decimalEnclosedCircle"/>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2415" w:hanging="1155"/>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530643C"/>
    <w:multiLevelType w:val="singleLevel"/>
    <w:tmpl w:val="5530643C"/>
    <w:lvl w:ilvl="0" w:tentative="0">
      <w:start w:val="1"/>
      <w:numFmt w:val="decimal"/>
      <w:pStyle w:val="16"/>
      <w:suff w:val="nothing"/>
      <w:lvlText w:val="%1、"/>
      <w:lvlJc w:val="left"/>
    </w:lvl>
  </w:abstractNum>
  <w:abstractNum w:abstractNumId="14">
    <w:nsid w:val="566A8B1B"/>
    <w:multiLevelType w:val="singleLevel"/>
    <w:tmpl w:val="566A8B1B"/>
    <w:lvl w:ilvl="0" w:tentative="0">
      <w:start w:val="1"/>
      <w:numFmt w:val="decimal"/>
      <w:pStyle w:val="35"/>
      <w:suff w:val="nothing"/>
      <w:lvlText w:val="%1）"/>
      <w:lvlJc w:val="left"/>
      <w:pPr>
        <w:ind w:left="-128"/>
      </w:pPr>
    </w:lvl>
  </w:abstractNum>
  <w:abstractNum w:abstractNumId="15">
    <w:nsid w:val="584D59F4"/>
    <w:multiLevelType w:val="multilevel"/>
    <w:tmpl w:val="584D59F4"/>
    <w:lvl w:ilvl="0" w:tentative="0">
      <w:start w:val="1"/>
      <w:numFmt w:val="decimal"/>
      <w:pStyle w:val="574"/>
      <w:lvlText w:val="%1)"/>
      <w:lvlJc w:val="left"/>
      <w:pPr>
        <w:ind w:left="360" w:hanging="360"/>
      </w:pPr>
      <w:rPr>
        <w:rFonts w:hint="default"/>
      </w:rPr>
    </w:lvl>
    <w:lvl w:ilvl="1" w:tentative="0">
      <w:start w:val="1"/>
      <w:numFmt w:val="lowerLetter"/>
      <w:pStyle w:val="580"/>
      <w:lvlText w:val="%2)"/>
      <w:lvlJc w:val="left"/>
      <w:pPr>
        <w:ind w:left="840" w:hanging="420"/>
      </w:pPr>
    </w:lvl>
    <w:lvl w:ilvl="2" w:tentative="0">
      <w:start w:val="1"/>
      <w:numFmt w:val="lowerRoman"/>
      <w:pStyle w:val="581"/>
      <w:lvlText w:val="%3."/>
      <w:lvlJc w:val="right"/>
      <w:pPr>
        <w:ind w:left="1260" w:hanging="420"/>
      </w:pPr>
    </w:lvl>
    <w:lvl w:ilvl="3" w:tentative="0">
      <w:start w:val="1"/>
      <w:numFmt w:val="decimal"/>
      <w:pStyle w:val="575"/>
      <w:lvlText w:val="%4."/>
      <w:lvlJc w:val="left"/>
      <w:pPr>
        <w:ind w:left="1680" w:hanging="420"/>
      </w:pPr>
    </w:lvl>
    <w:lvl w:ilvl="4" w:tentative="0">
      <w:start w:val="1"/>
      <w:numFmt w:val="lowerLetter"/>
      <w:pStyle w:val="577"/>
      <w:lvlText w:val="%5)"/>
      <w:lvlJc w:val="left"/>
      <w:pPr>
        <w:ind w:left="2100" w:hanging="420"/>
      </w:pPr>
    </w:lvl>
    <w:lvl w:ilvl="5" w:tentative="0">
      <w:start w:val="1"/>
      <w:numFmt w:val="lowerRoman"/>
      <w:pStyle w:val="578"/>
      <w:lvlText w:val="%6."/>
      <w:lvlJc w:val="right"/>
      <w:pPr>
        <w:ind w:left="2520" w:hanging="420"/>
      </w:pPr>
    </w:lvl>
    <w:lvl w:ilvl="6" w:tentative="0">
      <w:start w:val="1"/>
      <w:numFmt w:val="decimal"/>
      <w:pStyle w:val="579"/>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E121951"/>
    <w:multiLevelType w:val="singleLevel"/>
    <w:tmpl w:val="5E121951"/>
    <w:lvl w:ilvl="0" w:tentative="0">
      <w:start w:val="2"/>
      <w:numFmt w:val="decimal"/>
      <w:suff w:val="nothing"/>
      <w:lvlText w:val="（%1）"/>
      <w:lvlJc w:val="left"/>
    </w:lvl>
  </w:abstractNum>
  <w:abstractNum w:abstractNumId="17">
    <w:nsid w:val="646260FA"/>
    <w:multiLevelType w:val="multilevel"/>
    <w:tmpl w:val="646260FA"/>
    <w:lvl w:ilvl="0" w:tentative="0">
      <w:start w:val="1"/>
      <w:numFmt w:val="decimal"/>
      <w:pStyle w:val="160"/>
      <w:suff w:val="nothing"/>
      <w:lvlText w:val="表%1　"/>
      <w:lvlJc w:val="left"/>
      <w:pPr>
        <w:ind w:left="3885" w:firstLine="0"/>
      </w:pPr>
      <w:rPr>
        <w:rFonts w:hint="eastAsia" w:ascii="黑体" w:hAnsi="Times New Roman" w:eastAsia="黑体"/>
        <w:b w:val="0"/>
        <w:i w:val="0"/>
        <w:sz w:val="21"/>
      </w:rPr>
    </w:lvl>
    <w:lvl w:ilvl="1" w:tentative="0">
      <w:start w:val="1"/>
      <w:numFmt w:val="decimal"/>
      <w:lvlText w:val="%1.%2"/>
      <w:lvlJc w:val="left"/>
      <w:pPr>
        <w:tabs>
          <w:tab w:val="left" w:pos="4877"/>
        </w:tabs>
        <w:ind w:left="4877" w:hanging="567"/>
      </w:pPr>
      <w:rPr>
        <w:rFonts w:hint="eastAsia"/>
      </w:rPr>
    </w:lvl>
    <w:lvl w:ilvl="2" w:tentative="0">
      <w:start w:val="1"/>
      <w:numFmt w:val="decimal"/>
      <w:lvlText w:val="%1.%2.%3"/>
      <w:lvlJc w:val="left"/>
      <w:pPr>
        <w:tabs>
          <w:tab w:val="left" w:pos="5303"/>
        </w:tabs>
        <w:ind w:left="5303" w:hanging="567"/>
      </w:pPr>
      <w:rPr>
        <w:rFonts w:hint="eastAsia"/>
      </w:rPr>
    </w:lvl>
    <w:lvl w:ilvl="3" w:tentative="0">
      <w:start w:val="1"/>
      <w:numFmt w:val="decimal"/>
      <w:lvlText w:val="%1.%2.%3.%4"/>
      <w:lvlJc w:val="left"/>
      <w:pPr>
        <w:tabs>
          <w:tab w:val="left" w:pos="5869"/>
        </w:tabs>
        <w:ind w:left="5869" w:hanging="708"/>
      </w:pPr>
      <w:rPr>
        <w:rFonts w:hint="eastAsia"/>
      </w:rPr>
    </w:lvl>
    <w:lvl w:ilvl="4" w:tentative="0">
      <w:start w:val="1"/>
      <w:numFmt w:val="decimal"/>
      <w:lvlText w:val="%1.%2.%3.%4.%5"/>
      <w:lvlJc w:val="left"/>
      <w:pPr>
        <w:tabs>
          <w:tab w:val="left" w:pos="6436"/>
        </w:tabs>
        <w:ind w:left="6436" w:hanging="850"/>
      </w:pPr>
      <w:rPr>
        <w:rFonts w:hint="eastAsia"/>
      </w:rPr>
    </w:lvl>
    <w:lvl w:ilvl="5" w:tentative="0">
      <w:start w:val="1"/>
      <w:numFmt w:val="decimal"/>
      <w:lvlText w:val="%1.%2.%3.%4.%5.%6"/>
      <w:lvlJc w:val="left"/>
      <w:pPr>
        <w:tabs>
          <w:tab w:val="left" w:pos="7145"/>
        </w:tabs>
        <w:ind w:left="7145" w:hanging="1134"/>
      </w:pPr>
      <w:rPr>
        <w:rFonts w:hint="eastAsia"/>
      </w:rPr>
    </w:lvl>
    <w:lvl w:ilvl="6" w:tentative="0">
      <w:start w:val="1"/>
      <w:numFmt w:val="decimal"/>
      <w:lvlText w:val="%1.%2.%3.%4.%5.%6.%7"/>
      <w:lvlJc w:val="left"/>
      <w:pPr>
        <w:tabs>
          <w:tab w:val="left" w:pos="7712"/>
        </w:tabs>
        <w:ind w:left="7712" w:hanging="1276"/>
      </w:pPr>
      <w:rPr>
        <w:rFonts w:hint="eastAsia"/>
      </w:rPr>
    </w:lvl>
    <w:lvl w:ilvl="7" w:tentative="0">
      <w:start w:val="1"/>
      <w:numFmt w:val="decimal"/>
      <w:lvlText w:val="%1.%2.%3.%4.%5.%6.%7.%8"/>
      <w:lvlJc w:val="left"/>
      <w:pPr>
        <w:tabs>
          <w:tab w:val="left" w:pos="8279"/>
        </w:tabs>
        <w:ind w:left="8279" w:hanging="1418"/>
      </w:pPr>
      <w:rPr>
        <w:rFonts w:hint="eastAsia"/>
      </w:rPr>
    </w:lvl>
    <w:lvl w:ilvl="8" w:tentative="0">
      <w:start w:val="1"/>
      <w:numFmt w:val="decimal"/>
      <w:lvlText w:val="%1.%2.%3.%4.%5.%6.%7.%8.%9"/>
      <w:lvlJc w:val="left"/>
      <w:pPr>
        <w:tabs>
          <w:tab w:val="left" w:pos="8987"/>
        </w:tabs>
        <w:ind w:left="8987" w:hanging="1700"/>
      </w:pPr>
      <w:rPr>
        <w:rFonts w:hint="eastAsia"/>
      </w:rPr>
    </w:lvl>
  </w:abstractNum>
  <w:abstractNum w:abstractNumId="18">
    <w:nsid w:val="6FC42D0B"/>
    <w:multiLevelType w:val="singleLevel"/>
    <w:tmpl w:val="6FC42D0B"/>
    <w:lvl w:ilvl="0" w:tentative="0">
      <w:start w:val="1"/>
      <w:numFmt w:val="decimal"/>
      <w:pStyle w:val="26"/>
      <w:suff w:val="nothing"/>
      <w:lvlText w:val="%1、"/>
      <w:lvlJc w:val="left"/>
    </w:lvl>
  </w:abstractNum>
  <w:abstractNum w:abstractNumId="19">
    <w:nsid w:val="714653CA"/>
    <w:multiLevelType w:val="multilevel"/>
    <w:tmpl w:val="714653CA"/>
    <w:lvl w:ilvl="0" w:tentative="0">
      <w:start w:val="1"/>
      <w:numFmt w:val="decimal"/>
      <w:lvlText w:val="%1."/>
      <w:lvlJc w:val="left"/>
      <w:pPr>
        <w:tabs>
          <w:tab w:val="left" w:pos="3110"/>
        </w:tabs>
        <w:ind w:left="3110" w:hanging="132"/>
      </w:pPr>
      <w:rPr>
        <w:rFonts w:hint="default"/>
      </w:rPr>
    </w:lvl>
    <w:lvl w:ilvl="1" w:tentative="0">
      <w:start w:val="1"/>
      <w:numFmt w:val="lowerLetter"/>
      <w:lvlText w:val="%2)"/>
      <w:lvlJc w:val="left"/>
      <w:pPr>
        <w:tabs>
          <w:tab w:val="left" w:pos="-264"/>
        </w:tabs>
        <w:ind w:left="-264" w:hanging="420"/>
      </w:pPr>
    </w:lvl>
    <w:lvl w:ilvl="2" w:tentative="0">
      <w:start w:val="1"/>
      <w:numFmt w:val="lowerRoman"/>
      <w:lvlText w:val="%3."/>
      <w:lvlJc w:val="right"/>
      <w:pPr>
        <w:tabs>
          <w:tab w:val="left" w:pos="156"/>
        </w:tabs>
        <w:ind w:left="156" w:hanging="420"/>
      </w:pPr>
    </w:lvl>
    <w:lvl w:ilvl="3" w:tentative="0">
      <w:start w:val="1"/>
      <w:numFmt w:val="decimal"/>
      <w:lvlText w:val="%4."/>
      <w:lvlJc w:val="left"/>
      <w:pPr>
        <w:tabs>
          <w:tab w:val="left" w:pos="576"/>
        </w:tabs>
        <w:ind w:left="576" w:hanging="420"/>
      </w:pPr>
    </w:lvl>
    <w:lvl w:ilvl="4" w:tentative="0">
      <w:start w:val="1"/>
      <w:numFmt w:val="lowerLetter"/>
      <w:lvlText w:val="%5)"/>
      <w:lvlJc w:val="left"/>
      <w:pPr>
        <w:tabs>
          <w:tab w:val="left" w:pos="996"/>
        </w:tabs>
        <w:ind w:left="996" w:hanging="420"/>
      </w:pPr>
    </w:lvl>
    <w:lvl w:ilvl="5" w:tentative="0">
      <w:start w:val="1"/>
      <w:numFmt w:val="lowerRoman"/>
      <w:lvlText w:val="%6."/>
      <w:lvlJc w:val="right"/>
      <w:pPr>
        <w:tabs>
          <w:tab w:val="left" w:pos="1416"/>
        </w:tabs>
        <w:ind w:left="1416" w:hanging="420"/>
      </w:pPr>
    </w:lvl>
    <w:lvl w:ilvl="6" w:tentative="0">
      <w:start w:val="1"/>
      <w:numFmt w:val="decimal"/>
      <w:lvlText w:val="%7."/>
      <w:lvlJc w:val="left"/>
      <w:pPr>
        <w:tabs>
          <w:tab w:val="left" w:pos="1836"/>
        </w:tabs>
        <w:ind w:left="1836" w:hanging="420"/>
      </w:pPr>
    </w:lvl>
    <w:lvl w:ilvl="7" w:tentative="0">
      <w:start w:val="1"/>
      <w:numFmt w:val="lowerLetter"/>
      <w:lvlText w:val="%8)"/>
      <w:lvlJc w:val="left"/>
      <w:pPr>
        <w:tabs>
          <w:tab w:val="left" w:pos="2256"/>
        </w:tabs>
        <w:ind w:left="2256" w:hanging="420"/>
      </w:pPr>
    </w:lvl>
    <w:lvl w:ilvl="8" w:tentative="0">
      <w:start w:val="1"/>
      <w:numFmt w:val="lowerRoman"/>
      <w:lvlText w:val="%9."/>
      <w:lvlJc w:val="right"/>
      <w:pPr>
        <w:tabs>
          <w:tab w:val="left" w:pos="2676"/>
        </w:tabs>
        <w:ind w:left="2676" w:hanging="420"/>
      </w:pPr>
    </w:lvl>
  </w:abstractNum>
  <w:abstractNum w:abstractNumId="20">
    <w:nsid w:val="77E26FFD"/>
    <w:multiLevelType w:val="multilevel"/>
    <w:tmpl w:val="77E26FFD"/>
    <w:lvl w:ilvl="0" w:tentative="0">
      <w:start w:val="1"/>
      <w:numFmt w:val="decimal"/>
      <w:lvlText w:val="%1)"/>
      <w:lvlJc w:val="left"/>
      <w:pPr>
        <w:ind w:left="981" w:hanging="420"/>
      </w:pPr>
      <w:rPr>
        <w:rFonts w:hint="eastAsia"/>
      </w:rPr>
    </w:lvl>
    <w:lvl w:ilvl="1" w:tentative="0">
      <w:start w:val="1"/>
      <w:numFmt w:val="decimalEnclosedCircle"/>
      <w:lvlText w:val="%2"/>
      <w:lvlJc w:val="left"/>
      <w:pPr>
        <w:ind w:left="1401" w:hanging="420"/>
      </w:pPr>
      <w:rPr>
        <w:rFonts w:hint="default"/>
      </w:r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num w:numId="1">
    <w:abstractNumId w:val="13"/>
  </w:num>
  <w:num w:numId="2">
    <w:abstractNumId w:val="7"/>
  </w:num>
  <w:num w:numId="3">
    <w:abstractNumId w:val="18"/>
  </w:num>
  <w:num w:numId="4">
    <w:abstractNumId w:val="14"/>
  </w:num>
  <w:num w:numId="5">
    <w:abstractNumId w:val="6"/>
  </w:num>
  <w:num w:numId="6">
    <w:abstractNumId w:val="5"/>
  </w:num>
  <w:num w:numId="7">
    <w:abstractNumId w:val="9"/>
  </w:num>
  <w:num w:numId="8">
    <w:abstractNumId w:val="3"/>
  </w:num>
  <w:num w:numId="9">
    <w:abstractNumId w:val="10"/>
  </w:num>
  <w:num w:numId="10">
    <w:abstractNumId w:val="1"/>
  </w:num>
  <w:num w:numId="11">
    <w:abstractNumId w:val="8"/>
  </w:num>
  <w:num w:numId="12">
    <w:abstractNumId w:val="17"/>
  </w:num>
  <w:num w:numId="13">
    <w:abstractNumId w:val="11"/>
  </w:num>
  <w:num w:numId="14">
    <w:abstractNumId w:val="2"/>
  </w:num>
  <w:num w:numId="15">
    <w:abstractNumId w:val="15"/>
  </w:num>
  <w:num w:numId="16">
    <w:abstractNumId w:val="20"/>
  </w:num>
  <w:num w:numId="17">
    <w:abstractNumId w:val="12"/>
  </w:num>
  <w:num w:numId="18">
    <w:abstractNumId w:val="4"/>
  </w:num>
  <w:num w:numId="19">
    <w:abstractNumId w:val="0"/>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xZDEwN2ZjOTY3NjYyY2E0Y2FmNWI2OWI4ZDRlMmEifQ=="/>
    <w:docVar w:name="KSO_WPS_MARK_KEY" w:val="4935e4d3-46a6-4ef4-a5f8-26ab32f0fb4c"/>
  </w:docVars>
  <w:rsids>
    <w:rsidRoot w:val="000E2E3A"/>
    <w:rsid w:val="00000690"/>
    <w:rsid w:val="00000D08"/>
    <w:rsid w:val="00000EE8"/>
    <w:rsid w:val="000010D8"/>
    <w:rsid w:val="0000364C"/>
    <w:rsid w:val="000038F7"/>
    <w:rsid w:val="00003A97"/>
    <w:rsid w:val="00004001"/>
    <w:rsid w:val="0000404F"/>
    <w:rsid w:val="00004383"/>
    <w:rsid w:val="0000621C"/>
    <w:rsid w:val="0000761A"/>
    <w:rsid w:val="00010007"/>
    <w:rsid w:val="0001043B"/>
    <w:rsid w:val="00010C8F"/>
    <w:rsid w:val="00011BFD"/>
    <w:rsid w:val="000137BD"/>
    <w:rsid w:val="0001424C"/>
    <w:rsid w:val="00015210"/>
    <w:rsid w:val="00015532"/>
    <w:rsid w:val="00015CC9"/>
    <w:rsid w:val="00016B4A"/>
    <w:rsid w:val="00020011"/>
    <w:rsid w:val="000206AF"/>
    <w:rsid w:val="00020C4F"/>
    <w:rsid w:val="00020E56"/>
    <w:rsid w:val="0002278E"/>
    <w:rsid w:val="000238C0"/>
    <w:rsid w:val="00023D65"/>
    <w:rsid w:val="00023D6C"/>
    <w:rsid w:val="000241F4"/>
    <w:rsid w:val="000242D5"/>
    <w:rsid w:val="00024B88"/>
    <w:rsid w:val="00025A75"/>
    <w:rsid w:val="000265A9"/>
    <w:rsid w:val="000277D4"/>
    <w:rsid w:val="0003418C"/>
    <w:rsid w:val="00034EBA"/>
    <w:rsid w:val="00035D4F"/>
    <w:rsid w:val="00035F06"/>
    <w:rsid w:val="00035FC8"/>
    <w:rsid w:val="0003692A"/>
    <w:rsid w:val="00037197"/>
    <w:rsid w:val="000372FE"/>
    <w:rsid w:val="00037BED"/>
    <w:rsid w:val="00041168"/>
    <w:rsid w:val="00041C10"/>
    <w:rsid w:val="00042E28"/>
    <w:rsid w:val="00043522"/>
    <w:rsid w:val="000438F1"/>
    <w:rsid w:val="00043C15"/>
    <w:rsid w:val="00043ED1"/>
    <w:rsid w:val="0004423F"/>
    <w:rsid w:val="00044C85"/>
    <w:rsid w:val="00045267"/>
    <w:rsid w:val="00045D31"/>
    <w:rsid w:val="00045EF1"/>
    <w:rsid w:val="00046508"/>
    <w:rsid w:val="00046AF8"/>
    <w:rsid w:val="00046F9F"/>
    <w:rsid w:val="00047E42"/>
    <w:rsid w:val="00051C1D"/>
    <w:rsid w:val="00051E08"/>
    <w:rsid w:val="00051E12"/>
    <w:rsid w:val="00053536"/>
    <w:rsid w:val="00053A0B"/>
    <w:rsid w:val="00053A40"/>
    <w:rsid w:val="00054446"/>
    <w:rsid w:val="0005523F"/>
    <w:rsid w:val="00055C58"/>
    <w:rsid w:val="00055FE2"/>
    <w:rsid w:val="00056754"/>
    <w:rsid w:val="00056A52"/>
    <w:rsid w:val="00056FB0"/>
    <w:rsid w:val="00057485"/>
    <w:rsid w:val="000606E5"/>
    <w:rsid w:val="000612C2"/>
    <w:rsid w:val="00061485"/>
    <w:rsid w:val="000615D0"/>
    <w:rsid w:val="00061633"/>
    <w:rsid w:val="00061768"/>
    <w:rsid w:val="00061B28"/>
    <w:rsid w:val="000621B1"/>
    <w:rsid w:val="0006233A"/>
    <w:rsid w:val="000638E0"/>
    <w:rsid w:val="00064CAB"/>
    <w:rsid w:val="00064EF5"/>
    <w:rsid w:val="000651EA"/>
    <w:rsid w:val="00065377"/>
    <w:rsid w:val="000653BB"/>
    <w:rsid w:val="00065617"/>
    <w:rsid w:val="00065BCF"/>
    <w:rsid w:val="00066F1D"/>
    <w:rsid w:val="0006727B"/>
    <w:rsid w:val="0006737B"/>
    <w:rsid w:val="000677FB"/>
    <w:rsid w:val="000715A3"/>
    <w:rsid w:val="0007194D"/>
    <w:rsid w:val="00071B29"/>
    <w:rsid w:val="000725F7"/>
    <w:rsid w:val="00072A1C"/>
    <w:rsid w:val="000734E8"/>
    <w:rsid w:val="00073D9D"/>
    <w:rsid w:val="0007410F"/>
    <w:rsid w:val="000745F7"/>
    <w:rsid w:val="000750CB"/>
    <w:rsid w:val="000753B3"/>
    <w:rsid w:val="00075AF3"/>
    <w:rsid w:val="000767C0"/>
    <w:rsid w:val="00076890"/>
    <w:rsid w:val="00080151"/>
    <w:rsid w:val="000823F9"/>
    <w:rsid w:val="00082553"/>
    <w:rsid w:val="00082D37"/>
    <w:rsid w:val="000838AB"/>
    <w:rsid w:val="000838E0"/>
    <w:rsid w:val="00083AA5"/>
    <w:rsid w:val="000845EE"/>
    <w:rsid w:val="000848E7"/>
    <w:rsid w:val="00084E81"/>
    <w:rsid w:val="000853BE"/>
    <w:rsid w:val="000857F4"/>
    <w:rsid w:val="000858AA"/>
    <w:rsid w:val="00085B0F"/>
    <w:rsid w:val="0008656E"/>
    <w:rsid w:val="00086661"/>
    <w:rsid w:val="000866B1"/>
    <w:rsid w:val="00086987"/>
    <w:rsid w:val="00087ACD"/>
    <w:rsid w:val="0009025F"/>
    <w:rsid w:val="00090599"/>
    <w:rsid w:val="000914E8"/>
    <w:rsid w:val="00091538"/>
    <w:rsid w:val="00091B7E"/>
    <w:rsid w:val="000931BB"/>
    <w:rsid w:val="00093258"/>
    <w:rsid w:val="00093586"/>
    <w:rsid w:val="000935E1"/>
    <w:rsid w:val="0009787F"/>
    <w:rsid w:val="000A0259"/>
    <w:rsid w:val="000A025B"/>
    <w:rsid w:val="000A083F"/>
    <w:rsid w:val="000A0F2F"/>
    <w:rsid w:val="000A1159"/>
    <w:rsid w:val="000A11EA"/>
    <w:rsid w:val="000A1206"/>
    <w:rsid w:val="000A1E80"/>
    <w:rsid w:val="000A2D9A"/>
    <w:rsid w:val="000A2E3F"/>
    <w:rsid w:val="000A2EDA"/>
    <w:rsid w:val="000A3A9B"/>
    <w:rsid w:val="000A3D88"/>
    <w:rsid w:val="000A3F68"/>
    <w:rsid w:val="000A3F90"/>
    <w:rsid w:val="000A47B7"/>
    <w:rsid w:val="000A5000"/>
    <w:rsid w:val="000A5887"/>
    <w:rsid w:val="000A5D92"/>
    <w:rsid w:val="000A76E4"/>
    <w:rsid w:val="000A7C16"/>
    <w:rsid w:val="000B02F8"/>
    <w:rsid w:val="000B0384"/>
    <w:rsid w:val="000B0D0A"/>
    <w:rsid w:val="000B0D54"/>
    <w:rsid w:val="000B30BD"/>
    <w:rsid w:val="000B3B9C"/>
    <w:rsid w:val="000B3FB9"/>
    <w:rsid w:val="000B4ACA"/>
    <w:rsid w:val="000B4C62"/>
    <w:rsid w:val="000B5644"/>
    <w:rsid w:val="000B5BE4"/>
    <w:rsid w:val="000B713A"/>
    <w:rsid w:val="000B7B79"/>
    <w:rsid w:val="000B7E4C"/>
    <w:rsid w:val="000C04E8"/>
    <w:rsid w:val="000C1AF1"/>
    <w:rsid w:val="000C1E8A"/>
    <w:rsid w:val="000C22DE"/>
    <w:rsid w:val="000C262B"/>
    <w:rsid w:val="000C3D32"/>
    <w:rsid w:val="000C3D98"/>
    <w:rsid w:val="000C3E10"/>
    <w:rsid w:val="000C4C26"/>
    <w:rsid w:val="000C509E"/>
    <w:rsid w:val="000C51FD"/>
    <w:rsid w:val="000C56E9"/>
    <w:rsid w:val="000C5D2F"/>
    <w:rsid w:val="000C6BF3"/>
    <w:rsid w:val="000C701E"/>
    <w:rsid w:val="000C778A"/>
    <w:rsid w:val="000D0E8D"/>
    <w:rsid w:val="000D11C8"/>
    <w:rsid w:val="000D1752"/>
    <w:rsid w:val="000D1FDE"/>
    <w:rsid w:val="000D27A7"/>
    <w:rsid w:val="000D3961"/>
    <w:rsid w:val="000D3D0E"/>
    <w:rsid w:val="000D45E6"/>
    <w:rsid w:val="000D493A"/>
    <w:rsid w:val="000D4BFC"/>
    <w:rsid w:val="000D50E6"/>
    <w:rsid w:val="000D5423"/>
    <w:rsid w:val="000D5517"/>
    <w:rsid w:val="000D5C9B"/>
    <w:rsid w:val="000D6CFC"/>
    <w:rsid w:val="000D6EEB"/>
    <w:rsid w:val="000D74FB"/>
    <w:rsid w:val="000E0284"/>
    <w:rsid w:val="000E087F"/>
    <w:rsid w:val="000E13CE"/>
    <w:rsid w:val="000E1646"/>
    <w:rsid w:val="000E180D"/>
    <w:rsid w:val="000E1B6E"/>
    <w:rsid w:val="000E1D50"/>
    <w:rsid w:val="000E27B8"/>
    <w:rsid w:val="000E2E3A"/>
    <w:rsid w:val="000E3A62"/>
    <w:rsid w:val="000E3CF8"/>
    <w:rsid w:val="000E3E7A"/>
    <w:rsid w:val="000E4142"/>
    <w:rsid w:val="000E4442"/>
    <w:rsid w:val="000E54FA"/>
    <w:rsid w:val="000E5959"/>
    <w:rsid w:val="000E7A25"/>
    <w:rsid w:val="000E7F8E"/>
    <w:rsid w:val="000F0FC6"/>
    <w:rsid w:val="000F110C"/>
    <w:rsid w:val="000F1854"/>
    <w:rsid w:val="000F1AE3"/>
    <w:rsid w:val="000F1FF3"/>
    <w:rsid w:val="000F2170"/>
    <w:rsid w:val="000F279A"/>
    <w:rsid w:val="000F5BE0"/>
    <w:rsid w:val="000F7263"/>
    <w:rsid w:val="000F745C"/>
    <w:rsid w:val="00100BB6"/>
    <w:rsid w:val="00101265"/>
    <w:rsid w:val="001013E9"/>
    <w:rsid w:val="001017C0"/>
    <w:rsid w:val="00101A96"/>
    <w:rsid w:val="0010268E"/>
    <w:rsid w:val="00102E2E"/>
    <w:rsid w:val="001031D6"/>
    <w:rsid w:val="00103499"/>
    <w:rsid w:val="0010424F"/>
    <w:rsid w:val="00104B46"/>
    <w:rsid w:val="00104B8E"/>
    <w:rsid w:val="00104C54"/>
    <w:rsid w:val="00104EC2"/>
    <w:rsid w:val="001107D7"/>
    <w:rsid w:val="00110E5B"/>
    <w:rsid w:val="00111AC3"/>
    <w:rsid w:val="001121F9"/>
    <w:rsid w:val="0011265C"/>
    <w:rsid w:val="00112ED7"/>
    <w:rsid w:val="0011361B"/>
    <w:rsid w:val="00113CC5"/>
    <w:rsid w:val="001146A6"/>
    <w:rsid w:val="00115989"/>
    <w:rsid w:val="00120357"/>
    <w:rsid w:val="001205F1"/>
    <w:rsid w:val="001206F1"/>
    <w:rsid w:val="00120A19"/>
    <w:rsid w:val="00121023"/>
    <w:rsid w:val="0012120F"/>
    <w:rsid w:val="001217EE"/>
    <w:rsid w:val="00121D88"/>
    <w:rsid w:val="00121DFA"/>
    <w:rsid w:val="0012222F"/>
    <w:rsid w:val="00123721"/>
    <w:rsid w:val="00123803"/>
    <w:rsid w:val="001242DA"/>
    <w:rsid w:val="00124763"/>
    <w:rsid w:val="00124F81"/>
    <w:rsid w:val="001255A2"/>
    <w:rsid w:val="0012561C"/>
    <w:rsid w:val="00126134"/>
    <w:rsid w:val="00126E91"/>
    <w:rsid w:val="00127682"/>
    <w:rsid w:val="0012779C"/>
    <w:rsid w:val="0013023A"/>
    <w:rsid w:val="001303E2"/>
    <w:rsid w:val="00130574"/>
    <w:rsid w:val="0013071E"/>
    <w:rsid w:val="00130C50"/>
    <w:rsid w:val="00131265"/>
    <w:rsid w:val="001318CF"/>
    <w:rsid w:val="0013309A"/>
    <w:rsid w:val="001334BD"/>
    <w:rsid w:val="00133A33"/>
    <w:rsid w:val="00134503"/>
    <w:rsid w:val="00134B33"/>
    <w:rsid w:val="00136841"/>
    <w:rsid w:val="0013780F"/>
    <w:rsid w:val="001379C0"/>
    <w:rsid w:val="00137B94"/>
    <w:rsid w:val="00137CC2"/>
    <w:rsid w:val="00140D4A"/>
    <w:rsid w:val="0014110E"/>
    <w:rsid w:val="00141501"/>
    <w:rsid w:val="00141F52"/>
    <w:rsid w:val="00142324"/>
    <w:rsid w:val="00142AAE"/>
    <w:rsid w:val="00142C5A"/>
    <w:rsid w:val="00142EE5"/>
    <w:rsid w:val="00143807"/>
    <w:rsid w:val="001438AA"/>
    <w:rsid w:val="001439C5"/>
    <w:rsid w:val="00143A72"/>
    <w:rsid w:val="0014450C"/>
    <w:rsid w:val="00144AE5"/>
    <w:rsid w:val="00144D7E"/>
    <w:rsid w:val="00144DAD"/>
    <w:rsid w:val="00144F2E"/>
    <w:rsid w:val="0014561D"/>
    <w:rsid w:val="00145D21"/>
    <w:rsid w:val="00146286"/>
    <w:rsid w:val="001466BA"/>
    <w:rsid w:val="00147E7C"/>
    <w:rsid w:val="00150142"/>
    <w:rsid w:val="00150528"/>
    <w:rsid w:val="001508E7"/>
    <w:rsid w:val="0015103F"/>
    <w:rsid w:val="001517ED"/>
    <w:rsid w:val="00151CF5"/>
    <w:rsid w:val="0015345E"/>
    <w:rsid w:val="00153A54"/>
    <w:rsid w:val="00153CD1"/>
    <w:rsid w:val="001540B8"/>
    <w:rsid w:val="00154D20"/>
    <w:rsid w:val="00154F75"/>
    <w:rsid w:val="00155ABF"/>
    <w:rsid w:val="001561E7"/>
    <w:rsid w:val="00157B1F"/>
    <w:rsid w:val="0016008B"/>
    <w:rsid w:val="001601A6"/>
    <w:rsid w:val="00160312"/>
    <w:rsid w:val="00160C4C"/>
    <w:rsid w:val="00162362"/>
    <w:rsid w:val="001634F0"/>
    <w:rsid w:val="00163527"/>
    <w:rsid w:val="001635C7"/>
    <w:rsid w:val="00163698"/>
    <w:rsid w:val="00163B11"/>
    <w:rsid w:val="00164A88"/>
    <w:rsid w:val="00165DE6"/>
    <w:rsid w:val="00166C3A"/>
    <w:rsid w:val="00166C9F"/>
    <w:rsid w:val="00166F53"/>
    <w:rsid w:val="001676A2"/>
    <w:rsid w:val="00167941"/>
    <w:rsid w:val="001679EB"/>
    <w:rsid w:val="00167EB8"/>
    <w:rsid w:val="00171216"/>
    <w:rsid w:val="00171B78"/>
    <w:rsid w:val="00171D34"/>
    <w:rsid w:val="00171D60"/>
    <w:rsid w:val="001720B4"/>
    <w:rsid w:val="00172AE9"/>
    <w:rsid w:val="00172EDC"/>
    <w:rsid w:val="00172EFE"/>
    <w:rsid w:val="001744C3"/>
    <w:rsid w:val="00175586"/>
    <w:rsid w:val="001756D5"/>
    <w:rsid w:val="00175FD3"/>
    <w:rsid w:val="00176D40"/>
    <w:rsid w:val="00176DDD"/>
    <w:rsid w:val="001771F3"/>
    <w:rsid w:val="00177336"/>
    <w:rsid w:val="00177708"/>
    <w:rsid w:val="001806E5"/>
    <w:rsid w:val="00181200"/>
    <w:rsid w:val="00181287"/>
    <w:rsid w:val="0018302E"/>
    <w:rsid w:val="00183083"/>
    <w:rsid w:val="001830A3"/>
    <w:rsid w:val="00183209"/>
    <w:rsid w:val="00183765"/>
    <w:rsid w:val="00184054"/>
    <w:rsid w:val="0018433F"/>
    <w:rsid w:val="00184464"/>
    <w:rsid w:val="00184684"/>
    <w:rsid w:val="001859AE"/>
    <w:rsid w:val="00185AF9"/>
    <w:rsid w:val="001865A0"/>
    <w:rsid w:val="00186831"/>
    <w:rsid w:val="00186EA5"/>
    <w:rsid w:val="00187679"/>
    <w:rsid w:val="0019143E"/>
    <w:rsid w:val="00191C67"/>
    <w:rsid w:val="00192C4D"/>
    <w:rsid w:val="00192C81"/>
    <w:rsid w:val="001933C9"/>
    <w:rsid w:val="0019345A"/>
    <w:rsid w:val="00194757"/>
    <w:rsid w:val="001949B3"/>
    <w:rsid w:val="00195038"/>
    <w:rsid w:val="0019572D"/>
    <w:rsid w:val="00195C7F"/>
    <w:rsid w:val="001960E6"/>
    <w:rsid w:val="00196596"/>
    <w:rsid w:val="00196A2B"/>
    <w:rsid w:val="00196ACF"/>
    <w:rsid w:val="00197A73"/>
    <w:rsid w:val="00197CD2"/>
    <w:rsid w:val="001A04FD"/>
    <w:rsid w:val="001A0500"/>
    <w:rsid w:val="001A1437"/>
    <w:rsid w:val="001A1E98"/>
    <w:rsid w:val="001A1F2F"/>
    <w:rsid w:val="001A24AB"/>
    <w:rsid w:val="001A2D78"/>
    <w:rsid w:val="001A3C31"/>
    <w:rsid w:val="001A3ED3"/>
    <w:rsid w:val="001A400E"/>
    <w:rsid w:val="001A448E"/>
    <w:rsid w:val="001A479B"/>
    <w:rsid w:val="001A4831"/>
    <w:rsid w:val="001A496B"/>
    <w:rsid w:val="001A6252"/>
    <w:rsid w:val="001A6316"/>
    <w:rsid w:val="001A6A14"/>
    <w:rsid w:val="001A7075"/>
    <w:rsid w:val="001A7B3E"/>
    <w:rsid w:val="001B067E"/>
    <w:rsid w:val="001B1131"/>
    <w:rsid w:val="001B169F"/>
    <w:rsid w:val="001B1856"/>
    <w:rsid w:val="001B1993"/>
    <w:rsid w:val="001B1A46"/>
    <w:rsid w:val="001B1B78"/>
    <w:rsid w:val="001B1D86"/>
    <w:rsid w:val="001B2158"/>
    <w:rsid w:val="001B2469"/>
    <w:rsid w:val="001B2512"/>
    <w:rsid w:val="001B6721"/>
    <w:rsid w:val="001C0182"/>
    <w:rsid w:val="001C0520"/>
    <w:rsid w:val="001C0AEE"/>
    <w:rsid w:val="001C1E13"/>
    <w:rsid w:val="001C2018"/>
    <w:rsid w:val="001C2267"/>
    <w:rsid w:val="001C24EA"/>
    <w:rsid w:val="001C31C8"/>
    <w:rsid w:val="001C3D2A"/>
    <w:rsid w:val="001C4822"/>
    <w:rsid w:val="001C5147"/>
    <w:rsid w:val="001C6460"/>
    <w:rsid w:val="001C718B"/>
    <w:rsid w:val="001C7405"/>
    <w:rsid w:val="001C7C18"/>
    <w:rsid w:val="001C7DF7"/>
    <w:rsid w:val="001C7F29"/>
    <w:rsid w:val="001D00AB"/>
    <w:rsid w:val="001D0C22"/>
    <w:rsid w:val="001D0DE9"/>
    <w:rsid w:val="001D11A7"/>
    <w:rsid w:val="001D2F88"/>
    <w:rsid w:val="001D322D"/>
    <w:rsid w:val="001D540E"/>
    <w:rsid w:val="001D54FE"/>
    <w:rsid w:val="001D7100"/>
    <w:rsid w:val="001D72A4"/>
    <w:rsid w:val="001D76A8"/>
    <w:rsid w:val="001D7920"/>
    <w:rsid w:val="001D7AC3"/>
    <w:rsid w:val="001E0CEF"/>
    <w:rsid w:val="001E14FE"/>
    <w:rsid w:val="001E1669"/>
    <w:rsid w:val="001E16E8"/>
    <w:rsid w:val="001E279C"/>
    <w:rsid w:val="001E372A"/>
    <w:rsid w:val="001E3FCD"/>
    <w:rsid w:val="001E4015"/>
    <w:rsid w:val="001E432C"/>
    <w:rsid w:val="001E4E60"/>
    <w:rsid w:val="001E53E7"/>
    <w:rsid w:val="001E5992"/>
    <w:rsid w:val="001E61C0"/>
    <w:rsid w:val="001E7803"/>
    <w:rsid w:val="001F0047"/>
    <w:rsid w:val="001F043C"/>
    <w:rsid w:val="001F04D6"/>
    <w:rsid w:val="001F060D"/>
    <w:rsid w:val="001F08F2"/>
    <w:rsid w:val="001F1203"/>
    <w:rsid w:val="001F128D"/>
    <w:rsid w:val="001F1C07"/>
    <w:rsid w:val="001F1C21"/>
    <w:rsid w:val="001F27FD"/>
    <w:rsid w:val="001F2AB4"/>
    <w:rsid w:val="001F2FDF"/>
    <w:rsid w:val="001F3040"/>
    <w:rsid w:val="001F35FA"/>
    <w:rsid w:val="001F47FA"/>
    <w:rsid w:val="001F48C9"/>
    <w:rsid w:val="001F527D"/>
    <w:rsid w:val="001F62F7"/>
    <w:rsid w:val="001F7021"/>
    <w:rsid w:val="001F755B"/>
    <w:rsid w:val="001F763B"/>
    <w:rsid w:val="0020093D"/>
    <w:rsid w:val="00201040"/>
    <w:rsid w:val="0020127C"/>
    <w:rsid w:val="00201718"/>
    <w:rsid w:val="00203329"/>
    <w:rsid w:val="0020423A"/>
    <w:rsid w:val="00204346"/>
    <w:rsid w:val="00204619"/>
    <w:rsid w:val="00204857"/>
    <w:rsid w:val="002062C4"/>
    <w:rsid w:val="00206723"/>
    <w:rsid w:val="00206DE5"/>
    <w:rsid w:val="002076F9"/>
    <w:rsid w:val="00210100"/>
    <w:rsid w:val="002104FB"/>
    <w:rsid w:val="0021050B"/>
    <w:rsid w:val="0021058C"/>
    <w:rsid w:val="0021061C"/>
    <w:rsid w:val="0021076A"/>
    <w:rsid w:val="002121E6"/>
    <w:rsid w:val="00213B02"/>
    <w:rsid w:val="00213EA0"/>
    <w:rsid w:val="002146FC"/>
    <w:rsid w:val="00214DFC"/>
    <w:rsid w:val="0021542B"/>
    <w:rsid w:val="00216408"/>
    <w:rsid w:val="00216D96"/>
    <w:rsid w:val="00217634"/>
    <w:rsid w:val="00221259"/>
    <w:rsid w:val="00221481"/>
    <w:rsid w:val="00222423"/>
    <w:rsid w:val="002225B7"/>
    <w:rsid w:val="00222BF8"/>
    <w:rsid w:val="00222E7A"/>
    <w:rsid w:val="002231A1"/>
    <w:rsid w:val="002233F4"/>
    <w:rsid w:val="00223AE6"/>
    <w:rsid w:val="00224253"/>
    <w:rsid w:val="0022436A"/>
    <w:rsid w:val="00224AC2"/>
    <w:rsid w:val="00225556"/>
    <w:rsid w:val="00225E98"/>
    <w:rsid w:val="00226338"/>
    <w:rsid w:val="002304CA"/>
    <w:rsid w:val="002305B2"/>
    <w:rsid w:val="00230767"/>
    <w:rsid w:val="0023123E"/>
    <w:rsid w:val="00231BB5"/>
    <w:rsid w:val="00231C91"/>
    <w:rsid w:val="002323E8"/>
    <w:rsid w:val="00232F5A"/>
    <w:rsid w:val="0023344D"/>
    <w:rsid w:val="002344E2"/>
    <w:rsid w:val="00234FE0"/>
    <w:rsid w:val="0023617E"/>
    <w:rsid w:val="00236263"/>
    <w:rsid w:val="00236A1C"/>
    <w:rsid w:val="00237192"/>
    <w:rsid w:val="0023770F"/>
    <w:rsid w:val="00237F7F"/>
    <w:rsid w:val="00240057"/>
    <w:rsid w:val="002401C1"/>
    <w:rsid w:val="0024152A"/>
    <w:rsid w:val="00242E8B"/>
    <w:rsid w:val="002431F1"/>
    <w:rsid w:val="002432EC"/>
    <w:rsid w:val="002437A6"/>
    <w:rsid w:val="002450A1"/>
    <w:rsid w:val="002454BD"/>
    <w:rsid w:val="00245CDC"/>
    <w:rsid w:val="00246695"/>
    <w:rsid w:val="00246AAD"/>
    <w:rsid w:val="00246DA0"/>
    <w:rsid w:val="0024755C"/>
    <w:rsid w:val="002477AD"/>
    <w:rsid w:val="00247D2D"/>
    <w:rsid w:val="002501F4"/>
    <w:rsid w:val="00250422"/>
    <w:rsid w:val="002506A4"/>
    <w:rsid w:val="002510AD"/>
    <w:rsid w:val="0025136C"/>
    <w:rsid w:val="00251A9E"/>
    <w:rsid w:val="00252176"/>
    <w:rsid w:val="002522D5"/>
    <w:rsid w:val="00252DBE"/>
    <w:rsid w:val="00252FD2"/>
    <w:rsid w:val="0025327F"/>
    <w:rsid w:val="002532D3"/>
    <w:rsid w:val="00253C54"/>
    <w:rsid w:val="0025450B"/>
    <w:rsid w:val="00254A04"/>
    <w:rsid w:val="00255AC6"/>
    <w:rsid w:val="00255CC7"/>
    <w:rsid w:val="0025628A"/>
    <w:rsid w:val="002569B9"/>
    <w:rsid w:val="00256DAD"/>
    <w:rsid w:val="00260733"/>
    <w:rsid w:val="00260C40"/>
    <w:rsid w:val="00261581"/>
    <w:rsid w:val="00262381"/>
    <w:rsid w:val="002628AC"/>
    <w:rsid w:val="0026355B"/>
    <w:rsid w:val="002636CB"/>
    <w:rsid w:val="00264A0F"/>
    <w:rsid w:val="00264B92"/>
    <w:rsid w:val="00264D5D"/>
    <w:rsid w:val="00264F88"/>
    <w:rsid w:val="002653A1"/>
    <w:rsid w:val="00265621"/>
    <w:rsid w:val="00266BD5"/>
    <w:rsid w:val="00266E03"/>
    <w:rsid w:val="0027134F"/>
    <w:rsid w:val="0027155D"/>
    <w:rsid w:val="0027221E"/>
    <w:rsid w:val="00272327"/>
    <w:rsid w:val="00272848"/>
    <w:rsid w:val="002732A3"/>
    <w:rsid w:val="0027330A"/>
    <w:rsid w:val="002733EB"/>
    <w:rsid w:val="0027356B"/>
    <w:rsid w:val="00273B83"/>
    <w:rsid w:val="00273C70"/>
    <w:rsid w:val="00274076"/>
    <w:rsid w:val="00274368"/>
    <w:rsid w:val="00274FFB"/>
    <w:rsid w:val="00275296"/>
    <w:rsid w:val="00275C6E"/>
    <w:rsid w:val="00275EDF"/>
    <w:rsid w:val="00276164"/>
    <w:rsid w:val="00276191"/>
    <w:rsid w:val="00276360"/>
    <w:rsid w:val="0027776B"/>
    <w:rsid w:val="00277F43"/>
    <w:rsid w:val="00280A34"/>
    <w:rsid w:val="00280B69"/>
    <w:rsid w:val="00280CB4"/>
    <w:rsid w:val="002811C4"/>
    <w:rsid w:val="00281302"/>
    <w:rsid w:val="00281EE9"/>
    <w:rsid w:val="002824C3"/>
    <w:rsid w:val="002824EA"/>
    <w:rsid w:val="00282BF2"/>
    <w:rsid w:val="002841B3"/>
    <w:rsid w:val="00284639"/>
    <w:rsid w:val="0028494C"/>
    <w:rsid w:val="002851F0"/>
    <w:rsid w:val="00286648"/>
    <w:rsid w:val="00286A06"/>
    <w:rsid w:val="00286C1E"/>
    <w:rsid w:val="002877C4"/>
    <w:rsid w:val="00287C6E"/>
    <w:rsid w:val="00287DD3"/>
    <w:rsid w:val="002909E8"/>
    <w:rsid w:val="00291F4F"/>
    <w:rsid w:val="00293093"/>
    <w:rsid w:val="002933A9"/>
    <w:rsid w:val="0029392F"/>
    <w:rsid w:val="00294135"/>
    <w:rsid w:val="002944F8"/>
    <w:rsid w:val="00294A0A"/>
    <w:rsid w:val="00295254"/>
    <w:rsid w:val="00295443"/>
    <w:rsid w:val="0029563D"/>
    <w:rsid w:val="00295A15"/>
    <w:rsid w:val="0029626A"/>
    <w:rsid w:val="00296499"/>
    <w:rsid w:val="00296F53"/>
    <w:rsid w:val="002976AB"/>
    <w:rsid w:val="002A071E"/>
    <w:rsid w:val="002A08D1"/>
    <w:rsid w:val="002A1201"/>
    <w:rsid w:val="002A303A"/>
    <w:rsid w:val="002A3328"/>
    <w:rsid w:val="002A355E"/>
    <w:rsid w:val="002A3600"/>
    <w:rsid w:val="002A4457"/>
    <w:rsid w:val="002A4D8C"/>
    <w:rsid w:val="002A4E83"/>
    <w:rsid w:val="002A59EE"/>
    <w:rsid w:val="002A5BA7"/>
    <w:rsid w:val="002A68E4"/>
    <w:rsid w:val="002A6F7D"/>
    <w:rsid w:val="002A7144"/>
    <w:rsid w:val="002A74BF"/>
    <w:rsid w:val="002B0024"/>
    <w:rsid w:val="002B04CC"/>
    <w:rsid w:val="002B09DA"/>
    <w:rsid w:val="002B0E1A"/>
    <w:rsid w:val="002B1940"/>
    <w:rsid w:val="002B2FCA"/>
    <w:rsid w:val="002B3C0B"/>
    <w:rsid w:val="002B3CA4"/>
    <w:rsid w:val="002B3EB2"/>
    <w:rsid w:val="002B6476"/>
    <w:rsid w:val="002B6CEE"/>
    <w:rsid w:val="002B7BD1"/>
    <w:rsid w:val="002C026E"/>
    <w:rsid w:val="002C02AE"/>
    <w:rsid w:val="002C107C"/>
    <w:rsid w:val="002C1B5C"/>
    <w:rsid w:val="002C1CDB"/>
    <w:rsid w:val="002C2103"/>
    <w:rsid w:val="002C2BA0"/>
    <w:rsid w:val="002C3606"/>
    <w:rsid w:val="002C40AC"/>
    <w:rsid w:val="002C55DC"/>
    <w:rsid w:val="002C6147"/>
    <w:rsid w:val="002C6AD6"/>
    <w:rsid w:val="002C6CEA"/>
    <w:rsid w:val="002C79E2"/>
    <w:rsid w:val="002C79EF"/>
    <w:rsid w:val="002C7EE2"/>
    <w:rsid w:val="002D04DA"/>
    <w:rsid w:val="002D088E"/>
    <w:rsid w:val="002D092D"/>
    <w:rsid w:val="002D11D2"/>
    <w:rsid w:val="002D1217"/>
    <w:rsid w:val="002D1D75"/>
    <w:rsid w:val="002D2A99"/>
    <w:rsid w:val="002D3105"/>
    <w:rsid w:val="002D33FF"/>
    <w:rsid w:val="002D3B09"/>
    <w:rsid w:val="002D3E51"/>
    <w:rsid w:val="002D4266"/>
    <w:rsid w:val="002D4579"/>
    <w:rsid w:val="002D528F"/>
    <w:rsid w:val="002D5A3A"/>
    <w:rsid w:val="002D5AA4"/>
    <w:rsid w:val="002D5AE6"/>
    <w:rsid w:val="002D5E93"/>
    <w:rsid w:val="002D60CC"/>
    <w:rsid w:val="002D6ABE"/>
    <w:rsid w:val="002D7C93"/>
    <w:rsid w:val="002D7FF8"/>
    <w:rsid w:val="002E0608"/>
    <w:rsid w:val="002E1838"/>
    <w:rsid w:val="002E2034"/>
    <w:rsid w:val="002E21AE"/>
    <w:rsid w:val="002E2F50"/>
    <w:rsid w:val="002E38B1"/>
    <w:rsid w:val="002E3AA7"/>
    <w:rsid w:val="002E3B32"/>
    <w:rsid w:val="002E3C02"/>
    <w:rsid w:val="002E3E1C"/>
    <w:rsid w:val="002E3E5B"/>
    <w:rsid w:val="002E485E"/>
    <w:rsid w:val="002E48D7"/>
    <w:rsid w:val="002E4E49"/>
    <w:rsid w:val="002E5B34"/>
    <w:rsid w:val="002E64B7"/>
    <w:rsid w:val="002E6884"/>
    <w:rsid w:val="002E6AE2"/>
    <w:rsid w:val="002E6E1C"/>
    <w:rsid w:val="002E7C00"/>
    <w:rsid w:val="002E7C5C"/>
    <w:rsid w:val="002F0097"/>
    <w:rsid w:val="002F0344"/>
    <w:rsid w:val="002F0933"/>
    <w:rsid w:val="002F0BAA"/>
    <w:rsid w:val="002F0FFE"/>
    <w:rsid w:val="002F1DE3"/>
    <w:rsid w:val="002F2063"/>
    <w:rsid w:val="002F28A8"/>
    <w:rsid w:val="002F33ED"/>
    <w:rsid w:val="002F41AB"/>
    <w:rsid w:val="002F7635"/>
    <w:rsid w:val="0030004A"/>
    <w:rsid w:val="00300F0C"/>
    <w:rsid w:val="00300F48"/>
    <w:rsid w:val="0030120F"/>
    <w:rsid w:val="0030142F"/>
    <w:rsid w:val="00301C00"/>
    <w:rsid w:val="00302E5A"/>
    <w:rsid w:val="003031B2"/>
    <w:rsid w:val="00303CF5"/>
    <w:rsid w:val="00303DD9"/>
    <w:rsid w:val="00303F57"/>
    <w:rsid w:val="003040FE"/>
    <w:rsid w:val="00304194"/>
    <w:rsid w:val="003045BE"/>
    <w:rsid w:val="00304939"/>
    <w:rsid w:val="00306A51"/>
    <w:rsid w:val="00307D3A"/>
    <w:rsid w:val="00307F0E"/>
    <w:rsid w:val="00310256"/>
    <w:rsid w:val="003106BF"/>
    <w:rsid w:val="00310760"/>
    <w:rsid w:val="003108AF"/>
    <w:rsid w:val="0031090C"/>
    <w:rsid w:val="00310AC7"/>
    <w:rsid w:val="00310BA1"/>
    <w:rsid w:val="00310C46"/>
    <w:rsid w:val="00310D06"/>
    <w:rsid w:val="003126CE"/>
    <w:rsid w:val="00312BB8"/>
    <w:rsid w:val="00312CA6"/>
    <w:rsid w:val="003130CE"/>
    <w:rsid w:val="00313F75"/>
    <w:rsid w:val="003144D5"/>
    <w:rsid w:val="003146D1"/>
    <w:rsid w:val="00315292"/>
    <w:rsid w:val="003155D7"/>
    <w:rsid w:val="00315BCD"/>
    <w:rsid w:val="003163FC"/>
    <w:rsid w:val="00317538"/>
    <w:rsid w:val="00317864"/>
    <w:rsid w:val="00317880"/>
    <w:rsid w:val="00317C07"/>
    <w:rsid w:val="00317CFB"/>
    <w:rsid w:val="00320317"/>
    <w:rsid w:val="00322024"/>
    <w:rsid w:val="00322A03"/>
    <w:rsid w:val="00322E70"/>
    <w:rsid w:val="003238D9"/>
    <w:rsid w:val="00324292"/>
    <w:rsid w:val="0032464D"/>
    <w:rsid w:val="0032492F"/>
    <w:rsid w:val="00324F82"/>
    <w:rsid w:val="003250D2"/>
    <w:rsid w:val="0032534C"/>
    <w:rsid w:val="0032592D"/>
    <w:rsid w:val="00325A75"/>
    <w:rsid w:val="00325CBC"/>
    <w:rsid w:val="0032640E"/>
    <w:rsid w:val="00326C44"/>
    <w:rsid w:val="00326E04"/>
    <w:rsid w:val="00331579"/>
    <w:rsid w:val="003316E1"/>
    <w:rsid w:val="003317EF"/>
    <w:rsid w:val="00331821"/>
    <w:rsid w:val="00331C05"/>
    <w:rsid w:val="00332497"/>
    <w:rsid w:val="00332C3C"/>
    <w:rsid w:val="003334AA"/>
    <w:rsid w:val="00333580"/>
    <w:rsid w:val="00334B0F"/>
    <w:rsid w:val="0033559B"/>
    <w:rsid w:val="003364F3"/>
    <w:rsid w:val="0033694C"/>
    <w:rsid w:val="00337620"/>
    <w:rsid w:val="0034099B"/>
    <w:rsid w:val="0034153D"/>
    <w:rsid w:val="003426A9"/>
    <w:rsid w:val="003427A3"/>
    <w:rsid w:val="00342F83"/>
    <w:rsid w:val="00343405"/>
    <w:rsid w:val="003437F4"/>
    <w:rsid w:val="00343BC1"/>
    <w:rsid w:val="0034524A"/>
    <w:rsid w:val="003463F4"/>
    <w:rsid w:val="003468E4"/>
    <w:rsid w:val="00346F39"/>
    <w:rsid w:val="00346F55"/>
    <w:rsid w:val="00346FBE"/>
    <w:rsid w:val="00347541"/>
    <w:rsid w:val="00347867"/>
    <w:rsid w:val="00347CDE"/>
    <w:rsid w:val="00350385"/>
    <w:rsid w:val="00350BBC"/>
    <w:rsid w:val="003511CD"/>
    <w:rsid w:val="0035130B"/>
    <w:rsid w:val="0035244F"/>
    <w:rsid w:val="00352750"/>
    <w:rsid w:val="0035289E"/>
    <w:rsid w:val="0035295F"/>
    <w:rsid w:val="003534E8"/>
    <w:rsid w:val="00353572"/>
    <w:rsid w:val="00353FC3"/>
    <w:rsid w:val="003551E7"/>
    <w:rsid w:val="00355230"/>
    <w:rsid w:val="0035558A"/>
    <w:rsid w:val="00355952"/>
    <w:rsid w:val="00356157"/>
    <w:rsid w:val="003566FE"/>
    <w:rsid w:val="0035768F"/>
    <w:rsid w:val="0035786C"/>
    <w:rsid w:val="00357C20"/>
    <w:rsid w:val="00357D79"/>
    <w:rsid w:val="003600A7"/>
    <w:rsid w:val="00362242"/>
    <w:rsid w:val="003626B8"/>
    <w:rsid w:val="0036380D"/>
    <w:rsid w:val="00363AEA"/>
    <w:rsid w:val="00363D51"/>
    <w:rsid w:val="00364422"/>
    <w:rsid w:val="003644D7"/>
    <w:rsid w:val="00364F8E"/>
    <w:rsid w:val="00366478"/>
    <w:rsid w:val="00366A0C"/>
    <w:rsid w:val="003674FB"/>
    <w:rsid w:val="0036751C"/>
    <w:rsid w:val="00367A32"/>
    <w:rsid w:val="00367C4C"/>
    <w:rsid w:val="003701BF"/>
    <w:rsid w:val="00371755"/>
    <w:rsid w:val="00371E89"/>
    <w:rsid w:val="003722FB"/>
    <w:rsid w:val="00372573"/>
    <w:rsid w:val="00372875"/>
    <w:rsid w:val="00373D7F"/>
    <w:rsid w:val="0037423B"/>
    <w:rsid w:val="00374904"/>
    <w:rsid w:val="00375909"/>
    <w:rsid w:val="00375CB2"/>
    <w:rsid w:val="00376621"/>
    <w:rsid w:val="00377CBB"/>
    <w:rsid w:val="00380A01"/>
    <w:rsid w:val="00380FDD"/>
    <w:rsid w:val="003814D7"/>
    <w:rsid w:val="003816F1"/>
    <w:rsid w:val="00382AAA"/>
    <w:rsid w:val="00382ACC"/>
    <w:rsid w:val="0038301D"/>
    <w:rsid w:val="00384066"/>
    <w:rsid w:val="0038482B"/>
    <w:rsid w:val="003854FE"/>
    <w:rsid w:val="003862DB"/>
    <w:rsid w:val="00386F62"/>
    <w:rsid w:val="003876BF"/>
    <w:rsid w:val="0038796E"/>
    <w:rsid w:val="00387B10"/>
    <w:rsid w:val="00387D90"/>
    <w:rsid w:val="00391056"/>
    <w:rsid w:val="00391335"/>
    <w:rsid w:val="00391C6D"/>
    <w:rsid w:val="00392278"/>
    <w:rsid w:val="0039359F"/>
    <w:rsid w:val="003937E4"/>
    <w:rsid w:val="00393AB0"/>
    <w:rsid w:val="0039409D"/>
    <w:rsid w:val="003956E2"/>
    <w:rsid w:val="00396252"/>
    <w:rsid w:val="00396CD1"/>
    <w:rsid w:val="00396E1A"/>
    <w:rsid w:val="00397BDB"/>
    <w:rsid w:val="003A033B"/>
    <w:rsid w:val="003A0371"/>
    <w:rsid w:val="003A0467"/>
    <w:rsid w:val="003A0C68"/>
    <w:rsid w:val="003A1404"/>
    <w:rsid w:val="003A1BD5"/>
    <w:rsid w:val="003A1DC4"/>
    <w:rsid w:val="003A204A"/>
    <w:rsid w:val="003A2167"/>
    <w:rsid w:val="003A22BA"/>
    <w:rsid w:val="003A2B2C"/>
    <w:rsid w:val="003A3386"/>
    <w:rsid w:val="003A440E"/>
    <w:rsid w:val="003A6327"/>
    <w:rsid w:val="003A6E4C"/>
    <w:rsid w:val="003A7CAF"/>
    <w:rsid w:val="003B1CC7"/>
    <w:rsid w:val="003B2373"/>
    <w:rsid w:val="003B3CF5"/>
    <w:rsid w:val="003B44E4"/>
    <w:rsid w:val="003B5069"/>
    <w:rsid w:val="003B5237"/>
    <w:rsid w:val="003B60BC"/>
    <w:rsid w:val="003B6CA0"/>
    <w:rsid w:val="003B6EA9"/>
    <w:rsid w:val="003B7BBE"/>
    <w:rsid w:val="003C0062"/>
    <w:rsid w:val="003C0DFE"/>
    <w:rsid w:val="003C1671"/>
    <w:rsid w:val="003C1FF9"/>
    <w:rsid w:val="003C2EB3"/>
    <w:rsid w:val="003C3B19"/>
    <w:rsid w:val="003C3C06"/>
    <w:rsid w:val="003C4050"/>
    <w:rsid w:val="003C4198"/>
    <w:rsid w:val="003C4368"/>
    <w:rsid w:val="003C47F0"/>
    <w:rsid w:val="003C5023"/>
    <w:rsid w:val="003C54F3"/>
    <w:rsid w:val="003C617A"/>
    <w:rsid w:val="003C6495"/>
    <w:rsid w:val="003C6D70"/>
    <w:rsid w:val="003C7477"/>
    <w:rsid w:val="003C76A1"/>
    <w:rsid w:val="003C76B7"/>
    <w:rsid w:val="003D017D"/>
    <w:rsid w:val="003D0553"/>
    <w:rsid w:val="003D155C"/>
    <w:rsid w:val="003D19BA"/>
    <w:rsid w:val="003D2BE9"/>
    <w:rsid w:val="003D2C7B"/>
    <w:rsid w:val="003D2E64"/>
    <w:rsid w:val="003D3DFE"/>
    <w:rsid w:val="003D3E1C"/>
    <w:rsid w:val="003D5980"/>
    <w:rsid w:val="003D5A72"/>
    <w:rsid w:val="003D5E1C"/>
    <w:rsid w:val="003D639C"/>
    <w:rsid w:val="003D683F"/>
    <w:rsid w:val="003D7119"/>
    <w:rsid w:val="003E0227"/>
    <w:rsid w:val="003E0419"/>
    <w:rsid w:val="003E0792"/>
    <w:rsid w:val="003E10C8"/>
    <w:rsid w:val="003E13E5"/>
    <w:rsid w:val="003E1E7E"/>
    <w:rsid w:val="003E330D"/>
    <w:rsid w:val="003E392C"/>
    <w:rsid w:val="003E3C13"/>
    <w:rsid w:val="003E61BF"/>
    <w:rsid w:val="003E6280"/>
    <w:rsid w:val="003E7654"/>
    <w:rsid w:val="003E7A23"/>
    <w:rsid w:val="003F0572"/>
    <w:rsid w:val="003F067B"/>
    <w:rsid w:val="003F1124"/>
    <w:rsid w:val="003F15C1"/>
    <w:rsid w:val="003F22DE"/>
    <w:rsid w:val="003F299C"/>
    <w:rsid w:val="003F3666"/>
    <w:rsid w:val="003F3868"/>
    <w:rsid w:val="003F3D5E"/>
    <w:rsid w:val="003F4050"/>
    <w:rsid w:val="003F4B3B"/>
    <w:rsid w:val="003F5364"/>
    <w:rsid w:val="003F79CD"/>
    <w:rsid w:val="003F7D46"/>
    <w:rsid w:val="0040021B"/>
    <w:rsid w:val="00400285"/>
    <w:rsid w:val="0040067F"/>
    <w:rsid w:val="00400A71"/>
    <w:rsid w:val="0040111D"/>
    <w:rsid w:val="00401662"/>
    <w:rsid w:val="0040229D"/>
    <w:rsid w:val="0040256C"/>
    <w:rsid w:val="00403E18"/>
    <w:rsid w:val="0040404C"/>
    <w:rsid w:val="00405282"/>
    <w:rsid w:val="0040616C"/>
    <w:rsid w:val="00411247"/>
    <w:rsid w:val="00411C2D"/>
    <w:rsid w:val="0041247D"/>
    <w:rsid w:val="00412ABB"/>
    <w:rsid w:val="00412D06"/>
    <w:rsid w:val="00413476"/>
    <w:rsid w:val="0041350F"/>
    <w:rsid w:val="00414213"/>
    <w:rsid w:val="0041575D"/>
    <w:rsid w:val="00415C4B"/>
    <w:rsid w:val="00415E1B"/>
    <w:rsid w:val="004160BD"/>
    <w:rsid w:val="0041619A"/>
    <w:rsid w:val="00417255"/>
    <w:rsid w:val="004174C0"/>
    <w:rsid w:val="00422207"/>
    <w:rsid w:val="00422259"/>
    <w:rsid w:val="004223D9"/>
    <w:rsid w:val="0042272A"/>
    <w:rsid w:val="00422A0D"/>
    <w:rsid w:val="00422C55"/>
    <w:rsid w:val="004233A4"/>
    <w:rsid w:val="00423A44"/>
    <w:rsid w:val="004245DD"/>
    <w:rsid w:val="00424804"/>
    <w:rsid w:val="00425CED"/>
    <w:rsid w:val="004267A0"/>
    <w:rsid w:val="00426B81"/>
    <w:rsid w:val="00426BC3"/>
    <w:rsid w:val="0042716C"/>
    <w:rsid w:val="00430376"/>
    <w:rsid w:val="00430447"/>
    <w:rsid w:val="00431A05"/>
    <w:rsid w:val="00432AE1"/>
    <w:rsid w:val="00432E4D"/>
    <w:rsid w:val="00432FB3"/>
    <w:rsid w:val="0043384A"/>
    <w:rsid w:val="00433CE2"/>
    <w:rsid w:val="0043483F"/>
    <w:rsid w:val="004352F1"/>
    <w:rsid w:val="00435AAC"/>
    <w:rsid w:val="00436F13"/>
    <w:rsid w:val="004375DA"/>
    <w:rsid w:val="00437FBC"/>
    <w:rsid w:val="00441848"/>
    <w:rsid w:val="004422A1"/>
    <w:rsid w:val="004427D2"/>
    <w:rsid w:val="00442A20"/>
    <w:rsid w:val="00442A2C"/>
    <w:rsid w:val="004438DE"/>
    <w:rsid w:val="004441C4"/>
    <w:rsid w:val="00445287"/>
    <w:rsid w:val="004454B1"/>
    <w:rsid w:val="00445BC2"/>
    <w:rsid w:val="00445EB0"/>
    <w:rsid w:val="00446085"/>
    <w:rsid w:val="00446A0D"/>
    <w:rsid w:val="00446F49"/>
    <w:rsid w:val="004479CD"/>
    <w:rsid w:val="004504F4"/>
    <w:rsid w:val="00451203"/>
    <w:rsid w:val="00451C3C"/>
    <w:rsid w:val="00451DDE"/>
    <w:rsid w:val="00452559"/>
    <w:rsid w:val="004529DE"/>
    <w:rsid w:val="00452F86"/>
    <w:rsid w:val="00453E76"/>
    <w:rsid w:val="00454275"/>
    <w:rsid w:val="004544DF"/>
    <w:rsid w:val="0045475E"/>
    <w:rsid w:val="00454EF4"/>
    <w:rsid w:val="00455245"/>
    <w:rsid w:val="00455527"/>
    <w:rsid w:val="00455B80"/>
    <w:rsid w:val="00456688"/>
    <w:rsid w:val="004568DC"/>
    <w:rsid w:val="00456F40"/>
    <w:rsid w:val="004571B8"/>
    <w:rsid w:val="00460207"/>
    <w:rsid w:val="00460E45"/>
    <w:rsid w:val="00461DEC"/>
    <w:rsid w:val="00462863"/>
    <w:rsid w:val="00462FAE"/>
    <w:rsid w:val="0046363E"/>
    <w:rsid w:val="00463663"/>
    <w:rsid w:val="004639D7"/>
    <w:rsid w:val="00463EF8"/>
    <w:rsid w:val="004644A2"/>
    <w:rsid w:val="0046523B"/>
    <w:rsid w:val="004666A6"/>
    <w:rsid w:val="0046755B"/>
    <w:rsid w:val="00467D16"/>
    <w:rsid w:val="00467DBC"/>
    <w:rsid w:val="00470029"/>
    <w:rsid w:val="00470128"/>
    <w:rsid w:val="00471F00"/>
    <w:rsid w:val="00473517"/>
    <w:rsid w:val="004740D9"/>
    <w:rsid w:val="00474F93"/>
    <w:rsid w:val="0047615B"/>
    <w:rsid w:val="00476F9F"/>
    <w:rsid w:val="00477A8E"/>
    <w:rsid w:val="00480B26"/>
    <w:rsid w:val="00480D55"/>
    <w:rsid w:val="00481540"/>
    <w:rsid w:val="0048257A"/>
    <w:rsid w:val="004831A2"/>
    <w:rsid w:val="0048387B"/>
    <w:rsid w:val="004852AB"/>
    <w:rsid w:val="0048535E"/>
    <w:rsid w:val="00485F10"/>
    <w:rsid w:val="00486EC8"/>
    <w:rsid w:val="00492B0C"/>
    <w:rsid w:val="004938AD"/>
    <w:rsid w:val="00493964"/>
    <w:rsid w:val="0049489D"/>
    <w:rsid w:val="004951F3"/>
    <w:rsid w:val="004953E4"/>
    <w:rsid w:val="00495718"/>
    <w:rsid w:val="00495A81"/>
    <w:rsid w:val="0049662B"/>
    <w:rsid w:val="00496A31"/>
    <w:rsid w:val="00496EF7"/>
    <w:rsid w:val="0049731C"/>
    <w:rsid w:val="004A0F8F"/>
    <w:rsid w:val="004A20A3"/>
    <w:rsid w:val="004A468A"/>
    <w:rsid w:val="004A4B84"/>
    <w:rsid w:val="004A56F6"/>
    <w:rsid w:val="004A57B2"/>
    <w:rsid w:val="004A5B97"/>
    <w:rsid w:val="004A6682"/>
    <w:rsid w:val="004A6A49"/>
    <w:rsid w:val="004A6BDA"/>
    <w:rsid w:val="004A6D86"/>
    <w:rsid w:val="004A7A51"/>
    <w:rsid w:val="004B0075"/>
    <w:rsid w:val="004B06AD"/>
    <w:rsid w:val="004B095B"/>
    <w:rsid w:val="004B0B75"/>
    <w:rsid w:val="004B0E85"/>
    <w:rsid w:val="004B0F1D"/>
    <w:rsid w:val="004B114D"/>
    <w:rsid w:val="004B1A38"/>
    <w:rsid w:val="004B1E66"/>
    <w:rsid w:val="004B3ED3"/>
    <w:rsid w:val="004B551D"/>
    <w:rsid w:val="004B6306"/>
    <w:rsid w:val="004B6522"/>
    <w:rsid w:val="004B6A7B"/>
    <w:rsid w:val="004B6CD0"/>
    <w:rsid w:val="004B6E12"/>
    <w:rsid w:val="004B6FDE"/>
    <w:rsid w:val="004B7131"/>
    <w:rsid w:val="004B72AB"/>
    <w:rsid w:val="004C0A1A"/>
    <w:rsid w:val="004C11EA"/>
    <w:rsid w:val="004C1393"/>
    <w:rsid w:val="004C1A8E"/>
    <w:rsid w:val="004C2067"/>
    <w:rsid w:val="004C2185"/>
    <w:rsid w:val="004C2475"/>
    <w:rsid w:val="004C24C1"/>
    <w:rsid w:val="004C2866"/>
    <w:rsid w:val="004C2BCA"/>
    <w:rsid w:val="004C348D"/>
    <w:rsid w:val="004C5185"/>
    <w:rsid w:val="004C5685"/>
    <w:rsid w:val="004C5881"/>
    <w:rsid w:val="004C744D"/>
    <w:rsid w:val="004C74D3"/>
    <w:rsid w:val="004C7D69"/>
    <w:rsid w:val="004D02F0"/>
    <w:rsid w:val="004D075E"/>
    <w:rsid w:val="004D0FBF"/>
    <w:rsid w:val="004D189A"/>
    <w:rsid w:val="004D1B3D"/>
    <w:rsid w:val="004D419C"/>
    <w:rsid w:val="004D4E93"/>
    <w:rsid w:val="004D514E"/>
    <w:rsid w:val="004D5208"/>
    <w:rsid w:val="004D5842"/>
    <w:rsid w:val="004D59DD"/>
    <w:rsid w:val="004D5A95"/>
    <w:rsid w:val="004E0067"/>
    <w:rsid w:val="004E0863"/>
    <w:rsid w:val="004E1726"/>
    <w:rsid w:val="004E195E"/>
    <w:rsid w:val="004E1C00"/>
    <w:rsid w:val="004E2E35"/>
    <w:rsid w:val="004E30B8"/>
    <w:rsid w:val="004E3659"/>
    <w:rsid w:val="004E3DA7"/>
    <w:rsid w:val="004E43C5"/>
    <w:rsid w:val="004E4BF6"/>
    <w:rsid w:val="004E5083"/>
    <w:rsid w:val="004E517A"/>
    <w:rsid w:val="004E51CB"/>
    <w:rsid w:val="004E6982"/>
    <w:rsid w:val="004E7F28"/>
    <w:rsid w:val="004F0B8A"/>
    <w:rsid w:val="004F18A4"/>
    <w:rsid w:val="004F275C"/>
    <w:rsid w:val="004F27C7"/>
    <w:rsid w:val="004F2AC6"/>
    <w:rsid w:val="004F2E09"/>
    <w:rsid w:val="004F2EA0"/>
    <w:rsid w:val="004F337E"/>
    <w:rsid w:val="004F33C3"/>
    <w:rsid w:val="004F3717"/>
    <w:rsid w:val="004F4708"/>
    <w:rsid w:val="004F62E9"/>
    <w:rsid w:val="004F6859"/>
    <w:rsid w:val="004F6F19"/>
    <w:rsid w:val="004F776A"/>
    <w:rsid w:val="004F7AFE"/>
    <w:rsid w:val="004F7BB3"/>
    <w:rsid w:val="004F7ED1"/>
    <w:rsid w:val="00500289"/>
    <w:rsid w:val="00500AD9"/>
    <w:rsid w:val="00501A7B"/>
    <w:rsid w:val="0050228C"/>
    <w:rsid w:val="005042EB"/>
    <w:rsid w:val="00504724"/>
    <w:rsid w:val="005054D1"/>
    <w:rsid w:val="00505A18"/>
    <w:rsid w:val="0051065F"/>
    <w:rsid w:val="00511427"/>
    <w:rsid w:val="005128DE"/>
    <w:rsid w:val="00512DE1"/>
    <w:rsid w:val="00513E68"/>
    <w:rsid w:val="00514086"/>
    <w:rsid w:val="00514152"/>
    <w:rsid w:val="00514E0C"/>
    <w:rsid w:val="00515475"/>
    <w:rsid w:val="00515FB7"/>
    <w:rsid w:val="0051609D"/>
    <w:rsid w:val="00520066"/>
    <w:rsid w:val="00520B71"/>
    <w:rsid w:val="00520BED"/>
    <w:rsid w:val="00520C40"/>
    <w:rsid w:val="005215D9"/>
    <w:rsid w:val="005228E4"/>
    <w:rsid w:val="00522965"/>
    <w:rsid w:val="005248B6"/>
    <w:rsid w:val="00525699"/>
    <w:rsid w:val="00525EB3"/>
    <w:rsid w:val="00530CC8"/>
    <w:rsid w:val="005311B6"/>
    <w:rsid w:val="0053133A"/>
    <w:rsid w:val="0053134C"/>
    <w:rsid w:val="00531A0A"/>
    <w:rsid w:val="00531CB6"/>
    <w:rsid w:val="00531EC7"/>
    <w:rsid w:val="00533631"/>
    <w:rsid w:val="0053415B"/>
    <w:rsid w:val="0053566B"/>
    <w:rsid w:val="00535EE9"/>
    <w:rsid w:val="00536247"/>
    <w:rsid w:val="005362D1"/>
    <w:rsid w:val="005367A0"/>
    <w:rsid w:val="005372E6"/>
    <w:rsid w:val="00537333"/>
    <w:rsid w:val="00537472"/>
    <w:rsid w:val="00540D7D"/>
    <w:rsid w:val="00542C14"/>
    <w:rsid w:val="00542D44"/>
    <w:rsid w:val="00543AB4"/>
    <w:rsid w:val="00544C52"/>
    <w:rsid w:val="00544FD6"/>
    <w:rsid w:val="00545353"/>
    <w:rsid w:val="0054542D"/>
    <w:rsid w:val="00545523"/>
    <w:rsid w:val="005467B9"/>
    <w:rsid w:val="00546EF4"/>
    <w:rsid w:val="00547794"/>
    <w:rsid w:val="00547991"/>
    <w:rsid w:val="00547A47"/>
    <w:rsid w:val="00550837"/>
    <w:rsid w:val="005514D7"/>
    <w:rsid w:val="005517D0"/>
    <w:rsid w:val="005518B0"/>
    <w:rsid w:val="00552593"/>
    <w:rsid w:val="0055326A"/>
    <w:rsid w:val="00553376"/>
    <w:rsid w:val="00553C0E"/>
    <w:rsid w:val="005546FF"/>
    <w:rsid w:val="00554FBD"/>
    <w:rsid w:val="00555DAB"/>
    <w:rsid w:val="00556237"/>
    <w:rsid w:val="005562CB"/>
    <w:rsid w:val="005577ED"/>
    <w:rsid w:val="00560601"/>
    <w:rsid w:val="00560A4E"/>
    <w:rsid w:val="00560AFD"/>
    <w:rsid w:val="00560C96"/>
    <w:rsid w:val="00560EE4"/>
    <w:rsid w:val="005622F9"/>
    <w:rsid w:val="0056231F"/>
    <w:rsid w:val="00562477"/>
    <w:rsid w:val="0056285D"/>
    <w:rsid w:val="00564A47"/>
    <w:rsid w:val="005664B7"/>
    <w:rsid w:val="00566AAE"/>
    <w:rsid w:val="005671D4"/>
    <w:rsid w:val="0056798E"/>
    <w:rsid w:val="00570438"/>
    <w:rsid w:val="0057049B"/>
    <w:rsid w:val="00570DB0"/>
    <w:rsid w:val="005712E5"/>
    <w:rsid w:val="00573D5D"/>
    <w:rsid w:val="0057490E"/>
    <w:rsid w:val="0057491E"/>
    <w:rsid w:val="00575558"/>
    <w:rsid w:val="00577215"/>
    <w:rsid w:val="0058126C"/>
    <w:rsid w:val="005818DE"/>
    <w:rsid w:val="00581EAC"/>
    <w:rsid w:val="00582687"/>
    <w:rsid w:val="005827C5"/>
    <w:rsid w:val="005843E2"/>
    <w:rsid w:val="00584C1C"/>
    <w:rsid w:val="00585081"/>
    <w:rsid w:val="0058516E"/>
    <w:rsid w:val="005852D4"/>
    <w:rsid w:val="00585F4C"/>
    <w:rsid w:val="0058624D"/>
    <w:rsid w:val="005863F2"/>
    <w:rsid w:val="005868B5"/>
    <w:rsid w:val="00586C7A"/>
    <w:rsid w:val="00587EB4"/>
    <w:rsid w:val="00590168"/>
    <w:rsid w:val="00590498"/>
    <w:rsid w:val="00590630"/>
    <w:rsid w:val="0059098F"/>
    <w:rsid w:val="0059126D"/>
    <w:rsid w:val="0059135C"/>
    <w:rsid w:val="00591946"/>
    <w:rsid w:val="005935C2"/>
    <w:rsid w:val="005938C0"/>
    <w:rsid w:val="00593BBF"/>
    <w:rsid w:val="00595A95"/>
    <w:rsid w:val="00595B99"/>
    <w:rsid w:val="00595D91"/>
    <w:rsid w:val="00596B5C"/>
    <w:rsid w:val="0059750A"/>
    <w:rsid w:val="005976B3"/>
    <w:rsid w:val="00597A3B"/>
    <w:rsid w:val="00597E8C"/>
    <w:rsid w:val="005A02AE"/>
    <w:rsid w:val="005A061C"/>
    <w:rsid w:val="005A1124"/>
    <w:rsid w:val="005A1587"/>
    <w:rsid w:val="005A19B7"/>
    <w:rsid w:val="005A1F57"/>
    <w:rsid w:val="005A23AC"/>
    <w:rsid w:val="005A2592"/>
    <w:rsid w:val="005A321C"/>
    <w:rsid w:val="005A38C7"/>
    <w:rsid w:val="005A39B2"/>
    <w:rsid w:val="005A3B07"/>
    <w:rsid w:val="005A3C51"/>
    <w:rsid w:val="005A404D"/>
    <w:rsid w:val="005A42A8"/>
    <w:rsid w:val="005A44B7"/>
    <w:rsid w:val="005A5C92"/>
    <w:rsid w:val="005A5D7C"/>
    <w:rsid w:val="005A6A01"/>
    <w:rsid w:val="005A6B1C"/>
    <w:rsid w:val="005A7277"/>
    <w:rsid w:val="005A7421"/>
    <w:rsid w:val="005A7533"/>
    <w:rsid w:val="005A76E1"/>
    <w:rsid w:val="005B05C0"/>
    <w:rsid w:val="005B0A26"/>
    <w:rsid w:val="005B1FD3"/>
    <w:rsid w:val="005B2A59"/>
    <w:rsid w:val="005B3D52"/>
    <w:rsid w:val="005B3DB8"/>
    <w:rsid w:val="005B3F12"/>
    <w:rsid w:val="005B4275"/>
    <w:rsid w:val="005B4EB1"/>
    <w:rsid w:val="005B4F0C"/>
    <w:rsid w:val="005B4FD4"/>
    <w:rsid w:val="005B565A"/>
    <w:rsid w:val="005B6A81"/>
    <w:rsid w:val="005B6BE3"/>
    <w:rsid w:val="005B6C56"/>
    <w:rsid w:val="005B788F"/>
    <w:rsid w:val="005B7AD0"/>
    <w:rsid w:val="005B7B20"/>
    <w:rsid w:val="005B7ED1"/>
    <w:rsid w:val="005C0270"/>
    <w:rsid w:val="005C07AC"/>
    <w:rsid w:val="005C11B2"/>
    <w:rsid w:val="005C14B3"/>
    <w:rsid w:val="005C25D9"/>
    <w:rsid w:val="005C2A24"/>
    <w:rsid w:val="005C3ACD"/>
    <w:rsid w:val="005C3F08"/>
    <w:rsid w:val="005C3F89"/>
    <w:rsid w:val="005C4FB6"/>
    <w:rsid w:val="005C6302"/>
    <w:rsid w:val="005C65AE"/>
    <w:rsid w:val="005C6E70"/>
    <w:rsid w:val="005C76D9"/>
    <w:rsid w:val="005D07E8"/>
    <w:rsid w:val="005D0AE4"/>
    <w:rsid w:val="005D1774"/>
    <w:rsid w:val="005D1AFA"/>
    <w:rsid w:val="005D1B85"/>
    <w:rsid w:val="005D1F45"/>
    <w:rsid w:val="005D206D"/>
    <w:rsid w:val="005D23CF"/>
    <w:rsid w:val="005D2684"/>
    <w:rsid w:val="005D2C43"/>
    <w:rsid w:val="005D2C4D"/>
    <w:rsid w:val="005D2FD4"/>
    <w:rsid w:val="005D3B03"/>
    <w:rsid w:val="005D3BD3"/>
    <w:rsid w:val="005D3C67"/>
    <w:rsid w:val="005D3F99"/>
    <w:rsid w:val="005D466A"/>
    <w:rsid w:val="005D4741"/>
    <w:rsid w:val="005D483B"/>
    <w:rsid w:val="005D485C"/>
    <w:rsid w:val="005D4AE5"/>
    <w:rsid w:val="005D4FA2"/>
    <w:rsid w:val="005D5F36"/>
    <w:rsid w:val="005D6BEF"/>
    <w:rsid w:val="005D7058"/>
    <w:rsid w:val="005D71F3"/>
    <w:rsid w:val="005D7464"/>
    <w:rsid w:val="005D7749"/>
    <w:rsid w:val="005D7D32"/>
    <w:rsid w:val="005E0257"/>
    <w:rsid w:val="005E071A"/>
    <w:rsid w:val="005E1372"/>
    <w:rsid w:val="005E1C08"/>
    <w:rsid w:val="005E1F0A"/>
    <w:rsid w:val="005E1FF7"/>
    <w:rsid w:val="005E2451"/>
    <w:rsid w:val="005E2542"/>
    <w:rsid w:val="005E3F06"/>
    <w:rsid w:val="005E4A59"/>
    <w:rsid w:val="005E50B1"/>
    <w:rsid w:val="005E56B8"/>
    <w:rsid w:val="005E642B"/>
    <w:rsid w:val="005E687A"/>
    <w:rsid w:val="005E7429"/>
    <w:rsid w:val="005E7F68"/>
    <w:rsid w:val="005F055C"/>
    <w:rsid w:val="005F0FC8"/>
    <w:rsid w:val="005F11C1"/>
    <w:rsid w:val="005F1311"/>
    <w:rsid w:val="005F1608"/>
    <w:rsid w:val="005F1FDC"/>
    <w:rsid w:val="005F28D5"/>
    <w:rsid w:val="005F3127"/>
    <w:rsid w:val="005F34F5"/>
    <w:rsid w:val="005F447B"/>
    <w:rsid w:val="005F49FE"/>
    <w:rsid w:val="005F4D27"/>
    <w:rsid w:val="005F5190"/>
    <w:rsid w:val="005F54A5"/>
    <w:rsid w:val="005F5720"/>
    <w:rsid w:val="005F6B73"/>
    <w:rsid w:val="005F6F1D"/>
    <w:rsid w:val="0060058F"/>
    <w:rsid w:val="00600732"/>
    <w:rsid w:val="00601087"/>
    <w:rsid w:val="00601C98"/>
    <w:rsid w:val="00601DC0"/>
    <w:rsid w:val="0060216F"/>
    <w:rsid w:val="00602AC5"/>
    <w:rsid w:val="00603BBD"/>
    <w:rsid w:val="006047A4"/>
    <w:rsid w:val="0060528C"/>
    <w:rsid w:val="006056DB"/>
    <w:rsid w:val="00605890"/>
    <w:rsid w:val="0060597B"/>
    <w:rsid w:val="00605C7C"/>
    <w:rsid w:val="00606A8B"/>
    <w:rsid w:val="006079CC"/>
    <w:rsid w:val="00607B6A"/>
    <w:rsid w:val="00607C87"/>
    <w:rsid w:val="0061092C"/>
    <w:rsid w:val="0061183F"/>
    <w:rsid w:val="00611A5E"/>
    <w:rsid w:val="00612913"/>
    <w:rsid w:val="00612BC4"/>
    <w:rsid w:val="00612C84"/>
    <w:rsid w:val="0061355C"/>
    <w:rsid w:val="0061367F"/>
    <w:rsid w:val="00613750"/>
    <w:rsid w:val="00614167"/>
    <w:rsid w:val="00614DEB"/>
    <w:rsid w:val="0061618D"/>
    <w:rsid w:val="006162C8"/>
    <w:rsid w:val="0061631B"/>
    <w:rsid w:val="00617FC4"/>
    <w:rsid w:val="006218C1"/>
    <w:rsid w:val="00621C19"/>
    <w:rsid w:val="006225B8"/>
    <w:rsid w:val="00622C38"/>
    <w:rsid w:val="0062339A"/>
    <w:rsid w:val="006244FC"/>
    <w:rsid w:val="006252EC"/>
    <w:rsid w:val="00625640"/>
    <w:rsid w:val="00625DE6"/>
    <w:rsid w:val="006262F1"/>
    <w:rsid w:val="00627135"/>
    <w:rsid w:val="00627C10"/>
    <w:rsid w:val="00627D53"/>
    <w:rsid w:val="00630FAD"/>
    <w:rsid w:val="0063148E"/>
    <w:rsid w:val="00631BFF"/>
    <w:rsid w:val="00631E2F"/>
    <w:rsid w:val="006329D7"/>
    <w:rsid w:val="00632C62"/>
    <w:rsid w:val="006334CF"/>
    <w:rsid w:val="006336E3"/>
    <w:rsid w:val="006340D5"/>
    <w:rsid w:val="00634F80"/>
    <w:rsid w:val="0063789D"/>
    <w:rsid w:val="006378C8"/>
    <w:rsid w:val="0064186C"/>
    <w:rsid w:val="00641C62"/>
    <w:rsid w:val="0064208C"/>
    <w:rsid w:val="006420F1"/>
    <w:rsid w:val="00642318"/>
    <w:rsid w:val="00642EF5"/>
    <w:rsid w:val="00642F74"/>
    <w:rsid w:val="00642FD9"/>
    <w:rsid w:val="00643580"/>
    <w:rsid w:val="00644B74"/>
    <w:rsid w:val="00644C79"/>
    <w:rsid w:val="006455D5"/>
    <w:rsid w:val="00645931"/>
    <w:rsid w:val="00645CA9"/>
    <w:rsid w:val="006462EA"/>
    <w:rsid w:val="0064741E"/>
    <w:rsid w:val="00650CE8"/>
    <w:rsid w:val="00651530"/>
    <w:rsid w:val="00652686"/>
    <w:rsid w:val="00652F8A"/>
    <w:rsid w:val="00653767"/>
    <w:rsid w:val="006549B6"/>
    <w:rsid w:val="006557E5"/>
    <w:rsid w:val="00656751"/>
    <w:rsid w:val="006568B1"/>
    <w:rsid w:val="006600B7"/>
    <w:rsid w:val="00660B95"/>
    <w:rsid w:val="006620D4"/>
    <w:rsid w:val="00662E02"/>
    <w:rsid w:val="00663658"/>
    <w:rsid w:val="0066436B"/>
    <w:rsid w:val="00664824"/>
    <w:rsid w:val="00664B18"/>
    <w:rsid w:val="0066545F"/>
    <w:rsid w:val="0066588A"/>
    <w:rsid w:val="00665A2E"/>
    <w:rsid w:val="006665A7"/>
    <w:rsid w:val="00667344"/>
    <w:rsid w:val="00667A43"/>
    <w:rsid w:val="00667D06"/>
    <w:rsid w:val="006703C4"/>
    <w:rsid w:val="00670EC7"/>
    <w:rsid w:val="00671970"/>
    <w:rsid w:val="0067202F"/>
    <w:rsid w:val="006725E3"/>
    <w:rsid w:val="00672709"/>
    <w:rsid w:val="00672B69"/>
    <w:rsid w:val="00672B76"/>
    <w:rsid w:val="006732A3"/>
    <w:rsid w:val="006739C8"/>
    <w:rsid w:val="00673DBD"/>
    <w:rsid w:val="006744C0"/>
    <w:rsid w:val="006752FC"/>
    <w:rsid w:val="00675369"/>
    <w:rsid w:val="00675C65"/>
    <w:rsid w:val="00675F5D"/>
    <w:rsid w:val="00676537"/>
    <w:rsid w:val="00676927"/>
    <w:rsid w:val="00676A75"/>
    <w:rsid w:val="0067797A"/>
    <w:rsid w:val="00677CA6"/>
    <w:rsid w:val="0068052F"/>
    <w:rsid w:val="00680825"/>
    <w:rsid w:val="0068189B"/>
    <w:rsid w:val="00681CF4"/>
    <w:rsid w:val="00681F11"/>
    <w:rsid w:val="00683D61"/>
    <w:rsid w:val="00684554"/>
    <w:rsid w:val="0068456F"/>
    <w:rsid w:val="00684901"/>
    <w:rsid w:val="00684DD6"/>
    <w:rsid w:val="0068588B"/>
    <w:rsid w:val="00686AD9"/>
    <w:rsid w:val="0068773B"/>
    <w:rsid w:val="006879B7"/>
    <w:rsid w:val="00687E8F"/>
    <w:rsid w:val="00687FE1"/>
    <w:rsid w:val="00690521"/>
    <w:rsid w:val="0069150D"/>
    <w:rsid w:val="00691C0C"/>
    <w:rsid w:val="00691DDC"/>
    <w:rsid w:val="006920F2"/>
    <w:rsid w:val="006924BF"/>
    <w:rsid w:val="00692611"/>
    <w:rsid w:val="00693F55"/>
    <w:rsid w:val="0069456E"/>
    <w:rsid w:val="00694DC9"/>
    <w:rsid w:val="0069546E"/>
    <w:rsid w:val="00695C1F"/>
    <w:rsid w:val="00695F7A"/>
    <w:rsid w:val="00696D12"/>
    <w:rsid w:val="00697489"/>
    <w:rsid w:val="006979E6"/>
    <w:rsid w:val="00697A20"/>
    <w:rsid w:val="006A0B9E"/>
    <w:rsid w:val="006A0C4C"/>
    <w:rsid w:val="006A13C1"/>
    <w:rsid w:val="006A173C"/>
    <w:rsid w:val="006A1DBB"/>
    <w:rsid w:val="006A20D2"/>
    <w:rsid w:val="006A23F5"/>
    <w:rsid w:val="006A2AEC"/>
    <w:rsid w:val="006A2D46"/>
    <w:rsid w:val="006A2E61"/>
    <w:rsid w:val="006A32F8"/>
    <w:rsid w:val="006A45CA"/>
    <w:rsid w:val="006A46C3"/>
    <w:rsid w:val="006A4A7D"/>
    <w:rsid w:val="006A4F98"/>
    <w:rsid w:val="006A5082"/>
    <w:rsid w:val="006A5534"/>
    <w:rsid w:val="006A6513"/>
    <w:rsid w:val="006A65DC"/>
    <w:rsid w:val="006A6872"/>
    <w:rsid w:val="006A6EDD"/>
    <w:rsid w:val="006A774E"/>
    <w:rsid w:val="006A79C3"/>
    <w:rsid w:val="006A7ACD"/>
    <w:rsid w:val="006B023D"/>
    <w:rsid w:val="006B05A2"/>
    <w:rsid w:val="006B0BFC"/>
    <w:rsid w:val="006B0E6F"/>
    <w:rsid w:val="006B117A"/>
    <w:rsid w:val="006B1213"/>
    <w:rsid w:val="006B12E1"/>
    <w:rsid w:val="006B164B"/>
    <w:rsid w:val="006B2F54"/>
    <w:rsid w:val="006B30D1"/>
    <w:rsid w:val="006B322F"/>
    <w:rsid w:val="006B33A5"/>
    <w:rsid w:val="006B393F"/>
    <w:rsid w:val="006B4CC7"/>
    <w:rsid w:val="006B4DC2"/>
    <w:rsid w:val="006B52F5"/>
    <w:rsid w:val="006B54AE"/>
    <w:rsid w:val="006B550B"/>
    <w:rsid w:val="006B6382"/>
    <w:rsid w:val="006B75A0"/>
    <w:rsid w:val="006C0C01"/>
    <w:rsid w:val="006C0C55"/>
    <w:rsid w:val="006C1570"/>
    <w:rsid w:val="006C1B44"/>
    <w:rsid w:val="006C215A"/>
    <w:rsid w:val="006C2542"/>
    <w:rsid w:val="006C29B7"/>
    <w:rsid w:val="006C2A0D"/>
    <w:rsid w:val="006C3188"/>
    <w:rsid w:val="006C32A7"/>
    <w:rsid w:val="006C41A2"/>
    <w:rsid w:val="006C4802"/>
    <w:rsid w:val="006C4D1D"/>
    <w:rsid w:val="006C55DF"/>
    <w:rsid w:val="006C6F6F"/>
    <w:rsid w:val="006C7E0A"/>
    <w:rsid w:val="006D0D06"/>
    <w:rsid w:val="006D1B58"/>
    <w:rsid w:val="006D1F20"/>
    <w:rsid w:val="006D2444"/>
    <w:rsid w:val="006D2AB0"/>
    <w:rsid w:val="006D336E"/>
    <w:rsid w:val="006D3805"/>
    <w:rsid w:val="006D3BDA"/>
    <w:rsid w:val="006D445D"/>
    <w:rsid w:val="006D4CF3"/>
    <w:rsid w:val="006D52BB"/>
    <w:rsid w:val="006D73A0"/>
    <w:rsid w:val="006D77CC"/>
    <w:rsid w:val="006D7F7B"/>
    <w:rsid w:val="006E033F"/>
    <w:rsid w:val="006E03DD"/>
    <w:rsid w:val="006E043D"/>
    <w:rsid w:val="006E06B5"/>
    <w:rsid w:val="006E0B54"/>
    <w:rsid w:val="006E0EFC"/>
    <w:rsid w:val="006E24C7"/>
    <w:rsid w:val="006E2918"/>
    <w:rsid w:val="006E3820"/>
    <w:rsid w:val="006E3DFE"/>
    <w:rsid w:val="006E5E23"/>
    <w:rsid w:val="006E645B"/>
    <w:rsid w:val="006E75D2"/>
    <w:rsid w:val="006E78AA"/>
    <w:rsid w:val="006E791A"/>
    <w:rsid w:val="006F00EB"/>
    <w:rsid w:val="006F08E2"/>
    <w:rsid w:val="006F0E9F"/>
    <w:rsid w:val="006F0F84"/>
    <w:rsid w:val="006F1282"/>
    <w:rsid w:val="006F1CF3"/>
    <w:rsid w:val="006F1E1E"/>
    <w:rsid w:val="006F2151"/>
    <w:rsid w:val="006F23D0"/>
    <w:rsid w:val="006F2F71"/>
    <w:rsid w:val="006F304F"/>
    <w:rsid w:val="006F324D"/>
    <w:rsid w:val="006F3E87"/>
    <w:rsid w:val="006F49BA"/>
    <w:rsid w:val="006F547C"/>
    <w:rsid w:val="006F554B"/>
    <w:rsid w:val="006F60F8"/>
    <w:rsid w:val="006F621D"/>
    <w:rsid w:val="006F6250"/>
    <w:rsid w:val="006F639D"/>
    <w:rsid w:val="006F64E8"/>
    <w:rsid w:val="006F74D3"/>
    <w:rsid w:val="006F760E"/>
    <w:rsid w:val="006F7FAD"/>
    <w:rsid w:val="0070047F"/>
    <w:rsid w:val="007007FE"/>
    <w:rsid w:val="00700B27"/>
    <w:rsid w:val="00701F41"/>
    <w:rsid w:val="0070237E"/>
    <w:rsid w:val="00702A1D"/>
    <w:rsid w:val="00703741"/>
    <w:rsid w:val="00704F4E"/>
    <w:rsid w:val="007065B5"/>
    <w:rsid w:val="0070670C"/>
    <w:rsid w:val="00706DFF"/>
    <w:rsid w:val="0070714F"/>
    <w:rsid w:val="0070730F"/>
    <w:rsid w:val="00711599"/>
    <w:rsid w:val="00711ABA"/>
    <w:rsid w:val="0071207A"/>
    <w:rsid w:val="0071218F"/>
    <w:rsid w:val="00712197"/>
    <w:rsid w:val="0071268F"/>
    <w:rsid w:val="007129B2"/>
    <w:rsid w:val="00712EE6"/>
    <w:rsid w:val="00713086"/>
    <w:rsid w:val="00713379"/>
    <w:rsid w:val="00713FCF"/>
    <w:rsid w:val="0071454E"/>
    <w:rsid w:val="00714AEF"/>
    <w:rsid w:val="00714F7D"/>
    <w:rsid w:val="007159B5"/>
    <w:rsid w:val="00715D67"/>
    <w:rsid w:val="00716534"/>
    <w:rsid w:val="00716699"/>
    <w:rsid w:val="007169E8"/>
    <w:rsid w:val="00717814"/>
    <w:rsid w:val="00717816"/>
    <w:rsid w:val="007204FC"/>
    <w:rsid w:val="00720993"/>
    <w:rsid w:val="00721424"/>
    <w:rsid w:val="00721433"/>
    <w:rsid w:val="00721DD0"/>
    <w:rsid w:val="00721F79"/>
    <w:rsid w:val="007220CD"/>
    <w:rsid w:val="00722D42"/>
    <w:rsid w:val="0072393E"/>
    <w:rsid w:val="007251ED"/>
    <w:rsid w:val="00725FD9"/>
    <w:rsid w:val="00727092"/>
    <w:rsid w:val="007271AB"/>
    <w:rsid w:val="00730063"/>
    <w:rsid w:val="00731149"/>
    <w:rsid w:val="00731AD0"/>
    <w:rsid w:val="007326C0"/>
    <w:rsid w:val="00733119"/>
    <w:rsid w:val="0073435D"/>
    <w:rsid w:val="00734697"/>
    <w:rsid w:val="0073478B"/>
    <w:rsid w:val="007350E0"/>
    <w:rsid w:val="007359C8"/>
    <w:rsid w:val="00736E51"/>
    <w:rsid w:val="007372A0"/>
    <w:rsid w:val="007378C8"/>
    <w:rsid w:val="00737A3C"/>
    <w:rsid w:val="00737EAC"/>
    <w:rsid w:val="00740D99"/>
    <w:rsid w:val="00741244"/>
    <w:rsid w:val="00741C6D"/>
    <w:rsid w:val="007421A7"/>
    <w:rsid w:val="007434A6"/>
    <w:rsid w:val="00743766"/>
    <w:rsid w:val="00743C79"/>
    <w:rsid w:val="00743DAA"/>
    <w:rsid w:val="00745CD0"/>
    <w:rsid w:val="00745ED4"/>
    <w:rsid w:val="007464E1"/>
    <w:rsid w:val="00746510"/>
    <w:rsid w:val="0074695B"/>
    <w:rsid w:val="00746A52"/>
    <w:rsid w:val="007504C2"/>
    <w:rsid w:val="00750803"/>
    <w:rsid w:val="00750969"/>
    <w:rsid w:val="00750B73"/>
    <w:rsid w:val="00750D55"/>
    <w:rsid w:val="007527C3"/>
    <w:rsid w:val="007529FC"/>
    <w:rsid w:val="007549CF"/>
    <w:rsid w:val="00755187"/>
    <w:rsid w:val="007556E1"/>
    <w:rsid w:val="00755C20"/>
    <w:rsid w:val="00756017"/>
    <w:rsid w:val="007566FB"/>
    <w:rsid w:val="00756B1B"/>
    <w:rsid w:val="007574CC"/>
    <w:rsid w:val="00757C8A"/>
    <w:rsid w:val="00757FCD"/>
    <w:rsid w:val="007600F6"/>
    <w:rsid w:val="00761198"/>
    <w:rsid w:val="00761864"/>
    <w:rsid w:val="00761AC0"/>
    <w:rsid w:val="00762A3C"/>
    <w:rsid w:val="00762B37"/>
    <w:rsid w:val="007631B1"/>
    <w:rsid w:val="007632F6"/>
    <w:rsid w:val="007638B8"/>
    <w:rsid w:val="007638F8"/>
    <w:rsid w:val="0076497D"/>
    <w:rsid w:val="00765674"/>
    <w:rsid w:val="007669F9"/>
    <w:rsid w:val="00767686"/>
    <w:rsid w:val="007676D5"/>
    <w:rsid w:val="00767AF7"/>
    <w:rsid w:val="00767E4D"/>
    <w:rsid w:val="00767FF1"/>
    <w:rsid w:val="0077009A"/>
    <w:rsid w:val="007700DB"/>
    <w:rsid w:val="0077057C"/>
    <w:rsid w:val="00770B0E"/>
    <w:rsid w:val="0077249F"/>
    <w:rsid w:val="00773563"/>
    <w:rsid w:val="00773C89"/>
    <w:rsid w:val="00773E2F"/>
    <w:rsid w:val="00774A4C"/>
    <w:rsid w:val="00774A70"/>
    <w:rsid w:val="00775157"/>
    <w:rsid w:val="00775B92"/>
    <w:rsid w:val="00776E87"/>
    <w:rsid w:val="00777116"/>
    <w:rsid w:val="007773F4"/>
    <w:rsid w:val="00777993"/>
    <w:rsid w:val="00777D48"/>
    <w:rsid w:val="0078027A"/>
    <w:rsid w:val="00780546"/>
    <w:rsid w:val="00780D7B"/>
    <w:rsid w:val="00781DDC"/>
    <w:rsid w:val="00781F01"/>
    <w:rsid w:val="00781FBE"/>
    <w:rsid w:val="0078207F"/>
    <w:rsid w:val="00782092"/>
    <w:rsid w:val="00782340"/>
    <w:rsid w:val="007826BE"/>
    <w:rsid w:val="00783478"/>
    <w:rsid w:val="007834BA"/>
    <w:rsid w:val="007840FA"/>
    <w:rsid w:val="007843BB"/>
    <w:rsid w:val="00784904"/>
    <w:rsid w:val="00786FB2"/>
    <w:rsid w:val="0078733C"/>
    <w:rsid w:val="00787574"/>
    <w:rsid w:val="00787A52"/>
    <w:rsid w:val="00787E67"/>
    <w:rsid w:val="00790F65"/>
    <w:rsid w:val="00792ABD"/>
    <w:rsid w:val="00793C50"/>
    <w:rsid w:val="00793E79"/>
    <w:rsid w:val="00793F02"/>
    <w:rsid w:val="007941C9"/>
    <w:rsid w:val="007942F5"/>
    <w:rsid w:val="00795451"/>
    <w:rsid w:val="00796072"/>
    <w:rsid w:val="0079634A"/>
    <w:rsid w:val="007970D1"/>
    <w:rsid w:val="007971F1"/>
    <w:rsid w:val="00797918"/>
    <w:rsid w:val="00797AB2"/>
    <w:rsid w:val="007A07EB"/>
    <w:rsid w:val="007A14B3"/>
    <w:rsid w:val="007A1BB6"/>
    <w:rsid w:val="007A2224"/>
    <w:rsid w:val="007A23AE"/>
    <w:rsid w:val="007A2617"/>
    <w:rsid w:val="007A287F"/>
    <w:rsid w:val="007A3A2E"/>
    <w:rsid w:val="007A4E90"/>
    <w:rsid w:val="007A536E"/>
    <w:rsid w:val="007A53FB"/>
    <w:rsid w:val="007A5537"/>
    <w:rsid w:val="007A5E09"/>
    <w:rsid w:val="007B02F2"/>
    <w:rsid w:val="007B1757"/>
    <w:rsid w:val="007B2545"/>
    <w:rsid w:val="007B25D6"/>
    <w:rsid w:val="007B26F4"/>
    <w:rsid w:val="007B28E8"/>
    <w:rsid w:val="007B31A6"/>
    <w:rsid w:val="007B3201"/>
    <w:rsid w:val="007B454E"/>
    <w:rsid w:val="007B5755"/>
    <w:rsid w:val="007B5BBC"/>
    <w:rsid w:val="007B6EED"/>
    <w:rsid w:val="007B70D2"/>
    <w:rsid w:val="007B70FF"/>
    <w:rsid w:val="007B7966"/>
    <w:rsid w:val="007B799C"/>
    <w:rsid w:val="007B7C62"/>
    <w:rsid w:val="007C0BA7"/>
    <w:rsid w:val="007C1160"/>
    <w:rsid w:val="007C1F84"/>
    <w:rsid w:val="007C28FC"/>
    <w:rsid w:val="007C2B5D"/>
    <w:rsid w:val="007C2BB0"/>
    <w:rsid w:val="007C34F5"/>
    <w:rsid w:val="007C3EBF"/>
    <w:rsid w:val="007C4316"/>
    <w:rsid w:val="007C44E7"/>
    <w:rsid w:val="007C45CF"/>
    <w:rsid w:val="007C4C22"/>
    <w:rsid w:val="007C5522"/>
    <w:rsid w:val="007C683B"/>
    <w:rsid w:val="007C71AB"/>
    <w:rsid w:val="007C7F6D"/>
    <w:rsid w:val="007D027F"/>
    <w:rsid w:val="007D04B8"/>
    <w:rsid w:val="007D0528"/>
    <w:rsid w:val="007D08E0"/>
    <w:rsid w:val="007D0959"/>
    <w:rsid w:val="007D127C"/>
    <w:rsid w:val="007D1692"/>
    <w:rsid w:val="007D1C84"/>
    <w:rsid w:val="007D2576"/>
    <w:rsid w:val="007D25D5"/>
    <w:rsid w:val="007D27D2"/>
    <w:rsid w:val="007D2BDB"/>
    <w:rsid w:val="007D37FB"/>
    <w:rsid w:val="007D43F2"/>
    <w:rsid w:val="007D514E"/>
    <w:rsid w:val="007D585B"/>
    <w:rsid w:val="007D5CB4"/>
    <w:rsid w:val="007D5E93"/>
    <w:rsid w:val="007D5F2F"/>
    <w:rsid w:val="007D6D42"/>
    <w:rsid w:val="007D7810"/>
    <w:rsid w:val="007E0FCA"/>
    <w:rsid w:val="007E146E"/>
    <w:rsid w:val="007E1DB7"/>
    <w:rsid w:val="007E2113"/>
    <w:rsid w:val="007E2900"/>
    <w:rsid w:val="007E2C92"/>
    <w:rsid w:val="007E33C9"/>
    <w:rsid w:val="007E34FE"/>
    <w:rsid w:val="007E3868"/>
    <w:rsid w:val="007E51B4"/>
    <w:rsid w:val="007E5622"/>
    <w:rsid w:val="007E5A66"/>
    <w:rsid w:val="007E5D56"/>
    <w:rsid w:val="007E5D94"/>
    <w:rsid w:val="007E6547"/>
    <w:rsid w:val="007E6922"/>
    <w:rsid w:val="007E6978"/>
    <w:rsid w:val="007E7869"/>
    <w:rsid w:val="007F01F8"/>
    <w:rsid w:val="007F0D33"/>
    <w:rsid w:val="007F149F"/>
    <w:rsid w:val="007F14C7"/>
    <w:rsid w:val="007F2067"/>
    <w:rsid w:val="007F293B"/>
    <w:rsid w:val="007F2DB4"/>
    <w:rsid w:val="007F3279"/>
    <w:rsid w:val="007F4168"/>
    <w:rsid w:val="007F478A"/>
    <w:rsid w:val="007F53BE"/>
    <w:rsid w:val="007F55E8"/>
    <w:rsid w:val="007F5F34"/>
    <w:rsid w:val="007F6747"/>
    <w:rsid w:val="007F6B26"/>
    <w:rsid w:val="007F6B84"/>
    <w:rsid w:val="007F740C"/>
    <w:rsid w:val="007F75D0"/>
    <w:rsid w:val="008002A2"/>
    <w:rsid w:val="00800580"/>
    <w:rsid w:val="00800583"/>
    <w:rsid w:val="00800688"/>
    <w:rsid w:val="00801860"/>
    <w:rsid w:val="00802290"/>
    <w:rsid w:val="00802885"/>
    <w:rsid w:val="00802BF7"/>
    <w:rsid w:val="00803490"/>
    <w:rsid w:val="00803C1B"/>
    <w:rsid w:val="00804318"/>
    <w:rsid w:val="00804C15"/>
    <w:rsid w:val="00804F07"/>
    <w:rsid w:val="00806443"/>
    <w:rsid w:val="00807FD6"/>
    <w:rsid w:val="0081010D"/>
    <w:rsid w:val="00810509"/>
    <w:rsid w:val="0081060F"/>
    <w:rsid w:val="008110FC"/>
    <w:rsid w:val="0081214D"/>
    <w:rsid w:val="00812217"/>
    <w:rsid w:val="00812462"/>
    <w:rsid w:val="008125B9"/>
    <w:rsid w:val="008139CA"/>
    <w:rsid w:val="00813B95"/>
    <w:rsid w:val="008144D7"/>
    <w:rsid w:val="008158A9"/>
    <w:rsid w:val="0081632A"/>
    <w:rsid w:val="008168CB"/>
    <w:rsid w:val="008169E5"/>
    <w:rsid w:val="00817677"/>
    <w:rsid w:val="00817A94"/>
    <w:rsid w:val="00820ABE"/>
    <w:rsid w:val="008218C6"/>
    <w:rsid w:val="00822482"/>
    <w:rsid w:val="00822484"/>
    <w:rsid w:val="00822640"/>
    <w:rsid w:val="00822874"/>
    <w:rsid w:val="00822BBC"/>
    <w:rsid w:val="0082334B"/>
    <w:rsid w:val="0082361A"/>
    <w:rsid w:val="00823867"/>
    <w:rsid w:val="00824F0A"/>
    <w:rsid w:val="00825056"/>
    <w:rsid w:val="00825FE7"/>
    <w:rsid w:val="00826EB0"/>
    <w:rsid w:val="00826F91"/>
    <w:rsid w:val="0082709C"/>
    <w:rsid w:val="00827565"/>
    <w:rsid w:val="00827908"/>
    <w:rsid w:val="00827CFA"/>
    <w:rsid w:val="0083006E"/>
    <w:rsid w:val="00830A2B"/>
    <w:rsid w:val="0083110A"/>
    <w:rsid w:val="00831335"/>
    <w:rsid w:val="008318D7"/>
    <w:rsid w:val="0083202E"/>
    <w:rsid w:val="00832FD9"/>
    <w:rsid w:val="00833584"/>
    <w:rsid w:val="00833888"/>
    <w:rsid w:val="00834288"/>
    <w:rsid w:val="00834375"/>
    <w:rsid w:val="00835E14"/>
    <w:rsid w:val="008366C6"/>
    <w:rsid w:val="00836BD3"/>
    <w:rsid w:val="0083776E"/>
    <w:rsid w:val="00837CF3"/>
    <w:rsid w:val="00841070"/>
    <w:rsid w:val="00841549"/>
    <w:rsid w:val="0084179D"/>
    <w:rsid w:val="00843A5C"/>
    <w:rsid w:val="00843FCC"/>
    <w:rsid w:val="00844374"/>
    <w:rsid w:val="00844B88"/>
    <w:rsid w:val="00845289"/>
    <w:rsid w:val="00845CD4"/>
    <w:rsid w:val="00845FB6"/>
    <w:rsid w:val="0084637F"/>
    <w:rsid w:val="008474F6"/>
    <w:rsid w:val="0084779E"/>
    <w:rsid w:val="00847967"/>
    <w:rsid w:val="00850F56"/>
    <w:rsid w:val="008529E7"/>
    <w:rsid w:val="00852B82"/>
    <w:rsid w:val="0085515E"/>
    <w:rsid w:val="00855274"/>
    <w:rsid w:val="00855453"/>
    <w:rsid w:val="00855473"/>
    <w:rsid w:val="008556E4"/>
    <w:rsid w:val="00855910"/>
    <w:rsid w:val="0085693C"/>
    <w:rsid w:val="00857AFE"/>
    <w:rsid w:val="00857B09"/>
    <w:rsid w:val="00857CB4"/>
    <w:rsid w:val="008609A9"/>
    <w:rsid w:val="00860D6E"/>
    <w:rsid w:val="00861D1B"/>
    <w:rsid w:val="00861EE2"/>
    <w:rsid w:val="0086231A"/>
    <w:rsid w:val="008623E6"/>
    <w:rsid w:val="0086325F"/>
    <w:rsid w:val="00863E7B"/>
    <w:rsid w:val="00866A02"/>
    <w:rsid w:val="00866E24"/>
    <w:rsid w:val="00867098"/>
    <w:rsid w:val="0086731F"/>
    <w:rsid w:val="00867894"/>
    <w:rsid w:val="008700CF"/>
    <w:rsid w:val="008710F2"/>
    <w:rsid w:val="00873399"/>
    <w:rsid w:val="008734ED"/>
    <w:rsid w:val="00873535"/>
    <w:rsid w:val="00873DF7"/>
    <w:rsid w:val="00873E73"/>
    <w:rsid w:val="008740FE"/>
    <w:rsid w:val="008742BA"/>
    <w:rsid w:val="008749AD"/>
    <w:rsid w:val="00875CF1"/>
    <w:rsid w:val="008762C0"/>
    <w:rsid w:val="008768C1"/>
    <w:rsid w:val="00876BF4"/>
    <w:rsid w:val="00876C90"/>
    <w:rsid w:val="00876EF3"/>
    <w:rsid w:val="00877974"/>
    <w:rsid w:val="00877C43"/>
    <w:rsid w:val="008805B0"/>
    <w:rsid w:val="0088199C"/>
    <w:rsid w:val="00881C26"/>
    <w:rsid w:val="0088228A"/>
    <w:rsid w:val="00883105"/>
    <w:rsid w:val="00884684"/>
    <w:rsid w:val="00884CAF"/>
    <w:rsid w:val="0088525A"/>
    <w:rsid w:val="008858AB"/>
    <w:rsid w:val="0088706D"/>
    <w:rsid w:val="00887251"/>
    <w:rsid w:val="00890175"/>
    <w:rsid w:val="008905E7"/>
    <w:rsid w:val="00890A74"/>
    <w:rsid w:val="00890AE7"/>
    <w:rsid w:val="00890D51"/>
    <w:rsid w:val="00890DFA"/>
    <w:rsid w:val="00891E1C"/>
    <w:rsid w:val="008922D7"/>
    <w:rsid w:val="00892A6F"/>
    <w:rsid w:val="00892F5C"/>
    <w:rsid w:val="008932A2"/>
    <w:rsid w:val="00893A6C"/>
    <w:rsid w:val="00893B17"/>
    <w:rsid w:val="00894243"/>
    <w:rsid w:val="00895025"/>
    <w:rsid w:val="00896D0C"/>
    <w:rsid w:val="00896F62"/>
    <w:rsid w:val="00897786"/>
    <w:rsid w:val="008978B9"/>
    <w:rsid w:val="00897DB6"/>
    <w:rsid w:val="008A0B20"/>
    <w:rsid w:val="008A0D30"/>
    <w:rsid w:val="008A15FA"/>
    <w:rsid w:val="008A1A34"/>
    <w:rsid w:val="008A1E02"/>
    <w:rsid w:val="008A2FAA"/>
    <w:rsid w:val="008A361F"/>
    <w:rsid w:val="008A3B42"/>
    <w:rsid w:val="008A469A"/>
    <w:rsid w:val="008A5FA5"/>
    <w:rsid w:val="008A67F6"/>
    <w:rsid w:val="008A685E"/>
    <w:rsid w:val="008A794A"/>
    <w:rsid w:val="008B0176"/>
    <w:rsid w:val="008B0259"/>
    <w:rsid w:val="008B04DB"/>
    <w:rsid w:val="008B08DA"/>
    <w:rsid w:val="008B0AFF"/>
    <w:rsid w:val="008B0C77"/>
    <w:rsid w:val="008B2065"/>
    <w:rsid w:val="008B3394"/>
    <w:rsid w:val="008B3AA7"/>
    <w:rsid w:val="008B3AD2"/>
    <w:rsid w:val="008B417F"/>
    <w:rsid w:val="008B4B20"/>
    <w:rsid w:val="008B5025"/>
    <w:rsid w:val="008B53C7"/>
    <w:rsid w:val="008B5AE4"/>
    <w:rsid w:val="008B5B60"/>
    <w:rsid w:val="008B5DA5"/>
    <w:rsid w:val="008B69F4"/>
    <w:rsid w:val="008B70FF"/>
    <w:rsid w:val="008B7CB4"/>
    <w:rsid w:val="008C0119"/>
    <w:rsid w:val="008C0A0D"/>
    <w:rsid w:val="008C1055"/>
    <w:rsid w:val="008C2D40"/>
    <w:rsid w:val="008C2E4E"/>
    <w:rsid w:val="008C2F47"/>
    <w:rsid w:val="008C3673"/>
    <w:rsid w:val="008C3A0C"/>
    <w:rsid w:val="008C47F0"/>
    <w:rsid w:val="008C4831"/>
    <w:rsid w:val="008C49E3"/>
    <w:rsid w:val="008C4CD9"/>
    <w:rsid w:val="008C5CCA"/>
    <w:rsid w:val="008C6041"/>
    <w:rsid w:val="008C6347"/>
    <w:rsid w:val="008C66DE"/>
    <w:rsid w:val="008C6F1E"/>
    <w:rsid w:val="008C7AA2"/>
    <w:rsid w:val="008D00DC"/>
    <w:rsid w:val="008D0698"/>
    <w:rsid w:val="008D20D4"/>
    <w:rsid w:val="008D2FD2"/>
    <w:rsid w:val="008D3B41"/>
    <w:rsid w:val="008D435D"/>
    <w:rsid w:val="008D44A3"/>
    <w:rsid w:val="008D4DA9"/>
    <w:rsid w:val="008D57FF"/>
    <w:rsid w:val="008D59ED"/>
    <w:rsid w:val="008D5B63"/>
    <w:rsid w:val="008D6007"/>
    <w:rsid w:val="008D6AA3"/>
    <w:rsid w:val="008D70DB"/>
    <w:rsid w:val="008D761F"/>
    <w:rsid w:val="008D782D"/>
    <w:rsid w:val="008D7EC7"/>
    <w:rsid w:val="008E04FA"/>
    <w:rsid w:val="008E1C25"/>
    <w:rsid w:val="008E1D0D"/>
    <w:rsid w:val="008E1E50"/>
    <w:rsid w:val="008E1EC0"/>
    <w:rsid w:val="008E2EAC"/>
    <w:rsid w:val="008E4237"/>
    <w:rsid w:val="008E429B"/>
    <w:rsid w:val="008E530F"/>
    <w:rsid w:val="008E5E6D"/>
    <w:rsid w:val="008E6237"/>
    <w:rsid w:val="008E6F03"/>
    <w:rsid w:val="008F00CA"/>
    <w:rsid w:val="008F0A00"/>
    <w:rsid w:val="008F1BFB"/>
    <w:rsid w:val="008F30F9"/>
    <w:rsid w:val="008F33BB"/>
    <w:rsid w:val="008F385D"/>
    <w:rsid w:val="008F43AB"/>
    <w:rsid w:val="008F43C5"/>
    <w:rsid w:val="008F4452"/>
    <w:rsid w:val="008F454A"/>
    <w:rsid w:val="008F4B6D"/>
    <w:rsid w:val="008F6187"/>
    <w:rsid w:val="008F6AD4"/>
    <w:rsid w:val="008F6C66"/>
    <w:rsid w:val="008F6C80"/>
    <w:rsid w:val="008F7EEB"/>
    <w:rsid w:val="009006B1"/>
    <w:rsid w:val="00901088"/>
    <w:rsid w:val="00901D7A"/>
    <w:rsid w:val="00902351"/>
    <w:rsid w:val="00902717"/>
    <w:rsid w:val="0090294A"/>
    <w:rsid w:val="00902D94"/>
    <w:rsid w:val="00903531"/>
    <w:rsid w:val="0090493E"/>
    <w:rsid w:val="00904C39"/>
    <w:rsid w:val="00904C99"/>
    <w:rsid w:val="00904CEA"/>
    <w:rsid w:val="00905623"/>
    <w:rsid w:val="00905765"/>
    <w:rsid w:val="0090579B"/>
    <w:rsid w:val="0090587D"/>
    <w:rsid w:val="00906520"/>
    <w:rsid w:val="00906AFC"/>
    <w:rsid w:val="00906E56"/>
    <w:rsid w:val="00906EA3"/>
    <w:rsid w:val="009075AF"/>
    <w:rsid w:val="00907A74"/>
    <w:rsid w:val="00907FCC"/>
    <w:rsid w:val="0091041B"/>
    <w:rsid w:val="00910517"/>
    <w:rsid w:val="00910569"/>
    <w:rsid w:val="0091090D"/>
    <w:rsid w:val="0091108F"/>
    <w:rsid w:val="009114DB"/>
    <w:rsid w:val="0091215D"/>
    <w:rsid w:val="00913BFB"/>
    <w:rsid w:val="00913D92"/>
    <w:rsid w:val="0091419D"/>
    <w:rsid w:val="0091420E"/>
    <w:rsid w:val="009143EE"/>
    <w:rsid w:val="00915FE2"/>
    <w:rsid w:val="0091636D"/>
    <w:rsid w:val="00916A85"/>
    <w:rsid w:val="009174ED"/>
    <w:rsid w:val="00917C48"/>
    <w:rsid w:val="00917CFE"/>
    <w:rsid w:val="00920284"/>
    <w:rsid w:val="00920E1A"/>
    <w:rsid w:val="00921394"/>
    <w:rsid w:val="0092164E"/>
    <w:rsid w:val="0092237F"/>
    <w:rsid w:val="009226D9"/>
    <w:rsid w:val="009229C5"/>
    <w:rsid w:val="00922AB6"/>
    <w:rsid w:val="009239ED"/>
    <w:rsid w:val="00924EC8"/>
    <w:rsid w:val="00924EE7"/>
    <w:rsid w:val="0092535F"/>
    <w:rsid w:val="009269F4"/>
    <w:rsid w:val="009271EE"/>
    <w:rsid w:val="00927417"/>
    <w:rsid w:val="0092789E"/>
    <w:rsid w:val="00927D71"/>
    <w:rsid w:val="00930248"/>
    <w:rsid w:val="009313DD"/>
    <w:rsid w:val="0093174D"/>
    <w:rsid w:val="00931879"/>
    <w:rsid w:val="009319D1"/>
    <w:rsid w:val="00931ED5"/>
    <w:rsid w:val="00932B9E"/>
    <w:rsid w:val="0093395A"/>
    <w:rsid w:val="00933B82"/>
    <w:rsid w:val="009351BA"/>
    <w:rsid w:val="009357C4"/>
    <w:rsid w:val="00935A91"/>
    <w:rsid w:val="00935B1C"/>
    <w:rsid w:val="009360DE"/>
    <w:rsid w:val="0093623F"/>
    <w:rsid w:val="00936622"/>
    <w:rsid w:val="00936CD9"/>
    <w:rsid w:val="0093726B"/>
    <w:rsid w:val="00940B68"/>
    <w:rsid w:val="00940E97"/>
    <w:rsid w:val="0094147D"/>
    <w:rsid w:val="00941932"/>
    <w:rsid w:val="00942065"/>
    <w:rsid w:val="00942797"/>
    <w:rsid w:val="00943557"/>
    <w:rsid w:val="00943CEA"/>
    <w:rsid w:val="009447AC"/>
    <w:rsid w:val="0094492F"/>
    <w:rsid w:val="00944A3B"/>
    <w:rsid w:val="00945A8B"/>
    <w:rsid w:val="00945B51"/>
    <w:rsid w:val="00945F66"/>
    <w:rsid w:val="00946C20"/>
    <w:rsid w:val="00947ECA"/>
    <w:rsid w:val="009500C8"/>
    <w:rsid w:val="00950153"/>
    <w:rsid w:val="00950B34"/>
    <w:rsid w:val="009515CE"/>
    <w:rsid w:val="00951874"/>
    <w:rsid w:val="009520DB"/>
    <w:rsid w:val="00952149"/>
    <w:rsid w:val="00952543"/>
    <w:rsid w:val="00952617"/>
    <w:rsid w:val="00952E42"/>
    <w:rsid w:val="0095310D"/>
    <w:rsid w:val="00953498"/>
    <w:rsid w:val="00953F7C"/>
    <w:rsid w:val="00954926"/>
    <w:rsid w:val="00954CD9"/>
    <w:rsid w:val="00955120"/>
    <w:rsid w:val="009557D5"/>
    <w:rsid w:val="00955ABE"/>
    <w:rsid w:val="00956B29"/>
    <w:rsid w:val="00960654"/>
    <w:rsid w:val="009607D9"/>
    <w:rsid w:val="00960D11"/>
    <w:rsid w:val="0096154B"/>
    <w:rsid w:val="00962A22"/>
    <w:rsid w:val="00962CB1"/>
    <w:rsid w:val="00962DFE"/>
    <w:rsid w:val="00963195"/>
    <w:rsid w:val="00964A07"/>
    <w:rsid w:val="009650DA"/>
    <w:rsid w:val="00965457"/>
    <w:rsid w:val="00965705"/>
    <w:rsid w:val="0096575F"/>
    <w:rsid w:val="00966859"/>
    <w:rsid w:val="00966AA5"/>
    <w:rsid w:val="00966AF7"/>
    <w:rsid w:val="0096774E"/>
    <w:rsid w:val="00970B93"/>
    <w:rsid w:val="00971B74"/>
    <w:rsid w:val="00972326"/>
    <w:rsid w:val="00972D75"/>
    <w:rsid w:val="00972DE0"/>
    <w:rsid w:val="00972ED0"/>
    <w:rsid w:val="00974498"/>
    <w:rsid w:val="00975DDE"/>
    <w:rsid w:val="0097611F"/>
    <w:rsid w:val="00976A12"/>
    <w:rsid w:val="0098022A"/>
    <w:rsid w:val="009808AD"/>
    <w:rsid w:val="00980AB2"/>
    <w:rsid w:val="00980B12"/>
    <w:rsid w:val="00980E92"/>
    <w:rsid w:val="0098154C"/>
    <w:rsid w:val="0098182A"/>
    <w:rsid w:val="00981AB9"/>
    <w:rsid w:val="00982C20"/>
    <w:rsid w:val="009830E0"/>
    <w:rsid w:val="009833DE"/>
    <w:rsid w:val="00984EA1"/>
    <w:rsid w:val="00985909"/>
    <w:rsid w:val="00986C7D"/>
    <w:rsid w:val="00986DB3"/>
    <w:rsid w:val="00987364"/>
    <w:rsid w:val="00987EC8"/>
    <w:rsid w:val="009914B0"/>
    <w:rsid w:val="00991852"/>
    <w:rsid w:val="00991C27"/>
    <w:rsid w:val="00992A18"/>
    <w:rsid w:val="00992E35"/>
    <w:rsid w:val="009933C4"/>
    <w:rsid w:val="00993409"/>
    <w:rsid w:val="00993DDA"/>
    <w:rsid w:val="00994D93"/>
    <w:rsid w:val="009950A5"/>
    <w:rsid w:val="0099510A"/>
    <w:rsid w:val="0099564F"/>
    <w:rsid w:val="00995E4B"/>
    <w:rsid w:val="00996548"/>
    <w:rsid w:val="00996EA5"/>
    <w:rsid w:val="0099725F"/>
    <w:rsid w:val="009972CA"/>
    <w:rsid w:val="009976B2"/>
    <w:rsid w:val="00997DA4"/>
    <w:rsid w:val="009A071E"/>
    <w:rsid w:val="009A0E8C"/>
    <w:rsid w:val="009A3B87"/>
    <w:rsid w:val="009A4CBB"/>
    <w:rsid w:val="009A6F78"/>
    <w:rsid w:val="009A7795"/>
    <w:rsid w:val="009B03D7"/>
    <w:rsid w:val="009B07BE"/>
    <w:rsid w:val="009B0809"/>
    <w:rsid w:val="009B0CCB"/>
    <w:rsid w:val="009B2654"/>
    <w:rsid w:val="009B3152"/>
    <w:rsid w:val="009B3583"/>
    <w:rsid w:val="009B3A8B"/>
    <w:rsid w:val="009B3B8B"/>
    <w:rsid w:val="009B4456"/>
    <w:rsid w:val="009B518F"/>
    <w:rsid w:val="009B5214"/>
    <w:rsid w:val="009B5A10"/>
    <w:rsid w:val="009B60C2"/>
    <w:rsid w:val="009B6743"/>
    <w:rsid w:val="009B6AA5"/>
    <w:rsid w:val="009B6D04"/>
    <w:rsid w:val="009B6D65"/>
    <w:rsid w:val="009B6D86"/>
    <w:rsid w:val="009B6FA2"/>
    <w:rsid w:val="009B7037"/>
    <w:rsid w:val="009B70EC"/>
    <w:rsid w:val="009B7BFB"/>
    <w:rsid w:val="009C0E59"/>
    <w:rsid w:val="009C1B37"/>
    <w:rsid w:val="009C1B91"/>
    <w:rsid w:val="009C35B0"/>
    <w:rsid w:val="009C35C8"/>
    <w:rsid w:val="009C3684"/>
    <w:rsid w:val="009C4EC1"/>
    <w:rsid w:val="009C5912"/>
    <w:rsid w:val="009C71DC"/>
    <w:rsid w:val="009C7492"/>
    <w:rsid w:val="009C787C"/>
    <w:rsid w:val="009C7909"/>
    <w:rsid w:val="009D0330"/>
    <w:rsid w:val="009D0440"/>
    <w:rsid w:val="009D08D8"/>
    <w:rsid w:val="009D0A30"/>
    <w:rsid w:val="009D0DFB"/>
    <w:rsid w:val="009D0E07"/>
    <w:rsid w:val="009D10C6"/>
    <w:rsid w:val="009D1103"/>
    <w:rsid w:val="009D1412"/>
    <w:rsid w:val="009D235B"/>
    <w:rsid w:val="009D338D"/>
    <w:rsid w:val="009D3F12"/>
    <w:rsid w:val="009D46EA"/>
    <w:rsid w:val="009D5C95"/>
    <w:rsid w:val="009D5E83"/>
    <w:rsid w:val="009E0602"/>
    <w:rsid w:val="009E0979"/>
    <w:rsid w:val="009E1749"/>
    <w:rsid w:val="009E2211"/>
    <w:rsid w:val="009E2290"/>
    <w:rsid w:val="009E276C"/>
    <w:rsid w:val="009E289F"/>
    <w:rsid w:val="009E2BD4"/>
    <w:rsid w:val="009E2BD5"/>
    <w:rsid w:val="009E2EC0"/>
    <w:rsid w:val="009E3872"/>
    <w:rsid w:val="009E4C62"/>
    <w:rsid w:val="009E5056"/>
    <w:rsid w:val="009E5582"/>
    <w:rsid w:val="009E5C05"/>
    <w:rsid w:val="009E5C1E"/>
    <w:rsid w:val="009E65A3"/>
    <w:rsid w:val="009E669C"/>
    <w:rsid w:val="009E6802"/>
    <w:rsid w:val="009E68A3"/>
    <w:rsid w:val="009E6BC1"/>
    <w:rsid w:val="009E6D60"/>
    <w:rsid w:val="009E742B"/>
    <w:rsid w:val="009F02A5"/>
    <w:rsid w:val="009F0E14"/>
    <w:rsid w:val="009F1232"/>
    <w:rsid w:val="009F2061"/>
    <w:rsid w:val="009F2765"/>
    <w:rsid w:val="009F2DC8"/>
    <w:rsid w:val="009F2F53"/>
    <w:rsid w:val="009F3C24"/>
    <w:rsid w:val="009F3D22"/>
    <w:rsid w:val="009F4BDA"/>
    <w:rsid w:val="009F5B7E"/>
    <w:rsid w:val="009F5CA6"/>
    <w:rsid w:val="009F5DEE"/>
    <w:rsid w:val="009F78A4"/>
    <w:rsid w:val="009F7BFD"/>
    <w:rsid w:val="009F7E29"/>
    <w:rsid w:val="009F7E44"/>
    <w:rsid w:val="00A000E6"/>
    <w:rsid w:val="00A00679"/>
    <w:rsid w:val="00A0102D"/>
    <w:rsid w:val="00A011CE"/>
    <w:rsid w:val="00A01924"/>
    <w:rsid w:val="00A01E49"/>
    <w:rsid w:val="00A020D1"/>
    <w:rsid w:val="00A0240C"/>
    <w:rsid w:val="00A027A0"/>
    <w:rsid w:val="00A02B71"/>
    <w:rsid w:val="00A02CFB"/>
    <w:rsid w:val="00A02DC5"/>
    <w:rsid w:val="00A031D0"/>
    <w:rsid w:val="00A036FA"/>
    <w:rsid w:val="00A03CA1"/>
    <w:rsid w:val="00A04450"/>
    <w:rsid w:val="00A04960"/>
    <w:rsid w:val="00A05472"/>
    <w:rsid w:val="00A0625F"/>
    <w:rsid w:val="00A0631B"/>
    <w:rsid w:val="00A063FC"/>
    <w:rsid w:val="00A06B5B"/>
    <w:rsid w:val="00A10E0E"/>
    <w:rsid w:val="00A11D53"/>
    <w:rsid w:val="00A1237F"/>
    <w:rsid w:val="00A12991"/>
    <w:rsid w:val="00A130A5"/>
    <w:rsid w:val="00A1380C"/>
    <w:rsid w:val="00A13A43"/>
    <w:rsid w:val="00A13CC5"/>
    <w:rsid w:val="00A13DE2"/>
    <w:rsid w:val="00A14457"/>
    <w:rsid w:val="00A14AD5"/>
    <w:rsid w:val="00A1563F"/>
    <w:rsid w:val="00A16295"/>
    <w:rsid w:val="00A168FF"/>
    <w:rsid w:val="00A17BFB"/>
    <w:rsid w:val="00A20A70"/>
    <w:rsid w:val="00A2151C"/>
    <w:rsid w:val="00A23252"/>
    <w:rsid w:val="00A239C7"/>
    <w:rsid w:val="00A23E12"/>
    <w:rsid w:val="00A24537"/>
    <w:rsid w:val="00A24996"/>
    <w:rsid w:val="00A25E1F"/>
    <w:rsid w:val="00A260A1"/>
    <w:rsid w:val="00A262AA"/>
    <w:rsid w:val="00A26B56"/>
    <w:rsid w:val="00A26CAF"/>
    <w:rsid w:val="00A27F9A"/>
    <w:rsid w:val="00A302A7"/>
    <w:rsid w:val="00A3067D"/>
    <w:rsid w:val="00A320F5"/>
    <w:rsid w:val="00A3426B"/>
    <w:rsid w:val="00A34790"/>
    <w:rsid w:val="00A35899"/>
    <w:rsid w:val="00A35D5B"/>
    <w:rsid w:val="00A36354"/>
    <w:rsid w:val="00A36453"/>
    <w:rsid w:val="00A365A9"/>
    <w:rsid w:val="00A36C85"/>
    <w:rsid w:val="00A405B4"/>
    <w:rsid w:val="00A40C6A"/>
    <w:rsid w:val="00A40F6A"/>
    <w:rsid w:val="00A41098"/>
    <w:rsid w:val="00A41180"/>
    <w:rsid w:val="00A412AD"/>
    <w:rsid w:val="00A413D9"/>
    <w:rsid w:val="00A41F7D"/>
    <w:rsid w:val="00A42128"/>
    <w:rsid w:val="00A421C2"/>
    <w:rsid w:val="00A42D03"/>
    <w:rsid w:val="00A43639"/>
    <w:rsid w:val="00A43C2F"/>
    <w:rsid w:val="00A44A1D"/>
    <w:rsid w:val="00A44A32"/>
    <w:rsid w:val="00A45151"/>
    <w:rsid w:val="00A4552D"/>
    <w:rsid w:val="00A45A4D"/>
    <w:rsid w:val="00A45A93"/>
    <w:rsid w:val="00A45BF3"/>
    <w:rsid w:val="00A45ECB"/>
    <w:rsid w:val="00A4669B"/>
    <w:rsid w:val="00A469B6"/>
    <w:rsid w:val="00A50158"/>
    <w:rsid w:val="00A50387"/>
    <w:rsid w:val="00A503A6"/>
    <w:rsid w:val="00A524BD"/>
    <w:rsid w:val="00A536A6"/>
    <w:rsid w:val="00A54920"/>
    <w:rsid w:val="00A54C59"/>
    <w:rsid w:val="00A54D19"/>
    <w:rsid w:val="00A554B9"/>
    <w:rsid w:val="00A56174"/>
    <w:rsid w:val="00A56374"/>
    <w:rsid w:val="00A566C8"/>
    <w:rsid w:val="00A56DEB"/>
    <w:rsid w:val="00A56F6B"/>
    <w:rsid w:val="00A5730B"/>
    <w:rsid w:val="00A574F1"/>
    <w:rsid w:val="00A57517"/>
    <w:rsid w:val="00A57551"/>
    <w:rsid w:val="00A62020"/>
    <w:rsid w:val="00A6505A"/>
    <w:rsid w:val="00A6572D"/>
    <w:rsid w:val="00A6576F"/>
    <w:rsid w:val="00A65B70"/>
    <w:rsid w:val="00A65C3B"/>
    <w:rsid w:val="00A66119"/>
    <w:rsid w:val="00A66672"/>
    <w:rsid w:val="00A66724"/>
    <w:rsid w:val="00A703A4"/>
    <w:rsid w:val="00A703C8"/>
    <w:rsid w:val="00A70417"/>
    <w:rsid w:val="00A70678"/>
    <w:rsid w:val="00A71566"/>
    <w:rsid w:val="00A717CA"/>
    <w:rsid w:val="00A71AAB"/>
    <w:rsid w:val="00A71FC7"/>
    <w:rsid w:val="00A731C6"/>
    <w:rsid w:val="00A73310"/>
    <w:rsid w:val="00A7359D"/>
    <w:rsid w:val="00A73794"/>
    <w:rsid w:val="00A73E54"/>
    <w:rsid w:val="00A7420A"/>
    <w:rsid w:val="00A74C79"/>
    <w:rsid w:val="00A74DD3"/>
    <w:rsid w:val="00A74F18"/>
    <w:rsid w:val="00A7590A"/>
    <w:rsid w:val="00A76372"/>
    <w:rsid w:val="00A76573"/>
    <w:rsid w:val="00A76AF7"/>
    <w:rsid w:val="00A7705A"/>
    <w:rsid w:val="00A80197"/>
    <w:rsid w:val="00A80352"/>
    <w:rsid w:val="00A80F17"/>
    <w:rsid w:val="00A8136B"/>
    <w:rsid w:val="00A81627"/>
    <w:rsid w:val="00A81D5D"/>
    <w:rsid w:val="00A820F0"/>
    <w:rsid w:val="00A82251"/>
    <w:rsid w:val="00A83014"/>
    <w:rsid w:val="00A831CB"/>
    <w:rsid w:val="00A83808"/>
    <w:rsid w:val="00A84B85"/>
    <w:rsid w:val="00A84E6D"/>
    <w:rsid w:val="00A84EE0"/>
    <w:rsid w:val="00A86276"/>
    <w:rsid w:val="00A87D88"/>
    <w:rsid w:val="00A903C5"/>
    <w:rsid w:val="00A90D2A"/>
    <w:rsid w:val="00A90EBB"/>
    <w:rsid w:val="00A9178F"/>
    <w:rsid w:val="00A9268D"/>
    <w:rsid w:val="00A9301D"/>
    <w:rsid w:val="00A93552"/>
    <w:rsid w:val="00A94724"/>
    <w:rsid w:val="00A94C17"/>
    <w:rsid w:val="00A94DDE"/>
    <w:rsid w:val="00A951C2"/>
    <w:rsid w:val="00A957CC"/>
    <w:rsid w:val="00A95D28"/>
    <w:rsid w:val="00A9613D"/>
    <w:rsid w:val="00A9713E"/>
    <w:rsid w:val="00AA04F8"/>
    <w:rsid w:val="00AA10D9"/>
    <w:rsid w:val="00AA1C88"/>
    <w:rsid w:val="00AA244E"/>
    <w:rsid w:val="00AA25DA"/>
    <w:rsid w:val="00AA2EA8"/>
    <w:rsid w:val="00AA44D5"/>
    <w:rsid w:val="00AA47DF"/>
    <w:rsid w:val="00AA4F61"/>
    <w:rsid w:val="00AA5C12"/>
    <w:rsid w:val="00AA6090"/>
    <w:rsid w:val="00AA68C5"/>
    <w:rsid w:val="00AA6F90"/>
    <w:rsid w:val="00AA72F8"/>
    <w:rsid w:val="00AA7BBF"/>
    <w:rsid w:val="00AB0425"/>
    <w:rsid w:val="00AB093D"/>
    <w:rsid w:val="00AB1514"/>
    <w:rsid w:val="00AB24FC"/>
    <w:rsid w:val="00AB2AFC"/>
    <w:rsid w:val="00AB3610"/>
    <w:rsid w:val="00AB3D9A"/>
    <w:rsid w:val="00AB3E26"/>
    <w:rsid w:val="00AB44ED"/>
    <w:rsid w:val="00AB48D1"/>
    <w:rsid w:val="00AB52B7"/>
    <w:rsid w:val="00AB59CF"/>
    <w:rsid w:val="00AB774B"/>
    <w:rsid w:val="00AB7801"/>
    <w:rsid w:val="00AC3903"/>
    <w:rsid w:val="00AC405C"/>
    <w:rsid w:val="00AC4CD7"/>
    <w:rsid w:val="00AC6679"/>
    <w:rsid w:val="00AC68EE"/>
    <w:rsid w:val="00AC772A"/>
    <w:rsid w:val="00AD06FA"/>
    <w:rsid w:val="00AD07B5"/>
    <w:rsid w:val="00AD0983"/>
    <w:rsid w:val="00AD1C27"/>
    <w:rsid w:val="00AD211C"/>
    <w:rsid w:val="00AD2731"/>
    <w:rsid w:val="00AD3169"/>
    <w:rsid w:val="00AD3299"/>
    <w:rsid w:val="00AD403D"/>
    <w:rsid w:val="00AD4C2A"/>
    <w:rsid w:val="00AD569F"/>
    <w:rsid w:val="00AD5FCF"/>
    <w:rsid w:val="00AD6CD3"/>
    <w:rsid w:val="00AD6E00"/>
    <w:rsid w:val="00AD75B1"/>
    <w:rsid w:val="00AD7DE9"/>
    <w:rsid w:val="00AE08DB"/>
    <w:rsid w:val="00AE0AEA"/>
    <w:rsid w:val="00AE1B5C"/>
    <w:rsid w:val="00AE20AC"/>
    <w:rsid w:val="00AE2456"/>
    <w:rsid w:val="00AE27BB"/>
    <w:rsid w:val="00AE3368"/>
    <w:rsid w:val="00AE4020"/>
    <w:rsid w:val="00AE55B1"/>
    <w:rsid w:val="00AE6B94"/>
    <w:rsid w:val="00AE6E78"/>
    <w:rsid w:val="00AE7158"/>
    <w:rsid w:val="00AE7BF7"/>
    <w:rsid w:val="00AF0344"/>
    <w:rsid w:val="00AF08A3"/>
    <w:rsid w:val="00AF137C"/>
    <w:rsid w:val="00AF1613"/>
    <w:rsid w:val="00AF1C73"/>
    <w:rsid w:val="00AF1EE2"/>
    <w:rsid w:val="00AF24E8"/>
    <w:rsid w:val="00AF35A2"/>
    <w:rsid w:val="00AF3A73"/>
    <w:rsid w:val="00AF44C7"/>
    <w:rsid w:val="00AF471C"/>
    <w:rsid w:val="00AF51AD"/>
    <w:rsid w:val="00AF5231"/>
    <w:rsid w:val="00AF5B91"/>
    <w:rsid w:val="00AF5E16"/>
    <w:rsid w:val="00AF608C"/>
    <w:rsid w:val="00AF6D0C"/>
    <w:rsid w:val="00B00C48"/>
    <w:rsid w:val="00B01E04"/>
    <w:rsid w:val="00B02042"/>
    <w:rsid w:val="00B0217A"/>
    <w:rsid w:val="00B026C4"/>
    <w:rsid w:val="00B02A5C"/>
    <w:rsid w:val="00B031BB"/>
    <w:rsid w:val="00B03229"/>
    <w:rsid w:val="00B04036"/>
    <w:rsid w:val="00B04212"/>
    <w:rsid w:val="00B04A16"/>
    <w:rsid w:val="00B04F74"/>
    <w:rsid w:val="00B060B6"/>
    <w:rsid w:val="00B06F8D"/>
    <w:rsid w:val="00B0755B"/>
    <w:rsid w:val="00B1098D"/>
    <w:rsid w:val="00B11746"/>
    <w:rsid w:val="00B125A2"/>
    <w:rsid w:val="00B12E2A"/>
    <w:rsid w:val="00B13642"/>
    <w:rsid w:val="00B13E3E"/>
    <w:rsid w:val="00B149F3"/>
    <w:rsid w:val="00B14C44"/>
    <w:rsid w:val="00B14C5A"/>
    <w:rsid w:val="00B15224"/>
    <w:rsid w:val="00B1562A"/>
    <w:rsid w:val="00B159EE"/>
    <w:rsid w:val="00B15DB8"/>
    <w:rsid w:val="00B16009"/>
    <w:rsid w:val="00B16ACC"/>
    <w:rsid w:val="00B1718B"/>
    <w:rsid w:val="00B17A41"/>
    <w:rsid w:val="00B21477"/>
    <w:rsid w:val="00B216BF"/>
    <w:rsid w:val="00B21AA2"/>
    <w:rsid w:val="00B21D0D"/>
    <w:rsid w:val="00B225D1"/>
    <w:rsid w:val="00B2282C"/>
    <w:rsid w:val="00B23479"/>
    <w:rsid w:val="00B236ED"/>
    <w:rsid w:val="00B245E6"/>
    <w:rsid w:val="00B2570C"/>
    <w:rsid w:val="00B26017"/>
    <w:rsid w:val="00B260AF"/>
    <w:rsid w:val="00B262AB"/>
    <w:rsid w:val="00B26E96"/>
    <w:rsid w:val="00B27411"/>
    <w:rsid w:val="00B30200"/>
    <w:rsid w:val="00B3083F"/>
    <w:rsid w:val="00B30A8A"/>
    <w:rsid w:val="00B30ABB"/>
    <w:rsid w:val="00B3168F"/>
    <w:rsid w:val="00B32A4A"/>
    <w:rsid w:val="00B33725"/>
    <w:rsid w:val="00B3447F"/>
    <w:rsid w:val="00B3480A"/>
    <w:rsid w:val="00B35389"/>
    <w:rsid w:val="00B353BA"/>
    <w:rsid w:val="00B36795"/>
    <w:rsid w:val="00B40CAC"/>
    <w:rsid w:val="00B42028"/>
    <w:rsid w:val="00B43146"/>
    <w:rsid w:val="00B43830"/>
    <w:rsid w:val="00B43D68"/>
    <w:rsid w:val="00B448D4"/>
    <w:rsid w:val="00B455F8"/>
    <w:rsid w:val="00B45624"/>
    <w:rsid w:val="00B456E4"/>
    <w:rsid w:val="00B45979"/>
    <w:rsid w:val="00B4723D"/>
    <w:rsid w:val="00B47B82"/>
    <w:rsid w:val="00B47F74"/>
    <w:rsid w:val="00B5138B"/>
    <w:rsid w:val="00B515E2"/>
    <w:rsid w:val="00B51F3B"/>
    <w:rsid w:val="00B52B48"/>
    <w:rsid w:val="00B5385F"/>
    <w:rsid w:val="00B53BEA"/>
    <w:rsid w:val="00B556CE"/>
    <w:rsid w:val="00B55E82"/>
    <w:rsid w:val="00B61411"/>
    <w:rsid w:val="00B619A0"/>
    <w:rsid w:val="00B622A5"/>
    <w:rsid w:val="00B63919"/>
    <w:rsid w:val="00B643A6"/>
    <w:rsid w:val="00B648B2"/>
    <w:rsid w:val="00B665D4"/>
    <w:rsid w:val="00B66A57"/>
    <w:rsid w:val="00B67084"/>
    <w:rsid w:val="00B67D2D"/>
    <w:rsid w:val="00B705FD"/>
    <w:rsid w:val="00B711B7"/>
    <w:rsid w:val="00B712E1"/>
    <w:rsid w:val="00B71B28"/>
    <w:rsid w:val="00B71BF4"/>
    <w:rsid w:val="00B72065"/>
    <w:rsid w:val="00B736B0"/>
    <w:rsid w:val="00B7385C"/>
    <w:rsid w:val="00B74279"/>
    <w:rsid w:val="00B74B56"/>
    <w:rsid w:val="00B74EC0"/>
    <w:rsid w:val="00B756E1"/>
    <w:rsid w:val="00B77362"/>
    <w:rsid w:val="00B77524"/>
    <w:rsid w:val="00B77865"/>
    <w:rsid w:val="00B779F4"/>
    <w:rsid w:val="00B8014B"/>
    <w:rsid w:val="00B80785"/>
    <w:rsid w:val="00B80ACD"/>
    <w:rsid w:val="00B8136A"/>
    <w:rsid w:val="00B81683"/>
    <w:rsid w:val="00B81A71"/>
    <w:rsid w:val="00B81DCB"/>
    <w:rsid w:val="00B81E19"/>
    <w:rsid w:val="00B81E93"/>
    <w:rsid w:val="00B826D3"/>
    <w:rsid w:val="00B82A07"/>
    <w:rsid w:val="00B82F80"/>
    <w:rsid w:val="00B8350E"/>
    <w:rsid w:val="00B835F5"/>
    <w:rsid w:val="00B836FF"/>
    <w:rsid w:val="00B837C8"/>
    <w:rsid w:val="00B83C8A"/>
    <w:rsid w:val="00B84236"/>
    <w:rsid w:val="00B842B7"/>
    <w:rsid w:val="00B845BF"/>
    <w:rsid w:val="00B846A7"/>
    <w:rsid w:val="00B84FFA"/>
    <w:rsid w:val="00B85ACC"/>
    <w:rsid w:val="00B85D7A"/>
    <w:rsid w:val="00B86AE0"/>
    <w:rsid w:val="00B87575"/>
    <w:rsid w:val="00B9092C"/>
    <w:rsid w:val="00B9173C"/>
    <w:rsid w:val="00B921CD"/>
    <w:rsid w:val="00B92834"/>
    <w:rsid w:val="00B9440C"/>
    <w:rsid w:val="00B9448C"/>
    <w:rsid w:val="00B9482D"/>
    <w:rsid w:val="00B954A3"/>
    <w:rsid w:val="00B95737"/>
    <w:rsid w:val="00B95A1B"/>
    <w:rsid w:val="00B95ACD"/>
    <w:rsid w:val="00B96332"/>
    <w:rsid w:val="00B96939"/>
    <w:rsid w:val="00B96D2C"/>
    <w:rsid w:val="00B97314"/>
    <w:rsid w:val="00BA046E"/>
    <w:rsid w:val="00BA084A"/>
    <w:rsid w:val="00BA1AA0"/>
    <w:rsid w:val="00BA2F42"/>
    <w:rsid w:val="00BA3159"/>
    <w:rsid w:val="00BA4548"/>
    <w:rsid w:val="00BA472E"/>
    <w:rsid w:val="00BA531B"/>
    <w:rsid w:val="00BA5492"/>
    <w:rsid w:val="00BA6050"/>
    <w:rsid w:val="00BA6E2C"/>
    <w:rsid w:val="00BA6F80"/>
    <w:rsid w:val="00BB0BE7"/>
    <w:rsid w:val="00BB11BC"/>
    <w:rsid w:val="00BB17F2"/>
    <w:rsid w:val="00BB3161"/>
    <w:rsid w:val="00BB3A8C"/>
    <w:rsid w:val="00BB3AD2"/>
    <w:rsid w:val="00BB4EC9"/>
    <w:rsid w:val="00BB5B3A"/>
    <w:rsid w:val="00BB6013"/>
    <w:rsid w:val="00BB6783"/>
    <w:rsid w:val="00BB67BB"/>
    <w:rsid w:val="00BB71C1"/>
    <w:rsid w:val="00BC0BF1"/>
    <w:rsid w:val="00BC1973"/>
    <w:rsid w:val="00BC26A3"/>
    <w:rsid w:val="00BC2E83"/>
    <w:rsid w:val="00BC3194"/>
    <w:rsid w:val="00BC35CF"/>
    <w:rsid w:val="00BC3C8B"/>
    <w:rsid w:val="00BC3DBE"/>
    <w:rsid w:val="00BC4527"/>
    <w:rsid w:val="00BC4697"/>
    <w:rsid w:val="00BC5170"/>
    <w:rsid w:val="00BC638C"/>
    <w:rsid w:val="00BC7E1B"/>
    <w:rsid w:val="00BD02EA"/>
    <w:rsid w:val="00BD06D1"/>
    <w:rsid w:val="00BD0949"/>
    <w:rsid w:val="00BD095F"/>
    <w:rsid w:val="00BD0AA9"/>
    <w:rsid w:val="00BD0B13"/>
    <w:rsid w:val="00BD1775"/>
    <w:rsid w:val="00BD1F88"/>
    <w:rsid w:val="00BD2A67"/>
    <w:rsid w:val="00BD3075"/>
    <w:rsid w:val="00BD3A5C"/>
    <w:rsid w:val="00BD3F13"/>
    <w:rsid w:val="00BD4518"/>
    <w:rsid w:val="00BD4E5F"/>
    <w:rsid w:val="00BD4FE7"/>
    <w:rsid w:val="00BD5212"/>
    <w:rsid w:val="00BD52F1"/>
    <w:rsid w:val="00BD623B"/>
    <w:rsid w:val="00BD6EEE"/>
    <w:rsid w:val="00BD70C0"/>
    <w:rsid w:val="00BD71D3"/>
    <w:rsid w:val="00BD7D29"/>
    <w:rsid w:val="00BE0BB6"/>
    <w:rsid w:val="00BE0D80"/>
    <w:rsid w:val="00BE0DC3"/>
    <w:rsid w:val="00BE1A15"/>
    <w:rsid w:val="00BE23CE"/>
    <w:rsid w:val="00BE337F"/>
    <w:rsid w:val="00BE33A9"/>
    <w:rsid w:val="00BE376B"/>
    <w:rsid w:val="00BE4076"/>
    <w:rsid w:val="00BE491F"/>
    <w:rsid w:val="00BE4929"/>
    <w:rsid w:val="00BE4D1B"/>
    <w:rsid w:val="00BE4F4A"/>
    <w:rsid w:val="00BE678F"/>
    <w:rsid w:val="00BE6D78"/>
    <w:rsid w:val="00BF00C6"/>
    <w:rsid w:val="00BF0346"/>
    <w:rsid w:val="00BF0EA5"/>
    <w:rsid w:val="00BF127E"/>
    <w:rsid w:val="00BF22CF"/>
    <w:rsid w:val="00BF23C2"/>
    <w:rsid w:val="00BF2612"/>
    <w:rsid w:val="00BF428F"/>
    <w:rsid w:val="00BF4316"/>
    <w:rsid w:val="00BF4C1D"/>
    <w:rsid w:val="00BF574A"/>
    <w:rsid w:val="00BF7060"/>
    <w:rsid w:val="00BF7101"/>
    <w:rsid w:val="00BF73C7"/>
    <w:rsid w:val="00C011BD"/>
    <w:rsid w:val="00C017D4"/>
    <w:rsid w:val="00C01E03"/>
    <w:rsid w:val="00C02075"/>
    <w:rsid w:val="00C0246A"/>
    <w:rsid w:val="00C02544"/>
    <w:rsid w:val="00C028B0"/>
    <w:rsid w:val="00C04500"/>
    <w:rsid w:val="00C046EB"/>
    <w:rsid w:val="00C04A3F"/>
    <w:rsid w:val="00C056D4"/>
    <w:rsid w:val="00C0595A"/>
    <w:rsid w:val="00C06183"/>
    <w:rsid w:val="00C102D8"/>
    <w:rsid w:val="00C110B3"/>
    <w:rsid w:val="00C1159F"/>
    <w:rsid w:val="00C115B4"/>
    <w:rsid w:val="00C11ADD"/>
    <w:rsid w:val="00C1229C"/>
    <w:rsid w:val="00C14193"/>
    <w:rsid w:val="00C14534"/>
    <w:rsid w:val="00C14AE7"/>
    <w:rsid w:val="00C15119"/>
    <w:rsid w:val="00C15584"/>
    <w:rsid w:val="00C15875"/>
    <w:rsid w:val="00C1624E"/>
    <w:rsid w:val="00C16A52"/>
    <w:rsid w:val="00C1722C"/>
    <w:rsid w:val="00C17437"/>
    <w:rsid w:val="00C206C3"/>
    <w:rsid w:val="00C21A5E"/>
    <w:rsid w:val="00C22959"/>
    <w:rsid w:val="00C23EAC"/>
    <w:rsid w:val="00C2463B"/>
    <w:rsid w:val="00C2489A"/>
    <w:rsid w:val="00C24C5E"/>
    <w:rsid w:val="00C24D94"/>
    <w:rsid w:val="00C24FB0"/>
    <w:rsid w:val="00C251D6"/>
    <w:rsid w:val="00C251DE"/>
    <w:rsid w:val="00C25217"/>
    <w:rsid w:val="00C25A09"/>
    <w:rsid w:val="00C273EF"/>
    <w:rsid w:val="00C3006A"/>
    <w:rsid w:val="00C312F4"/>
    <w:rsid w:val="00C31729"/>
    <w:rsid w:val="00C33936"/>
    <w:rsid w:val="00C33D17"/>
    <w:rsid w:val="00C3402C"/>
    <w:rsid w:val="00C346C1"/>
    <w:rsid w:val="00C34767"/>
    <w:rsid w:val="00C34DE4"/>
    <w:rsid w:val="00C36CED"/>
    <w:rsid w:val="00C37AD5"/>
    <w:rsid w:val="00C40507"/>
    <w:rsid w:val="00C40621"/>
    <w:rsid w:val="00C407CC"/>
    <w:rsid w:val="00C40844"/>
    <w:rsid w:val="00C408DE"/>
    <w:rsid w:val="00C40C2F"/>
    <w:rsid w:val="00C41793"/>
    <w:rsid w:val="00C41BA6"/>
    <w:rsid w:val="00C426A3"/>
    <w:rsid w:val="00C42E08"/>
    <w:rsid w:val="00C433F8"/>
    <w:rsid w:val="00C4392E"/>
    <w:rsid w:val="00C439D6"/>
    <w:rsid w:val="00C44732"/>
    <w:rsid w:val="00C46DE4"/>
    <w:rsid w:val="00C46F75"/>
    <w:rsid w:val="00C47B95"/>
    <w:rsid w:val="00C50275"/>
    <w:rsid w:val="00C511BE"/>
    <w:rsid w:val="00C52BE1"/>
    <w:rsid w:val="00C52CE4"/>
    <w:rsid w:val="00C52D08"/>
    <w:rsid w:val="00C53049"/>
    <w:rsid w:val="00C53AFC"/>
    <w:rsid w:val="00C568B4"/>
    <w:rsid w:val="00C60296"/>
    <w:rsid w:val="00C60363"/>
    <w:rsid w:val="00C61ACA"/>
    <w:rsid w:val="00C63406"/>
    <w:rsid w:val="00C6354E"/>
    <w:rsid w:val="00C63568"/>
    <w:rsid w:val="00C6476D"/>
    <w:rsid w:val="00C64ABB"/>
    <w:rsid w:val="00C64BDF"/>
    <w:rsid w:val="00C64F68"/>
    <w:rsid w:val="00C65809"/>
    <w:rsid w:val="00C66496"/>
    <w:rsid w:val="00C66721"/>
    <w:rsid w:val="00C6711C"/>
    <w:rsid w:val="00C67B1F"/>
    <w:rsid w:val="00C70394"/>
    <w:rsid w:val="00C704A4"/>
    <w:rsid w:val="00C70788"/>
    <w:rsid w:val="00C70D02"/>
    <w:rsid w:val="00C70FBD"/>
    <w:rsid w:val="00C718E0"/>
    <w:rsid w:val="00C7243C"/>
    <w:rsid w:val="00C726AE"/>
    <w:rsid w:val="00C74291"/>
    <w:rsid w:val="00C75671"/>
    <w:rsid w:val="00C75E85"/>
    <w:rsid w:val="00C763B9"/>
    <w:rsid w:val="00C7658A"/>
    <w:rsid w:val="00C777D1"/>
    <w:rsid w:val="00C77A23"/>
    <w:rsid w:val="00C77B17"/>
    <w:rsid w:val="00C77B72"/>
    <w:rsid w:val="00C80248"/>
    <w:rsid w:val="00C8123F"/>
    <w:rsid w:val="00C81A1E"/>
    <w:rsid w:val="00C81D4B"/>
    <w:rsid w:val="00C822B6"/>
    <w:rsid w:val="00C82D39"/>
    <w:rsid w:val="00C84BC8"/>
    <w:rsid w:val="00C84F7C"/>
    <w:rsid w:val="00C85C8D"/>
    <w:rsid w:val="00C860B3"/>
    <w:rsid w:val="00C861CE"/>
    <w:rsid w:val="00C866CC"/>
    <w:rsid w:val="00C869F3"/>
    <w:rsid w:val="00C86D60"/>
    <w:rsid w:val="00C86F99"/>
    <w:rsid w:val="00C87100"/>
    <w:rsid w:val="00C876CC"/>
    <w:rsid w:val="00C87944"/>
    <w:rsid w:val="00C87F70"/>
    <w:rsid w:val="00C902C2"/>
    <w:rsid w:val="00C90ED5"/>
    <w:rsid w:val="00C91031"/>
    <w:rsid w:val="00C916F2"/>
    <w:rsid w:val="00C91862"/>
    <w:rsid w:val="00C91953"/>
    <w:rsid w:val="00C91EFA"/>
    <w:rsid w:val="00C92277"/>
    <w:rsid w:val="00C927DB"/>
    <w:rsid w:val="00C933EE"/>
    <w:rsid w:val="00C93852"/>
    <w:rsid w:val="00C93876"/>
    <w:rsid w:val="00C9430E"/>
    <w:rsid w:val="00C94ABE"/>
    <w:rsid w:val="00C95058"/>
    <w:rsid w:val="00C96738"/>
    <w:rsid w:val="00C96D26"/>
    <w:rsid w:val="00C97DD3"/>
    <w:rsid w:val="00CA0094"/>
    <w:rsid w:val="00CA050A"/>
    <w:rsid w:val="00CA07D0"/>
    <w:rsid w:val="00CA1368"/>
    <w:rsid w:val="00CA1A3E"/>
    <w:rsid w:val="00CA24A8"/>
    <w:rsid w:val="00CA3338"/>
    <w:rsid w:val="00CA36DB"/>
    <w:rsid w:val="00CA4140"/>
    <w:rsid w:val="00CA448B"/>
    <w:rsid w:val="00CA48D5"/>
    <w:rsid w:val="00CA4B9D"/>
    <w:rsid w:val="00CA4BAC"/>
    <w:rsid w:val="00CA5223"/>
    <w:rsid w:val="00CA5EC6"/>
    <w:rsid w:val="00CA61AE"/>
    <w:rsid w:val="00CA631C"/>
    <w:rsid w:val="00CA6C83"/>
    <w:rsid w:val="00CA6C86"/>
    <w:rsid w:val="00CA6D05"/>
    <w:rsid w:val="00CA6E34"/>
    <w:rsid w:val="00CA7AC1"/>
    <w:rsid w:val="00CB0323"/>
    <w:rsid w:val="00CB06F7"/>
    <w:rsid w:val="00CB211A"/>
    <w:rsid w:val="00CB28BA"/>
    <w:rsid w:val="00CB2A6E"/>
    <w:rsid w:val="00CB3B03"/>
    <w:rsid w:val="00CB4186"/>
    <w:rsid w:val="00CB489E"/>
    <w:rsid w:val="00CB529F"/>
    <w:rsid w:val="00CB5B7E"/>
    <w:rsid w:val="00CB5BF5"/>
    <w:rsid w:val="00CB61A6"/>
    <w:rsid w:val="00CB6AFA"/>
    <w:rsid w:val="00CB6F55"/>
    <w:rsid w:val="00CB74EF"/>
    <w:rsid w:val="00CC0284"/>
    <w:rsid w:val="00CC0437"/>
    <w:rsid w:val="00CC0A29"/>
    <w:rsid w:val="00CC0C00"/>
    <w:rsid w:val="00CC0EB8"/>
    <w:rsid w:val="00CC1812"/>
    <w:rsid w:val="00CC1F12"/>
    <w:rsid w:val="00CC250E"/>
    <w:rsid w:val="00CC2561"/>
    <w:rsid w:val="00CC2D5E"/>
    <w:rsid w:val="00CC2F43"/>
    <w:rsid w:val="00CC302D"/>
    <w:rsid w:val="00CC322C"/>
    <w:rsid w:val="00CC33F4"/>
    <w:rsid w:val="00CC3D93"/>
    <w:rsid w:val="00CC4511"/>
    <w:rsid w:val="00CC4578"/>
    <w:rsid w:val="00CC4595"/>
    <w:rsid w:val="00CC4836"/>
    <w:rsid w:val="00CC5B22"/>
    <w:rsid w:val="00CC5EFF"/>
    <w:rsid w:val="00CC6039"/>
    <w:rsid w:val="00CC64A1"/>
    <w:rsid w:val="00CC6591"/>
    <w:rsid w:val="00CC69A5"/>
    <w:rsid w:val="00CC6D56"/>
    <w:rsid w:val="00CC7195"/>
    <w:rsid w:val="00CD02FE"/>
    <w:rsid w:val="00CD073D"/>
    <w:rsid w:val="00CD123E"/>
    <w:rsid w:val="00CD21E9"/>
    <w:rsid w:val="00CD23A7"/>
    <w:rsid w:val="00CD2EB9"/>
    <w:rsid w:val="00CD3089"/>
    <w:rsid w:val="00CD33CE"/>
    <w:rsid w:val="00CD36F2"/>
    <w:rsid w:val="00CD3AFA"/>
    <w:rsid w:val="00CD4A96"/>
    <w:rsid w:val="00CD4BE5"/>
    <w:rsid w:val="00CD5357"/>
    <w:rsid w:val="00CD5D9A"/>
    <w:rsid w:val="00CD60E7"/>
    <w:rsid w:val="00CD68F7"/>
    <w:rsid w:val="00CE030D"/>
    <w:rsid w:val="00CE0F32"/>
    <w:rsid w:val="00CE168F"/>
    <w:rsid w:val="00CE19CB"/>
    <w:rsid w:val="00CE2805"/>
    <w:rsid w:val="00CE36E9"/>
    <w:rsid w:val="00CE3756"/>
    <w:rsid w:val="00CE531B"/>
    <w:rsid w:val="00CE70A8"/>
    <w:rsid w:val="00CE7474"/>
    <w:rsid w:val="00CE7BE3"/>
    <w:rsid w:val="00CF03F0"/>
    <w:rsid w:val="00CF13DB"/>
    <w:rsid w:val="00CF3EB8"/>
    <w:rsid w:val="00CF4500"/>
    <w:rsid w:val="00CF4965"/>
    <w:rsid w:val="00CF4EE9"/>
    <w:rsid w:val="00CF5EC7"/>
    <w:rsid w:val="00CF6031"/>
    <w:rsid w:val="00CF6966"/>
    <w:rsid w:val="00CF6B06"/>
    <w:rsid w:val="00CF707C"/>
    <w:rsid w:val="00CF7812"/>
    <w:rsid w:val="00D00ED0"/>
    <w:rsid w:val="00D0137D"/>
    <w:rsid w:val="00D014E3"/>
    <w:rsid w:val="00D019D4"/>
    <w:rsid w:val="00D01A1B"/>
    <w:rsid w:val="00D023F4"/>
    <w:rsid w:val="00D038FD"/>
    <w:rsid w:val="00D03C7E"/>
    <w:rsid w:val="00D03EF1"/>
    <w:rsid w:val="00D04746"/>
    <w:rsid w:val="00D04A67"/>
    <w:rsid w:val="00D056BF"/>
    <w:rsid w:val="00D05BBE"/>
    <w:rsid w:val="00D062F4"/>
    <w:rsid w:val="00D0676C"/>
    <w:rsid w:val="00D06BBF"/>
    <w:rsid w:val="00D06BFE"/>
    <w:rsid w:val="00D071D4"/>
    <w:rsid w:val="00D07CE1"/>
    <w:rsid w:val="00D07D15"/>
    <w:rsid w:val="00D07D65"/>
    <w:rsid w:val="00D1000F"/>
    <w:rsid w:val="00D1008F"/>
    <w:rsid w:val="00D10343"/>
    <w:rsid w:val="00D10727"/>
    <w:rsid w:val="00D10AD4"/>
    <w:rsid w:val="00D115A5"/>
    <w:rsid w:val="00D12C36"/>
    <w:rsid w:val="00D12C8D"/>
    <w:rsid w:val="00D135BD"/>
    <w:rsid w:val="00D15604"/>
    <w:rsid w:val="00D1571E"/>
    <w:rsid w:val="00D2039A"/>
    <w:rsid w:val="00D20866"/>
    <w:rsid w:val="00D21C91"/>
    <w:rsid w:val="00D22554"/>
    <w:rsid w:val="00D22FB6"/>
    <w:rsid w:val="00D2433A"/>
    <w:rsid w:val="00D2452E"/>
    <w:rsid w:val="00D24B25"/>
    <w:rsid w:val="00D25CE2"/>
    <w:rsid w:val="00D2625B"/>
    <w:rsid w:val="00D273EC"/>
    <w:rsid w:val="00D27ADA"/>
    <w:rsid w:val="00D27D2C"/>
    <w:rsid w:val="00D27D89"/>
    <w:rsid w:val="00D301B7"/>
    <w:rsid w:val="00D309DA"/>
    <w:rsid w:val="00D30AB1"/>
    <w:rsid w:val="00D30D35"/>
    <w:rsid w:val="00D30DD7"/>
    <w:rsid w:val="00D3193D"/>
    <w:rsid w:val="00D321CA"/>
    <w:rsid w:val="00D324FE"/>
    <w:rsid w:val="00D32DDE"/>
    <w:rsid w:val="00D32FF3"/>
    <w:rsid w:val="00D331FE"/>
    <w:rsid w:val="00D33283"/>
    <w:rsid w:val="00D33803"/>
    <w:rsid w:val="00D34581"/>
    <w:rsid w:val="00D348C8"/>
    <w:rsid w:val="00D34C9F"/>
    <w:rsid w:val="00D36051"/>
    <w:rsid w:val="00D362EF"/>
    <w:rsid w:val="00D36E44"/>
    <w:rsid w:val="00D370C8"/>
    <w:rsid w:val="00D3714B"/>
    <w:rsid w:val="00D37E6A"/>
    <w:rsid w:val="00D40047"/>
    <w:rsid w:val="00D405C7"/>
    <w:rsid w:val="00D406C6"/>
    <w:rsid w:val="00D42369"/>
    <w:rsid w:val="00D42CBE"/>
    <w:rsid w:val="00D42D71"/>
    <w:rsid w:val="00D43D13"/>
    <w:rsid w:val="00D43E4E"/>
    <w:rsid w:val="00D44140"/>
    <w:rsid w:val="00D442AF"/>
    <w:rsid w:val="00D446E1"/>
    <w:rsid w:val="00D4487D"/>
    <w:rsid w:val="00D454C9"/>
    <w:rsid w:val="00D45C89"/>
    <w:rsid w:val="00D46238"/>
    <w:rsid w:val="00D46E1A"/>
    <w:rsid w:val="00D47361"/>
    <w:rsid w:val="00D4786A"/>
    <w:rsid w:val="00D47B29"/>
    <w:rsid w:val="00D50741"/>
    <w:rsid w:val="00D51228"/>
    <w:rsid w:val="00D51A0F"/>
    <w:rsid w:val="00D53B05"/>
    <w:rsid w:val="00D54916"/>
    <w:rsid w:val="00D54C3F"/>
    <w:rsid w:val="00D54DDC"/>
    <w:rsid w:val="00D558D5"/>
    <w:rsid w:val="00D56E73"/>
    <w:rsid w:val="00D56F66"/>
    <w:rsid w:val="00D5704B"/>
    <w:rsid w:val="00D5704F"/>
    <w:rsid w:val="00D576A6"/>
    <w:rsid w:val="00D57C40"/>
    <w:rsid w:val="00D604F5"/>
    <w:rsid w:val="00D61A14"/>
    <w:rsid w:val="00D61B32"/>
    <w:rsid w:val="00D62030"/>
    <w:rsid w:val="00D621DA"/>
    <w:rsid w:val="00D62340"/>
    <w:rsid w:val="00D62B76"/>
    <w:rsid w:val="00D63027"/>
    <w:rsid w:val="00D63240"/>
    <w:rsid w:val="00D638D6"/>
    <w:rsid w:val="00D639E6"/>
    <w:rsid w:val="00D63AF1"/>
    <w:rsid w:val="00D63D42"/>
    <w:rsid w:val="00D646BD"/>
    <w:rsid w:val="00D64B0A"/>
    <w:rsid w:val="00D64D9C"/>
    <w:rsid w:val="00D64FF8"/>
    <w:rsid w:val="00D650D7"/>
    <w:rsid w:val="00D6521B"/>
    <w:rsid w:val="00D65309"/>
    <w:rsid w:val="00D666F3"/>
    <w:rsid w:val="00D66770"/>
    <w:rsid w:val="00D66978"/>
    <w:rsid w:val="00D67682"/>
    <w:rsid w:val="00D70080"/>
    <w:rsid w:val="00D7019D"/>
    <w:rsid w:val="00D70839"/>
    <w:rsid w:val="00D70C54"/>
    <w:rsid w:val="00D71436"/>
    <w:rsid w:val="00D71523"/>
    <w:rsid w:val="00D71815"/>
    <w:rsid w:val="00D71C2E"/>
    <w:rsid w:val="00D71E24"/>
    <w:rsid w:val="00D724B9"/>
    <w:rsid w:val="00D7258C"/>
    <w:rsid w:val="00D727B3"/>
    <w:rsid w:val="00D73151"/>
    <w:rsid w:val="00D73498"/>
    <w:rsid w:val="00D73917"/>
    <w:rsid w:val="00D74035"/>
    <w:rsid w:val="00D74F55"/>
    <w:rsid w:val="00D75035"/>
    <w:rsid w:val="00D75246"/>
    <w:rsid w:val="00D75E6F"/>
    <w:rsid w:val="00D763CD"/>
    <w:rsid w:val="00D763D0"/>
    <w:rsid w:val="00D76446"/>
    <w:rsid w:val="00D77123"/>
    <w:rsid w:val="00D80004"/>
    <w:rsid w:val="00D80202"/>
    <w:rsid w:val="00D80288"/>
    <w:rsid w:val="00D81195"/>
    <w:rsid w:val="00D819F1"/>
    <w:rsid w:val="00D81B59"/>
    <w:rsid w:val="00D821E8"/>
    <w:rsid w:val="00D82887"/>
    <w:rsid w:val="00D82AB0"/>
    <w:rsid w:val="00D82D09"/>
    <w:rsid w:val="00D835D9"/>
    <w:rsid w:val="00D840E0"/>
    <w:rsid w:val="00D84C42"/>
    <w:rsid w:val="00D84F88"/>
    <w:rsid w:val="00D8510A"/>
    <w:rsid w:val="00D85579"/>
    <w:rsid w:val="00D861C6"/>
    <w:rsid w:val="00D869C7"/>
    <w:rsid w:val="00D86D2C"/>
    <w:rsid w:val="00D87CF0"/>
    <w:rsid w:val="00D901C0"/>
    <w:rsid w:val="00D90B31"/>
    <w:rsid w:val="00D9127C"/>
    <w:rsid w:val="00D915D5"/>
    <w:rsid w:val="00D91771"/>
    <w:rsid w:val="00D923BB"/>
    <w:rsid w:val="00D92F5C"/>
    <w:rsid w:val="00D9315F"/>
    <w:rsid w:val="00D933DF"/>
    <w:rsid w:val="00D93632"/>
    <w:rsid w:val="00D942CF"/>
    <w:rsid w:val="00D9435C"/>
    <w:rsid w:val="00D9519C"/>
    <w:rsid w:val="00D95E73"/>
    <w:rsid w:val="00D96D77"/>
    <w:rsid w:val="00DA00FB"/>
    <w:rsid w:val="00DA0532"/>
    <w:rsid w:val="00DA091B"/>
    <w:rsid w:val="00DA09D6"/>
    <w:rsid w:val="00DA10E6"/>
    <w:rsid w:val="00DA123D"/>
    <w:rsid w:val="00DA165E"/>
    <w:rsid w:val="00DA1D78"/>
    <w:rsid w:val="00DA264A"/>
    <w:rsid w:val="00DA3F05"/>
    <w:rsid w:val="00DA45D9"/>
    <w:rsid w:val="00DA45E8"/>
    <w:rsid w:val="00DA469F"/>
    <w:rsid w:val="00DA4DF2"/>
    <w:rsid w:val="00DA5099"/>
    <w:rsid w:val="00DA5318"/>
    <w:rsid w:val="00DA586D"/>
    <w:rsid w:val="00DB08D4"/>
    <w:rsid w:val="00DB0993"/>
    <w:rsid w:val="00DB0B41"/>
    <w:rsid w:val="00DB0D98"/>
    <w:rsid w:val="00DB0E35"/>
    <w:rsid w:val="00DB0E6E"/>
    <w:rsid w:val="00DB10E0"/>
    <w:rsid w:val="00DB12F4"/>
    <w:rsid w:val="00DB13CF"/>
    <w:rsid w:val="00DB16DF"/>
    <w:rsid w:val="00DB16E7"/>
    <w:rsid w:val="00DB1B8D"/>
    <w:rsid w:val="00DB25A7"/>
    <w:rsid w:val="00DB2FE9"/>
    <w:rsid w:val="00DB339F"/>
    <w:rsid w:val="00DB3857"/>
    <w:rsid w:val="00DB4887"/>
    <w:rsid w:val="00DB4CC9"/>
    <w:rsid w:val="00DB512F"/>
    <w:rsid w:val="00DB536F"/>
    <w:rsid w:val="00DB553D"/>
    <w:rsid w:val="00DB578F"/>
    <w:rsid w:val="00DB60B6"/>
    <w:rsid w:val="00DB617A"/>
    <w:rsid w:val="00DB64E6"/>
    <w:rsid w:val="00DB65DB"/>
    <w:rsid w:val="00DB7550"/>
    <w:rsid w:val="00DB7D42"/>
    <w:rsid w:val="00DB7D93"/>
    <w:rsid w:val="00DB7E92"/>
    <w:rsid w:val="00DC0132"/>
    <w:rsid w:val="00DC1300"/>
    <w:rsid w:val="00DC15AF"/>
    <w:rsid w:val="00DC1802"/>
    <w:rsid w:val="00DC1930"/>
    <w:rsid w:val="00DC1CBB"/>
    <w:rsid w:val="00DC253A"/>
    <w:rsid w:val="00DC44E6"/>
    <w:rsid w:val="00DC4ECB"/>
    <w:rsid w:val="00DC6C4C"/>
    <w:rsid w:val="00DC6FFD"/>
    <w:rsid w:val="00DC7333"/>
    <w:rsid w:val="00DC7A73"/>
    <w:rsid w:val="00DD0955"/>
    <w:rsid w:val="00DD0A9A"/>
    <w:rsid w:val="00DD177A"/>
    <w:rsid w:val="00DD1CF2"/>
    <w:rsid w:val="00DD1FB7"/>
    <w:rsid w:val="00DD27F2"/>
    <w:rsid w:val="00DD2D72"/>
    <w:rsid w:val="00DD354C"/>
    <w:rsid w:val="00DD4655"/>
    <w:rsid w:val="00DD54BB"/>
    <w:rsid w:val="00DD5510"/>
    <w:rsid w:val="00DD6326"/>
    <w:rsid w:val="00DD6B4C"/>
    <w:rsid w:val="00DD6D49"/>
    <w:rsid w:val="00DD74AA"/>
    <w:rsid w:val="00DD76C9"/>
    <w:rsid w:val="00DD77F3"/>
    <w:rsid w:val="00DE00B7"/>
    <w:rsid w:val="00DE0DDA"/>
    <w:rsid w:val="00DE1B4D"/>
    <w:rsid w:val="00DE1FA5"/>
    <w:rsid w:val="00DE22D3"/>
    <w:rsid w:val="00DE27DE"/>
    <w:rsid w:val="00DE3393"/>
    <w:rsid w:val="00DE4223"/>
    <w:rsid w:val="00DE5999"/>
    <w:rsid w:val="00DE5BDB"/>
    <w:rsid w:val="00DE6C2D"/>
    <w:rsid w:val="00DE7618"/>
    <w:rsid w:val="00DE7707"/>
    <w:rsid w:val="00DE7D69"/>
    <w:rsid w:val="00DF0502"/>
    <w:rsid w:val="00DF1D1B"/>
    <w:rsid w:val="00DF21BE"/>
    <w:rsid w:val="00DF2301"/>
    <w:rsid w:val="00DF2E36"/>
    <w:rsid w:val="00DF2EE4"/>
    <w:rsid w:val="00DF3C8B"/>
    <w:rsid w:val="00DF40B5"/>
    <w:rsid w:val="00DF4398"/>
    <w:rsid w:val="00DF5008"/>
    <w:rsid w:val="00DF549A"/>
    <w:rsid w:val="00DF5508"/>
    <w:rsid w:val="00DF68CC"/>
    <w:rsid w:val="00DF6941"/>
    <w:rsid w:val="00DF6C7B"/>
    <w:rsid w:val="00DF73C0"/>
    <w:rsid w:val="00E003E1"/>
    <w:rsid w:val="00E0090F"/>
    <w:rsid w:val="00E0115A"/>
    <w:rsid w:val="00E02084"/>
    <w:rsid w:val="00E02286"/>
    <w:rsid w:val="00E034B6"/>
    <w:rsid w:val="00E03549"/>
    <w:rsid w:val="00E0374D"/>
    <w:rsid w:val="00E0446F"/>
    <w:rsid w:val="00E048D6"/>
    <w:rsid w:val="00E04E71"/>
    <w:rsid w:val="00E05A34"/>
    <w:rsid w:val="00E060B8"/>
    <w:rsid w:val="00E06230"/>
    <w:rsid w:val="00E0631C"/>
    <w:rsid w:val="00E06589"/>
    <w:rsid w:val="00E06649"/>
    <w:rsid w:val="00E068AF"/>
    <w:rsid w:val="00E074A4"/>
    <w:rsid w:val="00E10365"/>
    <w:rsid w:val="00E1083C"/>
    <w:rsid w:val="00E10876"/>
    <w:rsid w:val="00E10A13"/>
    <w:rsid w:val="00E12408"/>
    <w:rsid w:val="00E1396C"/>
    <w:rsid w:val="00E14578"/>
    <w:rsid w:val="00E15365"/>
    <w:rsid w:val="00E15431"/>
    <w:rsid w:val="00E15BAE"/>
    <w:rsid w:val="00E1663E"/>
    <w:rsid w:val="00E16774"/>
    <w:rsid w:val="00E17A15"/>
    <w:rsid w:val="00E17B88"/>
    <w:rsid w:val="00E21252"/>
    <w:rsid w:val="00E22501"/>
    <w:rsid w:val="00E23959"/>
    <w:rsid w:val="00E24AC9"/>
    <w:rsid w:val="00E24ED8"/>
    <w:rsid w:val="00E2780D"/>
    <w:rsid w:val="00E27AAA"/>
    <w:rsid w:val="00E27AB0"/>
    <w:rsid w:val="00E30383"/>
    <w:rsid w:val="00E30AB8"/>
    <w:rsid w:val="00E30EA0"/>
    <w:rsid w:val="00E3188F"/>
    <w:rsid w:val="00E31C60"/>
    <w:rsid w:val="00E32DF3"/>
    <w:rsid w:val="00E33913"/>
    <w:rsid w:val="00E33B7D"/>
    <w:rsid w:val="00E33C56"/>
    <w:rsid w:val="00E341A1"/>
    <w:rsid w:val="00E34A69"/>
    <w:rsid w:val="00E35732"/>
    <w:rsid w:val="00E35825"/>
    <w:rsid w:val="00E37C01"/>
    <w:rsid w:val="00E417FA"/>
    <w:rsid w:val="00E41843"/>
    <w:rsid w:val="00E41A3A"/>
    <w:rsid w:val="00E41C4D"/>
    <w:rsid w:val="00E41FEA"/>
    <w:rsid w:val="00E422D1"/>
    <w:rsid w:val="00E423F7"/>
    <w:rsid w:val="00E4265F"/>
    <w:rsid w:val="00E42E7B"/>
    <w:rsid w:val="00E43BAD"/>
    <w:rsid w:val="00E44862"/>
    <w:rsid w:val="00E44DE9"/>
    <w:rsid w:val="00E45BCF"/>
    <w:rsid w:val="00E45DDB"/>
    <w:rsid w:val="00E4689A"/>
    <w:rsid w:val="00E47FDB"/>
    <w:rsid w:val="00E5066F"/>
    <w:rsid w:val="00E515B3"/>
    <w:rsid w:val="00E51720"/>
    <w:rsid w:val="00E51BF3"/>
    <w:rsid w:val="00E51E73"/>
    <w:rsid w:val="00E52077"/>
    <w:rsid w:val="00E528D6"/>
    <w:rsid w:val="00E52ECF"/>
    <w:rsid w:val="00E53CD9"/>
    <w:rsid w:val="00E549DC"/>
    <w:rsid w:val="00E54B06"/>
    <w:rsid w:val="00E55106"/>
    <w:rsid w:val="00E5522B"/>
    <w:rsid w:val="00E55615"/>
    <w:rsid w:val="00E569B4"/>
    <w:rsid w:val="00E56A44"/>
    <w:rsid w:val="00E604D7"/>
    <w:rsid w:val="00E6156A"/>
    <w:rsid w:val="00E61E94"/>
    <w:rsid w:val="00E6280F"/>
    <w:rsid w:val="00E6281C"/>
    <w:rsid w:val="00E62B4D"/>
    <w:rsid w:val="00E62DD0"/>
    <w:rsid w:val="00E6370C"/>
    <w:rsid w:val="00E644AC"/>
    <w:rsid w:val="00E644BC"/>
    <w:rsid w:val="00E64EE5"/>
    <w:rsid w:val="00E6546B"/>
    <w:rsid w:val="00E65D29"/>
    <w:rsid w:val="00E668C5"/>
    <w:rsid w:val="00E66EAE"/>
    <w:rsid w:val="00E674B2"/>
    <w:rsid w:val="00E67F31"/>
    <w:rsid w:val="00E70771"/>
    <w:rsid w:val="00E709F5"/>
    <w:rsid w:val="00E70C76"/>
    <w:rsid w:val="00E71B83"/>
    <w:rsid w:val="00E71C93"/>
    <w:rsid w:val="00E71F34"/>
    <w:rsid w:val="00E71F4A"/>
    <w:rsid w:val="00E72100"/>
    <w:rsid w:val="00E72A61"/>
    <w:rsid w:val="00E73126"/>
    <w:rsid w:val="00E741EE"/>
    <w:rsid w:val="00E74513"/>
    <w:rsid w:val="00E7487B"/>
    <w:rsid w:val="00E7494C"/>
    <w:rsid w:val="00E749F9"/>
    <w:rsid w:val="00E74E07"/>
    <w:rsid w:val="00E74E21"/>
    <w:rsid w:val="00E74E76"/>
    <w:rsid w:val="00E75141"/>
    <w:rsid w:val="00E75A6A"/>
    <w:rsid w:val="00E75F1E"/>
    <w:rsid w:val="00E761ED"/>
    <w:rsid w:val="00E76A13"/>
    <w:rsid w:val="00E76E6F"/>
    <w:rsid w:val="00E80239"/>
    <w:rsid w:val="00E80526"/>
    <w:rsid w:val="00E80E17"/>
    <w:rsid w:val="00E825CB"/>
    <w:rsid w:val="00E83318"/>
    <w:rsid w:val="00E836E6"/>
    <w:rsid w:val="00E84AA6"/>
    <w:rsid w:val="00E84DE7"/>
    <w:rsid w:val="00E85AEE"/>
    <w:rsid w:val="00E8624B"/>
    <w:rsid w:val="00E86480"/>
    <w:rsid w:val="00E86BD3"/>
    <w:rsid w:val="00E8718C"/>
    <w:rsid w:val="00E87645"/>
    <w:rsid w:val="00E903D4"/>
    <w:rsid w:val="00E90975"/>
    <w:rsid w:val="00E91285"/>
    <w:rsid w:val="00E9172D"/>
    <w:rsid w:val="00E91E84"/>
    <w:rsid w:val="00E91EC7"/>
    <w:rsid w:val="00E920B9"/>
    <w:rsid w:val="00E93015"/>
    <w:rsid w:val="00E93BC1"/>
    <w:rsid w:val="00E93F51"/>
    <w:rsid w:val="00E94074"/>
    <w:rsid w:val="00E958E8"/>
    <w:rsid w:val="00E95C70"/>
    <w:rsid w:val="00E96D65"/>
    <w:rsid w:val="00E97675"/>
    <w:rsid w:val="00E978FE"/>
    <w:rsid w:val="00EA00A5"/>
    <w:rsid w:val="00EA1CC2"/>
    <w:rsid w:val="00EA2247"/>
    <w:rsid w:val="00EA2D8B"/>
    <w:rsid w:val="00EA3947"/>
    <w:rsid w:val="00EA44D7"/>
    <w:rsid w:val="00EA44F6"/>
    <w:rsid w:val="00EA49BB"/>
    <w:rsid w:val="00EA4C48"/>
    <w:rsid w:val="00EA5F6E"/>
    <w:rsid w:val="00EB0380"/>
    <w:rsid w:val="00EB0AEB"/>
    <w:rsid w:val="00EB0CF9"/>
    <w:rsid w:val="00EB1583"/>
    <w:rsid w:val="00EB30BF"/>
    <w:rsid w:val="00EB3C57"/>
    <w:rsid w:val="00EB56F0"/>
    <w:rsid w:val="00EB5966"/>
    <w:rsid w:val="00EB5BDE"/>
    <w:rsid w:val="00EB5E1C"/>
    <w:rsid w:val="00EB617C"/>
    <w:rsid w:val="00EB6E49"/>
    <w:rsid w:val="00EB70EC"/>
    <w:rsid w:val="00EB737A"/>
    <w:rsid w:val="00EB74A0"/>
    <w:rsid w:val="00EB756C"/>
    <w:rsid w:val="00EC0045"/>
    <w:rsid w:val="00EC0071"/>
    <w:rsid w:val="00EC00B0"/>
    <w:rsid w:val="00EC025E"/>
    <w:rsid w:val="00EC05FD"/>
    <w:rsid w:val="00EC107A"/>
    <w:rsid w:val="00EC1461"/>
    <w:rsid w:val="00EC185B"/>
    <w:rsid w:val="00EC1EBF"/>
    <w:rsid w:val="00EC202C"/>
    <w:rsid w:val="00EC28CD"/>
    <w:rsid w:val="00EC32D3"/>
    <w:rsid w:val="00EC3BC9"/>
    <w:rsid w:val="00EC4985"/>
    <w:rsid w:val="00EC4FE8"/>
    <w:rsid w:val="00EC5083"/>
    <w:rsid w:val="00EC5187"/>
    <w:rsid w:val="00EC5A40"/>
    <w:rsid w:val="00EC5B3D"/>
    <w:rsid w:val="00EC6F23"/>
    <w:rsid w:val="00EC6F72"/>
    <w:rsid w:val="00EC72E3"/>
    <w:rsid w:val="00EC74A5"/>
    <w:rsid w:val="00EC74B0"/>
    <w:rsid w:val="00EC769E"/>
    <w:rsid w:val="00EC7E1C"/>
    <w:rsid w:val="00ED15DB"/>
    <w:rsid w:val="00ED16A9"/>
    <w:rsid w:val="00ED1969"/>
    <w:rsid w:val="00ED1AD5"/>
    <w:rsid w:val="00ED1D06"/>
    <w:rsid w:val="00ED20D8"/>
    <w:rsid w:val="00ED24A2"/>
    <w:rsid w:val="00ED24F2"/>
    <w:rsid w:val="00ED2764"/>
    <w:rsid w:val="00ED3F9C"/>
    <w:rsid w:val="00ED4149"/>
    <w:rsid w:val="00ED4C5B"/>
    <w:rsid w:val="00ED548F"/>
    <w:rsid w:val="00ED68FD"/>
    <w:rsid w:val="00ED6E85"/>
    <w:rsid w:val="00ED756A"/>
    <w:rsid w:val="00ED76BF"/>
    <w:rsid w:val="00EE0150"/>
    <w:rsid w:val="00EE0533"/>
    <w:rsid w:val="00EE09C1"/>
    <w:rsid w:val="00EE0B00"/>
    <w:rsid w:val="00EE0BE7"/>
    <w:rsid w:val="00EE14A9"/>
    <w:rsid w:val="00EE1854"/>
    <w:rsid w:val="00EE1B5B"/>
    <w:rsid w:val="00EE1F43"/>
    <w:rsid w:val="00EE1FBD"/>
    <w:rsid w:val="00EE4411"/>
    <w:rsid w:val="00EE524C"/>
    <w:rsid w:val="00EE5CF3"/>
    <w:rsid w:val="00EE5E26"/>
    <w:rsid w:val="00EE5E82"/>
    <w:rsid w:val="00EE5F3E"/>
    <w:rsid w:val="00EE6817"/>
    <w:rsid w:val="00EE6B46"/>
    <w:rsid w:val="00EE6DB4"/>
    <w:rsid w:val="00EF00B0"/>
    <w:rsid w:val="00EF028D"/>
    <w:rsid w:val="00EF0B26"/>
    <w:rsid w:val="00EF0C3A"/>
    <w:rsid w:val="00EF0DE8"/>
    <w:rsid w:val="00EF10B1"/>
    <w:rsid w:val="00EF30F2"/>
    <w:rsid w:val="00EF33DE"/>
    <w:rsid w:val="00EF34BE"/>
    <w:rsid w:val="00EF3C0A"/>
    <w:rsid w:val="00EF4265"/>
    <w:rsid w:val="00EF431E"/>
    <w:rsid w:val="00EF467C"/>
    <w:rsid w:val="00EF5835"/>
    <w:rsid w:val="00EF681F"/>
    <w:rsid w:val="00EF6CF8"/>
    <w:rsid w:val="00EF78EA"/>
    <w:rsid w:val="00EF7C2A"/>
    <w:rsid w:val="00EF7F50"/>
    <w:rsid w:val="00F00B4E"/>
    <w:rsid w:val="00F01953"/>
    <w:rsid w:val="00F032BF"/>
    <w:rsid w:val="00F041B7"/>
    <w:rsid w:val="00F04703"/>
    <w:rsid w:val="00F04BEA"/>
    <w:rsid w:val="00F05196"/>
    <w:rsid w:val="00F05913"/>
    <w:rsid w:val="00F0596E"/>
    <w:rsid w:val="00F059A7"/>
    <w:rsid w:val="00F05E54"/>
    <w:rsid w:val="00F06B47"/>
    <w:rsid w:val="00F0741E"/>
    <w:rsid w:val="00F07466"/>
    <w:rsid w:val="00F077DF"/>
    <w:rsid w:val="00F0788F"/>
    <w:rsid w:val="00F07AC6"/>
    <w:rsid w:val="00F07C33"/>
    <w:rsid w:val="00F07F14"/>
    <w:rsid w:val="00F1011A"/>
    <w:rsid w:val="00F11765"/>
    <w:rsid w:val="00F11C0C"/>
    <w:rsid w:val="00F11D17"/>
    <w:rsid w:val="00F11EBB"/>
    <w:rsid w:val="00F121A3"/>
    <w:rsid w:val="00F12ADA"/>
    <w:rsid w:val="00F12D4F"/>
    <w:rsid w:val="00F13532"/>
    <w:rsid w:val="00F138D4"/>
    <w:rsid w:val="00F13B09"/>
    <w:rsid w:val="00F14125"/>
    <w:rsid w:val="00F1452F"/>
    <w:rsid w:val="00F15DD8"/>
    <w:rsid w:val="00F1700F"/>
    <w:rsid w:val="00F17632"/>
    <w:rsid w:val="00F2122D"/>
    <w:rsid w:val="00F21CFB"/>
    <w:rsid w:val="00F2342B"/>
    <w:rsid w:val="00F23A88"/>
    <w:rsid w:val="00F2462D"/>
    <w:rsid w:val="00F24705"/>
    <w:rsid w:val="00F24A36"/>
    <w:rsid w:val="00F256A1"/>
    <w:rsid w:val="00F258F3"/>
    <w:rsid w:val="00F25A84"/>
    <w:rsid w:val="00F26FBE"/>
    <w:rsid w:val="00F278DB"/>
    <w:rsid w:val="00F27CE5"/>
    <w:rsid w:val="00F303E1"/>
    <w:rsid w:val="00F305E2"/>
    <w:rsid w:val="00F30822"/>
    <w:rsid w:val="00F31A1B"/>
    <w:rsid w:val="00F320AD"/>
    <w:rsid w:val="00F32728"/>
    <w:rsid w:val="00F32A6B"/>
    <w:rsid w:val="00F32D86"/>
    <w:rsid w:val="00F332D5"/>
    <w:rsid w:val="00F3421B"/>
    <w:rsid w:val="00F3570F"/>
    <w:rsid w:val="00F35AD2"/>
    <w:rsid w:val="00F35B3B"/>
    <w:rsid w:val="00F36198"/>
    <w:rsid w:val="00F37412"/>
    <w:rsid w:val="00F37977"/>
    <w:rsid w:val="00F37B51"/>
    <w:rsid w:val="00F407D5"/>
    <w:rsid w:val="00F408A4"/>
    <w:rsid w:val="00F40E41"/>
    <w:rsid w:val="00F41A06"/>
    <w:rsid w:val="00F41DD5"/>
    <w:rsid w:val="00F420E2"/>
    <w:rsid w:val="00F420F3"/>
    <w:rsid w:val="00F43091"/>
    <w:rsid w:val="00F43768"/>
    <w:rsid w:val="00F43947"/>
    <w:rsid w:val="00F4486F"/>
    <w:rsid w:val="00F45426"/>
    <w:rsid w:val="00F4646E"/>
    <w:rsid w:val="00F476B1"/>
    <w:rsid w:val="00F4773D"/>
    <w:rsid w:val="00F4780D"/>
    <w:rsid w:val="00F47F88"/>
    <w:rsid w:val="00F50081"/>
    <w:rsid w:val="00F502D3"/>
    <w:rsid w:val="00F505FC"/>
    <w:rsid w:val="00F521E4"/>
    <w:rsid w:val="00F52A8D"/>
    <w:rsid w:val="00F52AE8"/>
    <w:rsid w:val="00F52D55"/>
    <w:rsid w:val="00F532A1"/>
    <w:rsid w:val="00F537C4"/>
    <w:rsid w:val="00F53B2C"/>
    <w:rsid w:val="00F54541"/>
    <w:rsid w:val="00F54781"/>
    <w:rsid w:val="00F54C54"/>
    <w:rsid w:val="00F55645"/>
    <w:rsid w:val="00F56B4F"/>
    <w:rsid w:val="00F570E5"/>
    <w:rsid w:val="00F571C5"/>
    <w:rsid w:val="00F575AB"/>
    <w:rsid w:val="00F57C43"/>
    <w:rsid w:val="00F602CB"/>
    <w:rsid w:val="00F60E5E"/>
    <w:rsid w:val="00F61092"/>
    <w:rsid w:val="00F612F4"/>
    <w:rsid w:val="00F620F2"/>
    <w:rsid w:val="00F6274B"/>
    <w:rsid w:val="00F63C5F"/>
    <w:rsid w:val="00F63CDF"/>
    <w:rsid w:val="00F63ECA"/>
    <w:rsid w:val="00F64447"/>
    <w:rsid w:val="00F6466B"/>
    <w:rsid w:val="00F66737"/>
    <w:rsid w:val="00F667B2"/>
    <w:rsid w:val="00F6779F"/>
    <w:rsid w:val="00F67952"/>
    <w:rsid w:val="00F67AB5"/>
    <w:rsid w:val="00F70397"/>
    <w:rsid w:val="00F703EC"/>
    <w:rsid w:val="00F7050C"/>
    <w:rsid w:val="00F706DF"/>
    <w:rsid w:val="00F70CB7"/>
    <w:rsid w:val="00F723EF"/>
    <w:rsid w:val="00F72C3E"/>
    <w:rsid w:val="00F731DA"/>
    <w:rsid w:val="00F733E6"/>
    <w:rsid w:val="00F736C9"/>
    <w:rsid w:val="00F73D54"/>
    <w:rsid w:val="00F74388"/>
    <w:rsid w:val="00F744BD"/>
    <w:rsid w:val="00F74803"/>
    <w:rsid w:val="00F75A6A"/>
    <w:rsid w:val="00F75C90"/>
    <w:rsid w:val="00F75EBD"/>
    <w:rsid w:val="00F76C05"/>
    <w:rsid w:val="00F7717A"/>
    <w:rsid w:val="00F7755B"/>
    <w:rsid w:val="00F77DF8"/>
    <w:rsid w:val="00F80471"/>
    <w:rsid w:val="00F814B8"/>
    <w:rsid w:val="00F8173B"/>
    <w:rsid w:val="00F81874"/>
    <w:rsid w:val="00F81BB7"/>
    <w:rsid w:val="00F81FEB"/>
    <w:rsid w:val="00F82199"/>
    <w:rsid w:val="00F834FA"/>
    <w:rsid w:val="00F83B5D"/>
    <w:rsid w:val="00F846AB"/>
    <w:rsid w:val="00F84F2E"/>
    <w:rsid w:val="00F862FF"/>
    <w:rsid w:val="00F8640E"/>
    <w:rsid w:val="00F868BD"/>
    <w:rsid w:val="00F86922"/>
    <w:rsid w:val="00F869A4"/>
    <w:rsid w:val="00F87EB1"/>
    <w:rsid w:val="00F902BD"/>
    <w:rsid w:val="00F904CF"/>
    <w:rsid w:val="00F910D7"/>
    <w:rsid w:val="00F91979"/>
    <w:rsid w:val="00F9361E"/>
    <w:rsid w:val="00F9652C"/>
    <w:rsid w:val="00F969A0"/>
    <w:rsid w:val="00F9707E"/>
    <w:rsid w:val="00F97A0C"/>
    <w:rsid w:val="00F97F52"/>
    <w:rsid w:val="00FA16EB"/>
    <w:rsid w:val="00FA23D6"/>
    <w:rsid w:val="00FA2F39"/>
    <w:rsid w:val="00FA3434"/>
    <w:rsid w:val="00FA37F6"/>
    <w:rsid w:val="00FA3CDD"/>
    <w:rsid w:val="00FA3D13"/>
    <w:rsid w:val="00FA4028"/>
    <w:rsid w:val="00FA4359"/>
    <w:rsid w:val="00FA44B8"/>
    <w:rsid w:val="00FA589B"/>
    <w:rsid w:val="00FA6369"/>
    <w:rsid w:val="00FA6C1A"/>
    <w:rsid w:val="00FA6DB7"/>
    <w:rsid w:val="00FA725D"/>
    <w:rsid w:val="00FB03FB"/>
    <w:rsid w:val="00FB0591"/>
    <w:rsid w:val="00FB061D"/>
    <w:rsid w:val="00FB11BE"/>
    <w:rsid w:val="00FB1BC5"/>
    <w:rsid w:val="00FB2B84"/>
    <w:rsid w:val="00FB2F02"/>
    <w:rsid w:val="00FB3DF0"/>
    <w:rsid w:val="00FB443D"/>
    <w:rsid w:val="00FB4B84"/>
    <w:rsid w:val="00FB56A6"/>
    <w:rsid w:val="00FB6626"/>
    <w:rsid w:val="00FB6CDC"/>
    <w:rsid w:val="00FB7496"/>
    <w:rsid w:val="00FC168F"/>
    <w:rsid w:val="00FC1956"/>
    <w:rsid w:val="00FC1ABF"/>
    <w:rsid w:val="00FC1BB5"/>
    <w:rsid w:val="00FC32C7"/>
    <w:rsid w:val="00FC4116"/>
    <w:rsid w:val="00FC5401"/>
    <w:rsid w:val="00FC54A9"/>
    <w:rsid w:val="00FC5B48"/>
    <w:rsid w:val="00FC6447"/>
    <w:rsid w:val="00FC690D"/>
    <w:rsid w:val="00FC71B0"/>
    <w:rsid w:val="00FC7A2C"/>
    <w:rsid w:val="00FC7E5F"/>
    <w:rsid w:val="00FD0DF5"/>
    <w:rsid w:val="00FD103D"/>
    <w:rsid w:val="00FD2CEB"/>
    <w:rsid w:val="00FD3117"/>
    <w:rsid w:val="00FD3588"/>
    <w:rsid w:val="00FD3C19"/>
    <w:rsid w:val="00FD4554"/>
    <w:rsid w:val="00FD4F17"/>
    <w:rsid w:val="00FD50BB"/>
    <w:rsid w:val="00FD608A"/>
    <w:rsid w:val="00FD63DF"/>
    <w:rsid w:val="00FD6960"/>
    <w:rsid w:val="00FD6D9A"/>
    <w:rsid w:val="00FD7511"/>
    <w:rsid w:val="00FD7AAD"/>
    <w:rsid w:val="00FE0B85"/>
    <w:rsid w:val="00FE0F3D"/>
    <w:rsid w:val="00FE1EC0"/>
    <w:rsid w:val="00FE274B"/>
    <w:rsid w:val="00FE2927"/>
    <w:rsid w:val="00FE2936"/>
    <w:rsid w:val="00FE2B61"/>
    <w:rsid w:val="00FE3238"/>
    <w:rsid w:val="00FE36D0"/>
    <w:rsid w:val="00FE37A2"/>
    <w:rsid w:val="00FE499F"/>
    <w:rsid w:val="00FE6417"/>
    <w:rsid w:val="00FE65A6"/>
    <w:rsid w:val="00FE65A9"/>
    <w:rsid w:val="00FE7EEC"/>
    <w:rsid w:val="00FF0A75"/>
    <w:rsid w:val="00FF154A"/>
    <w:rsid w:val="00FF17AB"/>
    <w:rsid w:val="00FF1836"/>
    <w:rsid w:val="00FF184C"/>
    <w:rsid w:val="00FF194A"/>
    <w:rsid w:val="00FF1B9C"/>
    <w:rsid w:val="00FF2221"/>
    <w:rsid w:val="00FF37FB"/>
    <w:rsid w:val="00FF3FDB"/>
    <w:rsid w:val="00FF517B"/>
    <w:rsid w:val="00FF5D44"/>
    <w:rsid w:val="00FF5F01"/>
    <w:rsid w:val="00FF643F"/>
    <w:rsid w:val="00FF6C44"/>
    <w:rsid w:val="00FF714D"/>
    <w:rsid w:val="00FF7C6A"/>
    <w:rsid w:val="00FF7D5F"/>
    <w:rsid w:val="010C02AA"/>
    <w:rsid w:val="01761E20"/>
    <w:rsid w:val="01A26771"/>
    <w:rsid w:val="023B6BC5"/>
    <w:rsid w:val="02A05376"/>
    <w:rsid w:val="02B95284"/>
    <w:rsid w:val="038F541B"/>
    <w:rsid w:val="03A01111"/>
    <w:rsid w:val="03E13735"/>
    <w:rsid w:val="03F4702C"/>
    <w:rsid w:val="041F054D"/>
    <w:rsid w:val="04473600"/>
    <w:rsid w:val="048F6ADF"/>
    <w:rsid w:val="04D035F5"/>
    <w:rsid w:val="050B6E9A"/>
    <w:rsid w:val="05177476"/>
    <w:rsid w:val="05957A92"/>
    <w:rsid w:val="05B61F52"/>
    <w:rsid w:val="05BF66C8"/>
    <w:rsid w:val="05D62A5F"/>
    <w:rsid w:val="060E3837"/>
    <w:rsid w:val="06797B51"/>
    <w:rsid w:val="069158AE"/>
    <w:rsid w:val="06DF2215"/>
    <w:rsid w:val="070752C8"/>
    <w:rsid w:val="07750484"/>
    <w:rsid w:val="08674270"/>
    <w:rsid w:val="0895676B"/>
    <w:rsid w:val="08986F03"/>
    <w:rsid w:val="08DC4C5E"/>
    <w:rsid w:val="09F2400E"/>
    <w:rsid w:val="0A7333A0"/>
    <w:rsid w:val="0B2A4141"/>
    <w:rsid w:val="0B534F80"/>
    <w:rsid w:val="0B8701D2"/>
    <w:rsid w:val="0BB772BD"/>
    <w:rsid w:val="0BBE064B"/>
    <w:rsid w:val="0C37674B"/>
    <w:rsid w:val="0CE42333"/>
    <w:rsid w:val="0D3861DB"/>
    <w:rsid w:val="0D3C0F7B"/>
    <w:rsid w:val="0D847672"/>
    <w:rsid w:val="0E55371B"/>
    <w:rsid w:val="0E57521D"/>
    <w:rsid w:val="0EB319AD"/>
    <w:rsid w:val="0F0D292C"/>
    <w:rsid w:val="10AF0EAA"/>
    <w:rsid w:val="10BE10ED"/>
    <w:rsid w:val="10EC5C5A"/>
    <w:rsid w:val="11514EC7"/>
    <w:rsid w:val="11F30AA2"/>
    <w:rsid w:val="12173925"/>
    <w:rsid w:val="127A1044"/>
    <w:rsid w:val="129C1D6E"/>
    <w:rsid w:val="12C86253"/>
    <w:rsid w:val="12E070F9"/>
    <w:rsid w:val="13101D0E"/>
    <w:rsid w:val="13251E1F"/>
    <w:rsid w:val="13440467"/>
    <w:rsid w:val="134625A4"/>
    <w:rsid w:val="139D148E"/>
    <w:rsid w:val="144D6A10"/>
    <w:rsid w:val="14E22005"/>
    <w:rsid w:val="14E47969"/>
    <w:rsid w:val="158C2764"/>
    <w:rsid w:val="159643E7"/>
    <w:rsid w:val="16096967"/>
    <w:rsid w:val="16401419"/>
    <w:rsid w:val="16563D34"/>
    <w:rsid w:val="1696388A"/>
    <w:rsid w:val="17471E3D"/>
    <w:rsid w:val="17E31439"/>
    <w:rsid w:val="182C5699"/>
    <w:rsid w:val="18C9274F"/>
    <w:rsid w:val="190A0F64"/>
    <w:rsid w:val="19AC26A4"/>
    <w:rsid w:val="1A09570F"/>
    <w:rsid w:val="1A141D7E"/>
    <w:rsid w:val="1A381C2E"/>
    <w:rsid w:val="1A6745A4"/>
    <w:rsid w:val="1ACE2B10"/>
    <w:rsid w:val="1AD459DC"/>
    <w:rsid w:val="1B076102"/>
    <w:rsid w:val="1B1C538E"/>
    <w:rsid w:val="1B23671D"/>
    <w:rsid w:val="1B4C5230"/>
    <w:rsid w:val="1C183DA8"/>
    <w:rsid w:val="1C362480"/>
    <w:rsid w:val="1C5F5CA5"/>
    <w:rsid w:val="1C7F3E27"/>
    <w:rsid w:val="1D0970D3"/>
    <w:rsid w:val="1DB51187"/>
    <w:rsid w:val="1DC87ED6"/>
    <w:rsid w:val="1E5D1F46"/>
    <w:rsid w:val="1F454BE6"/>
    <w:rsid w:val="1F4667C2"/>
    <w:rsid w:val="1F545D03"/>
    <w:rsid w:val="1F787EBF"/>
    <w:rsid w:val="1F9A4AD4"/>
    <w:rsid w:val="1FB57B5F"/>
    <w:rsid w:val="20547378"/>
    <w:rsid w:val="20914EF8"/>
    <w:rsid w:val="20A43E5C"/>
    <w:rsid w:val="20B147CB"/>
    <w:rsid w:val="20B94FE6"/>
    <w:rsid w:val="20E71F9A"/>
    <w:rsid w:val="222C6D2E"/>
    <w:rsid w:val="227D6FB3"/>
    <w:rsid w:val="22B71C07"/>
    <w:rsid w:val="22E23B08"/>
    <w:rsid w:val="22F43BF4"/>
    <w:rsid w:val="234A59A0"/>
    <w:rsid w:val="235D4796"/>
    <w:rsid w:val="23C10881"/>
    <w:rsid w:val="23FF13A9"/>
    <w:rsid w:val="256270E3"/>
    <w:rsid w:val="256F255E"/>
    <w:rsid w:val="25C96113"/>
    <w:rsid w:val="26213859"/>
    <w:rsid w:val="263C2D81"/>
    <w:rsid w:val="266E541F"/>
    <w:rsid w:val="268B161A"/>
    <w:rsid w:val="26B50B9A"/>
    <w:rsid w:val="26BE379D"/>
    <w:rsid w:val="26C16DEA"/>
    <w:rsid w:val="27182FD4"/>
    <w:rsid w:val="272E0923"/>
    <w:rsid w:val="274D5008"/>
    <w:rsid w:val="2753282F"/>
    <w:rsid w:val="277C1CB6"/>
    <w:rsid w:val="27CD1EEF"/>
    <w:rsid w:val="281713B7"/>
    <w:rsid w:val="28377363"/>
    <w:rsid w:val="2860099E"/>
    <w:rsid w:val="28706D19"/>
    <w:rsid w:val="28E53263"/>
    <w:rsid w:val="292B5DF8"/>
    <w:rsid w:val="29387837"/>
    <w:rsid w:val="294B5D88"/>
    <w:rsid w:val="29A53780"/>
    <w:rsid w:val="29D15596"/>
    <w:rsid w:val="2AA93985"/>
    <w:rsid w:val="2AE8703B"/>
    <w:rsid w:val="2B034509"/>
    <w:rsid w:val="2B463886"/>
    <w:rsid w:val="2BC058C2"/>
    <w:rsid w:val="2BF0264B"/>
    <w:rsid w:val="2BFD6B16"/>
    <w:rsid w:val="2C296719"/>
    <w:rsid w:val="2C35307A"/>
    <w:rsid w:val="2C972DA0"/>
    <w:rsid w:val="2CBA420E"/>
    <w:rsid w:val="2D1B54A6"/>
    <w:rsid w:val="2E3C1B78"/>
    <w:rsid w:val="2E6B5FB9"/>
    <w:rsid w:val="2EC61441"/>
    <w:rsid w:val="2F555061"/>
    <w:rsid w:val="2F8F10FF"/>
    <w:rsid w:val="2FB65B9E"/>
    <w:rsid w:val="2FC54455"/>
    <w:rsid w:val="300E12F2"/>
    <w:rsid w:val="301B3A0F"/>
    <w:rsid w:val="30223C02"/>
    <w:rsid w:val="30463939"/>
    <w:rsid w:val="30E634B0"/>
    <w:rsid w:val="3123252F"/>
    <w:rsid w:val="31264419"/>
    <w:rsid w:val="315653E4"/>
    <w:rsid w:val="315A2315"/>
    <w:rsid w:val="315E3BB3"/>
    <w:rsid w:val="318D26EA"/>
    <w:rsid w:val="31C917FE"/>
    <w:rsid w:val="31D10829"/>
    <w:rsid w:val="321E77E6"/>
    <w:rsid w:val="32D57EA5"/>
    <w:rsid w:val="335F3C12"/>
    <w:rsid w:val="33F60B22"/>
    <w:rsid w:val="344243BC"/>
    <w:rsid w:val="344E6452"/>
    <w:rsid w:val="348F6779"/>
    <w:rsid w:val="34B728BD"/>
    <w:rsid w:val="34BA2473"/>
    <w:rsid w:val="34C75F13"/>
    <w:rsid w:val="34CB5A03"/>
    <w:rsid w:val="34FD36E3"/>
    <w:rsid w:val="35AB1686"/>
    <w:rsid w:val="35BE0A3B"/>
    <w:rsid w:val="36323860"/>
    <w:rsid w:val="36401AD9"/>
    <w:rsid w:val="36637D50"/>
    <w:rsid w:val="37272C1E"/>
    <w:rsid w:val="373B58CD"/>
    <w:rsid w:val="374C0952"/>
    <w:rsid w:val="379A3C68"/>
    <w:rsid w:val="37A17316"/>
    <w:rsid w:val="37B207B5"/>
    <w:rsid w:val="37E91363"/>
    <w:rsid w:val="38B1570F"/>
    <w:rsid w:val="38B95B73"/>
    <w:rsid w:val="38C1190F"/>
    <w:rsid w:val="38DF436A"/>
    <w:rsid w:val="392D2345"/>
    <w:rsid w:val="397C551E"/>
    <w:rsid w:val="397E0A00"/>
    <w:rsid w:val="39B90520"/>
    <w:rsid w:val="39BC591B"/>
    <w:rsid w:val="39E135D3"/>
    <w:rsid w:val="3A7C46B2"/>
    <w:rsid w:val="3ABC7B9C"/>
    <w:rsid w:val="3AC8766C"/>
    <w:rsid w:val="3ADD36E4"/>
    <w:rsid w:val="3AF45588"/>
    <w:rsid w:val="3AF92B9E"/>
    <w:rsid w:val="3B1D23BA"/>
    <w:rsid w:val="3B250D52"/>
    <w:rsid w:val="3B3911ED"/>
    <w:rsid w:val="3B491094"/>
    <w:rsid w:val="3B691AD2"/>
    <w:rsid w:val="3BF07AFD"/>
    <w:rsid w:val="3C812E4B"/>
    <w:rsid w:val="3D17266E"/>
    <w:rsid w:val="3D436353"/>
    <w:rsid w:val="3D6D517E"/>
    <w:rsid w:val="3DB35286"/>
    <w:rsid w:val="3DBC4045"/>
    <w:rsid w:val="3E85182D"/>
    <w:rsid w:val="3EBA30EE"/>
    <w:rsid w:val="40955117"/>
    <w:rsid w:val="40D9705C"/>
    <w:rsid w:val="41390D56"/>
    <w:rsid w:val="41C932CA"/>
    <w:rsid w:val="423A2BD3"/>
    <w:rsid w:val="42471B37"/>
    <w:rsid w:val="42903DE8"/>
    <w:rsid w:val="42FB0A4C"/>
    <w:rsid w:val="432A5FEB"/>
    <w:rsid w:val="434370AD"/>
    <w:rsid w:val="43D2038C"/>
    <w:rsid w:val="43E73EDC"/>
    <w:rsid w:val="440A3494"/>
    <w:rsid w:val="442360A8"/>
    <w:rsid w:val="4467501D"/>
    <w:rsid w:val="44CD1324"/>
    <w:rsid w:val="45233473"/>
    <w:rsid w:val="45371880"/>
    <w:rsid w:val="45496339"/>
    <w:rsid w:val="45A656D1"/>
    <w:rsid w:val="45C73FC5"/>
    <w:rsid w:val="45DF2FE0"/>
    <w:rsid w:val="46945619"/>
    <w:rsid w:val="4737240B"/>
    <w:rsid w:val="47F866B8"/>
    <w:rsid w:val="482A2CA1"/>
    <w:rsid w:val="483376F0"/>
    <w:rsid w:val="48AE321A"/>
    <w:rsid w:val="492B486B"/>
    <w:rsid w:val="49357497"/>
    <w:rsid w:val="49A45B5C"/>
    <w:rsid w:val="49A81A17"/>
    <w:rsid w:val="49DF11B1"/>
    <w:rsid w:val="4A2937E2"/>
    <w:rsid w:val="4AC4402F"/>
    <w:rsid w:val="4B87799C"/>
    <w:rsid w:val="4B8A1D1C"/>
    <w:rsid w:val="4BCA05DC"/>
    <w:rsid w:val="4BF0032F"/>
    <w:rsid w:val="4C6B780F"/>
    <w:rsid w:val="4CA1649F"/>
    <w:rsid w:val="4CA839D7"/>
    <w:rsid w:val="4D3218C2"/>
    <w:rsid w:val="4DB35F19"/>
    <w:rsid w:val="4DB96AE9"/>
    <w:rsid w:val="4E021312"/>
    <w:rsid w:val="4E6B4CDD"/>
    <w:rsid w:val="4E8C5D65"/>
    <w:rsid w:val="4EA43EFD"/>
    <w:rsid w:val="4EB3158A"/>
    <w:rsid w:val="4F2F40B5"/>
    <w:rsid w:val="4F6775C9"/>
    <w:rsid w:val="4F6B3C13"/>
    <w:rsid w:val="4F8F6AD2"/>
    <w:rsid w:val="4FAE1D52"/>
    <w:rsid w:val="4FCB33AA"/>
    <w:rsid w:val="4FD14235"/>
    <w:rsid w:val="4FEF53D0"/>
    <w:rsid w:val="50E83EC0"/>
    <w:rsid w:val="50F10148"/>
    <w:rsid w:val="52055852"/>
    <w:rsid w:val="52285DEB"/>
    <w:rsid w:val="52383978"/>
    <w:rsid w:val="524A02D1"/>
    <w:rsid w:val="528261F1"/>
    <w:rsid w:val="52927709"/>
    <w:rsid w:val="52B61649"/>
    <w:rsid w:val="52E15F9A"/>
    <w:rsid w:val="52E8032A"/>
    <w:rsid w:val="52ED287F"/>
    <w:rsid w:val="531C7D89"/>
    <w:rsid w:val="53D31D87"/>
    <w:rsid w:val="543B6D42"/>
    <w:rsid w:val="54D44008"/>
    <w:rsid w:val="556D1D67"/>
    <w:rsid w:val="55A021A2"/>
    <w:rsid w:val="55DC3FD5"/>
    <w:rsid w:val="55F81F79"/>
    <w:rsid w:val="563B19F4"/>
    <w:rsid w:val="5689497F"/>
    <w:rsid w:val="574D00A2"/>
    <w:rsid w:val="577D0987"/>
    <w:rsid w:val="59D93E6F"/>
    <w:rsid w:val="59DA4191"/>
    <w:rsid w:val="59E978DD"/>
    <w:rsid w:val="5A084FC7"/>
    <w:rsid w:val="5A726088"/>
    <w:rsid w:val="5AD84127"/>
    <w:rsid w:val="5B1F7B09"/>
    <w:rsid w:val="5B5E63DA"/>
    <w:rsid w:val="5B6063A8"/>
    <w:rsid w:val="5C0F51D6"/>
    <w:rsid w:val="5C266C5B"/>
    <w:rsid w:val="5C2C5472"/>
    <w:rsid w:val="5C8178FE"/>
    <w:rsid w:val="5C910581"/>
    <w:rsid w:val="5CB63FF4"/>
    <w:rsid w:val="5CE2303B"/>
    <w:rsid w:val="5D9B2D51"/>
    <w:rsid w:val="5DC15346"/>
    <w:rsid w:val="5F100333"/>
    <w:rsid w:val="5F943DA1"/>
    <w:rsid w:val="5F950838"/>
    <w:rsid w:val="5F9E7398"/>
    <w:rsid w:val="5FAD5B82"/>
    <w:rsid w:val="607246D5"/>
    <w:rsid w:val="60F77D06"/>
    <w:rsid w:val="61310BF4"/>
    <w:rsid w:val="615269E1"/>
    <w:rsid w:val="615D7134"/>
    <w:rsid w:val="61761FA3"/>
    <w:rsid w:val="61D6188B"/>
    <w:rsid w:val="62614A02"/>
    <w:rsid w:val="627503B5"/>
    <w:rsid w:val="63336361"/>
    <w:rsid w:val="63AB0246"/>
    <w:rsid w:val="6497295D"/>
    <w:rsid w:val="64CB1E9E"/>
    <w:rsid w:val="64FF2EA9"/>
    <w:rsid w:val="66007FA8"/>
    <w:rsid w:val="665054B9"/>
    <w:rsid w:val="666F397B"/>
    <w:rsid w:val="66836FBD"/>
    <w:rsid w:val="668F5FE1"/>
    <w:rsid w:val="66A03D4A"/>
    <w:rsid w:val="66AE4673"/>
    <w:rsid w:val="66CE47A9"/>
    <w:rsid w:val="67000C8D"/>
    <w:rsid w:val="67FC76A6"/>
    <w:rsid w:val="6828211C"/>
    <w:rsid w:val="684921C0"/>
    <w:rsid w:val="68B24209"/>
    <w:rsid w:val="68DE733A"/>
    <w:rsid w:val="69342E70"/>
    <w:rsid w:val="695157D0"/>
    <w:rsid w:val="698834E3"/>
    <w:rsid w:val="6A1707C7"/>
    <w:rsid w:val="6A261FFA"/>
    <w:rsid w:val="6A48608D"/>
    <w:rsid w:val="6A5E356A"/>
    <w:rsid w:val="6AFA5417"/>
    <w:rsid w:val="6B680BAF"/>
    <w:rsid w:val="6B6A4927"/>
    <w:rsid w:val="6B961BC0"/>
    <w:rsid w:val="6C127D27"/>
    <w:rsid w:val="6C354F35"/>
    <w:rsid w:val="6D133BE5"/>
    <w:rsid w:val="6D214A1F"/>
    <w:rsid w:val="6D2D7C4D"/>
    <w:rsid w:val="6D761CA9"/>
    <w:rsid w:val="6E564C9D"/>
    <w:rsid w:val="6E865F1C"/>
    <w:rsid w:val="6EA41EA3"/>
    <w:rsid w:val="6EC30F1E"/>
    <w:rsid w:val="6EDE7B06"/>
    <w:rsid w:val="6F3B3759"/>
    <w:rsid w:val="6FC01934"/>
    <w:rsid w:val="6FEF189F"/>
    <w:rsid w:val="70076BE8"/>
    <w:rsid w:val="701D465E"/>
    <w:rsid w:val="70313C65"/>
    <w:rsid w:val="709E5098"/>
    <w:rsid w:val="70AE175A"/>
    <w:rsid w:val="71E71C37"/>
    <w:rsid w:val="71EE385B"/>
    <w:rsid w:val="721D416D"/>
    <w:rsid w:val="721F3C46"/>
    <w:rsid w:val="729A1F96"/>
    <w:rsid w:val="72BA43E6"/>
    <w:rsid w:val="72C45265"/>
    <w:rsid w:val="72EA6EEF"/>
    <w:rsid w:val="72F378F8"/>
    <w:rsid w:val="730833A3"/>
    <w:rsid w:val="73117D7E"/>
    <w:rsid w:val="734D7198"/>
    <w:rsid w:val="737A01A3"/>
    <w:rsid w:val="73814F04"/>
    <w:rsid w:val="74186ED0"/>
    <w:rsid w:val="74B33C04"/>
    <w:rsid w:val="74D53014"/>
    <w:rsid w:val="750862B4"/>
    <w:rsid w:val="75567199"/>
    <w:rsid w:val="75BC3FB3"/>
    <w:rsid w:val="75EA2FC5"/>
    <w:rsid w:val="75ED062E"/>
    <w:rsid w:val="75F61BD9"/>
    <w:rsid w:val="76116A13"/>
    <w:rsid w:val="763B54E9"/>
    <w:rsid w:val="76530DD9"/>
    <w:rsid w:val="76ED1619"/>
    <w:rsid w:val="782407F3"/>
    <w:rsid w:val="786C7F30"/>
    <w:rsid w:val="786F522E"/>
    <w:rsid w:val="78770683"/>
    <w:rsid w:val="78DC45ED"/>
    <w:rsid w:val="78E0447A"/>
    <w:rsid w:val="78FA19E0"/>
    <w:rsid w:val="790939D1"/>
    <w:rsid w:val="7999141E"/>
    <w:rsid w:val="79B73F9E"/>
    <w:rsid w:val="79B87C50"/>
    <w:rsid w:val="7A0B3779"/>
    <w:rsid w:val="7A523D9A"/>
    <w:rsid w:val="7AA65250"/>
    <w:rsid w:val="7AF16E13"/>
    <w:rsid w:val="7AF949CB"/>
    <w:rsid w:val="7B5B5D25"/>
    <w:rsid w:val="7BDA540C"/>
    <w:rsid w:val="7C1D7921"/>
    <w:rsid w:val="7C3612D6"/>
    <w:rsid w:val="7C931AAC"/>
    <w:rsid w:val="7CA3405B"/>
    <w:rsid w:val="7CD2057E"/>
    <w:rsid w:val="7CD91059"/>
    <w:rsid w:val="7D2012E9"/>
    <w:rsid w:val="7D276B1C"/>
    <w:rsid w:val="7DA21D8D"/>
    <w:rsid w:val="7E0D45E7"/>
    <w:rsid w:val="7EF649F8"/>
    <w:rsid w:val="7F1C1F84"/>
    <w:rsid w:val="7F594F87"/>
    <w:rsid w:val="7FCA1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0" w:name="HTML Acronym"/>
    <w:lsdException w:qFormat="1" w:unhideWhenUsed="0" w:uiPriority="0" w:semiHidden="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b/>
      <w:kern w:val="2"/>
      <w:sz w:val="21"/>
      <w:szCs w:val="24"/>
      <w:u w:color="FF0000"/>
      <w:lang w:val="en-US" w:eastAsia="zh-CN" w:bidi="ar-SA"/>
    </w:rPr>
  </w:style>
  <w:style w:type="paragraph" w:styleId="5">
    <w:name w:val="heading 1"/>
    <w:basedOn w:val="1"/>
    <w:next w:val="1"/>
    <w:link w:val="101"/>
    <w:qFormat/>
    <w:uiPriority w:val="0"/>
    <w:pPr>
      <w:keepNext/>
      <w:spacing w:line="360" w:lineRule="auto"/>
      <w:outlineLvl w:val="0"/>
    </w:pPr>
    <w:rPr>
      <w:rFonts w:eastAsia="仿宋_GB2312"/>
      <w:sz w:val="44"/>
    </w:rPr>
  </w:style>
  <w:style w:type="paragraph" w:styleId="6">
    <w:name w:val="heading 2"/>
    <w:basedOn w:val="1"/>
    <w:next w:val="1"/>
    <w:link w:val="102"/>
    <w:qFormat/>
    <w:uiPriority w:val="0"/>
    <w:pPr>
      <w:keepNext/>
      <w:keepLines/>
      <w:widowControl/>
      <w:spacing w:line="360" w:lineRule="auto"/>
      <w:jc w:val="left"/>
      <w:outlineLvl w:val="1"/>
    </w:pPr>
    <w:rPr>
      <w:rFonts w:ascii="宋体" w:hAnsi="Arial" w:eastAsia="仿宋_GB2312"/>
      <w:kern w:val="0"/>
      <w:sz w:val="30"/>
      <w:szCs w:val="20"/>
    </w:rPr>
  </w:style>
  <w:style w:type="paragraph" w:styleId="7">
    <w:name w:val="heading 3"/>
    <w:basedOn w:val="1"/>
    <w:next w:val="1"/>
    <w:link w:val="103"/>
    <w:qFormat/>
    <w:uiPriority w:val="0"/>
    <w:pPr>
      <w:keepNext/>
      <w:keepLines/>
      <w:widowControl/>
      <w:spacing w:line="360" w:lineRule="auto"/>
      <w:jc w:val="left"/>
      <w:outlineLvl w:val="2"/>
    </w:pPr>
    <w:rPr>
      <w:rFonts w:eastAsia="仿宋_GB2312"/>
      <w:bCs/>
      <w:sz w:val="28"/>
    </w:rPr>
  </w:style>
  <w:style w:type="paragraph" w:styleId="8">
    <w:name w:val="heading 4"/>
    <w:basedOn w:val="1"/>
    <w:next w:val="1"/>
    <w:link w:val="104"/>
    <w:qFormat/>
    <w:uiPriority w:val="0"/>
    <w:pPr>
      <w:keepNext/>
      <w:keepLines/>
      <w:widowControl/>
      <w:spacing w:before="280" w:after="290" w:line="376" w:lineRule="auto"/>
      <w:jc w:val="left"/>
      <w:outlineLvl w:val="3"/>
    </w:pPr>
    <w:rPr>
      <w:rFonts w:ascii="Arial" w:hAnsi="Arial"/>
      <w:b w:val="0"/>
      <w:bCs/>
      <w:kern w:val="0"/>
      <w:sz w:val="28"/>
      <w:szCs w:val="20"/>
    </w:rPr>
  </w:style>
  <w:style w:type="paragraph" w:styleId="9">
    <w:name w:val="heading 5"/>
    <w:basedOn w:val="1"/>
    <w:next w:val="1"/>
    <w:link w:val="105"/>
    <w:qFormat/>
    <w:uiPriority w:val="0"/>
    <w:pPr>
      <w:keepNext/>
      <w:keepLines/>
      <w:widowControl/>
      <w:spacing w:before="280" w:after="290" w:line="376" w:lineRule="auto"/>
      <w:jc w:val="left"/>
      <w:outlineLvl w:val="4"/>
    </w:pPr>
    <w:rPr>
      <w:b w:val="0"/>
      <w:kern w:val="0"/>
      <w:sz w:val="28"/>
      <w:szCs w:val="20"/>
    </w:rPr>
  </w:style>
  <w:style w:type="paragraph" w:styleId="10">
    <w:name w:val="heading 6"/>
    <w:basedOn w:val="1"/>
    <w:next w:val="1"/>
    <w:link w:val="106"/>
    <w:qFormat/>
    <w:uiPriority w:val="0"/>
    <w:pPr>
      <w:keepNext/>
      <w:spacing w:line="360" w:lineRule="auto"/>
      <w:jc w:val="center"/>
      <w:outlineLvl w:val="5"/>
    </w:pPr>
    <w:rPr>
      <w:b w:val="0"/>
      <w:bCs/>
      <w:sz w:val="28"/>
    </w:rPr>
  </w:style>
  <w:style w:type="paragraph" w:styleId="11">
    <w:name w:val="heading 7"/>
    <w:basedOn w:val="1"/>
    <w:next w:val="1"/>
    <w:link w:val="107"/>
    <w:qFormat/>
    <w:uiPriority w:val="0"/>
    <w:pPr>
      <w:keepNext/>
      <w:outlineLvl w:val="6"/>
    </w:pPr>
    <w:rPr>
      <w:sz w:val="15"/>
    </w:rPr>
  </w:style>
  <w:style w:type="paragraph" w:styleId="12">
    <w:name w:val="heading 8"/>
    <w:basedOn w:val="1"/>
    <w:next w:val="1"/>
    <w:link w:val="262"/>
    <w:qFormat/>
    <w:uiPriority w:val="0"/>
    <w:pPr>
      <w:keepNext/>
      <w:keepLines/>
      <w:adjustRightInd w:val="0"/>
      <w:spacing w:before="240" w:after="64" w:line="320" w:lineRule="atLeast"/>
      <w:textAlignment w:val="baseline"/>
      <w:outlineLvl w:val="7"/>
    </w:pPr>
    <w:rPr>
      <w:rFonts w:ascii="Arial" w:hAnsi="Arial" w:eastAsia="黑体"/>
      <w:b w:val="0"/>
      <w:kern w:val="0"/>
      <w:sz w:val="24"/>
      <w:szCs w:val="20"/>
    </w:rPr>
  </w:style>
  <w:style w:type="paragraph" w:styleId="13">
    <w:name w:val="heading 9"/>
    <w:basedOn w:val="1"/>
    <w:next w:val="1"/>
    <w:link w:val="263"/>
    <w:qFormat/>
    <w:uiPriority w:val="0"/>
    <w:pPr>
      <w:keepNext/>
      <w:keepLines/>
      <w:adjustRightInd w:val="0"/>
      <w:spacing w:before="240" w:after="64" w:line="320" w:lineRule="atLeast"/>
      <w:textAlignment w:val="baseline"/>
      <w:outlineLvl w:val="8"/>
    </w:pPr>
    <w:rPr>
      <w:rFonts w:ascii="Arial" w:hAnsi="Arial" w:eastAsia="黑体"/>
      <w:b w:val="0"/>
      <w:kern w:val="0"/>
      <w:sz w:val="28"/>
      <w:szCs w:val="20"/>
    </w:rPr>
  </w:style>
  <w:style w:type="character" w:default="1" w:styleId="9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334"/>
    <w:qFormat/>
    <w:uiPriority w:val="0"/>
    <w:pPr>
      <w:ind w:firstLine="420" w:firstLineChars="200"/>
    </w:pPr>
  </w:style>
  <w:style w:type="paragraph" w:styleId="3">
    <w:name w:val="Body Text Indent"/>
    <w:basedOn w:val="1"/>
    <w:link w:val="100"/>
    <w:qFormat/>
    <w:uiPriority w:val="99"/>
    <w:pPr>
      <w:widowControl/>
      <w:spacing w:line="360" w:lineRule="auto"/>
      <w:ind w:firstLine="570"/>
    </w:pPr>
    <w:rPr>
      <w:rFonts w:eastAsia="隶书"/>
      <w:kern w:val="0"/>
      <w:sz w:val="28"/>
      <w:szCs w:val="20"/>
    </w:rPr>
  </w:style>
  <w:style w:type="paragraph" w:styleId="4">
    <w:name w:val="macro"/>
    <w:link w:val="519"/>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autoRedefine/>
    <w:qFormat/>
    <w:uiPriority w:val="0"/>
    <w:pPr>
      <w:ind w:left="100" w:leftChars="400" w:hanging="200" w:hangingChars="200"/>
      <w:contextualSpacing/>
    </w:pPr>
    <w:rPr>
      <w:rFonts w:ascii="Times New Roman" w:hAnsi="Times New Roman"/>
      <w:b w:val="0"/>
      <w:szCs w:val="20"/>
    </w:rPr>
  </w:style>
  <w:style w:type="paragraph" w:styleId="15">
    <w:name w:val="toc 7"/>
    <w:basedOn w:val="1"/>
    <w:next w:val="1"/>
    <w:qFormat/>
    <w:uiPriority w:val="39"/>
    <w:pPr>
      <w:ind w:left="1260"/>
      <w:jc w:val="left"/>
    </w:pPr>
    <w:rPr>
      <w:rFonts w:cs="Calibri"/>
      <w:b w:val="0"/>
      <w:sz w:val="18"/>
      <w:szCs w:val="18"/>
    </w:rPr>
  </w:style>
  <w:style w:type="paragraph" w:styleId="16">
    <w:name w:val="List Number 2"/>
    <w:basedOn w:val="1"/>
    <w:autoRedefine/>
    <w:qFormat/>
    <w:uiPriority w:val="0"/>
    <w:pPr>
      <w:numPr>
        <w:ilvl w:val="0"/>
        <w:numId w:val="1"/>
      </w:numPr>
      <w:tabs>
        <w:tab w:val="left" w:pos="780"/>
      </w:tabs>
      <w:contextualSpacing/>
    </w:pPr>
    <w:rPr>
      <w:rFonts w:ascii="Times New Roman" w:hAnsi="Times New Roman"/>
      <w:b w:val="0"/>
      <w:szCs w:val="20"/>
    </w:rPr>
  </w:style>
  <w:style w:type="paragraph" w:styleId="17">
    <w:name w:val="table of authorities"/>
    <w:basedOn w:val="1"/>
    <w:next w:val="1"/>
    <w:autoRedefine/>
    <w:qFormat/>
    <w:uiPriority w:val="0"/>
    <w:pPr>
      <w:ind w:left="420" w:leftChars="200"/>
    </w:pPr>
    <w:rPr>
      <w:rFonts w:ascii="Times New Roman" w:hAnsi="Times New Roman"/>
      <w:b w:val="0"/>
      <w:szCs w:val="20"/>
    </w:rPr>
  </w:style>
  <w:style w:type="paragraph" w:styleId="18">
    <w:name w:val="Note Heading"/>
    <w:basedOn w:val="1"/>
    <w:next w:val="1"/>
    <w:link w:val="482"/>
    <w:qFormat/>
    <w:uiPriority w:val="0"/>
    <w:pPr>
      <w:jc w:val="center"/>
    </w:pPr>
    <w:rPr>
      <w:rFonts w:ascii="宋体" w:hAnsi="Times New Roman"/>
      <w:b w:val="0"/>
      <w:szCs w:val="20"/>
    </w:rPr>
  </w:style>
  <w:style w:type="paragraph" w:styleId="19">
    <w:name w:val="List Bullet 4"/>
    <w:basedOn w:val="1"/>
    <w:autoRedefine/>
    <w:qFormat/>
    <w:uiPriority w:val="0"/>
    <w:pPr>
      <w:tabs>
        <w:tab w:val="left" w:pos="1620"/>
      </w:tabs>
      <w:ind w:left="360" w:hanging="360"/>
      <w:contextualSpacing/>
    </w:pPr>
    <w:rPr>
      <w:rFonts w:ascii="Times New Roman" w:hAnsi="Times New Roman"/>
      <w:b w:val="0"/>
      <w:szCs w:val="20"/>
    </w:rPr>
  </w:style>
  <w:style w:type="paragraph" w:styleId="20">
    <w:name w:val="index 8"/>
    <w:basedOn w:val="1"/>
    <w:next w:val="1"/>
    <w:link w:val="528"/>
    <w:qFormat/>
    <w:uiPriority w:val="0"/>
    <w:pPr>
      <w:ind w:firstLine="538" w:firstLineChars="192"/>
    </w:pPr>
    <w:rPr>
      <w:rFonts w:ascii="Times New Roman" w:hAnsi="Times New Roman"/>
      <w:b w:val="0"/>
      <w:sz w:val="28"/>
      <w:szCs w:val="20"/>
    </w:rPr>
  </w:style>
  <w:style w:type="paragraph" w:styleId="21">
    <w:name w:val="E-mail Signature"/>
    <w:basedOn w:val="1"/>
    <w:link w:val="520"/>
    <w:autoRedefine/>
    <w:qFormat/>
    <w:uiPriority w:val="0"/>
    <w:rPr>
      <w:rFonts w:ascii="Times New Roman" w:hAnsi="Times New Roman"/>
      <w:b w:val="0"/>
      <w:szCs w:val="20"/>
    </w:rPr>
  </w:style>
  <w:style w:type="paragraph" w:styleId="22">
    <w:name w:val="List Number"/>
    <w:basedOn w:val="1"/>
    <w:qFormat/>
    <w:uiPriority w:val="0"/>
    <w:pPr>
      <w:numPr>
        <w:ilvl w:val="0"/>
        <w:numId w:val="2"/>
      </w:numPr>
      <w:tabs>
        <w:tab w:val="left" w:pos="360"/>
      </w:tabs>
      <w:contextualSpacing/>
    </w:pPr>
    <w:rPr>
      <w:rFonts w:ascii="Times New Roman" w:hAnsi="Times New Roman"/>
      <w:b w:val="0"/>
      <w:szCs w:val="20"/>
    </w:rPr>
  </w:style>
  <w:style w:type="paragraph" w:styleId="23">
    <w:name w:val="Normal Indent"/>
    <w:basedOn w:val="1"/>
    <w:qFormat/>
    <w:uiPriority w:val="0"/>
    <w:pPr>
      <w:widowControl/>
      <w:spacing w:line="360" w:lineRule="auto"/>
      <w:ind w:firstLine="560" w:firstLineChars="200"/>
      <w:jc w:val="left"/>
    </w:pPr>
    <w:rPr>
      <w:kern w:val="0"/>
      <w:sz w:val="28"/>
      <w:szCs w:val="20"/>
    </w:rPr>
  </w:style>
  <w:style w:type="paragraph" w:styleId="24">
    <w:name w:val="caption"/>
    <w:basedOn w:val="1"/>
    <w:next w:val="1"/>
    <w:qFormat/>
    <w:uiPriority w:val="0"/>
    <w:pPr>
      <w:spacing w:before="152" w:after="160"/>
    </w:pPr>
    <w:rPr>
      <w:rFonts w:ascii="Arial" w:hAnsi="Arial" w:eastAsia="黑体" w:cs="Arial"/>
      <w:b w:val="0"/>
      <w:sz w:val="20"/>
      <w:szCs w:val="20"/>
    </w:rPr>
  </w:style>
  <w:style w:type="paragraph" w:styleId="25">
    <w:name w:val="index 5"/>
    <w:basedOn w:val="1"/>
    <w:next w:val="1"/>
    <w:autoRedefine/>
    <w:qFormat/>
    <w:uiPriority w:val="0"/>
    <w:pPr>
      <w:ind w:left="800" w:leftChars="800"/>
    </w:pPr>
    <w:rPr>
      <w:rFonts w:ascii="Times New Roman" w:hAnsi="Times New Roman"/>
      <w:b w:val="0"/>
      <w:szCs w:val="20"/>
    </w:rPr>
  </w:style>
  <w:style w:type="paragraph" w:styleId="26">
    <w:name w:val="List Bullet"/>
    <w:basedOn w:val="1"/>
    <w:autoRedefine/>
    <w:qFormat/>
    <w:uiPriority w:val="0"/>
    <w:pPr>
      <w:numPr>
        <w:ilvl w:val="0"/>
        <w:numId w:val="3"/>
      </w:numPr>
      <w:tabs>
        <w:tab w:val="left" w:pos="360"/>
      </w:tabs>
      <w:contextualSpacing/>
    </w:pPr>
    <w:rPr>
      <w:rFonts w:ascii="Times New Roman" w:hAnsi="Times New Roman"/>
      <w:b w:val="0"/>
      <w:szCs w:val="20"/>
    </w:rPr>
  </w:style>
  <w:style w:type="paragraph" w:styleId="27">
    <w:name w:val="envelope address"/>
    <w:basedOn w:val="1"/>
    <w:qFormat/>
    <w:uiPriority w:val="0"/>
    <w:pPr>
      <w:framePr w:w="7920" w:h="1980" w:hRule="exact" w:hSpace="180" w:wrap="auto" w:vAnchor="margin" w:hAnchor="page" w:xAlign="center" w:yAlign="bottom"/>
      <w:snapToGrid w:val="0"/>
      <w:ind w:left="100" w:leftChars="1400"/>
    </w:pPr>
    <w:rPr>
      <w:rFonts w:ascii="等线 Light" w:hAnsi="等线 Light" w:eastAsia="等线 Light"/>
      <w:b w:val="0"/>
      <w:sz w:val="24"/>
    </w:rPr>
  </w:style>
  <w:style w:type="paragraph" w:styleId="28">
    <w:name w:val="Document Map"/>
    <w:basedOn w:val="1"/>
    <w:link w:val="108"/>
    <w:qFormat/>
    <w:uiPriority w:val="0"/>
    <w:pPr>
      <w:shd w:val="clear" w:color="auto" w:fill="000080"/>
      <w:spacing w:line="360" w:lineRule="auto"/>
    </w:pPr>
    <w:rPr>
      <w:rFonts w:eastAsia="仿宋_GB2312"/>
      <w:b w:val="0"/>
      <w:sz w:val="24"/>
    </w:rPr>
  </w:style>
  <w:style w:type="paragraph" w:styleId="29">
    <w:name w:val="toa heading"/>
    <w:basedOn w:val="1"/>
    <w:next w:val="1"/>
    <w:autoRedefine/>
    <w:qFormat/>
    <w:uiPriority w:val="0"/>
    <w:pPr>
      <w:spacing w:before="120"/>
    </w:pPr>
    <w:rPr>
      <w:rFonts w:ascii="等线 Light" w:hAnsi="等线 Light"/>
      <w:b w:val="0"/>
      <w:sz w:val="24"/>
    </w:rPr>
  </w:style>
  <w:style w:type="paragraph" w:styleId="30">
    <w:name w:val="annotation text"/>
    <w:basedOn w:val="1"/>
    <w:link w:val="109"/>
    <w:qFormat/>
    <w:uiPriority w:val="0"/>
    <w:pPr>
      <w:jc w:val="left"/>
    </w:pPr>
    <w:rPr>
      <w:rFonts w:eastAsia="隶书"/>
    </w:rPr>
  </w:style>
  <w:style w:type="paragraph" w:styleId="31">
    <w:name w:val="index 6"/>
    <w:basedOn w:val="1"/>
    <w:next w:val="1"/>
    <w:autoRedefine/>
    <w:qFormat/>
    <w:uiPriority w:val="0"/>
    <w:pPr>
      <w:ind w:left="1000" w:leftChars="1000"/>
    </w:pPr>
    <w:rPr>
      <w:rFonts w:ascii="Times New Roman" w:hAnsi="Times New Roman"/>
      <w:b w:val="0"/>
      <w:szCs w:val="20"/>
    </w:rPr>
  </w:style>
  <w:style w:type="paragraph" w:styleId="32">
    <w:name w:val="Salutation"/>
    <w:basedOn w:val="1"/>
    <w:next w:val="1"/>
    <w:link w:val="521"/>
    <w:autoRedefine/>
    <w:qFormat/>
    <w:uiPriority w:val="0"/>
    <w:rPr>
      <w:rFonts w:ascii="Times New Roman" w:hAnsi="Times New Roman"/>
      <w:b w:val="0"/>
      <w:szCs w:val="20"/>
    </w:rPr>
  </w:style>
  <w:style w:type="paragraph" w:styleId="33">
    <w:name w:val="Body Text 3"/>
    <w:basedOn w:val="1"/>
    <w:link w:val="110"/>
    <w:qFormat/>
    <w:uiPriority w:val="0"/>
    <w:rPr>
      <w:sz w:val="28"/>
    </w:rPr>
  </w:style>
  <w:style w:type="paragraph" w:styleId="34">
    <w:name w:val="Closing"/>
    <w:basedOn w:val="1"/>
    <w:link w:val="522"/>
    <w:autoRedefine/>
    <w:qFormat/>
    <w:uiPriority w:val="0"/>
    <w:pPr>
      <w:ind w:left="100" w:leftChars="2100"/>
    </w:pPr>
    <w:rPr>
      <w:rFonts w:ascii="Times New Roman" w:hAnsi="Times New Roman"/>
      <w:b w:val="0"/>
      <w:szCs w:val="20"/>
    </w:rPr>
  </w:style>
  <w:style w:type="paragraph" w:styleId="35">
    <w:name w:val="List Bullet 3"/>
    <w:basedOn w:val="1"/>
    <w:autoRedefine/>
    <w:qFormat/>
    <w:uiPriority w:val="0"/>
    <w:pPr>
      <w:numPr>
        <w:ilvl w:val="0"/>
        <w:numId w:val="4"/>
      </w:numPr>
      <w:tabs>
        <w:tab w:val="left" w:pos="1200"/>
      </w:tabs>
      <w:contextualSpacing/>
    </w:pPr>
    <w:rPr>
      <w:rFonts w:ascii="Times New Roman" w:hAnsi="Times New Roman"/>
      <w:b w:val="0"/>
      <w:szCs w:val="20"/>
    </w:rPr>
  </w:style>
  <w:style w:type="paragraph" w:styleId="36">
    <w:name w:val="Body Text"/>
    <w:basedOn w:val="1"/>
    <w:next w:val="1"/>
    <w:link w:val="111"/>
    <w:qFormat/>
    <w:uiPriority w:val="0"/>
    <w:rPr>
      <w:rFonts w:ascii="仿宋_GB2312"/>
      <w:b w:val="0"/>
      <w:sz w:val="28"/>
      <w:szCs w:val="28"/>
    </w:rPr>
  </w:style>
  <w:style w:type="paragraph" w:styleId="37">
    <w:name w:val="List Number 3"/>
    <w:basedOn w:val="1"/>
    <w:autoRedefine/>
    <w:qFormat/>
    <w:uiPriority w:val="0"/>
    <w:pPr>
      <w:numPr>
        <w:ilvl w:val="0"/>
        <w:numId w:val="5"/>
      </w:numPr>
      <w:tabs>
        <w:tab w:val="left" w:pos="1200"/>
      </w:tabs>
      <w:contextualSpacing/>
    </w:pPr>
    <w:rPr>
      <w:rFonts w:ascii="Times New Roman" w:hAnsi="Times New Roman"/>
      <w:b w:val="0"/>
      <w:szCs w:val="20"/>
    </w:rPr>
  </w:style>
  <w:style w:type="paragraph" w:styleId="38">
    <w:name w:val="List 2"/>
    <w:basedOn w:val="1"/>
    <w:autoRedefine/>
    <w:qFormat/>
    <w:uiPriority w:val="0"/>
    <w:pPr>
      <w:ind w:left="100" w:leftChars="200" w:hanging="200" w:hangingChars="200"/>
      <w:contextualSpacing/>
    </w:pPr>
    <w:rPr>
      <w:rFonts w:ascii="Times New Roman" w:hAnsi="Times New Roman"/>
      <w:b w:val="0"/>
      <w:szCs w:val="20"/>
    </w:rPr>
  </w:style>
  <w:style w:type="paragraph" w:styleId="39">
    <w:name w:val="List Continue"/>
    <w:basedOn w:val="1"/>
    <w:autoRedefine/>
    <w:qFormat/>
    <w:uiPriority w:val="0"/>
    <w:pPr>
      <w:spacing w:after="120"/>
      <w:ind w:left="420" w:leftChars="200"/>
      <w:contextualSpacing/>
    </w:pPr>
    <w:rPr>
      <w:rFonts w:ascii="Times New Roman" w:hAnsi="Times New Roman"/>
      <w:b w:val="0"/>
      <w:szCs w:val="20"/>
    </w:rPr>
  </w:style>
  <w:style w:type="paragraph" w:styleId="40">
    <w:name w:val="Block Text"/>
    <w:basedOn w:val="1"/>
    <w:qFormat/>
    <w:uiPriority w:val="0"/>
    <w:pPr>
      <w:ind w:left="-108" w:leftChars="-51" w:right="-93" w:rightChars="-44"/>
      <w:jc w:val="center"/>
    </w:pPr>
    <w:rPr>
      <w:rFonts w:eastAsia="楷体_GB2312"/>
      <w:spacing w:val="-6"/>
      <w:sz w:val="28"/>
    </w:rPr>
  </w:style>
  <w:style w:type="paragraph" w:styleId="41">
    <w:name w:val="List Bullet 2"/>
    <w:basedOn w:val="1"/>
    <w:qFormat/>
    <w:uiPriority w:val="0"/>
    <w:pPr>
      <w:numPr>
        <w:ilvl w:val="0"/>
        <w:numId w:val="6"/>
      </w:numPr>
      <w:tabs>
        <w:tab w:val="left" w:pos="780"/>
      </w:tabs>
      <w:contextualSpacing/>
    </w:pPr>
    <w:rPr>
      <w:rFonts w:ascii="Times New Roman" w:hAnsi="Times New Roman"/>
      <w:b w:val="0"/>
      <w:szCs w:val="20"/>
    </w:rPr>
  </w:style>
  <w:style w:type="paragraph" w:styleId="42">
    <w:name w:val="HTML Address"/>
    <w:basedOn w:val="1"/>
    <w:link w:val="523"/>
    <w:autoRedefine/>
    <w:qFormat/>
    <w:uiPriority w:val="0"/>
    <w:rPr>
      <w:rFonts w:ascii="Times New Roman" w:hAnsi="Times New Roman"/>
      <w:b w:val="0"/>
      <w:i/>
      <w:iCs/>
      <w:szCs w:val="20"/>
    </w:rPr>
  </w:style>
  <w:style w:type="paragraph" w:styleId="43">
    <w:name w:val="index 4"/>
    <w:basedOn w:val="1"/>
    <w:next w:val="1"/>
    <w:autoRedefine/>
    <w:qFormat/>
    <w:uiPriority w:val="0"/>
    <w:pPr>
      <w:ind w:left="600" w:leftChars="600"/>
    </w:pPr>
    <w:rPr>
      <w:rFonts w:ascii="Times New Roman" w:hAnsi="Times New Roman"/>
      <w:b w:val="0"/>
      <w:szCs w:val="20"/>
    </w:rPr>
  </w:style>
  <w:style w:type="paragraph" w:styleId="44">
    <w:name w:val="toc 5"/>
    <w:basedOn w:val="1"/>
    <w:next w:val="1"/>
    <w:qFormat/>
    <w:uiPriority w:val="39"/>
    <w:pPr>
      <w:ind w:left="840"/>
      <w:jc w:val="left"/>
    </w:pPr>
    <w:rPr>
      <w:rFonts w:cs="Calibri"/>
      <w:b w:val="0"/>
      <w:sz w:val="18"/>
      <w:szCs w:val="18"/>
    </w:rPr>
  </w:style>
  <w:style w:type="paragraph" w:styleId="45">
    <w:name w:val="toc 3"/>
    <w:basedOn w:val="1"/>
    <w:next w:val="1"/>
    <w:qFormat/>
    <w:uiPriority w:val="39"/>
    <w:pPr>
      <w:ind w:left="420"/>
      <w:jc w:val="left"/>
    </w:pPr>
    <w:rPr>
      <w:rFonts w:cs="Calibri"/>
      <w:b w:val="0"/>
      <w:i/>
      <w:iCs/>
      <w:sz w:val="20"/>
      <w:szCs w:val="20"/>
    </w:rPr>
  </w:style>
  <w:style w:type="paragraph" w:styleId="46">
    <w:name w:val="Plain Text"/>
    <w:basedOn w:val="1"/>
    <w:link w:val="112"/>
    <w:qFormat/>
    <w:uiPriority w:val="0"/>
    <w:rPr>
      <w:rFonts w:ascii="宋体" w:hAnsi="Courier New"/>
      <w:b w:val="0"/>
      <w:szCs w:val="21"/>
    </w:rPr>
  </w:style>
  <w:style w:type="paragraph" w:styleId="47">
    <w:name w:val="List Bullet 5"/>
    <w:basedOn w:val="1"/>
    <w:autoRedefine/>
    <w:qFormat/>
    <w:uiPriority w:val="0"/>
    <w:pPr>
      <w:numPr>
        <w:ilvl w:val="0"/>
        <w:numId w:val="7"/>
      </w:numPr>
      <w:tabs>
        <w:tab w:val="left" w:pos="2040"/>
      </w:tabs>
      <w:contextualSpacing/>
    </w:pPr>
    <w:rPr>
      <w:rFonts w:ascii="Times New Roman" w:hAnsi="Times New Roman"/>
      <w:b w:val="0"/>
      <w:szCs w:val="20"/>
    </w:rPr>
  </w:style>
  <w:style w:type="paragraph" w:styleId="48">
    <w:name w:val="List Number 4"/>
    <w:basedOn w:val="1"/>
    <w:autoRedefine/>
    <w:qFormat/>
    <w:uiPriority w:val="0"/>
    <w:pPr>
      <w:numPr>
        <w:ilvl w:val="0"/>
        <w:numId w:val="8"/>
      </w:numPr>
      <w:tabs>
        <w:tab w:val="left" w:pos="1620"/>
      </w:tabs>
      <w:contextualSpacing/>
    </w:pPr>
    <w:rPr>
      <w:rFonts w:ascii="Times New Roman" w:hAnsi="Times New Roman"/>
      <w:b w:val="0"/>
      <w:szCs w:val="20"/>
    </w:rPr>
  </w:style>
  <w:style w:type="paragraph" w:styleId="49">
    <w:name w:val="toc 8"/>
    <w:basedOn w:val="1"/>
    <w:next w:val="1"/>
    <w:qFormat/>
    <w:uiPriority w:val="39"/>
    <w:pPr>
      <w:ind w:left="1470"/>
      <w:jc w:val="left"/>
    </w:pPr>
    <w:rPr>
      <w:rFonts w:cs="Calibri"/>
      <w:b w:val="0"/>
      <w:sz w:val="18"/>
      <w:szCs w:val="18"/>
    </w:rPr>
  </w:style>
  <w:style w:type="paragraph" w:styleId="50">
    <w:name w:val="index 3"/>
    <w:basedOn w:val="1"/>
    <w:next w:val="1"/>
    <w:autoRedefine/>
    <w:qFormat/>
    <w:uiPriority w:val="0"/>
    <w:pPr>
      <w:ind w:left="400" w:leftChars="400"/>
    </w:pPr>
    <w:rPr>
      <w:rFonts w:ascii="Times New Roman" w:hAnsi="Times New Roman"/>
      <w:b w:val="0"/>
      <w:szCs w:val="20"/>
    </w:rPr>
  </w:style>
  <w:style w:type="paragraph" w:styleId="51">
    <w:name w:val="Date"/>
    <w:basedOn w:val="1"/>
    <w:next w:val="1"/>
    <w:link w:val="113"/>
    <w:qFormat/>
    <w:uiPriority w:val="0"/>
    <w:pPr>
      <w:ind w:left="100" w:leftChars="2500"/>
    </w:pPr>
    <w:rPr>
      <w:sz w:val="28"/>
    </w:rPr>
  </w:style>
  <w:style w:type="paragraph" w:styleId="52">
    <w:name w:val="Body Text Indent 2"/>
    <w:basedOn w:val="1"/>
    <w:link w:val="114"/>
    <w:qFormat/>
    <w:uiPriority w:val="0"/>
    <w:pPr>
      <w:spacing w:line="360" w:lineRule="auto"/>
      <w:ind w:left="275" w:leftChars="100"/>
    </w:pPr>
    <w:rPr>
      <w:rFonts w:ascii="宋体" w:hAnsi="宋体" w:eastAsia="隶书"/>
      <w:sz w:val="28"/>
    </w:rPr>
  </w:style>
  <w:style w:type="paragraph" w:styleId="53">
    <w:name w:val="endnote text"/>
    <w:basedOn w:val="1"/>
    <w:link w:val="524"/>
    <w:autoRedefine/>
    <w:qFormat/>
    <w:uiPriority w:val="0"/>
    <w:pPr>
      <w:snapToGrid w:val="0"/>
      <w:jc w:val="left"/>
    </w:pPr>
    <w:rPr>
      <w:rFonts w:ascii="Times New Roman" w:hAnsi="Times New Roman"/>
      <w:b w:val="0"/>
    </w:rPr>
  </w:style>
  <w:style w:type="paragraph" w:styleId="54">
    <w:name w:val="List Continue 5"/>
    <w:basedOn w:val="1"/>
    <w:autoRedefine/>
    <w:qFormat/>
    <w:uiPriority w:val="0"/>
    <w:pPr>
      <w:spacing w:after="120"/>
      <w:ind w:left="2100" w:leftChars="1000"/>
      <w:contextualSpacing/>
    </w:pPr>
    <w:rPr>
      <w:rFonts w:ascii="Times New Roman" w:hAnsi="Times New Roman"/>
      <w:b w:val="0"/>
      <w:szCs w:val="20"/>
    </w:rPr>
  </w:style>
  <w:style w:type="paragraph" w:styleId="55">
    <w:name w:val="Balloon Text"/>
    <w:basedOn w:val="1"/>
    <w:link w:val="115"/>
    <w:qFormat/>
    <w:uiPriority w:val="0"/>
    <w:rPr>
      <w:sz w:val="18"/>
      <w:szCs w:val="18"/>
    </w:rPr>
  </w:style>
  <w:style w:type="paragraph" w:styleId="56">
    <w:name w:val="footer"/>
    <w:basedOn w:val="1"/>
    <w:link w:val="116"/>
    <w:qFormat/>
    <w:uiPriority w:val="99"/>
    <w:pPr>
      <w:widowControl/>
      <w:tabs>
        <w:tab w:val="center" w:pos="4153"/>
        <w:tab w:val="right" w:pos="8306"/>
      </w:tabs>
      <w:snapToGrid w:val="0"/>
      <w:jc w:val="left"/>
    </w:pPr>
    <w:rPr>
      <w:kern w:val="0"/>
      <w:sz w:val="18"/>
      <w:szCs w:val="20"/>
    </w:rPr>
  </w:style>
  <w:style w:type="paragraph" w:styleId="57">
    <w:name w:val="envelope return"/>
    <w:basedOn w:val="1"/>
    <w:autoRedefine/>
    <w:qFormat/>
    <w:uiPriority w:val="0"/>
    <w:pPr>
      <w:snapToGrid w:val="0"/>
    </w:pPr>
    <w:rPr>
      <w:rFonts w:ascii="等线 Light" w:hAnsi="等线 Light" w:eastAsia="等线 Light"/>
      <w:b w:val="0"/>
      <w:szCs w:val="20"/>
    </w:rPr>
  </w:style>
  <w:style w:type="paragraph" w:styleId="58">
    <w:name w:val="header"/>
    <w:basedOn w:val="1"/>
    <w:link w:val="117"/>
    <w:qFormat/>
    <w:uiPriority w:val="0"/>
    <w:pPr>
      <w:pBdr>
        <w:bottom w:val="single" w:color="auto" w:sz="6" w:space="1"/>
      </w:pBdr>
      <w:tabs>
        <w:tab w:val="center" w:pos="4153"/>
        <w:tab w:val="right" w:pos="8306"/>
      </w:tabs>
      <w:snapToGrid w:val="0"/>
      <w:jc w:val="center"/>
    </w:pPr>
    <w:rPr>
      <w:rFonts w:eastAsia="隶书"/>
      <w:sz w:val="18"/>
      <w:szCs w:val="18"/>
    </w:rPr>
  </w:style>
  <w:style w:type="paragraph" w:styleId="59">
    <w:name w:val="Signature"/>
    <w:basedOn w:val="1"/>
    <w:link w:val="525"/>
    <w:autoRedefine/>
    <w:qFormat/>
    <w:uiPriority w:val="0"/>
    <w:pPr>
      <w:ind w:left="100" w:leftChars="2100"/>
    </w:pPr>
    <w:rPr>
      <w:rFonts w:ascii="Times New Roman" w:hAnsi="Times New Roman"/>
      <w:b w:val="0"/>
      <w:szCs w:val="20"/>
    </w:rPr>
  </w:style>
  <w:style w:type="paragraph" w:styleId="60">
    <w:name w:val="toc 1"/>
    <w:basedOn w:val="1"/>
    <w:next w:val="1"/>
    <w:qFormat/>
    <w:uiPriority w:val="39"/>
    <w:pPr>
      <w:spacing w:before="120" w:after="120"/>
      <w:jc w:val="left"/>
    </w:pPr>
    <w:rPr>
      <w:rFonts w:cs="Calibri"/>
      <w:bCs/>
      <w:caps/>
      <w:sz w:val="20"/>
      <w:szCs w:val="20"/>
    </w:rPr>
  </w:style>
  <w:style w:type="paragraph" w:styleId="61">
    <w:name w:val="List Continue 4"/>
    <w:basedOn w:val="1"/>
    <w:autoRedefine/>
    <w:qFormat/>
    <w:uiPriority w:val="0"/>
    <w:pPr>
      <w:spacing w:after="120"/>
      <w:ind w:left="1680" w:leftChars="800"/>
      <w:contextualSpacing/>
    </w:pPr>
    <w:rPr>
      <w:rFonts w:ascii="Times New Roman" w:hAnsi="Times New Roman"/>
      <w:b w:val="0"/>
      <w:szCs w:val="20"/>
    </w:rPr>
  </w:style>
  <w:style w:type="paragraph" w:styleId="62">
    <w:name w:val="toc 4"/>
    <w:basedOn w:val="1"/>
    <w:next w:val="1"/>
    <w:qFormat/>
    <w:uiPriority w:val="39"/>
    <w:pPr>
      <w:ind w:left="630"/>
      <w:jc w:val="left"/>
    </w:pPr>
    <w:rPr>
      <w:rFonts w:cs="Calibri"/>
      <w:b w:val="0"/>
      <w:sz w:val="18"/>
      <w:szCs w:val="18"/>
    </w:rPr>
  </w:style>
  <w:style w:type="paragraph" w:styleId="63">
    <w:name w:val="index heading"/>
    <w:basedOn w:val="1"/>
    <w:next w:val="64"/>
    <w:qFormat/>
    <w:uiPriority w:val="0"/>
    <w:rPr>
      <w:rFonts w:ascii="Times New Roman" w:hAnsi="Times New Roman"/>
      <w:b w:val="0"/>
    </w:rPr>
  </w:style>
  <w:style w:type="paragraph" w:styleId="64">
    <w:name w:val="index 1"/>
    <w:basedOn w:val="1"/>
    <w:next w:val="1"/>
    <w:qFormat/>
    <w:uiPriority w:val="0"/>
    <w:pPr>
      <w:jc w:val="center"/>
    </w:pPr>
    <w:rPr>
      <w:rFonts w:ascii="宋体" w:hAnsi="宋体"/>
      <w:b w:val="0"/>
      <w:color w:val="000000"/>
      <w:sz w:val="24"/>
      <w:szCs w:val="28"/>
    </w:rPr>
  </w:style>
  <w:style w:type="paragraph" w:styleId="65">
    <w:name w:val="Subtitle"/>
    <w:basedOn w:val="1"/>
    <w:next w:val="1"/>
    <w:link w:val="359"/>
    <w:qFormat/>
    <w:uiPriority w:val="0"/>
    <w:pPr>
      <w:spacing w:before="240" w:after="60" w:line="312" w:lineRule="auto"/>
      <w:jc w:val="center"/>
      <w:outlineLvl w:val="1"/>
    </w:pPr>
    <w:rPr>
      <w:rFonts w:ascii="Cambria" w:hAnsi="Cambria"/>
      <w:bCs/>
      <w:kern w:val="28"/>
      <w:sz w:val="32"/>
      <w:szCs w:val="32"/>
    </w:rPr>
  </w:style>
  <w:style w:type="paragraph" w:styleId="66">
    <w:name w:val="List Number 5"/>
    <w:basedOn w:val="1"/>
    <w:autoRedefine/>
    <w:qFormat/>
    <w:uiPriority w:val="0"/>
    <w:pPr>
      <w:numPr>
        <w:ilvl w:val="0"/>
        <w:numId w:val="9"/>
      </w:numPr>
      <w:tabs>
        <w:tab w:val="left" w:pos="2040"/>
      </w:tabs>
      <w:contextualSpacing/>
    </w:pPr>
    <w:rPr>
      <w:rFonts w:ascii="Times New Roman" w:hAnsi="Times New Roman"/>
      <w:b w:val="0"/>
      <w:szCs w:val="20"/>
    </w:rPr>
  </w:style>
  <w:style w:type="paragraph" w:styleId="67">
    <w:name w:val="List"/>
    <w:basedOn w:val="1"/>
    <w:next w:val="1"/>
    <w:qFormat/>
    <w:uiPriority w:val="0"/>
    <w:pPr>
      <w:widowControl/>
      <w:overflowPunct w:val="0"/>
      <w:autoSpaceDE w:val="0"/>
      <w:autoSpaceDN w:val="0"/>
      <w:adjustRightInd w:val="0"/>
      <w:spacing w:line="360" w:lineRule="auto"/>
      <w:jc w:val="center"/>
      <w:textAlignment w:val="baseline"/>
    </w:pPr>
    <w:rPr>
      <w:rFonts w:ascii="Times New Roman" w:hAnsi="Times New Roman"/>
      <w:b w:val="0"/>
      <w:kern w:val="0"/>
      <w:szCs w:val="20"/>
      <w:lang w:val="en-GB"/>
    </w:rPr>
  </w:style>
  <w:style w:type="paragraph" w:styleId="68">
    <w:name w:val="footnote text"/>
    <w:basedOn w:val="1"/>
    <w:link w:val="118"/>
    <w:qFormat/>
    <w:uiPriority w:val="0"/>
    <w:pPr>
      <w:snapToGrid w:val="0"/>
      <w:jc w:val="left"/>
    </w:pPr>
    <w:rPr>
      <w:b w:val="0"/>
      <w:sz w:val="18"/>
      <w:szCs w:val="18"/>
    </w:rPr>
  </w:style>
  <w:style w:type="paragraph" w:styleId="69">
    <w:name w:val="toc 6"/>
    <w:basedOn w:val="1"/>
    <w:next w:val="1"/>
    <w:qFormat/>
    <w:uiPriority w:val="39"/>
    <w:pPr>
      <w:ind w:left="1050"/>
      <w:jc w:val="left"/>
    </w:pPr>
    <w:rPr>
      <w:rFonts w:cs="Calibri"/>
      <w:b w:val="0"/>
      <w:sz w:val="18"/>
      <w:szCs w:val="18"/>
    </w:rPr>
  </w:style>
  <w:style w:type="paragraph" w:styleId="70">
    <w:name w:val="List 5"/>
    <w:basedOn w:val="1"/>
    <w:autoRedefine/>
    <w:qFormat/>
    <w:uiPriority w:val="0"/>
    <w:pPr>
      <w:ind w:left="100" w:leftChars="800" w:hanging="200" w:hangingChars="200"/>
      <w:contextualSpacing/>
    </w:pPr>
    <w:rPr>
      <w:rFonts w:ascii="Times New Roman" w:hAnsi="Times New Roman"/>
      <w:b w:val="0"/>
      <w:szCs w:val="20"/>
    </w:rPr>
  </w:style>
  <w:style w:type="paragraph" w:styleId="71">
    <w:name w:val="Body Text Indent 3"/>
    <w:basedOn w:val="1"/>
    <w:link w:val="119"/>
    <w:qFormat/>
    <w:uiPriority w:val="0"/>
    <w:pPr>
      <w:spacing w:line="0" w:lineRule="atLeast"/>
      <w:ind w:firstLine="630"/>
    </w:pPr>
    <w:rPr>
      <w:b w:val="0"/>
      <w:sz w:val="28"/>
    </w:rPr>
  </w:style>
  <w:style w:type="paragraph" w:styleId="72">
    <w:name w:val="index 7"/>
    <w:basedOn w:val="1"/>
    <w:next w:val="1"/>
    <w:autoRedefine/>
    <w:qFormat/>
    <w:uiPriority w:val="0"/>
    <w:pPr>
      <w:ind w:left="1200" w:leftChars="1200"/>
    </w:pPr>
    <w:rPr>
      <w:rFonts w:ascii="Times New Roman" w:hAnsi="Times New Roman"/>
      <w:b w:val="0"/>
      <w:szCs w:val="20"/>
    </w:rPr>
  </w:style>
  <w:style w:type="paragraph" w:styleId="73">
    <w:name w:val="index 9"/>
    <w:basedOn w:val="1"/>
    <w:next w:val="1"/>
    <w:autoRedefine/>
    <w:qFormat/>
    <w:uiPriority w:val="0"/>
    <w:pPr>
      <w:ind w:left="1600" w:leftChars="1600"/>
    </w:pPr>
    <w:rPr>
      <w:rFonts w:ascii="Times New Roman" w:hAnsi="Times New Roman"/>
      <w:b w:val="0"/>
      <w:szCs w:val="20"/>
    </w:rPr>
  </w:style>
  <w:style w:type="paragraph" w:styleId="74">
    <w:name w:val="table of figures"/>
    <w:basedOn w:val="1"/>
    <w:next w:val="1"/>
    <w:autoRedefine/>
    <w:qFormat/>
    <w:uiPriority w:val="0"/>
    <w:pPr>
      <w:ind w:left="200" w:leftChars="200" w:hanging="200" w:hangingChars="200"/>
    </w:pPr>
    <w:rPr>
      <w:rFonts w:ascii="Times New Roman" w:hAnsi="Times New Roman"/>
      <w:b w:val="0"/>
      <w:szCs w:val="20"/>
    </w:rPr>
  </w:style>
  <w:style w:type="paragraph" w:styleId="75">
    <w:name w:val="toc 2"/>
    <w:basedOn w:val="1"/>
    <w:next w:val="1"/>
    <w:qFormat/>
    <w:uiPriority w:val="39"/>
    <w:pPr>
      <w:ind w:left="210"/>
      <w:jc w:val="left"/>
    </w:pPr>
    <w:rPr>
      <w:rFonts w:cs="Calibri"/>
      <w:b w:val="0"/>
      <w:smallCaps/>
      <w:sz w:val="20"/>
      <w:szCs w:val="20"/>
    </w:rPr>
  </w:style>
  <w:style w:type="paragraph" w:styleId="76">
    <w:name w:val="toc 9"/>
    <w:basedOn w:val="1"/>
    <w:next w:val="1"/>
    <w:qFormat/>
    <w:uiPriority w:val="39"/>
    <w:pPr>
      <w:ind w:left="1680"/>
      <w:jc w:val="left"/>
    </w:pPr>
    <w:rPr>
      <w:rFonts w:cs="Calibri"/>
      <w:b w:val="0"/>
      <w:sz w:val="18"/>
      <w:szCs w:val="18"/>
    </w:rPr>
  </w:style>
  <w:style w:type="paragraph" w:styleId="77">
    <w:name w:val="Body Text 2"/>
    <w:basedOn w:val="1"/>
    <w:link w:val="120"/>
    <w:qFormat/>
    <w:uiPriority w:val="0"/>
    <w:rPr>
      <w:b w:val="0"/>
      <w:sz w:val="24"/>
    </w:rPr>
  </w:style>
  <w:style w:type="paragraph" w:styleId="78">
    <w:name w:val="List 4"/>
    <w:basedOn w:val="1"/>
    <w:qFormat/>
    <w:uiPriority w:val="0"/>
    <w:pPr>
      <w:ind w:left="100" w:leftChars="600" w:hanging="200" w:hangingChars="200"/>
      <w:contextualSpacing/>
    </w:pPr>
    <w:rPr>
      <w:rFonts w:ascii="Times New Roman" w:hAnsi="Times New Roman"/>
      <w:b w:val="0"/>
      <w:szCs w:val="20"/>
    </w:rPr>
  </w:style>
  <w:style w:type="paragraph" w:styleId="79">
    <w:name w:val="List Continue 2"/>
    <w:basedOn w:val="1"/>
    <w:autoRedefine/>
    <w:qFormat/>
    <w:uiPriority w:val="0"/>
    <w:pPr>
      <w:spacing w:after="120"/>
      <w:ind w:left="840" w:leftChars="400"/>
      <w:contextualSpacing/>
    </w:pPr>
    <w:rPr>
      <w:rFonts w:ascii="Times New Roman" w:hAnsi="Times New Roman"/>
      <w:b w:val="0"/>
      <w:szCs w:val="20"/>
    </w:rPr>
  </w:style>
  <w:style w:type="paragraph" w:styleId="80">
    <w:name w:val="Message Header"/>
    <w:basedOn w:val="1"/>
    <w:link w:val="526"/>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等线 Light" w:hAnsi="等线 Light" w:eastAsia="等线 Light"/>
      <w:b w:val="0"/>
      <w:sz w:val="24"/>
    </w:rPr>
  </w:style>
  <w:style w:type="paragraph" w:styleId="81">
    <w:name w:val="HTML Preformatted"/>
    <w:basedOn w:val="1"/>
    <w:link w:val="351"/>
    <w:qFormat/>
    <w:uiPriority w:val="0"/>
    <w:rPr>
      <w:rFonts w:ascii="Courier New" w:hAnsi="Courier New" w:cs="Courier New"/>
      <w:b w:val="0"/>
      <w:sz w:val="20"/>
      <w:szCs w:val="20"/>
    </w:rPr>
  </w:style>
  <w:style w:type="paragraph" w:styleId="82">
    <w:name w:val="Normal (Web)"/>
    <w:basedOn w:val="1"/>
    <w:qFormat/>
    <w:uiPriority w:val="0"/>
    <w:pPr>
      <w:widowControl/>
      <w:spacing w:before="100" w:beforeAutospacing="1" w:after="100" w:afterAutospacing="1"/>
      <w:jc w:val="left"/>
    </w:pPr>
    <w:rPr>
      <w:rFonts w:ascii="宋体" w:hAnsi="宋体" w:cs="宋体"/>
      <w:b w:val="0"/>
      <w:kern w:val="0"/>
      <w:sz w:val="24"/>
    </w:rPr>
  </w:style>
  <w:style w:type="paragraph" w:styleId="83">
    <w:name w:val="List Continue 3"/>
    <w:basedOn w:val="1"/>
    <w:autoRedefine/>
    <w:qFormat/>
    <w:uiPriority w:val="0"/>
    <w:pPr>
      <w:spacing w:after="120"/>
      <w:ind w:left="1260" w:leftChars="600"/>
      <w:contextualSpacing/>
    </w:pPr>
    <w:rPr>
      <w:rFonts w:ascii="Times New Roman" w:hAnsi="Times New Roman"/>
      <w:b w:val="0"/>
      <w:szCs w:val="20"/>
    </w:rPr>
  </w:style>
  <w:style w:type="paragraph" w:styleId="84">
    <w:name w:val="index 2"/>
    <w:basedOn w:val="1"/>
    <w:next w:val="1"/>
    <w:qFormat/>
    <w:uiPriority w:val="0"/>
    <w:pPr>
      <w:ind w:left="200" w:leftChars="200"/>
    </w:pPr>
    <w:rPr>
      <w:rFonts w:ascii="Times New Roman" w:hAnsi="Times New Roman"/>
      <w:b w:val="0"/>
      <w:szCs w:val="20"/>
    </w:rPr>
  </w:style>
  <w:style w:type="paragraph" w:styleId="85">
    <w:name w:val="Title"/>
    <w:basedOn w:val="1"/>
    <w:next w:val="1"/>
    <w:link w:val="210"/>
    <w:qFormat/>
    <w:uiPriority w:val="0"/>
    <w:pPr>
      <w:spacing w:before="240" w:after="60"/>
      <w:jc w:val="center"/>
      <w:outlineLvl w:val="0"/>
    </w:pPr>
    <w:rPr>
      <w:rFonts w:ascii="Cambria" w:hAnsi="Cambria"/>
      <w:bCs/>
      <w:sz w:val="32"/>
      <w:szCs w:val="32"/>
    </w:rPr>
  </w:style>
  <w:style w:type="paragraph" w:styleId="86">
    <w:name w:val="annotation subject"/>
    <w:basedOn w:val="30"/>
    <w:next w:val="30"/>
    <w:link w:val="121"/>
    <w:qFormat/>
    <w:uiPriority w:val="0"/>
    <w:rPr>
      <w:bCs/>
    </w:rPr>
  </w:style>
  <w:style w:type="paragraph" w:styleId="87">
    <w:name w:val="Body Text First Indent"/>
    <w:basedOn w:val="36"/>
    <w:next w:val="1"/>
    <w:link w:val="122"/>
    <w:qFormat/>
    <w:uiPriority w:val="0"/>
    <w:pPr>
      <w:spacing w:after="120"/>
      <w:ind w:firstLine="420" w:firstLineChars="100"/>
    </w:pPr>
    <w:rPr>
      <w:rFonts w:ascii="Times New Roman" w:eastAsia="隶书"/>
      <w:b/>
      <w:sz w:val="21"/>
      <w:szCs w:val="24"/>
    </w:rPr>
  </w:style>
  <w:style w:type="table" w:styleId="89">
    <w:name w:val="Table Grid"/>
    <w:basedOn w:val="8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Grid 7"/>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character" w:styleId="92">
    <w:name w:val="Strong"/>
    <w:qFormat/>
    <w:uiPriority w:val="0"/>
    <w:rPr>
      <w:b/>
      <w:bCs/>
    </w:rPr>
  </w:style>
  <w:style w:type="character" w:styleId="93">
    <w:name w:val="endnote reference"/>
    <w:autoRedefine/>
    <w:qFormat/>
    <w:uiPriority w:val="0"/>
    <w:rPr>
      <w:vertAlign w:val="superscript"/>
    </w:rPr>
  </w:style>
  <w:style w:type="character" w:styleId="94">
    <w:name w:val="page number"/>
    <w:basedOn w:val="91"/>
    <w:qFormat/>
    <w:uiPriority w:val="0"/>
    <w:rPr>
      <w:rFonts w:eastAsia="宋体"/>
      <w:sz w:val="24"/>
    </w:rPr>
  </w:style>
  <w:style w:type="character" w:styleId="95">
    <w:name w:val="FollowedHyperlink"/>
    <w:qFormat/>
    <w:uiPriority w:val="99"/>
    <w:rPr>
      <w:color w:val="800080"/>
      <w:u w:val="single"/>
    </w:rPr>
  </w:style>
  <w:style w:type="character" w:styleId="96">
    <w:name w:val="Emphasis"/>
    <w:basedOn w:val="91"/>
    <w:qFormat/>
    <w:uiPriority w:val="20"/>
    <w:rPr>
      <w:color w:val="CC0000"/>
    </w:rPr>
  </w:style>
  <w:style w:type="character" w:styleId="97">
    <w:name w:val="line number"/>
    <w:basedOn w:val="91"/>
    <w:qFormat/>
    <w:uiPriority w:val="0"/>
  </w:style>
  <w:style w:type="character" w:styleId="98">
    <w:name w:val="Hyperlink"/>
    <w:qFormat/>
    <w:uiPriority w:val="99"/>
    <w:rPr>
      <w:color w:val="0000FF"/>
      <w:u w:val="single"/>
    </w:rPr>
  </w:style>
  <w:style w:type="character" w:styleId="99">
    <w:name w:val="annotation reference"/>
    <w:qFormat/>
    <w:uiPriority w:val="0"/>
    <w:rPr>
      <w:sz w:val="21"/>
      <w:szCs w:val="21"/>
    </w:rPr>
  </w:style>
  <w:style w:type="character" w:customStyle="1" w:styleId="100">
    <w:name w:val="正文文本缩进 Char2"/>
    <w:link w:val="3"/>
    <w:qFormat/>
    <w:uiPriority w:val="0"/>
    <w:rPr>
      <w:rFonts w:eastAsia="隶书"/>
      <w:b/>
      <w:sz w:val="28"/>
      <w:u w:color="FF0000"/>
      <w:lang w:val="en-US" w:eastAsia="zh-CN" w:bidi="ar-SA"/>
    </w:rPr>
  </w:style>
  <w:style w:type="character" w:customStyle="1" w:styleId="101">
    <w:name w:val="标题 1 Char1"/>
    <w:link w:val="5"/>
    <w:qFormat/>
    <w:uiPriority w:val="0"/>
    <w:rPr>
      <w:rFonts w:ascii="Calibri" w:hAnsi="Calibri" w:eastAsia="仿宋_GB2312"/>
      <w:b/>
      <w:kern w:val="2"/>
      <w:sz w:val="44"/>
      <w:szCs w:val="24"/>
      <w:u w:color="FF0000"/>
    </w:rPr>
  </w:style>
  <w:style w:type="character" w:customStyle="1" w:styleId="102">
    <w:name w:val="标题 2 Char2"/>
    <w:link w:val="6"/>
    <w:qFormat/>
    <w:locked/>
    <w:uiPriority w:val="0"/>
    <w:rPr>
      <w:rFonts w:ascii="宋体" w:hAnsi="Arial" w:eastAsia="仿宋_GB2312"/>
      <w:b/>
      <w:sz w:val="30"/>
      <w:u w:color="FF0000"/>
    </w:rPr>
  </w:style>
  <w:style w:type="character" w:customStyle="1" w:styleId="103">
    <w:name w:val="标题 3 Char2"/>
    <w:link w:val="7"/>
    <w:qFormat/>
    <w:uiPriority w:val="0"/>
    <w:rPr>
      <w:rFonts w:eastAsia="仿宋_GB2312"/>
      <w:b/>
      <w:bCs/>
      <w:kern w:val="2"/>
      <w:sz w:val="28"/>
      <w:szCs w:val="24"/>
      <w:u w:color="FF0000"/>
      <w:lang w:val="en-US" w:eastAsia="zh-CN" w:bidi="ar-SA"/>
    </w:rPr>
  </w:style>
  <w:style w:type="character" w:customStyle="1" w:styleId="104">
    <w:name w:val="标题 4 Char1"/>
    <w:link w:val="8"/>
    <w:qFormat/>
    <w:uiPriority w:val="0"/>
    <w:rPr>
      <w:rFonts w:ascii="Arial" w:hAnsi="Arial"/>
      <w:bCs/>
      <w:sz w:val="28"/>
      <w:u w:color="FF0000"/>
    </w:rPr>
  </w:style>
  <w:style w:type="character" w:customStyle="1" w:styleId="105">
    <w:name w:val="标题 5 Char1"/>
    <w:link w:val="9"/>
    <w:qFormat/>
    <w:uiPriority w:val="0"/>
    <w:rPr>
      <w:rFonts w:ascii="Calibri" w:hAnsi="Calibri"/>
      <w:sz w:val="28"/>
      <w:u w:color="FF0000"/>
    </w:rPr>
  </w:style>
  <w:style w:type="character" w:customStyle="1" w:styleId="106">
    <w:name w:val="标题 6 Char1"/>
    <w:link w:val="10"/>
    <w:qFormat/>
    <w:uiPriority w:val="0"/>
    <w:rPr>
      <w:rFonts w:ascii="Calibri" w:hAnsi="Calibri"/>
      <w:bCs/>
      <w:kern w:val="2"/>
      <w:sz w:val="28"/>
      <w:szCs w:val="24"/>
      <w:u w:color="FF0000"/>
    </w:rPr>
  </w:style>
  <w:style w:type="character" w:customStyle="1" w:styleId="107">
    <w:name w:val="标题 7 Char1"/>
    <w:link w:val="11"/>
    <w:qFormat/>
    <w:uiPriority w:val="0"/>
    <w:rPr>
      <w:rFonts w:ascii="Calibri" w:hAnsi="Calibri"/>
      <w:b/>
      <w:kern w:val="2"/>
      <w:sz w:val="15"/>
      <w:szCs w:val="24"/>
      <w:u w:color="FF0000"/>
    </w:rPr>
  </w:style>
  <w:style w:type="character" w:customStyle="1" w:styleId="108">
    <w:name w:val="文档结构图 Char2"/>
    <w:link w:val="28"/>
    <w:qFormat/>
    <w:uiPriority w:val="0"/>
    <w:rPr>
      <w:rFonts w:ascii="Calibri" w:hAnsi="Calibri" w:eastAsia="仿宋_GB2312"/>
      <w:kern w:val="2"/>
      <w:sz w:val="24"/>
      <w:szCs w:val="24"/>
      <w:u w:color="FF0000"/>
      <w:shd w:val="clear" w:color="auto" w:fill="000080"/>
    </w:rPr>
  </w:style>
  <w:style w:type="character" w:customStyle="1" w:styleId="109">
    <w:name w:val="批注文字 Char2"/>
    <w:link w:val="30"/>
    <w:qFormat/>
    <w:uiPriority w:val="99"/>
    <w:rPr>
      <w:rFonts w:eastAsia="隶书"/>
      <w:b/>
      <w:kern w:val="2"/>
      <w:sz w:val="21"/>
      <w:szCs w:val="24"/>
      <w:u w:color="FF0000"/>
    </w:rPr>
  </w:style>
  <w:style w:type="character" w:customStyle="1" w:styleId="110">
    <w:name w:val="正文文本 3 Char2"/>
    <w:link w:val="33"/>
    <w:qFormat/>
    <w:uiPriority w:val="0"/>
    <w:rPr>
      <w:rFonts w:ascii="Calibri" w:hAnsi="Calibri"/>
      <w:b/>
      <w:kern w:val="2"/>
      <w:sz w:val="28"/>
      <w:szCs w:val="24"/>
      <w:u w:color="FF0000"/>
    </w:rPr>
  </w:style>
  <w:style w:type="character" w:customStyle="1" w:styleId="111">
    <w:name w:val="正文文本 Char3"/>
    <w:link w:val="36"/>
    <w:qFormat/>
    <w:uiPriority w:val="0"/>
    <w:rPr>
      <w:rFonts w:ascii="仿宋_GB2312"/>
      <w:kern w:val="2"/>
      <w:sz w:val="28"/>
      <w:szCs w:val="28"/>
      <w:u w:color="FF0000"/>
    </w:rPr>
  </w:style>
  <w:style w:type="character" w:customStyle="1" w:styleId="112">
    <w:name w:val="纯文本 Char3"/>
    <w:link w:val="46"/>
    <w:qFormat/>
    <w:uiPriority w:val="0"/>
    <w:rPr>
      <w:rFonts w:ascii="宋体" w:hAnsi="Courier New" w:eastAsia="宋体"/>
      <w:kern w:val="2"/>
      <w:sz w:val="21"/>
      <w:szCs w:val="21"/>
      <w:u w:color="FF0000"/>
      <w:lang w:val="en-US" w:eastAsia="zh-CN" w:bidi="ar-SA"/>
    </w:rPr>
  </w:style>
  <w:style w:type="character" w:customStyle="1" w:styleId="113">
    <w:name w:val="日期 Char2"/>
    <w:link w:val="51"/>
    <w:qFormat/>
    <w:uiPriority w:val="0"/>
    <w:rPr>
      <w:rFonts w:ascii="Calibri" w:hAnsi="Calibri"/>
      <w:b/>
      <w:kern w:val="2"/>
      <w:sz w:val="28"/>
      <w:szCs w:val="24"/>
      <w:u w:color="FF0000"/>
    </w:rPr>
  </w:style>
  <w:style w:type="character" w:customStyle="1" w:styleId="114">
    <w:name w:val="正文文本缩进 2 Char2"/>
    <w:link w:val="52"/>
    <w:qFormat/>
    <w:uiPriority w:val="0"/>
    <w:rPr>
      <w:rFonts w:ascii="宋体" w:hAnsi="宋体" w:eastAsia="隶书"/>
      <w:b/>
      <w:kern w:val="2"/>
      <w:sz w:val="28"/>
      <w:szCs w:val="24"/>
      <w:u w:color="FF0000"/>
      <w:lang w:val="en-US" w:eastAsia="zh-CN" w:bidi="ar-SA"/>
    </w:rPr>
  </w:style>
  <w:style w:type="character" w:customStyle="1" w:styleId="115">
    <w:name w:val="批注框文本 Char2"/>
    <w:link w:val="55"/>
    <w:qFormat/>
    <w:uiPriority w:val="0"/>
    <w:rPr>
      <w:rFonts w:ascii="Calibri" w:hAnsi="Calibri"/>
      <w:b/>
      <w:kern w:val="2"/>
      <w:sz w:val="18"/>
      <w:szCs w:val="18"/>
      <w:u w:color="FF0000"/>
    </w:rPr>
  </w:style>
  <w:style w:type="character" w:customStyle="1" w:styleId="116">
    <w:name w:val="页脚 Char2"/>
    <w:link w:val="56"/>
    <w:qFormat/>
    <w:uiPriority w:val="99"/>
    <w:rPr>
      <w:b/>
      <w:sz w:val="18"/>
      <w:u w:color="FF0000"/>
    </w:rPr>
  </w:style>
  <w:style w:type="character" w:customStyle="1" w:styleId="117">
    <w:name w:val="页眉 Char2"/>
    <w:link w:val="58"/>
    <w:qFormat/>
    <w:uiPriority w:val="0"/>
    <w:rPr>
      <w:rFonts w:eastAsia="隶书"/>
      <w:b/>
      <w:kern w:val="2"/>
      <w:sz w:val="18"/>
      <w:szCs w:val="18"/>
      <w:u w:color="FF0000"/>
      <w:lang w:val="en-US" w:eastAsia="zh-CN" w:bidi="ar-SA"/>
    </w:rPr>
  </w:style>
  <w:style w:type="character" w:customStyle="1" w:styleId="118">
    <w:name w:val="脚注文本 Char2"/>
    <w:link w:val="68"/>
    <w:qFormat/>
    <w:uiPriority w:val="0"/>
    <w:rPr>
      <w:rFonts w:ascii="Calibri" w:hAnsi="Calibri"/>
      <w:kern w:val="2"/>
      <w:sz w:val="18"/>
      <w:szCs w:val="18"/>
      <w:u w:color="FF0000"/>
    </w:rPr>
  </w:style>
  <w:style w:type="character" w:customStyle="1" w:styleId="119">
    <w:name w:val="正文文本缩进 3 Char2"/>
    <w:link w:val="71"/>
    <w:qFormat/>
    <w:uiPriority w:val="0"/>
    <w:rPr>
      <w:rFonts w:ascii="Calibri" w:hAnsi="Calibri"/>
      <w:kern w:val="2"/>
      <w:sz w:val="28"/>
      <w:szCs w:val="24"/>
      <w:u w:color="FF0000"/>
    </w:rPr>
  </w:style>
  <w:style w:type="character" w:customStyle="1" w:styleId="120">
    <w:name w:val="正文文本 2 Char2"/>
    <w:link w:val="77"/>
    <w:qFormat/>
    <w:uiPriority w:val="0"/>
    <w:rPr>
      <w:rFonts w:ascii="Calibri" w:hAnsi="Calibri"/>
      <w:kern w:val="2"/>
      <w:sz w:val="24"/>
      <w:szCs w:val="24"/>
      <w:u w:color="FF0000"/>
    </w:rPr>
  </w:style>
  <w:style w:type="character" w:customStyle="1" w:styleId="121">
    <w:name w:val="批注主题 Char2"/>
    <w:link w:val="86"/>
    <w:qFormat/>
    <w:uiPriority w:val="99"/>
    <w:rPr>
      <w:rFonts w:eastAsia="隶书"/>
      <w:b/>
      <w:bCs/>
      <w:kern w:val="2"/>
      <w:sz w:val="21"/>
      <w:szCs w:val="24"/>
      <w:u w:color="FF0000"/>
      <w:lang w:val="en-US" w:eastAsia="zh-CN" w:bidi="ar-SA"/>
    </w:rPr>
  </w:style>
  <w:style w:type="character" w:customStyle="1" w:styleId="122">
    <w:name w:val="正文首行缩进 Char2"/>
    <w:basedOn w:val="91"/>
    <w:link w:val="87"/>
    <w:qFormat/>
    <w:uiPriority w:val="0"/>
    <w:rPr>
      <w:rFonts w:ascii="Times New Roman" w:eastAsia="隶书"/>
      <w:b/>
      <w:kern w:val="2"/>
      <w:sz w:val="21"/>
      <w:szCs w:val="24"/>
      <w:u w:color="FF0000"/>
    </w:rPr>
  </w:style>
  <w:style w:type="character" w:customStyle="1" w:styleId="123">
    <w:name w:val="Char Char3"/>
    <w:qFormat/>
    <w:uiPriority w:val="0"/>
    <w:rPr>
      <w:rFonts w:eastAsia="仿宋_GB2312"/>
      <w:b/>
      <w:bCs/>
      <w:kern w:val="2"/>
      <w:sz w:val="28"/>
      <w:szCs w:val="24"/>
      <w:u w:color="FF0000"/>
    </w:rPr>
  </w:style>
  <w:style w:type="character" w:customStyle="1" w:styleId="124">
    <w:name w:val="Char Char5"/>
    <w:qFormat/>
    <w:uiPriority w:val="0"/>
    <w:rPr>
      <w:rFonts w:eastAsia="宋体"/>
      <w:color w:val="000000"/>
      <w:kern w:val="2"/>
      <w:sz w:val="18"/>
      <w:lang w:val="en-US" w:eastAsia="zh-CN" w:bidi="ar-SA"/>
    </w:rPr>
  </w:style>
  <w:style w:type="character" w:customStyle="1" w:styleId="125">
    <w:name w:val="正文文字缩进 Char1"/>
    <w:qFormat/>
    <w:uiPriority w:val="0"/>
    <w:rPr>
      <w:rFonts w:eastAsia="宋体"/>
      <w:kern w:val="2"/>
      <w:sz w:val="28"/>
      <w:szCs w:val="24"/>
      <w:lang w:val="en-US" w:eastAsia="zh-CN" w:bidi="ar-SA"/>
    </w:rPr>
  </w:style>
  <w:style w:type="character" w:customStyle="1" w:styleId="126">
    <w:name w:val="zw1"/>
    <w:qFormat/>
    <w:uiPriority w:val="0"/>
    <w:rPr>
      <w:rFonts w:hint="eastAsia" w:ascii="宋体" w:hAnsi="宋体" w:eastAsia="宋体"/>
      <w:sz w:val="22"/>
      <w:szCs w:val="22"/>
    </w:rPr>
  </w:style>
  <w:style w:type="character" w:customStyle="1" w:styleId="127">
    <w:name w:val="font41"/>
    <w:qFormat/>
    <w:uiPriority w:val="0"/>
    <w:rPr>
      <w:rFonts w:hint="default" w:ascii="Times New Roman" w:hAnsi="Times New Roman" w:cs="Times New Roman"/>
      <w:color w:val="000000"/>
      <w:sz w:val="22"/>
      <w:szCs w:val="22"/>
      <w:u w:val="none"/>
      <w:vertAlign w:val="superscript"/>
    </w:rPr>
  </w:style>
  <w:style w:type="character" w:customStyle="1" w:styleId="128">
    <w:name w:val="font21"/>
    <w:qFormat/>
    <w:uiPriority w:val="0"/>
    <w:rPr>
      <w:rFonts w:hint="eastAsia" w:ascii="宋体" w:hAnsi="宋体" w:eastAsia="宋体" w:cs="宋体"/>
      <w:color w:val="000000"/>
      <w:sz w:val="24"/>
      <w:szCs w:val="24"/>
      <w:u w:val="none"/>
    </w:rPr>
  </w:style>
  <w:style w:type="character" w:customStyle="1" w:styleId="129">
    <w:name w:val="font51"/>
    <w:qFormat/>
    <w:uiPriority w:val="0"/>
    <w:rPr>
      <w:rFonts w:hint="eastAsia" w:ascii="宋体" w:hAnsi="宋体" w:eastAsia="宋体" w:cs="宋体"/>
      <w:color w:val="000000"/>
      <w:sz w:val="28"/>
      <w:szCs w:val="28"/>
      <w:u w:val="none"/>
    </w:rPr>
  </w:style>
  <w:style w:type="character" w:customStyle="1" w:styleId="130">
    <w:name w:val="bt21"/>
    <w:qFormat/>
    <w:uiPriority w:val="0"/>
    <w:rPr>
      <w:rFonts w:hint="eastAsia" w:ascii="黑体" w:eastAsia="黑体"/>
      <w:sz w:val="24"/>
      <w:szCs w:val="24"/>
    </w:rPr>
  </w:style>
  <w:style w:type="character" w:customStyle="1" w:styleId="131">
    <w:name w:val="正文文字缩进 Char Char"/>
    <w:qFormat/>
    <w:uiPriority w:val="0"/>
    <w:rPr>
      <w:rFonts w:eastAsia="宋体"/>
      <w:kern w:val="2"/>
      <w:sz w:val="28"/>
      <w:szCs w:val="24"/>
      <w:lang w:val="en-US" w:eastAsia="zh-CN" w:bidi="ar-SA"/>
    </w:rPr>
  </w:style>
  <w:style w:type="character" w:customStyle="1" w:styleId="132">
    <w:name w:val="font11"/>
    <w:qFormat/>
    <w:uiPriority w:val="0"/>
    <w:rPr>
      <w:rFonts w:hint="eastAsia" w:ascii="宋体" w:hAnsi="宋体" w:eastAsia="宋体" w:cs="宋体"/>
      <w:color w:val="000000"/>
      <w:sz w:val="24"/>
      <w:szCs w:val="24"/>
      <w:u w:val="none"/>
      <w:vertAlign w:val="superscript"/>
    </w:rPr>
  </w:style>
  <w:style w:type="character" w:customStyle="1" w:styleId="133">
    <w:name w:val="font01"/>
    <w:basedOn w:val="91"/>
    <w:qFormat/>
    <w:uiPriority w:val="0"/>
    <w:rPr>
      <w:rFonts w:hint="eastAsia" w:ascii="宋体" w:hAnsi="宋体" w:eastAsia="宋体" w:cs="宋体"/>
      <w:color w:val="000000"/>
      <w:sz w:val="24"/>
      <w:szCs w:val="24"/>
      <w:u w:val="none"/>
      <w:vertAlign w:val="superscript"/>
    </w:rPr>
  </w:style>
  <w:style w:type="character" w:customStyle="1" w:styleId="134">
    <w:name w:val="font31"/>
    <w:qFormat/>
    <w:uiPriority w:val="0"/>
    <w:rPr>
      <w:rFonts w:hint="default" w:ascii="Times New Roman" w:hAnsi="Times New Roman" w:cs="Times New Roman"/>
      <w:color w:val="000000"/>
      <w:sz w:val="22"/>
      <w:szCs w:val="22"/>
      <w:u w:val="none"/>
      <w:vertAlign w:val="superscript"/>
    </w:rPr>
  </w:style>
  <w:style w:type="character" w:customStyle="1" w:styleId="135">
    <w:name w:val="bt11"/>
    <w:qFormat/>
    <w:uiPriority w:val="0"/>
    <w:rPr>
      <w:rFonts w:hint="eastAsia" w:ascii="黑体" w:eastAsia="黑体"/>
      <w:color w:val="000000"/>
      <w:sz w:val="28"/>
      <w:szCs w:val="28"/>
    </w:rPr>
  </w:style>
  <w:style w:type="character" w:customStyle="1" w:styleId="136">
    <w:name w:val="style441"/>
    <w:qFormat/>
    <w:uiPriority w:val="0"/>
    <w:rPr>
      <w:sz w:val="18"/>
      <w:szCs w:val="18"/>
    </w:rPr>
  </w:style>
  <w:style w:type="paragraph" w:customStyle="1" w:styleId="137">
    <w:name w:val="标准文件_附录标识"/>
    <w:next w:val="36"/>
    <w:qFormat/>
    <w:uiPriority w:val="0"/>
    <w:pPr>
      <w:numPr>
        <w:ilvl w:val="0"/>
        <w:numId w:val="10"/>
      </w:numPr>
      <w:shd w:val="clear" w:color="FFFFFF" w:fill="FFFFFF"/>
      <w:tabs>
        <w:tab w:val="left" w:pos="6405"/>
        <w:tab w:val="clear" w:pos="425"/>
      </w:tabs>
      <w:spacing w:before="640" w:after="160"/>
      <w:jc w:val="center"/>
      <w:outlineLvl w:val="0"/>
    </w:pPr>
    <w:rPr>
      <w:rFonts w:ascii="黑体" w:hAnsi="Calibri" w:eastAsia="黑体" w:cs="Times New Roman"/>
      <w:kern w:val="2"/>
      <w:sz w:val="21"/>
      <w:szCs w:val="24"/>
      <w:u w:color="FF0000"/>
      <w:lang w:val="en-US" w:eastAsia="zh-CN" w:bidi="ar-SA"/>
    </w:rPr>
  </w:style>
  <w:style w:type="paragraph" w:customStyle="1" w:styleId="138">
    <w:name w:val="3级"/>
    <w:basedOn w:val="139"/>
    <w:qFormat/>
    <w:uiPriority w:val="0"/>
    <w:pPr>
      <w:tabs>
        <w:tab w:val="right" w:leader="dot" w:pos="9198"/>
        <w:tab w:val="right" w:leader="dot" w:pos="9403"/>
        <w:tab w:val="right" w:leader="middleDot" w:pos="9628"/>
      </w:tabs>
      <w:ind w:firstLine="560"/>
      <w:jc w:val="both"/>
      <w:outlineLvl w:val="2"/>
    </w:pPr>
    <w:rPr>
      <w:rFonts w:cs="宋体-18030"/>
      <w:bCs/>
      <w:smallCaps w:val="0"/>
    </w:rPr>
  </w:style>
  <w:style w:type="paragraph" w:customStyle="1" w:styleId="139">
    <w:name w:val="2级"/>
    <w:basedOn w:val="75"/>
    <w:qFormat/>
    <w:uiPriority w:val="0"/>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140">
    <w:name w:val="xl51"/>
    <w:basedOn w:val="1"/>
    <w:qFormat/>
    <w:uiPriority w:val="0"/>
    <w:pPr>
      <w:widowControl/>
      <w:adjustRightInd w:val="0"/>
      <w:spacing w:before="100" w:beforeAutospacing="1" w:after="100" w:afterAutospacing="1" w:line="360" w:lineRule="atLeast"/>
      <w:jc w:val="center"/>
      <w:textAlignment w:val="baseline"/>
    </w:pPr>
    <w:rPr>
      <w:rFonts w:hint="eastAsia" w:ascii="仿宋_GB2312" w:hAnsi="宋体" w:eastAsia="仿宋_GB2312"/>
      <w:bCs/>
      <w:kern w:val="0"/>
      <w:sz w:val="32"/>
      <w:szCs w:val="32"/>
    </w:rPr>
  </w:style>
  <w:style w:type="paragraph" w:customStyle="1" w:styleId="141">
    <w:name w:val="样式1"/>
    <w:basedOn w:val="1"/>
    <w:link w:val="354"/>
    <w:qFormat/>
    <w:uiPriority w:val="0"/>
    <w:pPr>
      <w:spacing w:line="360" w:lineRule="auto"/>
      <w:jc w:val="center"/>
    </w:pPr>
    <w:rPr>
      <w:rFonts w:ascii="仿宋_GB2312" w:eastAsia="仿宋_GB2312"/>
      <w:sz w:val="44"/>
    </w:rPr>
  </w:style>
  <w:style w:type="paragraph" w:customStyle="1" w:styleId="142">
    <w:name w:val="二级条标题"/>
    <w:basedOn w:val="1"/>
    <w:next w:val="1"/>
    <w:qFormat/>
    <w:uiPriority w:val="0"/>
    <w:pPr>
      <w:tabs>
        <w:tab w:val="left" w:pos="5400"/>
      </w:tabs>
      <w:jc w:val="center"/>
      <w:outlineLvl w:val="3"/>
    </w:pPr>
    <w:rPr>
      <w:rFonts w:ascii="黑体" w:eastAsia="黑体"/>
      <w:b w:val="0"/>
      <w:szCs w:val="20"/>
    </w:rPr>
  </w:style>
  <w:style w:type="paragraph" w:customStyle="1" w:styleId="143">
    <w:name w:val="段"/>
    <w:link w:val="492"/>
    <w:qFormat/>
    <w:uiPriority w:val="0"/>
    <w:pPr>
      <w:autoSpaceDE w:val="0"/>
      <w:autoSpaceDN w:val="0"/>
      <w:ind w:firstLine="200" w:firstLineChars="200"/>
      <w:jc w:val="both"/>
    </w:pPr>
    <w:rPr>
      <w:rFonts w:ascii="宋体" w:hAnsi="Calibri" w:eastAsia="宋体" w:cs="Times New Roman"/>
      <w:kern w:val="2"/>
      <w:sz w:val="21"/>
      <w:szCs w:val="24"/>
      <w:u w:color="FF0000"/>
      <w:lang w:val="en-US" w:eastAsia="zh-CN" w:bidi="ar-SA"/>
    </w:rPr>
  </w:style>
  <w:style w:type="paragraph" w:customStyle="1" w:styleId="144">
    <w:name w:val="a"/>
    <w:basedOn w:val="1"/>
    <w:qFormat/>
    <w:uiPriority w:val="0"/>
    <w:pPr>
      <w:widowControl/>
      <w:spacing w:before="100" w:beforeAutospacing="1" w:after="100" w:afterAutospacing="1"/>
      <w:jc w:val="left"/>
    </w:pPr>
    <w:rPr>
      <w:rFonts w:ascii="宋体" w:hAnsi="宋体" w:cs="宋体"/>
      <w:b w:val="0"/>
      <w:kern w:val="0"/>
      <w:sz w:val="24"/>
    </w:rPr>
  </w:style>
  <w:style w:type="paragraph" w:customStyle="1" w:styleId="145">
    <w:name w:val="封面标准文稿编辑信息"/>
    <w:qFormat/>
    <w:uiPriority w:val="0"/>
    <w:pPr>
      <w:spacing w:before="180" w:line="180" w:lineRule="exact"/>
      <w:jc w:val="center"/>
    </w:pPr>
    <w:rPr>
      <w:rFonts w:ascii="宋体" w:hAnsi="Calibri" w:eastAsia="宋体" w:cs="Times New Roman"/>
      <w:kern w:val="2"/>
      <w:sz w:val="21"/>
      <w:szCs w:val="24"/>
      <w:u w:color="FF0000"/>
      <w:lang w:val="en-US" w:eastAsia="zh-CN" w:bidi="ar-SA"/>
    </w:rPr>
  </w:style>
  <w:style w:type="paragraph" w:customStyle="1" w:styleId="146">
    <w:name w:val="默认段落字体 Para Char"/>
    <w:basedOn w:val="1"/>
    <w:qFormat/>
    <w:uiPriority w:val="0"/>
    <w:pPr>
      <w:spacing w:line="360" w:lineRule="auto"/>
      <w:ind w:firstLine="200" w:firstLineChars="200"/>
    </w:pPr>
  </w:style>
  <w:style w:type="paragraph" w:customStyle="1" w:styleId="147">
    <w:name w:val="正文文本缩进1"/>
    <w:basedOn w:val="1"/>
    <w:qFormat/>
    <w:uiPriority w:val="0"/>
    <w:pPr>
      <w:widowControl/>
      <w:spacing w:line="360" w:lineRule="auto"/>
      <w:ind w:firstLine="570"/>
    </w:pPr>
    <w:rPr>
      <w:rFonts w:eastAsia="隶书"/>
      <w:b w:val="0"/>
      <w:kern w:val="0"/>
      <w:sz w:val="28"/>
      <w:szCs w:val="20"/>
    </w:rPr>
  </w:style>
  <w:style w:type="paragraph" w:customStyle="1" w:styleId="148">
    <w:name w:val="一级条标题"/>
    <w:basedOn w:val="1"/>
    <w:next w:val="143"/>
    <w:qFormat/>
    <w:uiPriority w:val="0"/>
    <w:pPr>
      <w:tabs>
        <w:tab w:val="left" w:pos="5400"/>
      </w:tabs>
      <w:jc w:val="center"/>
      <w:outlineLvl w:val="2"/>
    </w:pPr>
    <w:rPr>
      <w:rFonts w:ascii="黑体" w:eastAsia="黑体"/>
      <w:b w:val="0"/>
      <w:szCs w:val="20"/>
    </w:rPr>
  </w:style>
  <w:style w:type="paragraph" w:customStyle="1" w:styleId="149">
    <w:name w:val="xl33"/>
    <w:basedOn w:val="1"/>
    <w:qFormat/>
    <w:uiPriority w:val="0"/>
    <w:pPr>
      <w:widowControl/>
      <w:pBdr>
        <w:bottom w:val="single" w:color="auto" w:sz="4" w:space="0"/>
      </w:pBdr>
      <w:spacing w:before="100" w:after="100"/>
      <w:jc w:val="center"/>
    </w:pPr>
    <w:rPr>
      <w:rFonts w:ascii="Arial Unicode MS" w:hAnsi="Arial Unicode MS" w:eastAsia="Arial Unicode MS"/>
      <w:b w:val="0"/>
      <w:kern w:val="0"/>
      <w:sz w:val="24"/>
      <w:szCs w:val="20"/>
    </w:rPr>
  </w:style>
  <w:style w:type="paragraph" w:customStyle="1" w:styleId="150">
    <w:name w:val="xl38"/>
    <w:basedOn w:val="1"/>
    <w:qFormat/>
    <w:uiPriority w:val="0"/>
    <w:pPr>
      <w:widowControl/>
      <w:spacing w:before="100" w:beforeAutospacing="1" w:after="100" w:afterAutospacing="1"/>
      <w:jc w:val="center"/>
      <w:textAlignment w:val="center"/>
    </w:pPr>
    <w:rPr>
      <w:rFonts w:ascii="宋体" w:hAnsi="宋体"/>
      <w:b w:val="0"/>
      <w:kern w:val="0"/>
      <w:szCs w:val="21"/>
    </w:rPr>
  </w:style>
  <w:style w:type="paragraph" w:customStyle="1" w:styleId="151">
    <w:name w:val="标准书眉一"/>
    <w:qFormat/>
    <w:uiPriority w:val="0"/>
    <w:pPr>
      <w:jc w:val="both"/>
    </w:pPr>
    <w:rPr>
      <w:rFonts w:ascii="Calibri" w:hAnsi="Calibri" w:eastAsia="宋体" w:cs="Times New Roman"/>
      <w:sz w:val="21"/>
      <w:szCs w:val="22"/>
      <w:lang w:val="en-US" w:eastAsia="zh-CN" w:bidi="ar-SA"/>
    </w:rPr>
  </w:style>
  <w:style w:type="paragraph" w:customStyle="1" w:styleId="152">
    <w:name w:val="4 Char"/>
    <w:basedOn w:val="1"/>
    <w:next w:val="3"/>
    <w:qFormat/>
    <w:uiPriority w:val="0"/>
    <w:pPr>
      <w:ind w:firstLine="560" w:firstLineChars="200"/>
    </w:pPr>
    <w:rPr>
      <w:b w:val="0"/>
      <w:sz w:val="28"/>
      <w:szCs w:val="20"/>
    </w:rPr>
  </w:style>
  <w:style w:type="paragraph" w:customStyle="1" w:styleId="153">
    <w:name w:val="表格"/>
    <w:basedOn w:val="1"/>
    <w:qFormat/>
    <w:uiPriority w:val="0"/>
    <w:pPr>
      <w:spacing w:before="50" w:after="50"/>
      <w:jc w:val="center"/>
    </w:pPr>
    <w:rPr>
      <w:rFonts w:ascii="宋体"/>
      <w:b w:val="0"/>
      <w:szCs w:val="20"/>
    </w:rPr>
  </w:style>
  <w:style w:type="paragraph" w:customStyle="1" w:styleId="154">
    <w:name w:val="章标题"/>
    <w:next w:val="143"/>
    <w:qFormat/>
    <w:uiPriority w:val="0"/>
    <w:pPr>
      <w:widowControl w:val="0"/>
      <w:tabs>
        <w:tab w:val="left" w:pos="5400"/>
      </w:tabs>
      <w:jc w:val="center"/>
    </w:pPr>
    <w:rPr>
      <w:rFonts w:ascii="黑体" w:hAnsi="Calibri" w:eastAsia="黑体" w:cs="Times New Roman"/>
      <w:kern w:val="2"/>
      <w:sz w:val="21"/>
      <w:szCs w:val="24"/>
      <w:u w:color="FF0000"/>
      <w:lang w:val="en-US" w:eastAsia="zh-CN" w:bidi="ar-SA"/>
    </w:rPr>
  </w:style>
  <w:style w:type="paragraph" w:customStyle="1" w:styleId="155">
    <w:name w:val="1"/>
    <w:basedOn w:val="1"/>
    <w:qFormat/>
    <w:uiPriority w:val="0"/>
    <w:pPr>
      <w:spacing w:line="360" w:lineRule="auto"/>
    </w:pPr>
    <w:rPr>
      <w:rFonts w:ascii="Courier New" w:hAnsi="Courier New" w:eastAsia="仿宋_GB2312" w:cs="Courier New"/>
      <w:b w:val="0"/>
      <w:sz w:val="28"/>
      <w:szCs w:val="20"/>
    </w:rPr>
  </w:style>
  <w:style w:type="paragraph" w:customStyle="1" w:styleId="156">
    <w:name w:val="3 Char"/>
    <w:basedOn w:val="1"/>
    <w:next w:val="3"/>
    <w:qFormat/>
    <w:uiPriority w:val="0"/>
    <w:pPr>
      <w:ind w:firstLine="560" w:firstLineChars="200"/>
    </w:pPr>
    <w:rPr>
      <w:sz w:val="28"/>
    </w:rPr>
  </w:style>
  <w:style w:type="paragraph" w:customStyle="1" w:styleId="157">
    <w:name w:val="修订1"/>
    <w:qFormat/>
    <w:uiPriority w:val="99"/>
    <w:rPr>
      <w:rFonts w:ascii="Calibri" w:hAnsi="Calibri" w:eastAsia="宋体" w:cs="Times New Roman"/>
      <w:kern w:val="2"/>
      <w:sz w:val="21"/>
      <w:szCs w:val="24"/>
      <w:u w:color="FF0000"/>
      <w:lang w:val="en-US" w:eastAsia="zh-CN" w:bidi="ar-SA"/>
    </w:rPr>
  </w:style>
  <w:style w:type="paragraph" w:customStyle="1" w:styleId="158">
    <w:name w:val="正文（4号字 首行缩2）"/>
    <w:basedOn w:val="1"/>
    <w:qFormat/>
    <w:uiPriority w:val="0"/>
    <w:pPr>
      <w:tabs>
        <w:tab w:val="left" w:pos="4830"/>
      </w:tabs>
      <w:ind w:firstLine="560" w:firstLineChars="200"/>
    </w:pPr>
    <w:rPr>
      <w:rFonts w:ascii="宋体" w:hAnsi="宋体"/>
      <w:sz w:val="28"/>
    </w:rPr>
  </w:style>
  <w:style w:type="paragraph" w:customStyle="1" w:styleId="159">
    <w:name w:val="附录图标题"/>
    <w:basedOn w:val="1"/>
    <w:next w:val="143"/>
    <w:qFormat/>
    <w:uiPriority w:val="0"/>
    <w:pPr>
      <w:numPr>
        <w:ilvl w:val="1"/>
        <w:numId w:val="11"/>
      </w:numPr>
      <w:tabs>
        <w:tab w:val="left" w:pos="363"/>
      </w:tabs>
      <w:spacing w:before="156" w:beforeLines="50" w:after="156" w:afterLines="50"/>
      <w:jc w:val="center"/>
    </w:pPr>
    <w:rPr>
      <w:rFonts w:ascii="黑体" w:eastAsia="黑体"/>
      <w:szCs w:val="21"/>
    </w:rPr>
  </w:style>
  <w:style w:type="paragraph" w:customStyle="1" w:styleId="160">
    <w:name w:val="正文表标题"/>
    <w:next w:val="143"/>
    <w:qFormat/>
    <w:uiPriority w:val="0"/>
    <w:pPr>
      <w:numPr>
        <w:ilvl w:val="0"/>
        <w:numId w:val="12"/>
      </w:numPr>
      <w:spacing w:before="156" w:beforeLines="50" w:after="156" w:afterLines="50"/>
      <w:jc w:val="center"/>
    </w:pPr>
    <w:rPr>
      <w:rFonts w:ascii="黑体" w:hAnsi="Calibri" w:eastAsia="黑体" w:cs="Times New Roman"/>
      <w:sz w:val="21"/>
      <w:lang w:val="en-US" w:eastAsia="zh-CN" w:bidi="ar-SA"/>
    </w:rPr>
  </w:style>
  <w:style w:type="paragraph" w:customStyle="1" w:styleId="161">
    <w:name w:val="字母编号列项（一级）"/>
    <w:qFormat/>
    <w:uiPriority w:val="0"/>
    <w:pPr>
      <w:numPr>
        <w:ilvl w:val="0"/>
        <w:numId w:val="13"/>
      </w:numPr>
      <w:jc w:val="both"/>
    </w:pPr>
    <w:rPr>
      <w:rFonts w:ascii="宋体" w:hAnsi="Calibri" w:eastAsia="宋体" w:cs="Times New Roman"/>
      <w:sz w:val="21"/>
      <w:lang w:val="en-US" w:eastAsia="zh-CN" w:bidi="ar-SA"/>
    </w:rPr>
  </w:style>
  <w:style w:type="paragraph" w:customStyle="1" w:styleId="162">
    <w:name w:val="样式2"/>
    <w:basedOn w:val="1"/>
    <w:qFormat/>
    <w:uiPriority w:val="0"/>
    <w:pPr>
      <w:numPr>
        <w:ilvl w:val="0"/>
        <w:numId w:val="14"/>
      </w:numPr>
    </w:pPr>
    <w:rPr>
      <w:b w:val="0"/>
      <w:szCs w:val="20"/>
    </w:rPr>
  </w:style>
  <w:style w:type="paragraph" w:customStyle="1" w:styleId="163">
    <w:name w:val="TOC 标题1"/>
    <w:basedOn w:val="5"/>
    <w:next w:val="1"/>
    <w:qFormat/>
    <w:uiPriority w:val="99"/>
    <w:pPr>
      <w:keepLines/>
      <w:widowControl/>
      <w:spacing w:before="480" w:line="276" w:lineRule="auto"/>
      <w:jc w:val="left"/>
      <w:outlineLvl w:val="9"/>
    </w:pPr>
    <w:rPr>
      <w:rFonts w:ascii="Cambria" w:hAnsi="Cambria" w:eastAsia="宋体"/>
      <w:bCs/>
      <w:color w:val="365F91"/>
      <w:kern w:val="0"/>
      <w:sz w:val="28"/>
      <w:szCs w:val="28"/>
    </w:rPr>
  </w:style>
  <w:style w:type="paragraph" w:customStyle="1" w:styleId="164">
    <w:name w:val="2"/>
    <w:basedOn w:val="1"/>
    <w:next w:val="3"/>
    <w:qFormat/>
    <w:uiPriority w:val="0"/>
    <w:pPr>
      <w:ind w:firstLine="560" w:firstLineChars="200"/>
    </w:pPr>
    <w:rPr>
      <w:b w:val="0"/>
      <w:sz w:val="28"/>
    </w:rPr>
  </w:style>
  <w:style w:type="paragraph" w:customStyle="1" w:styleId="165">
    <w:name w:val="标准文件_段"/>
    <w:qFormat/>
    <w:uiPriority w:val="0"/>
    <w:pPr>
      <w:autoSpaceDE w:val="0"/>
      <w:autoSpaceDN w:val="0"/>
      <w:adjustRightInd w:val="0"/>
      <w:snapToGrid w:val="0"/>
      <w:spacing w:line="400" w:lineRule="exact"/>
      <w:jc w:val="center"/>
    </w:pPr>
    <w:rPr>
      <w:rFonts w:ascii="宋体" w:hAnsi="宋体" w:eastAsia="宋体" w:cs="Times New Roman"/>
      <w:spacing w:val="2"/>
      <w:kern w:val="2"/>
      <w:sz w:val="21"/>
      <w:szCs w:val="24"/>
      <w:u w:color="FF0000"/>
      <w:lang w:val="en-US" w:eastAsia="zh-CN" w:bidi="ar-SA"/>
    </w:rPr>
  </w:style>
  <w:style w:type="paragraph" w:styleId="166">
    <w:name w:val="List Paragraph"/>
    <w:basedOn w:val="1"/>
    <w:qFormat/>
    <w:uiPriority w:val="1"/>
    <w:pPr>
      <w:ind w:firstLine="420" w:firstLineChars="200"/>
    </w:pPr>
  </w:style>
  <w:style w:type="paragraph" w:customStyle="1" w:styleId="167">
    <w:name w:val="正文文本缩进2"/>
    <w:basedOn w:val="1"/>
    <w:qFormat/>
    <w:uiPriority w:val="0"/>
    <w:pPr>
      <w:widowControl/>
      <w:spacing w:line="360" w:lineRule="auto"/>
      <w:ind w:firstLine="570"/>
    </w:pPr>
    <w:rPr>
      <w:rFonts w:eastAsia="隶书"/>
      <w:b w:val="0"/>
      <w:kern w:val="0"/>
      <w:sz w:val="28"/>
      <w:szCs w:val="20"/>
    </w:rPr>
  </w:style>
  <w:style w:type="paragraph" w:customStyle="1" w:styleId="168">
    <w:name w:val="表格文字"/>
    <w:qFormat/>
    <w:uiPriority w:val="0"/>
    <w:pPr>
      <w:jc w:val="both"/>
    </w:pPr>
    <w:rPr>
      <w:rFonts w:ascii="Calibri" w:hAnsi="Calibri" w:eastAsia="宋体" w:cs="Times New Roman"/>
      <w:color w:val="000000"/>
      <w:kern w:val="2"/>
      <w:sz w:val="21"/>
      <w:szCs w:val="28"/>
      <w:lang w:val="en-US" w:eastAsia="zh-CN" w:bidi="ar-SA"/>
    </w:rPr>
  </w:style>
  <w:style w:type="paragraph" w:customStyle="1" w:styleId="169">
    <w:name w:val="表格文字（居中）"/>
    <w:qFormat/>
    <w:uiPriority w:val="0"/>
    <w:pPr>
      <w:widowControl w:val="0"/>
      <w:jc w:val="center"/>
    </w:pPr>
    <w:rPr>
      <w:rFonts w:ascii="Calibri" w:hAnsi="Calibri" w:eastAsia="宋体" w:cs="Times New Roman"/>
      <w:color w:val="000000"/>
      <w:kern w:val="2"/>
      <w:sz w:val="21"/>
      <w:szCs w:val="28"/>
      <w:lang w:val="en-US" w:eastAsia="zh-CN" w:bidi="ar-SA"/>
    </w:rPr>
  </w:style>
  <w:style w:type="paragraph" w:customStyle="1" w:styleId="170">
    <w:name w:val="标题3"/>
    <w:basedOn w:val="3"/>
    <w:qFormat/>
    <w:uiPriority w:val="0"/>
    <w:pPr>
      <w:spacing w:line="520" w:lineRule="exact"/>
      <w:ind w:firstLine="0"/>
      <w:jc w:val="left"/>
    </w:pPr>
    <w:rPr>
      <w:rFonts w:ascii="仿宋_GB2312" w:hAnsi="Times New Roman" w:eastAsia="仿宋_GB2312"/>
      <w:sz w:val="24"/>
      <w:szCs w:val="24"/>
    </w:rPr>
  </w:style>
  <w:style w:type="paragraph" w:customStyle="1" w:styleId="171">
    <w:name w:val="修订2"/>
    <w:hidden/>
    <w:semiHidden/>
    <w:qFormat/>
    <w:uiPriority w:val="99"/>
    <w:rPr>
      <w:rFonts w:ascii="Calibri" w:hAnsi="Calibri" w:eastAsia="宋体" w:cs="Times New Roman"/>
      <w:b/>
      <w:kern w:val="2"/>
      <w:sz w:val="21"/>
      <w:szCs w:val="24"/>
      <w:u w:color="FF0000"/>
      <w:lang w:val="en-US" w:eastAsia="zh-CN" w:bidi="ar-SA"/>
    </w:rPr>
  </w:style>
  <w:style w:type="paragraph" w:customStyle="1" w:styleId="172">
    <w:name w:val="Char Char Char Char"/>
    <w:basedOn w:val="1"/>
    <w:qFormat/>
    <w:uiPriority w:val="0"/>
    <w:pPr>
      <w:widowControl/>
      <w:adjustRightInd w:val="0"/>
      <w:spacing w:after="160" w:line="240" w:lineRule="exact"/>
      <w:jc w:val="left"/>
      <w:textAlignment w:val="baseline"/>
    </w:pPr>
    <w:rPr>
      <w:rFonts w:ascii="Arial" w:hAnsi="Arial" w:eastAsia="Times New Roman" w:cs="Verdana"/>
      <w:kern w:val="0"/>
      <w:sz w:val="24"/>
      <w:lang w:eastAsia="en-US"/>
    </w:rPr>
  </w:style>
  <w:style w:type="paragraph" w:customStyle="1" w:styleId="173">
    <w:name w:val="正文文本1"/>
    <w:basedOn w:val="1"/>
    <w:link w:val="174"/>
    <w:qFormat/>
    <w:uiPriority w:val="0"/>
    <w:pPr>
      <w:shd w:val="clear" w:color="auto" w:fill="FFFFFF"/>
      <w:jc w:val="left"/>
    </w:pPr>
    <w:rPr>
      <w:rFonts w:eastAsia="Times New Roman"/>
      <w:kern w:val="0"/>
      <w:sz w:val="20"/>
      <w:szCs w:val="20"/>
    </w:rPr>
  </w:style>
  <w:style w:type="character" w:customStyle="1" w:styleId="174">
    <w:name w:val="Body text_"/>
    <w:basedOn w:val="91"/>
    <w:link w:val="173"/>
    <w:qFormat/>
    <w:uiPriority w:val="0"/>
    <w:rPr>
      <w:rFonts w:eastAsia="Times New Roman"/>
      <w:kern w:val="0"/>
      <w:sz w:val="20"/>
      <w:szCs w:val="20"/>
    </w:rPr>
  </w:style>
  <w:style w:type="character" w:customStyle="1" w:styleId="175">
    <w:name w:val="Body text + SimSun"/>
    <w:basedOn w:val="174"/>
    <w:qFormat/>
    <w:uiPriority w:val="0"/>
    <w:rPr>
      <w:rFonts w:ascii="宋体" w:hAnsi="宋体" w:eastAsia="宋体" w:cs="宋体"/>
      <w:color w:val="000000"/>
      <w:spacing w:val="0"/>
      <w:w w:val="75"/>
      <w:kern w:val="0"/>
      <w:position w:val="0"/>
      <w:sz w:val="29"/>
      <w:szCs w:val="29"/>
      <w:lang w:val="zh-TW"/>
    </w:rPr>
  </w:style>
  <w:style w:type="character" w:customStyle="1" w:styleId="176">
    <w:name w:val="表格标题 Char"/>
    <w:link w:val="177"/>
    <w:qFormat/>
    <w:uiPriority w:val="0"/>
    <w:rPr>
      <w:b/>
      <w:snapToGrid w:val="0"/>
      <w:sz w:val="28"/>
    </w:rPr>
  </w:style>
  <w:style w:type="paragraph" w:customStyle="1" w:styleId="177">
    <w:name w:val="表格标题"/>
    <w:next w:val="178"/>
    <w:link w:val="176"/>
    <w:qFormat/>
    <w:uiPriority w:val="0"/>
    <w:pPr>
      <w:widowControl w:val="0"/>
      <w:overflowPunct w:val="0"/>
      <w:adjustRightInd w:val="0"/>
      <w:snapToGrid w:val="0"/>
      <w:textAlignment w:val="baseline"/>
    </w:pPr>
    <w:rPr>
      <w:rFonts w:ascii="Times New Roman" w:hAnsi="Times New Roman" w:eastAsia="宋体" w:cs="Times New Roman"/>
      <w:b/>
      <w:snapToGrid w:val="0"/>
      <w:sz w:val="28"/>
      <w:lang w:val="en-US" w:eastAsia="zh-CN" w:bidi="ar-SA"/>
    </w:rPr>
  </w:style>
  <w:style w:type="paragraph" w:customStyle="1" w:styleId="178">
    <w:name w:val="表格内容"/>
    <w:qFormat/>
    <w:uiPriority w:val="0"/>
    <w:pPr>
      <w:widowControl w:val="0"/>
      <w:overflowPunct w:val="0"/>
      <w:adjustRightInd w:val="0"/>
      <w:textAlignment w:val="baseline"/>
    </w:pPr>
    <w:rPr>
      <w:rFonts w:ascii="Times New Roman" w:hAnsi="Times New Roman" w:eastAsia="宋体" w:cs="Times New Roman"/>
      <w:snapToGrid w:val="0"/>
      <w:sz w:val="21"/>
      <w:lang w:val="en-US" w:eastAsia="zh-CN" w:bidi="ar-SA"/>
    </w:rPr>
  </w:style>
  <w:style w:type="character" w:customStyle="1" w:styleId="179">
    <w:name w:val="不明显强调1"/>
    <w:qFormat/>
    <w:uiPriority w:val="19"/>
    <w:rPr>
      <w:i/>
      <w:iCs/>
      <w:color w:val="404040"/>
    </w:rPr>
  </w:style>
  <w:style w:type="character" w:customStyle="1" w:styleId="180">
    <w:name w:val="Char Char8"/>
    <w:qFormat/>
    <w:locked/>
    <w:uiPriority w:val="0"/>
    <w:rPr>
      <w:rFonts w:eastAsia="仿宋_GB2312"/>
      <w:b/>
      <w:bCs/>
      <w:kern w:val="2"/>
      <w:sz w:val="28"/>
      <w:szCs w:val="24"/>
      <w:u w:color="FF0000"/>
      <w:lang w:val="en-US" w:eastAsia="zh-CN" w:bidi="ar-SA"/>
    </w:rPr>
  </w:style>
  <w:style w:type="character" w:customStyle="1" w:styleId="181">
    <w:name w:val="Char Char2"/>
    <w:qFormat/>
    <w:uiPriority w:val="0"/>
    <w:rPr>
      <w:rFonts w:eastAsia="宋体"/>
      <w:b/>
      <w:kern w:val="2"/>
      <w:sz w:val="28"/>
      <w:lang w:val="en-US" w:eastAsia="zh-CN" w:bidi="ar-SA"/>
    </w:rPr>
  </w:style>
  <w:style w:type="character" w:customStyle="1" w:styleId="182">
    <w:name w:val="Char Char31"/>
    <w:qFormat/>
    <w:uiPriority w:val="99"/>
    <w:rPr>
      <w:rFonts w:eastAsia="仿宋_GB2312"/>
      <w:b/>
      <w:bCs/>
      <w:kern w:val="2"/>
      <w:sz w:val="28"/>
      <w:szCs w:val="24"/>
      <w:u w:color="FF0000"/>
    </w:rPr>
  </w:style>
  <w:style w:type="character" w:customStyle="1" w:styleId="183">
    <w:name w:val="Char Char4"/>
    <w:qFormat/>
    <w:uiPriority w:val="0"/>
    <w:rPr>
      <w:rFonts w:ascii="Times New Roman" w:hAnsi="Times New Roman" w:eastAsia="宋体"/>
      <w:b/>
      <w:kern w:val="44"/>
      <w:sz w:val="30"/>
    </w:rPr>
  </w:style>
  <w:style w:type="character" w:customStyle="1" w:styleId="184">
    <w:name w:val="页眉（无底线） Char Char"/>
    <w:qFormat/>
    <w:locked/>
    <w:uiPriority w:val="0"/>
    <w:rPr>
      <w:rFonts w:eastAsia="宋体"/>
      <w:kern w:val="2"/>
      <w:sz w:val="18"/>
      <w:szCs w:val="18"/>
      <w:lang w:val="en-US" w:eastAsia="zh-CN" w:bidi="ar-SA"/>
    </w:rPr>
  </w:style>
  <w:style w:type="character" w:customStyle="1" w:styleId="185">
    <w:name w:val="文字1 Char"/>
    <w:link w:val="186"/>
    <w:qFormat/>
    <w:uiPriority w:val="0"/>
    <w:rPr>
      <w:kern w:val="2"/>
      <w:sz w:val="28"/>
    </w:rPr>
  </w:style>
  <w:style w:type="paragraph" w:customStyle="1" w:styleId="186">
    <w:name w:val="文字1"/>
    <w:link w:val="185"/>
    <w:qFormat/>
    <w:uiPriority w:val="0"/>
    <w:pPr>
      <w:widowControl w:val="0"/>
      <w:ind w:firstLine="200" w:firstLineChars="200"/>
    </w:pPr>
    <w:rPr>
      <w:rFonts w:ascii="Times New Roman" w:hAnsi="Times New Roman" w:eastAsia="宋体" w:cs="Times New Roman"/>
      <w:kern w:val="2"/>
      <w:sz w:val="28"/>
      <w:lang w:val="en-US" w:eastAsia="zh-CN" w:bidi="ar-SA"/>
    </w:rPr>
  </w:style>
  <w:style w:type="character" w:customStyle="1" w:styleId="187">
    <w:name w:val="文1 Char"/>
    <w:link w:val="188"/>
    <w:qFormat/>
    <w:uiPriority w:val="0"/>
    <w:rPr>
      <w:color w:val="000000"/>
      <w:kern w:val="2"/>
      <w:sz w:val="28"/>
      <w:szCs w:val="28"/>
    </w:rPr>
  </w:style>
  <w:style w:type="paragraph" w:customStyle="1" w:styleId="188">
    <w:name w:val="文1"/>
    <w:link w:val="187"/>
    <w:qFormat/>
    <w:uiPriority w:val="0"/>
    <w:pPr>
      <w:widowControl w:val="0"/>
      <w:ind w:firstLine="700" w:firstLineChars="250"/>
      <w:jc w:val="both"/>
    </w:pPr>
    <w:rPr>
      <w:rFonts w:ascii="Times New Roman" w:hAnsi="Times New Roman" w:eastAsia="宋体" w:cs="Times New Roman"/>
      <w:color w:val="000000"/>
      <w:kern w:val="2"/>
      <w:sz w:val="28"/>
      <w:szCs w:val="28"/>
      <w:lang w:val="en-US" w:eastAsia="zh-CN" w:bidi="ar-SA"/>
    </w:rPr>
  </w:style>
  <w:style w:type="character" w:customStyle="1" w:styleId="189">
    <w:name w:val="hei141"/>
    <w:qFormat/>
    <w:uiPriority w:val="0"/>
    <w:rPr>
      <w:color w:val="000000"/>
      <w:sz w:val="19"/>
    </w:rPr>
  </w:style>
  <w:style w:type="paragraph" w:customStyle="1" w:styleId="190">
    <w:name w:val="xl66"/>
    <w:basedOn w:val="1"/>
    <w:qFormat/>
    <w:uiPriority w:val="0"/>
    <w:pPr>
      <w:widowControl/>
      <w:spacing w:before="100" w:beforeAutospacing="1" w:after="100" w:afterAutospacing="1"/>
      <w:jc w:val="center"/>
    </w:pPr>
    <w:rPr>
      <w:rFonts w:ascii="宋体" w:hAnsi="宋体" w:cs="宋体"/>
      <w:b w:val="0"/>
      <w:kern w:val="0"/>
      <w:sz w:val="24"/>
    </w:rPr>
  </w:style>
  <w:style w:type="paragraph" w:customStyle="1" w:styleId="191">
    <w:name w:val="五级条标题"/>
    <w:basedOn w:val="1"/>
    <w:next w:val="1"/>
    <w:qFormat/>
    <w:uiPriority w:val="0"/>
    <w:pPr>
      <w:tabs>
        <w:tab w:val="left" w:pos="5400"/>
      </w:tabs>
      <w:outlineLvl w:val="6"/>
    </w:pPr>
    <w:rPr>
      <w:rFonts w:ascii="黑体" w:hAnsi="宋体" w:eastAsia="黑体"/>
      <w:b w:val="0"/>
      <w:szCs w:val="32"/>
    </w:rPr>
  </w:style>
  <w:style w:type="paragraph" w:customStyle="1" w:styleId="192">
    <w:name w:val="列出段落1"/>
    <w:basedOn w:val="1"/>
    <w:qFormat/>
    <w:uiPriority w:val="0"/>
    <w:pPr>
      <w:ind w:firstLine="420" w:firstLineChars="200"/>
    </w:pPr>
    <w:rPr>
      <w:rFonts w:ascii="Times New Roman" w:hAnsi="Times New Roman"/>
    </w:rPr>
  </w:style>
  <w:style w:type="paragraph" w:customStyle="1" w:styleId="193">
    <w:name w:val="表头"/>
    <w:qFormat/>
    <w:uiPriority w:val="0"/>
    <w:pPr>
      <w:widowControl w:val="0"/>
    </w:pPr>
    <w:rPr>
      <w:rFonts w:ascii="Times New Roman" w:hAnsi="Times New Roman" w:eastAsia="宋体" w:cs="Times New Roman"/>
      <w:b/>
      <w:color w:val="000000"/>
      <w:kern w:val="2"/>
      <w:sz w:val="28"/>
      <w:szCs w:val="28"/>
      <w:lang w:val="en-US" w:eastAsia="zh-CN" w:bidi="ar-SA"/>
    </w:rPr>
  </w:style>
  <w:style w:type="paragraph" w:customStyle="1" w:styleId="194">
    <w:name w:val="_Style 57"/>
    <w:next w:val="1"/>
    <w:qFormat/>
    <w:uiPriority w:val="0"/>
    <w:pPr>
      <w:widowControl w:val="0"/>
      <w:jc w:val="both"/>
    </w:pPr>
    <w:rPr>
      <w:rFonts w:ascii="Times New Roman" w:hAnsi="Times New Roman" w:eastAsia="宋体" w:cs="Times New Roman"/>
      <w:b/>
      <w:kern w:val="2"/>
      <w:sz w:val="21"/>
      <w:szCs w:val="24"/>
      <w:u w:color="FF0000"/>
      <w:lang w:val="en-US" w:eastAsia="zh-CN" w:bidi="ar-SA"/>
    </w:rPr>
  </w:style>
  <w:style w:type="paragraph" w:customStyle="1" w:styleId="195">
    <w:name w:val="xl65"/>
    <w:basedOn w:val="1"/>
    <w:qFormat/>
    <w:uiPriority w:val="0"/>
    <w:pPr>
      <w:widowControl/>
      <w:spacing w:before="100" w:beforeAutospacing="1" w:after="100" w:afterAutospacing="1"/>
      <w:jc w:val="center"/>
    </w:pPr>
    <w:rPr>
      <w:rFonts w:ascii="宋体" w:hAnsi="宋体" w:cs="宋体"/>
      <w:b w:val="0"/>
      <w:kern w:val="0"/>
      <w:sz w:val="24"/>
    </w:rPr>
  </w:style>
  <w:style w:type="paragraph" w:customStyle="1" w:styleId="196">
    <w:name w:val="font6"/>
    <w:basedOn w:val="1"/>
    <w:qFormat/>
    <w:uiPriority w:val="0"/>
    <w:pPr>
      <w:widowControl/>
      <w:spacing w:before="100" w:beforeAutospacing="1" w:after="100" w:afterAutospacing="1"/>
      <w:jc w:val="left"/>
    </w:pPr>
    <w:rPr>
      <w:rFonts w:ascii="宋体" w:hAnsi="宋体" w:cs="宋体"/>
      <w:b w:val="0"/>
      <w:color w:val="000000"/>
      <w:kern w:val="0"/>
      <w:sz w:val="22"/>
      <w:szCs w:val="22"/>
    </w:rPr>
  </w:style>
  <w:style w:type="paragraph" w:customStyle="1" w:styleId="197">
    <w:name w:val="p0"/>
    <w:basedOn w:val="1"/>
    <w:qFormat/>
    <w:uiPriority w:val="0"/>
    <w:pPr>
      <w:widowControl/>
    </w:pPr>
    <w:rPr>
      <w:rFonts w:ascii="Times New Roman" w:hAnsi="Times New Roman"/>
      <w:b w:val="0"/>
      <w:kern w:val="0"/>
      <w:szCs w:val="21"/>
    </w:rPr>
  </w:style>
  <w:style w:type="paragraph" w:customStyle="1" w:styleId="198">
    <w:name w:val="TOC 标题2"/>
    <w:basedOn w:val="5"/>
    <w:next w:val="1"/>
    <w:qFormat/>
    <w:uiPriority w:val="39"/>
    <w:pPr>
      <w:keepLines/>
      <w:widowControl/>
      <w:spacing w:before="480" w:line="276" w:lineRule="auto"/>
      <w:jc w:val="left"/>
      <w:outlineLvl w:val="9"/>
    </w:pPr>
    <w:rPr>
      <w:rFonts w:ascii="Cambria" w:hAnsi="Cambria" w:eastAsia="宋体"/>
      <w:bCs/>
      <w:color w:val="365F91"/>
      <w:kern w:val="0"/>
      <w:sz w:val="28"/>
      <w:szCs w:val="28"/>
    </w:rPr>
  </w:style>
  <w:style w:type="paragraph" w:customStyle="1" w:styleId="199">
    <w:name w:val="font0"/>
    <w:basedOn w:val="1"/>
    <w:qFormat/>
    <w:uiPriority w:val="0"/>
    <w:pPr>
      <w:widowControl/>
      <w:spacing w:before="100" w:beforeAutospacing="1" w:after="100" w:afterAutospacing="1"/>
      <w:jc w:val="left"/>
    </w:pPr>
    <w:rPr>
      <w:rFonts w:ascii="宋体" w:hAnsi="宋体" w:cs="宋体"/>
      <w:b w:val="0"/>
      <w:color w:val="000000"/>
      <w:kern w:val="0"/>
      <w:sz w:val="22"/>
      <w:szCs w:val="22"/>
    </w:rPr>
  </w:style>
  <w:style w:type="paragraph" w:customStyle="1" w:styleId="200">
    <w:name w:val="报告正文"/>
    <w:basedOn w:val="87"/>
    <w:qFormat/>
    <w:uiPriority w:val="0"/>
    <w:pPr>
      <w:ind w:firstLine="560" w:firstLineChars="200"/>
    </w:pPr>
    <w:rPr>
      <w:rFonts w:hAnsi="Times New Roman"/>
      <w:sz w:val="28"/>
    </w:rPr>
  </w:style>
  <w:style w:type="paragraph" w:customStyle="1" w:styleId="20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2">
    <w:name w:val="附录图标号"/>
    <w:basedOn w:val="1"/>
    <w:qFormat/>
    <w:uiPriority w:val="0"/>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203">
    <w:name w:val="_Style 11"/>
    <w:basedOn w:val="1"/>
    <w:qFormat/>
    <w:uiPriority w:val="0"/>
    <w:rPr>
      <w:rFonts w:ascii="Times New Roman" w:hAnsi="Times New Roman"/>
      <w:b w:val="0"/>
      <w:szCs w:val="20"/>
    </w:rPr>
  </w:style>
  <w:style w:type="paragraph" w:customStyle="1" w:styleId="204">
    <w:name w:val="xl68"/>
    <w:basedOn w:val="1"/>
    <w:qFormat/>
    <w:uiPriority w:val="0"/>
    <w:pPr>
      <w:widowControl/>
      <w:spacing w:before="100" w:beforeAutospacing="1" w:after="100" w:afterAutospacing="1"/>
      <w:jc w:val="center"/>
    </w:pPr>
    <w:rPr>
      <w:rFonts w:ascii="宋体" w:hAnsi="宋体" w:cs="宋体"/>
      <w:b w:val="0"/>
      <w:kern w:val="0"/>
      <w:sz w:val="24"/>
    </w:rPr>
  </w:style>
  <w:style w:type="paragraph" w:customStyle="1" w:styleId="205">
    <w:name w:val="font5"/>
    <w:basedOn w:val="1"/>
    <w:qFormat/>
    <w:uiPriority w:val="0"/>
    <w:pPr>
      <w:widowControl/>
      <w:spacing w:before="100" w:beforeAutospacing="1" w:after="100" w:afterAutospacing="1"/>
      <w:jc w:val="left"/>
    </w:pPr>
    <w:rPr>
      <w:rFonts w:ascii="宋体" w:hAnsi="宋体" w:cs="宋体"/>
      <w:b w:val="0"/>
      <w:color w:val="000000"/>
      <w:kern w:val="0"/>
      <w:sz w:val="22"/>
      <w:szCs w:val="22"/>
    </w:rPr>
  </w:style>
  <w:style w:type="paragraph" w:customStyle="1" w:styleId="206">
    <w:name w:val="正文 + 宋体"/>
    <w:basedOn w:val="1"/>
    <w:qFormat/>
    <w:uiPriority w:val="0"/>
    <w:rPr>
      <w:rFonts w:ascii="Times New Roman" w:hAnsi="Times New Roman"/>
      <w:b w:val="0"/>
      <w:szCs w:val="20"/>
    </w:rPr>
  </w:style>
  <w:style w:type="paragraph" w:customStyle="1" w:styleId="207">
    <w:name w:val="表格文字（中）"/>
    <w:qFormat/>
    <w:uiPriority w:val="0"/>
    <w:pPr>
      <w:jc w:val="center"/>
    </w:pPr>
    <w:rPr>
      <w:rFonts w:ascii="宋体" w:hAnsi="宋体" w:eastAsia="宋体" w:cs="Times New Roman"/>
      <w:kern w:val="2"/>
      <w:sz w:val="21"/>
      <w:lang w:val="en-US" w:eastAsia="zh-CN" w:bidi="ar-SA"/>
    </w:rPr>
  </w:style>
  <w:style w:type="paragraph" w:customStyle="1" w:styleId="208">
    <w:name w:val="xl67"/>
    <w:basedOn w:val="1"/>
    <w:qFormat/>
    <w:uiPriority w:val="0"/>
    <w:pPr>
      <w:widowControl/>
      <w:spacing w:before="100" w:beforeAutospacing="1" w:after="100" w:afterAutospacing="1"/>
      <w:jc w:val="center"/>
    </w:pPr>
    <w:rPr>
      <w:rFonts w:ascii="宋体" w:hAnsi="宋体" w:cs="宋体"/>
      <w:b w:val="0"/>
      <w:kern w:val="0"/>
      <w:sz w:val="24"/>
    </w:rPr>
  </w:style>
  <w:style w:type="paragraph" w:customStyle="1" w:styleId="209">
    <w:name w:val="正文11"/>
    <w:qFormat/>
    <w:uiPriority w:val="0"/>
    <w:pPr>
      <w:widowControl w:val="0"/>
      <w:jc w:val="both"/>
    </w:pPr>
    <w:rPr>
      <w:rFonts w:ascii="Calibri" w:hAnsi="Calibri" w:eastAsia="宋体" w:cs="Times New Roman"/>
      <w:kern w:val="2"/>
      <w:sz w:val="21"/>
      <w:szCs w:val="24"/>
      <w:lang w:val="en-US" w:eastAsia="zh-CN" w:bidi="ar-SA"/>
    </w:rPr>
  </w:style>
  <w:style w:type="character" w:customStyle="1" w:styleId="210">
    <w:name w:val="标题 Char3"/>
    <w:basedOn w:val="91"/>
    <w:link w:val="85"/>
    <w:qFormat/>
    <w:uiPriority w:val="0"/>
    <w:rPr>
      <w:rFonts w:ascii="Cambria" w:hAnsi="Cambria"/>
      <w:b/>
      <w:bCs/>
      <w:kern w:val="2"/>
      <w:sz w:val="32"/>
      <w:szCs w:val="32"/>
    </w:rPr>
  </w:style>
  <w:style w:type="table" w:customStyle="1" w:styleId="211">
    <w:name w:val="网格型1"/>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2">
    <w:name w:val="§1.1.1. Char2"/>
    <w:basedOn w:val="91"/>
    <w:qFormat/>
    <w:locked/>
    <w:uiPriority w:val="99"/>
    <w:rPr>
      <w:rFonts w:ascii="Times New Roman" w:hAnsi="Times New Roman" w:eastAsia="宋体" w:cs="Times New Roman"/>
      <w:b/>
      <w:sz w:val="32"/>
    </w:rPr>
  </w:style>
  <w:style w:type="character" w:customStyle="1" w:styleId="213">
    <w:name w:val="书籍标题1"/>
    <w:basedOn w:val="91"/>
    <w:qFormat/>
    <w:uiPriority w:val="0"/>
    <w:rPr>
      <w:b/>
      <w:bCs/>
      <w:smallCaps/>
      <w:spacing w:val="5"/>
    </w:rPr>
  </w:style>
  <w:style w:type="character" w:customStyle="1" w:styleId="214">
    <w:name w:val="font61"/>
    <w:basedOn w:val="91"/>
    <w:qFormat/>
    <w:uiPriority w:val="0"/>
    <w:rPr>
      <w:rFonts w:hint="default" w:ascii="Times New Roman" w:hAnsi="Times New Roman" w:cs="Times New Roman"/>
      <w:color w:val="auto"/>
      <w:sz w:val="20"/>
      <w:szCs w:val="20"/>
      <w:u w:val="none"/>
    </w:rPr>
  </w:style>
  <w:style w:type="character" w:customStyle="1" w:styleId="215">
    <w:name w:val="_Style 3"/>
    <w:basedOn w:val="91"/>
    <w:qFormat/>
    <w:uiPriority w:val="0"/>
    <w:rPr>
      <w:b/>
      <w:bCs/>
      <w:smallCaps/>
      <w:spacing w:val="5"/>
    </w:rPr>
  </w:style>
  <w:style w:type="character" w:customStyle="1" w:styleId="216">
    <w:name w:val="font71"/>
    <w:basedOn w:val="91"/>
    <w:qFormat/>
    <w:uiPriority w:val="0"/>
    <w:rPr>
      <w:rFonts w:hint="eastAsia" w:ascii="宋体" w:hAnsi="宋体" w:eastAsia="宋体" w:cs="宋体"/>
      <w:color w:val="auto"/>
      <w:sz w:val="20"/>
      <w:szCs w:val="20"/>
      <w:u w:val="none"/>
    </w:rPr>
  </w:style>
  <w:style w:type="character" w:customStyle="1" w:styleId="217">
    <w:name w:val="font81"/>
    <w:basedOn w:val="91"/>
    <w:qFormat/>
    <w:uiPriority w:val="0"/>
    <w:rPr>
      <w:rFonts w:hint="default" w:ascii="Times New Roman" w:hAnsi="Times New Roman" w:cs="Times New Roman"/>
      <w:b/>
      <w:color w:val="auto"/>
      <w:sz w:val="24"/>
      <w:szCs w:val="24"/>
      <w:u w:val="none"/>
    </w:rPr>
  </w:style>
  <w:style w:type="character" w:customStyle="1" w:styleId="218">
    <w:name w:val="_Style 6"/>
    <w:basedOn w:val="91"/>
    <w:qFormat/>
    <w:uiPriority w:val="0"/>
    <w:rPr>
      <w:b/>
      <w:bCs/>
      <w:smallCaps/>
      <w:spacing w:val="5"/>
    </w:rPr>
  </w:style>
  <w:style w:type="character" w:customStyle="1" w:styleId="219">
    <w:name w:val="_Style 4"/>
    <w:basedOn w:val="91"/>
    <w:qFormat/>
    <w:uiPriority w:val="0"/>
    <w:rPr>
      <w:b/>
      <w:bCs/>
      <w:smallCaps/>
      <w:spacing w:val="5"/>
    </w:rPr>
  </w:style>
  <w:style w:type="character" w:customStyle="1" w:styleId="220">
    <w:name w:val="apple-converted-space"/>
    <w:basedOn w:val="91"/>
    <w:qFormat/>
    <w:uiPriority w:val="0"/>
  </w:style>
  <w:style w:type="character" w:customStyle="1" w:styleId="221">
    <w:name w:val="_Style 1"/>
    <w:basedOn w:val="91"/>
    <w:qFormat/>
    <w:uiPriority w:val="0"/>
    <w:rPr>
      <w:b/>
      <w:bCs/>
      <w:smallCaps/>
      <w:spacing w:val="5"/>
    </w:rPr>
  </w:style>
  <w:style w:type="character" w:customStyle="1" w:styleId="222">
    <w:name w:val="_Style 2"/>
    <w:basedOn w:val="91"/>
    <w:qFormat/>
    <w:uiPriority w:val="0"/>
    <w:rPr>
      <w:b/>
      <w:bCs/>
      <w:smallCaps/>
      <w:spacing w:val="5"/>
    </w:rPr>
  </w:style>
  <w:style w:type="character" w:customStyle="1" w:styleId="223">
    <w:name w:val="书籍标题111"/>
    <w:basedOn w:val="91"/>
    <w:qFormat/>
    <w:uiPriority w:val="0"/>
    <w:rPr>
      <w:rFonts w:cs="Times New Roman"/>
      <w:b/>
      <w:bCs/>
      <w:smallCaps/>
      <w:spacing w:val="5"/>
    </w:rPr>
  </w:style>
  <w:style w:type="character" w:customStyle="1" w:styleId="224">
    <w:name w:val="font91"/>
    <w:basedOn w:val="91"/>
    <w:qFormat/>
    <w:uiPriority w:val="0"/>
    <w:rPr>
      <w:rFonts w:hint="eastAsia" w:ascii="宋体" w:hAnsi="宋体" w:eastAsia="宋体" w:cs="宋体"/>
      <w:color w:val="auto"/>
      <w:sz w:val="18"/>
      <w:szCs w:val="18"/>
      <w:u w:val="none"/>
    </w:rPr>
  </w:style>
  <w:style w:type="character" w:customStyle="1" w:styleId="225">
    <w:name w:val="书籍标题11"/>
    <w:basedOn w:val="91"/>
    <w:qFormat/>
    <w:uiPriority w:val="0"/>
    <w:rPr>
      <w:rFonts w:cs="Times New Roman"/>
      <w:b/>
      <w:bCs/>
      <w:smallCaps/>
      <w:spacing w:val="5"/>
    </w:rPr>
  </w:style>
  <w:style w:type="character" w:customStyle="1" w:styleId="226">
    <w:name w:val="_Style 5"/>
    <w:basedOn w:val="91"/>
    <w:qFormat/>
    <w:uiPriority w:val="0"/>
    <w:rPr>
      <w:b/>
      <w:bCs/>
      <w:smallCaps/>
      <w:spacing w:val="5"/>
    </w:rPr>
  </w:style>
  <w:style w:type="character" w:customStyle="1" w:styleId="227">
    <w:name w:val="书籍标题2"/>
    <w:basedOn w:val="91"/>
    <w:qFormat/>
    <w:uiPriority w:val="33"/>
    <w:rPr>
      <w:b/>
      <w:bCs/>
      <w:smallCaps/>
      <w:spacing w:val="5"/>
    </w:rPr>
  </w:style>
  <w:style w:type="paragraph" w:customStyle="1" w:styleId="228">
    <w:name w:val="a5正文"/>
    <w:basedOn w:val="1"/>
    <w:qFormat/>
    <w:uiPriority w:val="0"/>
    <w:pPr>
      <w:adjustRightInd w:val="0"/>
      <w:snapToGrid w:val="0"/>
      <w:spacing w:line="360" w:lineRule="auto"/>
      <w:jc w:val="left"/>
    </w:pPr>
    <w:rPr>
      <w:rFonts w:ascii="Times New Roman" w:hAnsi="Times New Roman"/>
      <w:b w:val="0"/>
      <w:szCs w:val="20"/>
    </w:rPr>
  </w:style>
  <w:style w:type="paragraph" w:customStyle="1" w:styleId="229">
    <w:name w:val="xl83"/>
    <w:basedOn w:val="1"/>
    <w:qFormat/>
    <w:uiPriority w:val="0"/>
    <w:pPr>
      <w:widowControl/>
      <w:pBdr>
        <w:top w:val="single" w:color="auto" w:sz="4" w:space="0"/>
        <w:left w:val="single" w:color="auto" w:sz="4" w:space="0"/>
        <w:bottom w:val="single" w:color="auto" w:sz="8" w:space="0"/>
      </w:pBdr>
      <w:spacing w:before="100" w:beforeAutospacing="1" w:after="100" w:afterAutospacing="1"/>
      <w:jc w:val="center"/>
    </w:pPr>
    <w:rPr>
      <w:rFonts w:ascii="宋体" w:hAnsi="宋体" w:cs="宋体"/>
      <w:b w:val="0"/>
      <w:kern w:val="0"/>
      <w:sz w:val="24"/>
    </w:rPr>
  </w:style>
  <w:style w:type="paragraph" w:customStyle="1" w:styleId="230">
    <w:name w:val="四级条标题"/>
    <w:basedOn w:val="231"/>
    <w:next w:val="1"/>
    <w:qFormat/>
    <w:uiPriority w:val="0"/>
    <w:pPr>
      <w:tabs>
        <w:tab w:val="left" w:pos="992"/>
        <w:tab w:val="left" w:pos="2100"/>
        <w:tab w:val="left" w:pos="2520"/>
      </w:tabs>
      <w:ind w:left="2520"/>
      <w:outlineLvl w:val="5"/>
    </w:pPr>
  </w:style>
  <w:style w:type="paragraph" w:customStyle="1" w:styleId="231">
    <w:name w:val="三级条标题"/>
    <w:basedOn w:val="142"/>
    <w:next w:val="1"/>
    <w:qFormat/>
    <w:uiPriority w:val="0"/>
    <w:pPr>
      <w:widowControl/>
      <w:tabs>
        <w:tab w:val="left" w:pos="992"/>
        <w:tab w:val="left" w:pos="2100"/>
        <w:tab w:val="clear" w:pos="5400"/>
      </w:tabs>
      <w:ind w:left="2100" w:hanging="420"/>
      <w:jc w:val="both"/>
      <w:outlineLvl w:val="4"/>
    </w:pPr>
    <w:rPr>
      <w:rFonts w:ascii="宋体" w:hAnsi="Times New Roman" w:eastAsia="宋体"/>
      <w:kern w:val="0"/>
    </w:rPr>
  </w:style>
  <w:style w:type="paragraph" w:customStyle="1" w:styleId="23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0"/>
      <w:szCs w:val="20"/>
    </w:rPr>
  </w:style>
  <w:style w:type="paragraph" w:customStyle="1" w:styleId="233">
    <w:name w:val="Normal_4"/>
    <w:qFormat/>
    <w:uiPriority w:val="0"/>
    <w:pPr>
      <w:spacing w:before="120" w:after="240"/>
      <w:jc w:val="both"/>
    </w:pPr>
    <w:rPr>
      <w:rFonts w:ascii="Calibri" w:hAnsi="Calibri" w:eastAsia="Calibri" w:cs="Times New Roman"/>
      <w:sz w:val="22"/>
      <w:szCs w:val="22"/>
      <w:lang w:val="ru-RU" w:eastAsia="en-US" w:bidi="ar-SA"/>
    </w:rPr>
  </w:style>
  <w:style w:type="paragraph" w:customStyle="1" w:styleId="234">
    <w:name w:val="xl7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35">
    <w:name w:val="xl86"/>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val="0"/>
      <w:kern w:val="0"/>
      <w:sz w:val="24"/>
    </w:rPr>
  </w:style>
  <w:style w:type="paragraph" w:customStyle="1" w:styleId="236">
    <w:name w:val="附录标题"/>
    <w:basedOn w:val="143"/>
    <w:next w:val="143"/>
    <w:qFormat/>
    <w:uiPriority w:val="0"/>
    <w:pPr>
      <w:tabs>
        <w:tab w:val="center" w:pos="4201"/>
        <w:tab w:val="right" w:leader="dot" w:pos="9298"/>
      </w:tabs>
      <w:ind w:firstLine="0" w:firstLineChars="0"/>
      <w:jc w:val="center"/>
    </w:pPr>
    <w:rPr>
      <w:rFonts w:ascii="黑体" w:hAnsi="Times New Roman" w:eastAsia="黑体"/>
      <w:kern w:val="0"/>
      <w:szCs w:val="20"/>
    </w:rPr>
  </w:style>
  <w:style w:type="paragraph" w:customStyle="1" w:styleId="237">
    <w:name w:val="xl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38">
    <w:name w:val="xl79"/>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b w:val="0"/>
      <w:kern w:val="0"/>
      <w:sz w:val="24"/>
    </w:rPr>
  </w:style>
  <w:style w:type="paragraph" w:customStyle="1" w:styleId="239">
    <w:name w:val="xl84"/>
    <w:basedOn w:val="1"/>
    <w:qFormat/>
    <w:uiPriority w:val="0"/>
    <w:pPr>
      <w:widowControl/>
      <w:pBdr>
        <w:top w:val="single" w:color="auto" w:sz="4" w:space="0"/>
        <w:bottom w:val="single" w:color="auto" w:sz="8" w:space="0"/>
        <w:right w:val="single" w:color="auto" w:sz="8" w:space="0"/>
      </w:pBdr>
      <w:spacing w:before="100" w:beforeAutospacing="1" w:after="100" w:afterAutospacing="1"/>
      <w:jc w:val="center"/>
    </w:pPr>
    <w:rPr>
      <w:rFonts w:ascii="宋体" w:hAnsi="宋体" w:cs="宋体"/>
      <w:b w:val="0"/>
      <w:kern w:val="0"/>
      <w:sz w:val="24"/>
    </w:rPr>
  </w:style>
  <w:style w:type="paragraph" w:customStyle="1" w:styleId="240">
    <w:name w:val="xl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val="0"/>
      <w:kern w:val="0"/>
      <w:sz w:val="20"/>
      <w:szCs w:val="20"/>
    </w:rPr>
  </w:style>
  <w:style w:type="paragraph" w:customStyle="1" w:styleId="24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kern w:val="0"/>
      <w:sz w:val="24"/>
    </w:rPr>
  </w:style>
  <w:style w:type="paragraph" w:styleId="242">
    <w:name w:val="No Spacing"/>
    <w:link w:val="358"/>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xl7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44">
    <w:name w:val="xl7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45">
    <w:name w:val="正文LXF"/>
    <w:basedOn w:val="1"/>
    <w:qFormat/>
    <w:uiPriority w:val="0"/>
    <w:pPr>
      <w:spacing w:line="580" w:lineRule="atLeast"/>
      <w:ind w:firstLine="560" w:firstLineChars="200"/>
    </w:pPr>
    <w:rPr>
      <w:rFonts w:ascii="宋体" w:hAnsi="宋体"/>
      <w:b w:val="0"/>
      <w:bCs/>
      <w:smallCaps/>
      <w:sz w:val="28"/>
    </w:rPr>
  </w:style>
  <w:style w:type="paragraph" w:customStyle="1" w:styleId="246">
    <w:name w:val="xl8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b w:val="0"/>
      <w:kern w:val="0"/>
      <w:sz w:val="24"/>
    </w:rPr>
  </w:style>
  <w:style w:type="paragraph" w:customStyle="1" w:styleId="247">
    <w:name w:val="xl29"/>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b w:val="0"/>
      <w:kern w:val="0"/>
      <w:sz w:val="28"/>
      <w:szCs w:val="28"/>
    </w:rPr>
  </w:style>
  <w:style w:type="paragraph" w:customStyle="1" w:styleId="24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Cs w:val="21"/>
    </w:rPr>
  </w:style>
  <w:style w:type="paragraph" w:customStyle="1" w:styleId="249">
    <w:name w:val="正文文本缩进3"/>
    <w:basedOn w:val="1"/>
    <w:qFormat/>
    <w:uiPriority w:val="0"/>
    <w:pPr>
      <w:widowControl/>
      <w:spacing w:line="360" w:lineRule="auto"/>
      <w:ind w:firstLine="570"/>
    </w:pPr>
    <w:rPr>
      <w:rFonts w:ascii="Times New Roman" w:hAnsi="Times New Roman" w:eastAsia="隶书"/>
      <w:b w:val="0"/>
      <w:kern w:val="0"/>
      <w:sz w:val="28"/>
      <w:szCs w:val="20"/>
    </w:rPr>
  </w:style>
  <w:style w:type="paragraph" w:customStyle="1" w:styleId="250">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b w:val="0"/>
      <w:kern w:val="0"/>
      <w:sz w:val="24"/>
    </w:rPr>
  </w:style>
  <w:style w:type="paragraph" w:customStyle="1" w:styleId="251">
    <w:name w:val="font1"/>
    <w:basedOn w:val="1"/>
    <w:qFormat/>
    <w:uiPriority w:val="0"/>
    <w:pPr>
      <w:widowControl/>
      <w:spacing w:before="100" w:beforeAutospacing="1" w:after="100" w:afterAutospacing="1"/>
      <w:jc w:val="left"/>
    </w:pPr>
    <w:rPr>
      <w:rFonts w:ascii="宋体" w:hAnsi="宋体" w:cs="宋体"/>
      <w:b w:val="0"/>
      <w:kern w:val="0"/>
      <w:sz w:val="24"/>
    </w:rPr>
  </w:style>
  <w:style w:type="paragraph" w:customStyle="1" w:styleId="252">
    <w:name w:val="xl71"/>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53">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54">
    <w:name w:val="xl7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cs="宋体"/>
      <w:b w:val="0"/>
      <w:kern w:val="0"/>
      <w:sz w:val="24"/>
    </w:rPr>
  </w:style>
  <w:style w:type="paragraph" w:customStyle="1" w:styleId="25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6">
    <w:name w:val="WPSOffice手动目录 1"/>
    <w:qFormat/>
    <w:uiPriority w:val="0"/>
    <w:rPr>
      <w:rFonts w:ascii="Times New Roman" w:hAnsi="Times New Roman" w:eastAsia="宋体" w:cs="Times New Roman"/>
      <w:lang w:val="en-US" w:eastAsia="zh-CN" w:bidi="ar-SA"/>
    </w:rPr>
  </w:style>
  <w:style w:type="paragraph" w:customStyle="1" w:styleId="25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58">
    <w:name w:val="xl7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b w:val="0"/>
      <w:kern w:val="0"/>
      <w:sz w:val="24"/>
    </w:rPr>
  </w:style>
  <w:style w:type="paragraph" w:customStyle="1" w:styleId="25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60">
    <w:name w:val="列出段落2"/>
    <w:basedOn w:val="1"/>
    <w:qFormat/>
    <w:uiPriority w:val="0"/>
    <w:pPr>
      <w:ind w:firstLine="420" w:firstLineChars="200"/>
    </w:pPr>
    <w:rPr>
      <w:rFonts w:ascii="Times New Roman" w:hAnsi="Times New Roman"/>
      <w:b w:val="0"/>
    </w:rPr>
  </w:style>
  <w:style w:type="paragraph" w:customStyle="1" w:styleId="261">
    <w:name w:val="前言、引言标题"/>
    <w:next w:val="1"/>
    <w:qFormat/>
    <w:uiPriority w:val="0"/>
    <w:pPr>
      <w:shd w:val="clear" w:color="FFFFFF" w:fill="FFFFFF"/>
      <w:tabs>
        <w:tab w:val="left" w:pos="425"/>
      </w:tabs>
      <w:spacing w:before="640" w:after="560"/>
      <w:ind w:left="425" w:hanging="425"/>
      <w:jc w:val="center"/>
      <w:outlineLvl w:val="0"/>
    </w:pPr>
    <w:rPr>
      <w:rFonts w:ascii="黑体" w:hAnsi="Times New Roman" w:eastAsia="黑体" w:cs="Times New Roman"/>
      <w:sz w:val="32"/>
      <w:lang w:val="en-US" w:eastAsia="zh-CN" w:bidi="ar-SA"/>
    </w:rPr>
  </w:style>
  <w:style w:type="character" w:customStyle="1" w:styleId="262">
    <w:name w:val="标题 8 Char1"/>
    <w:basedOn w:val="91"/>
    <w:link w:val="12"/>
    <w:qFormat/>
    <w:uiPriority w:val="0"/>
    <w:rPr>
      <w:rFonts w:ascii="Arial" w:hAnsi="Arial" w:eastAsia="黑体"/>
      <w:sz w:val="24"/>
    </w:rPr>
  </w:style>
  <w:style w:type="character" w:customStyle="1" w:styleId="263">
    <w:name w:val="标题 9 Char1"/>
    <w:basedOn w:val="91"/>
    <w:link w:val="13"/>
    <w:qFormat/>
    <w:uiPriority w:val="0"/>
    <w:rPr>
      <w:rFonts w:ascii="Arial" w:hAnsi="Arial" w:eastAsia="黑体"/>
      <w:sz w:val="28"/>
    </w:rPr>
  </w:style>
  <w:style w:type="character" w:customStyle="1" w:styleId="264">
    <w:name w:val="Char Char32"/>
    <w:qFormat/>
    <w:uiPriority w:val="0"/>
    <w:rPr>
      <w:rFonts w:eastAsia="仿宋_GB2312"/>
      <w:b/>
      <w:bCs/>
      <w:kern w:val="2"/>
      <w:sz w:val="28"/>
      <w:szCs w:val="24"/>
      <w:u w:color="FF0000"/>
    </w:rPr>
  </w:style>
  <w:style w:type="paragraph" w:customStyle="1" w:styleId="265">
    <w:name w:val="修订3"/>
    <w:hidden/>
    <w:qFormat/>
    <w:uiPriority w:val="0"/>
    <w:rPr>
      <w:rFonts w:ascii="Times New Roman" w:hAnsi="Times New Roman" w:eastAsia="宋体" w:cs="Times New Roman"/>
      <w:kern w:val="2"/>
      <w:sz w:val="21"/>
      <w:szCs w:val="24"/>
      <w:lang w:val="en-US" w:eastAsia="zh-CN" w:bidi="ar-SA"/>
    </w:rPr>
  </w:style>
  <w:style w:type="character" w:customStyle="1" w:styleId="266">
    <w:name w:val="Char Char51"/>
    <w:qFormat/>
    <w:uiPriority w:val="0"/>
    <w:rPr>
      <w:rFonts w:eastAsia="宋体"/>
      <w:color w:val="000000"/>
      <w:kern w:val="2"/>
      <w:sz w:val="18"/>
      <w:lang w:val="en-US" w:eastAsia="zh-CN" w:bidi="ar-SA"/>
    </w:rPr>
  </w:style>
  <w:style w:type="character" w:customStyle="1" w:styleId="267">
    <w:name w:val="Char Char81"/>
    <w:qFormat/>
    <w:locked/>
    <w:uiPriority w:val="0"/>
    <w:rPr>
      <w:rFonts w:eastAsia="仿宋_GB2312"/>
      <w:b/>
      <w:bCs/>
      <w:kern w:val="2"/>
      <w:sz w:val="28"/>
      <w:szCs w:val="24"/>
      <w:u w:color="FF0000"/>
      <w:lang w:val="en-US" w:eastAsia="zh-CN" w:bidi="ar-SA"/>
    </w:rPr>
  </w:style>
  <w:style w:type="character" w:customStyle="1" w:styleId="268">
    <w:name w:val="Heading 2 Char"/>
    <w:semiHidden/>
    <w:qFormat/>
    <w:uiPriority w:val="9"/>
    <w:rPr>
      <w:rFonts w:ascii="Cambria" w:hAnsi="Cambria" w:eastAsia="宋体" w:cs="Times New Roman"/>
      <w:b/>
      <w:bCs/>
      <w:sz w:val="32"/>
      <w:szCs w:val="32"/>
      <w:u w:color="FF0000"/>
    </w:rPr>
  </w:style>
  <w:style w:type="character" w:customStyle="1" w:styleId="269">
    <w:name w:val="Heading 3 Char"/>
    <w:semiHidden/>
    <w:qFormat/>
    <w:uiPriority w:val="9"/>
    <w:rPr>
      <w:b/>
      <w:bCs/>
      <w:sz w:val="32"/>
      <w:szCs w:val="32"/>
      <w:u w:color="FF0000"/>
    </w:rPr>
  </w:style>
  <w:style w:type="character" w:customStyle="1" w:styleId="270">
    <w:name w:val="Comment Text Char"/>
    <w:semiHidden/>
    <w:qFormat/>
    <w:uiPriority w:val="99"/>
    <w:rPr>
      <w:b/>
      <w:szCs w:val="24"/>
      <w:u w:color="FF0000"/>
    </w:rPr>
  </w:style>
  <w:style w:type="character" w:customStyle="1" w:styleId="271">
    <w:name w:val="Comment Subject Char"/>
    <w:semiHidden/>
    <w:qFormat/>
    <w:uiPriority w:val="99"/>
    <w:rPr>
      <w:b/>
      <w:bCs/>
      <w:szCs w:val="24"/>
      <w:u w:color="FF0000"/>
    </w:rPr>
  </w:style>
  <w:style w:type="character" w:customStyle="1" w:styleId="272">
    <w:name w:val="Body Text Char"/>
    <w:semiHidden/>
    <w:qFormat/>
    <w:uiPriority w:val="99"/>
    <w:rPr>
      <w:b/>
      <w:szCs w:val="24"/>
      <w:u w:color="FF0000"/>
    </w:rPr>
  </w:style>
  <w:style w:type="character" w:customStyle="1" w:styleId="273">
    <w:name w:val="Plain Text Char"/>
    <w:semiHidden/>
    <w:qFormat/>
    <w:uiPriority w:val="99"/>
    <w:rPr>
      <w:rFonts w:ascii="宋体" w:hAnsi="Courier New" w:cs="Courier New"/>
      <w:b/>
      <w:szCs w:val="21"/>
      <w:u w:color="FF0000"/>
    </w:rPr>
  </w:style>
  <w:style w:type="character" w:customStyle="1" w:styleId="274">
    <w:name w:val="Header Char"/>
    <w:semiHidden/>
    <w:qFormat/>
    <w:uiPriority w:val="99"/>
    <w:rPr>
      <w:b/>
      <w:sz w:val="18"/>
      <w:szCs w:val="18"/>
      <w:u w:color="FF0000"/>
    </w:rPr>
  </w:style>
  <w:style w:type="character" w:customStyle="1" w:styleId="275">
    <w:name w:val="Char Char21"/>
    <w:qFormat/>
    <w:uiPriority w:val="0"/>
    <w:rPr>
      <w:rFonts w:eastAsia="宋体"/>
      <w:b/>
      <w:kern w:val="2"/>
      <w:sz w:val="28"/>
      <w:lang w:val="en-US" w:eastAsia="zh-CN" w:bidi="ar-SA"/>
    </w:rPr>
  </w:style>
  <w:style w:type="character" w:customStyle="1" w:styleId="276">
    <w:name w:val="Char Char41"/>
    <w:qFormat/>
    <w:uiPriority w:val="0"/>
    <w:rPr>
      <w:rFonts w:ascii="Times New Roman" w:hAnsi="Times New Roman" w:eastAsia="宋体"/>
      <w:b/>
      <w:kern w:val="44"/>
      <w:sz w:val="30"/>
    </w:rPr>
  </w:style>
  <w:style w:type="character" w:customStyle="1" w:styleId="277">
    <w:name w:val="正文文本缩进 Char Char"/>
    <w:link w:val="278"/>
    <w:qFormat/>
    <w:uiPriority w:val="0"/>
    <w:rPr>
      <w:rFonts w:eastAsia="隶书"/>
      <w:sz w:val="28"/>
      <w:u w:color="FF0000"/>
    </w:rPr>
  </w:style>
  <w:style w:type="paragraph" w:customStyle="1" w:styleId="278">
    <w:name w:val="正文文本缩进4"/>
    <w:basedOn w:val="1"/>
    <w:link w:val="277"/>
    <w:qFormat/>
    <w:uiPriority w:val="0"/>
    <w:pPr>
      <w:widowControl/>
      <w:spacing w:line="360" w:lineRule="auto"/>
      <w:ind w:firstLine="570"/>
    </w:pPr>
    <w:rPr>
      <w:rFonts w:ascii="Times New Roman" w:hAnsi="Times New Roman" w:eastAsia="隶书"/>
      <w:b w:val="0"/>
      <w:kern w:val="0"/>
      <w:sz w:val="28"/>
      <w:szCs w:val="20"/>
    </w:rPr>
  </w:style>
  <w:style w:type="table" w:customStyle="1" w:styleId="279">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80">
    <w:name w:val="Table Paragraph"/>
    <w:basedOn w:val="1"/>
    <w:qFormat/>
    <w:uiPriority w:val="1"/>
    <w:pPr>
      <w:autoSpaceDE w:val="0"/>
      <w:autoSpaceDN w:val="0"/>
      <w:jc w:val="center"/>
    </w:pPr>
    <w:rPr>
      <w:rFonts w:ascii="宋体" w:hAnsi="宋体" w:cs="宋体"/>
      <w:b w:val="0"/>
      <w:kern w:val="0"/>
      <w:sz w:val="22"/>
      <w:szCs w:val="22"/>
      <w:lang w:val="zh-CN" w:bidi="zh-CN"/>
    </w:rPr>
  </w:style>
  <w:style w:type="paragraph" w:customStyle="1" w:styleId="281">
    <w:name w:val="正文缩进小四"/>
    <w:basedOn w:val="1"/>
    <w:qFormat/>
    <w:uiPriority w:val="0"/>
    <w:pPr>
      <w:spacing w:line="360" w:lineRule="auto"/>
      <w:ind w:firstLine="200" w:firstLineChars="200"/>
    </w:pPr>
    <w:rPr>
      <w:rFonts w:ascii="Times New Roman" w:hAnsi="Times New Roman"/>
      <w:b w:val="0"/>
      <w:sz w:val="24"/>
      <w:szCs w:val="28"/>
    </w:rPr>
  </w:style>
  <w:style w:type="paragraph" w:customStyle="1" w:styleId="282">
    <w:name w:val="Normal_80"/>
    <w:qFormat/>
    <w:uiPriority w:val="0"/>
    <w:pPr>
      <w:spacing w:before="120" w:after="240"/>
      <w:jc w:val="both"/>
    </w:pPr>
    <w:rPr>
      <w:rFonts w:ascii="Calibri" w:hAnsi="Calibri" w:eastAsia="Calibri" w:cs="Times New Roman"/>
      <w:sz w:val="22"/>
      <w:szCs w:val="22"/>
      <w:lang w:val="ru-RU" w:eastAsia="en-US" w:bidi="ar-SA"/>
    </w:rPr>
  </w:style>
  <w:style w:type="paragraph" w:customStyle="1" w:styleId="283">
    <w:name w:val="Normal_101"/>
    <w:qFormat/>
    <w:uiPriority w:val="0"/>
    <w:pPr>
      <w:spacing w:before="120" w:after="240"/>
      <w:jc w:val="both"/>
    </w:pPr>
    <w:rPr>
      <w:rFonts w:ascii="Calibri" w:hAnsi="Calibri" w:eastAsia="Calibri" w:cs="Times New Roman"/>
      <w:sz w:val="22"/>
      <w:szCs w:val="22"/>
      <w:lang w:val="ru-RU" w:eastAsia="en-US" w:bidi="ar-SA"/>
    </w:rPr>
  </w:style>
  <w:style w:type="paragraph" w:customStyle="1" w:styleId="284">
    <w:name w:val="Normal_8"/>
    <w:qFormat/>
    <w:uiPriority w:val="0"/>
    <w:pPr>
      <w:spacing w:before="120" w:after="240"/>
      <w:jc w:val="both"/>
    </w:pPr>
    <w:rPr>
      <w:rFonts w:ascii="Calibri" w:hAnsi="Calibri" w:eastAsia="Calibri" w:cs="Times New Roman"/>
      <w:sz w:val="22"/>
      <w:szCs w:val="22"/>
      <w:lang w:val="ru-RU" w:eastAsia="en-US" w:bidi="ar-SA"/>
    </w:rPr>
  </w:style>
  <w:style w:type="paragraph" w:customStyle="1" w:styleId="285">
    <w:name w:val="Normal_33"/>
    <w:qFormat/>
    <w:uiPriority w:val="0"/>
    <w:pPr>
      <w:spacing w:before="120" w:after="240"/>
      <w:jc w:val="both"/>
    </w:pPr>
    <w:rPr>
      <w:rFonts w:ascii="Calibri" w:hAnsi="Calibri" w:eastAsia="Calibri" w:cs="Times New Roman"/>
      <w:sz w:val="22"/>
      <w:szCs w:val="22"/>
      <w:lang w:val="ru-RU" w:eastAsia="en-US" w:bidi="ar-SA"/>
    </w:rPr>
  </w:style>
  <w:style w:type="paragraph" w:customStyle="1" w:styleId="286">
    <w:name w:val="Normal_87"/>
    <w:qFormat/>
    <w:uiPriority w:val="0"/>
    <w:pPr>
      <w:spacing w:before="120" w:after="240"/>
      <w:jc w:val="both"/>
    </w:pPr>
    <w:rPr>
      <w:rFonts w:ascii="Calibri" w:hAnsi="Calibri" w:eastAsia="Calibri" w:cs="Times New Roman"/>
      <w:sz w:val="22"/>
      <w:szCs w:val="22"/>
      <w:lang w:val="ru-RU" w:eastAsia="en-US" w:bidi="ar-SA"/>
    </w:rPr>
  </w:style>
  <w:style w:type="paragraph" w:customStyle="1" w:styleId="287">
    <w:name w:val="Normal_75"/>
    <w:qFormat/>
    <w:uiPriority w:val="0"/>
    <w:pPr>
      <w:spacing w:before="120" w:after="240"/>
      <w:jc w:val="both"/>
    </w:pPr>
    <w:rPr>
      <w:rFonts w:ascii="Calibri" w:hAnsi="Calibri" w:eastAsia="Calibri" w:cs="Times New Roman"/>
      <w:sz w:val="22"/>
      <w:szCs w:val="22"/>
      <w:lang w:val="ru-RU" w:eastAsia="en-US" w:bidi="ar-SA"/>
    </w:rPr>
  </w:style>
  <w:style w:type="paragraph" w:customStyle="1" w:styleId="288">
    <w:name w:val="Normal_14"/>
    <w:qFormat/>
    <w:uiPriority w:val="0"/>
    <w:pPr>
      <w:spacing w:before="120" w:after="240"/>
      <w:jc w:val="both"/>
    </w:pPr>
    <w:rPr>
      <w:rFonts w:ascii="Calibri" w:hAnsi="Calibri" w:eastAsia="Calibri" w:cs="Times New Roman"/>
      <w:sz w:val="22"/>
      <w:szCs w:val="22"/>
      <w:lang w:val="ru-RU" w:eastAsia="en-US" w:bidi="ar-SA"/>
    </w:rPr>
  </w:style>
  <w:style w:type="paragraph" w:customStyle="1" w:styleId="289">
    <w:name w:val="Normal_31"/>
    <w:qFormat/>
    <w:uiPriority w:val="0"/>
    <w:pPr>
      <w:spacing w:before="120" w:after="240"/>
      <w:jc w:val="both"/>
    </w:pPr>
    <w:rPr>
      <w:rFonts w:ascii="Calibri" w:hAnsi="Calibri" w:eastAsia="Calibri" w:cs="Times New Roman"/>
      <w:sz w:val="22"/>
      <w:szCs w:val="22"/>
      <w:lang w:val="ru-RU" w:eastAsia="en-US" w:bidi="ar-SA"/>
    </w:rPr>
  </w:style>
  <w:style w:type="paragraph" w:customStyle="1" w:styleId="290">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291">
    <w:name w:val="Normal_32"/>
    <w:qFormat/>
    <w:uiPriority w:val="0"/>
    <w:pPr>
      <w:spacing w:before="120" w:after="240"/>
      <w:jc w:val="both"/>
    </w:pPr>
    <w:rPr>
      <w:rFonts w:ascii="Calibri" w:hAnsi="Calibri" w:eastAsia="Calibri" w:cs="Times New Roman"/>
      <w:sz w:val="22"/>
      <w:szCs w:val="22"/>
      <w:lang w:val="ru-RU" w:eastAsia="en-US" w:bidi="ar-SA"/>
    </w:rPr>
  </w:style>
  <w:style w:type="paragraph" w:customStyle="1" w:styleId="292">
    <w:name w:val="Normal_21"/>
    <w:qFormat/>
    <w:uiPriority w:val="0"/>
    <w:pPr>
      <w:spacing w:before="120" w:after="240"/>
      <w:jc w:val="both"/>
    </w:pPr>
    <w:rPr>
      <w:rFonts w:ascii="Calibri" w:hAnsi="Calibri" w:eastAsia="Calibri" w:cs="Times New Roman"/>
      <w:sz w:val="22"/>
      <w:szCs w:val="22"/>
      <w:lang w:val="ru-RU" w:eastAsia="en-US" w:bidi="ar-SA"/>
    </w:rPr>
  </w:style>
  <w:style w:type="paragraph" w:customStyle="1" w:styleId="293">
    <w:name w:val="Normal_115"/>
    <w:qFormat/>
    <w:uiPriority w:val="0"/>
    <w:pPr>
      <w:spacing w:before="120" w:after="240"/>
      <w:jc w:val="both"/>
    </w:pPr>
    <w:rPr>
      <w:rFonts w:ascii="Calibri" w:hAnsi="Calibri" w:eastAsia="Calibri" w:cs="Times New Roman"/>
      <w:sz w:val="22"/>
      <w:szCs w:val="22"/>
      <w:lang w:val="ru-RU" w:eastAsia="en-US" w:bidi="ar-SA"/>
    </w:rPr>
  </w:style>
  <w:style w:type="paragraph" w:customStyle="1" w:styleId="294">
    <w:name w:val="Normal_108"/>
    <w:qFormat/>
    <w:uiPriority w:val="0"/>
    <w:pPr>
      <w:spacing w:before="120" w:after="240"/>
      <w:jc w:val="both"/>
    </w:pPr>
    <w:rPr>
      <w:rFonts w:ascii="Calibri" w:hAnsi="Calibri" w:eastAsia="Calibri" w:cs="Times New Roman"/>
      <w:sz w:val="22"/>
      <w:szCs w:val="22"/>
      <w:lang w:val="ru-RU" w:eastAsia="en-US" w:bidi="ar-SA"/>
    </w:rPr>
  </w:style>
  <w:style w:type="paragraph" w:customStyle="1" w:styleId="295">
    <w:name w:val="Normal_11"/>
    <w:qFormat/>
    <w:uiPriority w:val="0"/>
    <w:pPr>
      <w:spacing w:before="120" w:after="240"/>
      <w:jc w:val="both"/>
    </w:pPr>
    <w:rPr>
      <w:rFonts w:ascii="Calibri" w:hAnsi="Calibri" w:eastAsia="Calibri" w:cs="Times New Roman"/>
      <w:sz w:val="22"/>
      <w:szCs w:val="22"/>
      <w:lang w:val="ru-RU" w:eastAsia="en-US" w:bidi="ar-SA"/>
    </w:rPr>
  </w:style>
  <w:style w:type="paragraph" w:customStyle="1" w:styleId="296">
    <w:name w:val="Normal_109"/>
    <w:qFormat/>
    <w:uiPriority w:val="0"/>
    <w:pPr>
      <w:spacing w:before="120" w:after="240"/>
      <w:jc w:val="both"/>
    </w:pPr>
    <w:rPr>
      <w:rFonts w:ascii="Calibri" w:hAnsi="Calibri" w:eastAsia="Calibri" w:cs="Times New Roman"/>
      <w:sz w:val="22"/>
      <w:szCs w:val="22"/>
      <w:lang w:val="ru-RU" w:eastAsia="en-US" w:bidi="ar-SA"/>
    </w:rPr>
  </w:style>
  <w:style w:type="paragraph" w:customStyle="1" w:styleId="297">
    <w:name w:val="Normal_74"/>
    <w:qFormat/>
    <w:uiPriority w:val="0"/>
    <w:pPr>
      <w:spacing w:before="120" w:after="240"/>
      <w:jc w:val="both"/>
    </w:pPr>
    <w:rPr>
      <w:rFonts w:ascii="Calibri" w:hAnsi="Calibri" w:eastAsia="Calibri" w:cs="Times New Roman"/>
      <w:sz w:val="22"/>
      <w:szCs w:val="22"/>
      <w:lang w:val="ru-RU" w:eastAsia="en-US" w:bidi="ar-SA"/>
    </w:rPr>
  </w:style>
  <w:style w:type="paragraph" w:customStyle="1" w:styleId="298">
    <w:name w:val="Normal_96"/>
    <w:qFormat/>
    <w:uiPriority w:val="0"/>
    <w:pPr>
      <w:spacing w:before="120" w:after="240"/>
      <w:jc w:val="both"/>
    </w:pPr>
    <w:rPr>
      <w:rFonts w:ascii="Calibri" w:hAnsi="Calibri" w:eastAsia="Calibri" w:cs="Times New Roman"/>
      <w:sz w:val="22"/>
      <w:szCs w:val="22"/>
      <w:lang w:val="ru-RU" w:eastAsia="en-US" w:bidi="ar-SA"/>
    </w:rPr>
  </w:style>
  <w:style w:type="paragraph" w:customStyle="1" w:styleId="299">
    <w:name w:val="Normal_81"/>
    <w:qFormat/>
    <w:uiPriority w:val="0"/>
    <w:pPr>
      <w:spacing w:before="120" w:after="240"/>
      <w:jc w:val="both"/>
    </w:pPr>
    <w:rPr>
      <w:rFonts w:ascii="Calibri" w:hAnsi="Calibri" w:eastAsia="Calibri" w:cs="Times New Roman"/>
      <w:sz w:val="22"/>
      <w:szCs w:val="22"/>
      <w:lang w:val="ru-RU" w:eastAsia="en-US" w:bidi="ar-SA"/>
    </w:rPr>
  </w:style>
  <w:style w:type="paragraph" w:customStyle="1" w:styleId="300">
    <w:name w:val="Normal_83"/>
    <w:qFormat/>
    <w:uiPriority w:val="0"/>
    <w:pPr>
      <w:spacing w:before="120" w:after="240"/>
      <w:jc w:val="both"/>
    </w:pPr>
    <w:rPr>
      <w:rFonts w:ascii="Calibri" w:hAnsi="Calibri" w:eastAsia="Calibri" w:cs="Times New Roman"/>
      <w:sz w:val="22"/>
      <w:szCs w:val="22"/>
      <w:lang w:val="ru-RU" w:eastAsia="en-US" w:bidi="ar-SA"/>
    </w:rPr>
  </w:style>
  <w:style w:type="paragraph" w:customStyle="1" w:styleId="301">
    <w:name w:val="Normal_93"/>
    <w:qFormat/>
    <w:uiPriority w:val="0"/>
    <w:pPr>
      <w:spacing w:before="120" w:after="240"/>
      <w:jc w:val="both"/>
    </w:pPr>
    <w:rPr>
      <w:rFonts w:ascii="Calibri" w:hAnsi="Calibri" w:eastAsia="Calibri" w:cs="Times New Roman"/>
      <w:sz w:val="22"/>
      <w:szCs w:val="22"/>
      <w:lang w:val="ru-RU" w:eastAsia="en-US" w:bidi="ar-SA"/>
    </w:rPr>
  </w:style>
  <w:style w:type="paragraph" w:customStyle="1" w:styleId="302">
    <w:name w:val="Normal_105"/>
    <w:qFormat/>
    <w:uiPriority w:val="0"/>
    <w:pPr>
      <w:spacing w:before="120" w:after="240"/>
      <w:jc w:val="both"/>
    </w:pPr>
    <w:rPr>
      <w:rFonts w:ascii="Calibri" w:hAnsi="Calibri" w:eastAsia="Calibri" w:cs="Times New Roman"/>
      <w:sz w:val="22"/>
      <w:szCs w:val="22"/>
      <w:lang w:val="ru-RU" w:eastAsia="en-US" w:bidi="ar-SA"/>
    </w:rPr>
  </w:style>
  <w:style w:type="paragraph" w:customStyle="1" w:styleId="303">
    <w:name w:val="Normal_98"/>
    <w:qFormat/>
    <w:uiPriority w:val="0"/>
    <w:pPr>
      <w:spacing w:before="120" w:after="240"/>
      <w:jc w:val="both"/>
    </w:pPr>
    <w:rPr>
      <w:rFonts w:ascii="Calibri" w:hAnsi="Calibri" w:eastAsia="Calibri" w:cs="Times New Roman"/>
      <w:sz w:val="22"/>
      <w:szCs w:val="22"/>
      <w:lang w:val="ru-RU" w:eastAsia="en-US" w:bidi="ar-SA"/>
    </w:rPr>
  </w:style>
  <w:style w:type="paragraph" w:customStyle="1" w:styleId="304">
    <w:name w:val="Normal_26"/>
    <w:qFormat/>
    <w:uiPriority w:val="0"/>
    <w:pPr>
      <w:spacing w:before="120" w:after="240"/>
      <w:jc w:val="both"/>
    </w:pPr>
    <w:rPr>
      <w:rFonts w:ascii="Calibri" w:hAnsi="Calibri" w:eastAsia="Calibri" w:cs="Times New Roman"/>
      <w:sz w:val="22"/>
      <w:szCs w:val="22"/>
      <w:lang w:val="ru-RU" w:eastAsia="en-US" w:bidi="ar-SA"/>
    </w:rPr>
  </w:style>
  <w:style w:type="paragraph" w:customStyle="1" w:styleId="305">
    <w:name w:val="Normal_91"/>
    <w:qFormat/>
    <w:uiPriority w:val="0"/>
    <w:pPr>
      <w:spacing w:before="120" w:after="240"/>
      <w:jc w:val="both"/>
    </w:pPr>
    <w:rPr>
      <w:rFonts w:ascii="Calibri" w:hAnsi="Calibri" w:eastAsia="Calibri" w:cs="Times New Roman"/>
      <w:sz w:val="22"/>
      <w:szCs w:val="22"/>
      <w:lang w:val="ru-RU" w:eastAsia="en-US" w:bidi="ar-SA"/>
    </w:rPr>
  </w:style>
  <w:style w:type="paragraph" w:customStyle="1" w:styleId="306">
    <w:name w:val="Normal_86"/>
    <w:qFormat/>
    <w:uiPriority w:val="0"/>
    <w:pPr>
      <w:spacing w:before="120" w:after="240"/>
      <w:jc w:val="both"/>
    </w:pPr>
    <w:rPr>
      <w:rFonts w:ascii="Calibri" w:hAnsi="Calibri" w:eastAsia="Calibri" w:cs="Times New Roman"/>
      <w:sz w:val="22"/>
      <w:szCs w:val="22"/>
      <w:lang w:val="ru-RU" w:eastAsia="en-US" w:bidi="ar-SA"/>
    </w:rPr>
  </w:style>
  <w:style w:type="paragraph" w:customStyle="1" w:styleId="307">
    <w:name w:val="Normal_117"/>
    <w:qFormat/>
    <w:uiPriority w:val="0"/>
    <w:pPr>
      <w:spacing w:before="120" w:after="240"/>
      <w:jc w:val="both"/>
    </w:pPr>
    <w:rPr>
      <w:rFonts w:ascii="Calibri" w:hAnsi="Calibri" w:eastAsia="Calibri" w:cs="Times New Roman"/>
      <w:sz w:val="22"/>
      <w:szCs w:val="22"/>
      <w:lang w:val="ru-RU" w:eastAsia="en-US" w:bidi="ar-SA"/>
    </w:rPr>
  </w:style>
  <w:style w:type="paragraph" w:customStyle="1" w:styleId="308">
    <w:name w:val="Normal_95"/>
    <w:qFormat/>
    <w:uiPriority w:val="0"/>
    <w:pPr>
      <w:spacing w:before="120" w:after="240"/>
      <w:jc w:val="both"/>
    </w:pPr>
    <w:rPr>
      <w:rFonts w:ascii="Calibri" w:hAnsi="Calibri" w:eastAsia="Calibri" w:cs="Times New Roman"/>
      <w:sz w:val="22"/>
      <w:szCs w:val="22"/>
      <w:lang w:val="ru-RU" w:eastAsia="en-US" w:bidi="ar-SA"/>
    </w:rPr>
  </w:style>
  <w:style w:type="paragraph" w:customStyle="1" w:styleId="309">
    <w:name w:val="Normal_82"/>
    <w:qFormat/>
    <w:uiPriority w:val="0"/>
    <w:pPr>
      <w:spacing w:before="120" w:after="240"/>
      <w:jc w:val="both"/>
    </w:pPr>
    <w:rPr>
      <w:rFonts w:ascii="Calibri" w:hAnsi="Calibri" w:eastAsia="Calibri" w:cs="Times New Roman"/>
      <w:sz w:val="22"/>
      <w:szCs w:val="22"/>
      <w:lang w:val="ru-RU" w:eastAsia="en-US" w:bidi="ar-SA"/>
    </w:rPr>
  </w:style>
  <w:style w:type="paragraph" w:customStyle="1" w:styleId="310">
    <w:name w:val="Normal_92"/>
    <w:qFormat/>
    <w:uiPriority w:val="0"/>
    <w:pPr>
      <w:spacing w:before="120" w:after="240"/>
      <w:jc w:val="both"/>
    </w:pPr>
    <w:rPr>
      <w:rFonts w:ascii="Calibri" w:hAnsi="Calibri" w:eastAsia="Calibri" w:cs="Times New Roman"/>
      <w:sz w:val="22"/>
      <w:szCs w:val="22"/>
      <w:lang w:val="ru-RU" w:eastAsia="en-US" w:bidi="ar-SA"/>
    </w:rPr>
  </w:style>
  <w:style w:type="paragraph" w:customStyle="1" w:styleId="311">
    <w:name w:val="Normal_114"/>
    <w:qFormat/>
    <w:uiPriority w:val="0"/>
    <w:pPr>
      <w:spacing w:before="120" w:after="240"/>
      <w:jc w:val="both"/>
    </w:pPr>
    <w:rPr>
      <w:rFonts w:ascii="Calibri" w:hAnsi="Calibri" w:eastAsia="Calibri" w:cs="Times New Roman"/>
      <w:sz w:val="22"/>
      <w:szCs w:val="22"/>
      <w:lang w:val="ru-RU" w:eastAsia="en-US" w:bidi="ar-SA"/>
    </w:rPr>
  </w:style>
  <w:style w:type="paragraph" w:customStyle="1" w:styleId="312">
    <w:name w:val="Normal_94"/>
    <w:qFormat/>
    <w:uiPriority w:val="0"/>
    <w:pPr>
      <w:spacing w:before="120" w:after="240"/>
      <w:jc w:val="both"/>
    </w:pPr>
    <w:rPr>
      <w:rFonts w:ascii="Calibri" w:hAnsi="Calibri" w:eastAsia="Calibri" w:cs="Times New Roman"/>
      <w:sz w:val="22"/>
      <w:szCs w:val="22"/>
      <w:lang w:val="ru-RU" w:eastAsia="en-US" w:bidi="ar-SA"/>
    </w:rPr>
  </w:style>
  <w:style w:type="paragraph" w:customStyle="1" w:styleId="313">
    <w:name w:val="Normal_10"/>
    <w:qFormat/>
    <w:uiPriority w:val="0"/>
    <w:pPr>
      <w:spacing w:before="120" w:after="240"/>
      <w:jc w:val="both"/>
    </w:pPr>
    <w:rPr>
      <w:rFonts w:ascii="Calibri" w:hAnsi="Calibri" w:eastAsia="Calibri" w:cs="Times New Roman"/>
      <w:sz w:val="22"/>
      <w:szCs w:val="22"/>
      <w:lang w:val="ru-RU" w:eastAsia="en-US" w:bidi="ar-SA"/>
    </w:rPr>
  </w:style>
  <w:style w:type="paragraph" w:customStyle="1" w:styleId="314">
    <w:name w:val="Normal_84"/>
    <w:qFormat/>
    <w:uiPriority w:val="0"/>
    <w:pPr>
      <w:spacing w:before="120" w:after="240"/>
      <w:jc w:val="both"/>
    </w:pPr>
    <w:rPr>
      <w:rFonts w:ascii="Calibri" w:hAnsi="Calibri" w:eastAsia="Calibri" w:cs="Times New Roman"/>
      <w:sz w:val="22"/>
      <w:szCs w:val="22"/>
      <w:lang w:val="ru-RU" w:eastAsia="en-US" w:bidi="ar-SA"/>
    </w:rPr>
  </w:style>
  <w:style w:type="paragraph" w:customStyle="1" w:styleId="315">
    <w:name w:val="Normal_99"/>
    <w:qFormat/>
    <w:uiPriority w:val="0"/>
    <w:pPr>
      <w:spacing w:before="120" w:after="240"/>
      <w:jc w:val="both"/>
    </w:pPr>
    <w:rPr>
      <w:rFonts w:ascii="Calibri" w:hAnsi="Calibri" w:eastAsia="Calibri" w:cs="Times New Roman"/>
      <w:sz w:val="22"/>
      <w:szCs w:val="22"/>
      <w:lang w:val="ru-RU" w:eastAsia="en-US" w:bidi="ar-SA"/>
    </w:rPr>
  </w:style>
  <w:style w:type="paragraph" w:customStyle="1" w:styleId="316">
    <w:name w:val="Normal_100"/>
    <w:qFormat/>
    <w:uiPriority w:val="0"/>
    <w:pPr>
      <w:spacing w:before="120" w:after="240"/>
      <w:jc w:val="both"/>
    </w:pPr>
    <w:rPr>
      <w:rFonts w:ascii="Calibri" w:hAnsi="Calibri" w:eastAsia="Calibri" w:cs="Times New Roman"/>
      <w:sz w:val="22"/>
      <w:szCs w:val="22"/>
      <w:lang w:val="ru-RU" w:eastAsia="en-US" w:bidi="ar-SA"/>
    </w:rPr>
  </w:style>
  <w:style w:type="paragraph" w:customStyle="1" w:styleId="317">
    <w:name w:val="aa正文"/>
    <w:basedOn w:val="1"/>
    <w:qFormat/>
    <w:uiPriority w:val="0"/>
    <w:pPr>
      <w:spacing w:line="360" w:lineRule="auto"/>
      <w:ind w:firstLine="200" w:firstLineChars="200"/>
    </w:pPr>
    <w:rPr>
      <w:rFonts w:ascii="Times New Roman" w:hAnsi="Times New Roman"/>
      <w:b w:val="0"/>
      <w:sz w:val="24"/>
    </w:rPr>
  </w:style>
  <w:style w:type="paragraph" w:customStyle="1" w:styleId="318">
    <w:name w:val="Normal_5"/>
    <w:qFormat/>
    <w:uiPriority w:val="0"/>
    <w:pPr>
      <w:spacing w:before="120" w:after="240"/>
      <w:jc w:val="both"/>
    </w:pPr>
    <w:rPr>
      <w:rFonts w:ascii="Calibri" w:hAnsi="Calibri" w:eastAsia="Calibri" w:cs="Times New Roman"/>
      <w:sz w:val="22"/>
      <w:szCs w:val="22"/>
      <w:lang w:val="ru-RU" w:eastAsia="en-US" w:bidi="ar-SA"/>
    </w:rPr>
  </w:style>
  <w:style w:type="paragraph" w:customStyle="1" w:styleId="319">
    <w:name w:val="Normal_34"/>
    <w:qFormat/>
    <w:uiPriority w:val="0"/>
    <w:pPr>
      <w:spacing w:before="120" w:after="240"/>
      <w:jc w:val="both"/>
    </w:pPr>
    <w:rPr>
      <w:rFonts w:ascii="Calibri" w:hAnsi="Calibri" w:eastAsia="Calibri" w:cs="Times New Roman"/>
      <w:sz w:val="22"/>
      <w:szCs w:val="22"/>
      <w:lang w:val="ru-RU" w:eastAsia="en-US" w:bidi="ar-SA"/>
    </w:rPr>
  </w:style>
  <w:style w:type="paragraph" w:customStyle="1" w:styleId="320">
    <w:name w:val="Normal_15"/>
    <w:qFormat/>
    <w:uiPriority w:val="0"/>
    <w:pPr>
      <w:spacing w:before="120" w:after="240"/>
      <w:jc w:val="both"/>
    </w:pPr>
    <w:rPr>
      <w:rFonts w:ascii="Calibri" w:hAnsi="Calibri" w:eastAsia="Calibri" w:cs="Times New Roman"/>
      <w:sz w:val="22"/>
      <w:szCs w:val="22"/>
      <w:lang w:val="ru-RU" w:eastAsia="en-US" w:bidi="ar-SA"/>
    </w:rPr>
  </w:style>
  <w:style w:type="paragraph" w:customStyle="1" w:styleId="321">
    <w:name w:val="Normal_90"/>
    <w:qFormat/>
    <w:uiPriority w:val="0"/>
    <w:pPr>
      <w:spacing w:before="120" w:after="240"/>
      <w:jc w:val="both"/>
    </w:pPr>
    <w:rPr>
      <w:rFonts w:ascii="Calibri" w:hAnsi="Calibri" w:eastAsia="Calibri" w:cs="Times New Roman"/>
      <w:sz w:val="22"/>
      <w:szCs w:val="22"/>
      <w:lang w:val="ru-RU" w:eastAsia="en-US" w:bidi="ar-SA"/>
    </w:rPr>
  </w:style>
  <w:style w:type="paragraph" w:customStyle="1" w:styleId="322">
    <w:name w:val="Normal_88"/>
    <w:qFormat/>
    <w:uiPriority w:val="0"/>
    <w:pPr>
      <w:spacing w:before="120" w:after="240"/>
      <w:jc w:val="both"/>
    </w:pPr>
    <w:rPr>
      <w:rFonts w:ascii="Calibri" w:hAnsi="Calibri" w:eastAsia="Calibri" w:cs="Times New Roman"/>
      <w:sz w:val="22"/>
      <w:szCs w:val="22"/>
      <w:lang w:val="ru-RU" w:eastAsia="en-US" w:bidi="ar-SA"/>
    </w:rPr>
  </w:style>
  <w:style w:type="paragraph" w:customStyle="1" w:styleId="323">
    <w:name w:val="Normal_111"/>
    <w:qFormat/>
    <w:uiPriority w:val="0"/>
    <w:pPr>
      <w:spacing w:before="120" w:after="240"/>
      <w:jc w:val="both"/>
    </w:pPr>
    <w:rPr>
      <w:rFonts w:ascii="Calibri" w:hAnsi="Calibri" w:eastAsia="Calibri" w:cs="Times New Roman"/>
      <w:sz w:val="22"/>
      <w:szCs w:val="22"/>
      <w:lang w:val="ru-RU" w:eastAsia="en-US" w:bidi="ar-SA"/>
    </w:rPr>
  </w:style>
  <w:style w:type="paragraph" w:customStyle="1" w:styleId="324">
    <w:name w:val="Normal_23"/>
    <w:qFormat/>
    <w:uiPriority w:val="0"/>
    <w:pPr>
      <w:spacing w:before="120" w:after="240"/>
      <w:jc w:val="both"/>
    </w:pPr>
    <w:rPr>
      <w:rFonts w:ascii="Calibri" w:hAnsi="Calibri" w:eastAsia="Calibri" w:cs="Times New Roman"/>
      <w:sz w:val="22"/>
      <w:szCs w:val="22"/>
      <w:lang w:val="ru-RU" w:eastAsia="en-US" w:bidi="ar-SA"/>
    </w:rPr>
  </w:style>
  <w:style w:type="paragraph" w:customStyle="1" w:styleId="325">
    <w:name w:val="Normal_113"/>
    <w:qFormat/>
    <w:uiPriority w:val="0"/>
    <w:pPr>
      <w:spacing w:before="120" w:after="240"/>
      <w:jc w:val="both"/>
    </w:pPr>
    <w:rPr>
      <w:rFonts w:ascii="Calibri" w:hAnsi="Calibri" w:eastAsia="Calibri" w:cs="Times New Roman"/>
      <w:sz w:val="22"/>
      <w:szCs w:val="22"/>
      <w:lang w:val="ru-RU" w:eastAsia="en-US" w:bidi="ar-SA"/>
    </w:rPr>
  </w:style>
  <w:style w:type="paragraph" w:customStyle="1" w:styleId="326">
    <w:name w:val="Normal_112"/>
    <w:qFormat/>
    <w:uiPriority w:val="0"/>
    <w:pPr>
      <w:spacing w:before="120" w:after="240"/>
      <w:jc w:val="both"/>
    </w:pPr>
    <w:rPr>
      <w:rFonts w:ascii="Calibri" w:hAnsi="Calibri" w:eastAsia="Calibri" w:cs="Times New Roman"/>
      <w:sz w:val="22"/>
      <w:szCs w:val="22"/>
      <w:lang w:val="ru-RU" w:eastAsia="en-US" w:bidi="ar-SA"/>
    </w:rPr>
  </w:style>
  <w:style w:type="paragraph" w:customStyle="1" w:styleId="327">
    <w:name w:val="Normal_35"/>
    <w:qFormat/>
    <w:uiPriority w:val="0"/>
    <w:pPr>
      <w:spacing w:before="120" w:after="240"/>
      <w:jc w:val="both"/>
    </w:pPr>
    <w:rPr>
      <w:rFonts w:ascii="Calibri" w:hAnsi="Calibri" w:eastAsia="Calibri" w:cs="Times New Roman"/>
      <w:sz w:val="22"/>
      <w:szCs w:val="22"/>
      <w:lang w:val="ru-RU" w:eastAsia="en-US" w:bidi="ar-SA"/>
    </w:rPr>
  </w:style>
  <w:style w:type="paragraph" w:customStyle="1" w:styleId="328">
    <w:name w:val="Normal_89"/>
    <w:qFormat/>
    <w:uiPriority w:val="0"/>
    <w:pPr>
      <w:spacing w:before="120" w:after="240"/>
      <w:jc w:val="both"/>
    </w:pPr>
    <w:rPr>
      <w:rFonts w:ascii="Calibri" w:hAnsi="Calibri" w:eastAsia="Calibri" w:cs="Times New Roman"/>
      <w:sz w:val="22"/>
      <w:szCs w:val="22"/>
      <w:lang w:val="ru-RU" w:eastAsia="en-US" w:bidi="ar-SA"/>
    </w:rPr>
  </w:style>
  <w:style w:type="paragraph" w:customStyle="1" w:styleId="329">
    <w:name w:val="Normal_22"/>
    <w:qFormat/>
    <w:uiPriority w:val="0"/>
    <w:pPr>
      <w:spacing w:before="120" w:after="240"/>
      <w:jc w:val="both"/>
    </w:pPr>
    <w:rPr>
      <w:rFonts w:ascii="Calibri" w:hAnsi="Calibri" w:eastAsia="Calibri" w:cs="Times New Roman"/>
      <w:sz w:val="22"/>
      <w:szCs w:val="22"/>
      <w:lang w:val="ru-RU" w:eastAsia="en-US" w:bidi="ar-SA"/>
    </w:rPr>
  </w:style>
  <w:style w:type="paragraph" w:customStyle="1" w:styleId="330">
    <w:name w:val="Normal_110"/>
    <w:qFormat/>
    <w:uiPriority w:val="0"/>
    <w:pPr>
      <w:spacing w:before="120" w:after="240"/>
      <w:jc w:val="both"/>
    </w:pPr>
    <w:rPr>
      <w:rFonts w:ascii="Calibri" w:hAnsi="Calibri" w:eastAsia="Calibri" w:cs="Times New Roman"/>
      <w:sz w:val="22"/>
      <w:szCs w:val="22"/>
      <w:lang w:val="ru-RU" w:eastAsia="en-US" w:bidi="ar-SA"/>
    </w:rPr>
  </w:style>
  <w:style w:type="paragraph" w:customStyle="1" w:styleId="331">
    <w:name w:val="Normal_116"/>
    <w:qFormat/>
    <w:uiPriority w:val="0"/>
    <w:pPr>
      <w:spacing w:before="120" w:after="240"/>
      <w:jc w:val="both"/>
    </w:pPr>
    <w:rPr>
      <w:rFonts w:ascii="Calibri" w:hAnsi="Calibri" w:eastAsia="Calibri" w:cs="Times New Roman"/>
      <w:sz w:val="22"/>
      <w:szCs w:val="22"/>
      <w:lang w:val="ru-RU" w:eastAsia="en-US" w:bidi="ar-SA"/>
    </w:rPr>
  </w:style>
  <w:style w:type="paragraph" w:customStyle="1" w:styleId="332">
    <w:name w:val="Normal_97"/>
    <w:qFormat/>
    <w:uiPriority w:val="0"/>
    <w:pPr>
      <w:spacing w:before="120" w:after="240"/>
      <w:jc w:val="both"/>
    </w:pPr>
    <w:rPr>
      <w:rFonts w:ascii="Calibri" w:hAnsi="Calibri" w:eastAsia="Calibri" w:cs="Times New Roman"/>
      <w:sz w:val="22"/>
      <w:szCs w:val="22"/>
      <w:lang w:val="ru-RU" w:eastAsia="en-US" w:bidi="ar-SA"/>
    </w:rPr>
  </w:style>
  <w:style w:type="paragraph" w:customStyle="1" w:styleId="333">
    <w:name w:val="Normal_16"/>
    <w:qFormat/>
    <w:uiPriority w:val="0"/>
    <w:pPr>
      <w:spacing w:before="120" w:after="240"/>
      <w:jc w:val="both"/>
    </w:pPr>
    <w:rPr>
      <w:rFonts w:ascii="Calibri" w:hAnsi="Calibri" w:eastAsia="Calibri" w:cs="Times New Roman"/>
      <w:sz w:val="22"/>
      <w:szCs w:val="22"/>
      <w:lang w:val="ru-RU" w:eastAsia="en-US" w:bidi="ar-SA"/>
    </w:rPr>
  </w:style>
  <w:style w:type="character" w:customStyle="1" w:styleId="334">
    <w:name w:val="正文首行缩进 2 Char1"/>
    <w:link w:val="2"/>
    <w:qFormat/>
    <w:uiPriority w:val="99"/>
    <w:rPr>
      <w:rFonts w:ascii="Calibri" w:hAnsi="Calibri" w:eastAsia="隶书"/>
      <w:b/>
      <w:sz w:val="28"/>
      <w:u w:color="FF0000"/>
    </w:rPr>
  </w:style>
  <w:style w:type="character" w:customStyle="1" w:styleId="335">
    <w:name w:val="标题 3 Char1"/>
    <w:qFormat/>
    <w:locked/>
    <w:uiPriority w:val="0"/>
    <w:rPr>
      <w:rFonts w:eastAsia="黑体"/>
      <w:b/>
      <w:bCs/>
      <w:kern w:val="2"/>
      <w:sz w:val="28"/>
      <w:szCs w:val="32"/>
    </w:rPr>
  </w:style>
  <w:style w:type="character" w:customStyle="1" w:styleId="336">
    <w:name w:val="Char Char33"/>
    <w:qFormat/>
    <w:uiPriority w:val="0"/>
    <w:rPr>
      <w:rFonts w:eastAsia="仿宋_GB2312"/>
      <w:b/>
      <w:bCs/>
      <w:kern w:val="2"/>
      <w:sz w:val="28"/>
      <w:szCs w:val="24"/>
      <w:u w:color="FF0000"/>
    </w:rPr>
  </w:style>
  <w:style w:type="character" w:customStyle="1" w:styleId="337">
    <w:name w:val="Char Char52"/>
    <w:qFormat/>
    <w:uiPriority w:val="0"/>
    <w:rPr>
      <w:rFonts w:eastAsia="宋体"/>
      <w:color w:val="000000"/>
      <w:kern w:val="2"/>
      <w:sz w:val="18"/>
      <w:lang w:val="en-US" w:eastAsia="zh-CN" w:bidi="ar-SA"/>
    </w:rPr>
  </w:style>
  <w:style w:type="character" w:customStyle="1" w:styleId="338">
    <w:name w:val="Char Char82"/>
    <w:qFormat/>
    <w:locked/>
    <w:uiPriority w:val="0"/>
    <w:rPr>
      <w:rFonts w:eastAsia="仿宋_GB2312"/>
      <w:b/>
      <w:bCs/>
      <w:kern w:val="2"/>
      <w:sz w:val="28"/>
      <w:szCs w:val="24"/>
      <w:u w:color="FF0000"/>
      <w:lang w:val="en-US" w:eastAsia="zh-CN" w:bidi="ar-SA"/>
    </w:rPr>
  </w:style>
  <w:style w:type="character" w:customStyle="1" w:styleId="339">
    <w:name w:val="Char Char22"/>
    <w:qFormat/>
    <w:uiPriority w:val="0"/>
    <w:rPr>
      <w:rFonts w:eastAsia="宋体"/>
      <w:b/>
      <w:kern w:val="2"/>
      <w:sz w:val="28"/>
      <w:lang w:val="en-US" w:eastAsia="zh-CN" w:bidi="ar-SA"/>
    </w:rPr>
  </w:style>
  <w:style w:type="character" w:customStyle="1" w:styleId="340">
    <w:name w:val="Char Char42"/>
    <w:qFormat/>
    <w:uiPriority w:val="0"/>
    <w:rPr>
      <w:rFonts w:ascii="Times New Roman" w:hAnsi="Times New Roman" w:eastAsia="宋体"/>
      <w:b/>
      <w:kern w:val="44"/>
      <w:sz w:val="30"/>
    </w:rPr>
  </w:style>
  <w:style w:type="character" w:customStyle="1" w:styleId="341">
    <w:name w:val="纯文本 Char1"/>
    <w:qFormat/>
    <w:uiPriority w:val="0"/>
    <w:rPr>
      <w:rFonts w:ascii="宋体" w:hAnsi="Courier New" w:cs="Courier New"/>
      <w:kern w:val="2"/>
      <w:sz w:val="21"/>
      <w:szCs w:val="21"/>
    </w:rPr>
  </w:style>
  <w:style w:type="character" w:customStyle="1" w:styleId="342">
    <w:name w:val="正文文本 Char1"/>
    <w:qFormat/>
    <w:uiPriority w:val="0"/>
    <w:rPr>
      <w:kern w:val="2"/>
      <w:sz w:val="21"/>
    </w:rPr>
  </w:style>
  <w:style w:type="character" w:customStyle="1" w:styleId="343">
    <w:name w:val="文1 Char Char"/>
    <w:qFormat/>
    <w:uiPriority w:val="0"/>
    <w:rPr>
      <w:kern w:val="2"/>
      <w:sz w:val="28"/>
    </w:rPr>
  </w:style>
  <w:style w:type="character" w:customStyle="1" w:styleId="344">
    <w:name w:val="标题 Char1"/>
    <w:qFormat/>
    <w:uiPriority w:val="10"/>
    <w:rPr>
      <w:rFonts w:ascii="Cambria" w:hAnsi="Cambria" w:cs="Times New Roman"/>
      <w:b/>
      <w:bCs/>
      <w:kern w:val="2"/>
      <w:sz w:val="32"/>
      <w:szCs w:val="32"/>
      <w:u w:color="FF0000"/>
    </w:rPr>
  </w:style>
  <w:style w:type="paragraph" w:customStyle="1" w:styleId="345">
    <w:name w:val="_Style 8"/>
    <w:basedOn w:val="1"/>
    <w:qFormat/>
    <w:uiPriority w:val="0"/>
    <w:rPr>
      <w:b w:val="0"/>
    </w:rPr>
  </w:style>
  <w:style w:type="paragraph" w:customStyle="1" w:styleId="346">
    <w:name w:val="编号列项（三级）"/>
    <w:qFormat/>
    <w:uiPriority w:val="0"/>
    <w:pPr>
      <w:numPr>
        <w:ilvl w:val="2"/>
        <w:numId w:val="10"/>
      </w:numPr>
      <w:tabs>
        <w:tab w:val="left" w:pos="0"/>
      </w:tabs>
    </w:pPr>
    <w:rPr>
      <w:rFonts w:ascii="宋体" w:hAnsi="Times New Roman" w:eastAsia="宋体" w:cs="Times New Roman"/>
      <w:sz w:val="21"/>
      <w:lang w:val="en-US" w:eastAsia="zh-CN" w:bidi="ar-SA"/>
    </w:rPr>
  </w:style>
  <w:style w:type="paragraph" w:customStyle="1" w:styleId="347">
    <w:name w:val="参考文献"/>
    <w:basedOn w:val="1"/>
    <w:next w:val="143"/>
    <w:qFormat/>
    <w:uiPriority w:val="0"/>
    <w:pPr>
      <w:keepNext/>
      <w:pageBreakBefore/>
      <w:widowControl/>
      <w:shd w:val="clear" w:color="FFFFFF" w:fill="FFFFFF"/>
      <w:spacing w:before="640" w:after="200"/>
      <w:jc w:val="center"/>
      <w:outlineLvl w:val="0"/>
    </w:pPr>
    <w:rPr>
      <w:rFonts w:ascii="黑体" w:hAnsi="Times New Roman" w:eastAsia="黑体"/>
      <w:b w:val="0"/>
      <w:kern w:val="0"/>
      <w:szCs w:val="20"/>
    </w:rPr>
  </w:style>
  <w:style w:type="paragraph" w:customStyle="1" w:styleId="348">
    <w:name w:val="数字编号列项（二级）"/>
    <w:qFormat/>
    <w:uiPriority w:val="0"/>
    <w:pPr>
      <w:numPr>
        <w:ilvl w:val="1"/>
        <w:numId w:val="10"/>
      </w:numPr>
      <w:tabs>
        <w:tab w:val="left" w:pos="1259"/>
      </w:tabs>
      <w:jc w:val="both"/>
    </w:pPr>
    <w:rPr>
      <w:rFonts w:ascii="宋体" w:hAnsi="Times New Roman" w:eastAsia="宋体" w:cs="Times New Roman"/>
      <w:sz w:val="21"/>
      <w:lang w:val="en-US" w:eastAsia="zh-CN" w:bidi="ar-SA"/>
    </w:rPr>
  </w:style>
  <w:style w:type="paragraph" w:customStyle="1" w:styleId="349">
    <w:name w:val="3"/>
    <w:next w:val="1"/>
    <w:qFormat/>
    <w:uiPriority w:val="0"/>
    <w:pPr>
      <w:widowControl w:val="0"/>
      <w:jc w:val="both"/>
    </w:pPr>
    <w:rPr>
      <w:rFonts w:ascii="Times New Roman" w:hAnsi="Times New Roman" w:eastAsia="宋体" w:cs="Times New Roman"/>
      <w:b/>
      <w:kern w:val="2"/>
      <w:sz w:val="21"/>
      <w:szCs w:val="24"/>
      <w:u w:color="FF0000"/>
      <w:lang w:val="en-US" w:eastAsia="zh-CN" w:bidi="ar-SA"/>
    </w:rPr>
  </w:style>
  <w:style w:type="table" w:customStyle="1" w:styleId="350">
    <w:name w:val="网格型 7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351">
    <w:name w:val="HTML 预设格式 Char3"/>
    <w:basedOn w:val="91"/>
    <w:link w:val="81"/>
    <w:qFormat/>
    <w:uiPriority w:val="0"/>
    <w:rPr>
      <w:rFonts w:ascii="Courier New" w:hAnsi="Courier New" w:cs="Courier New"/>
      <w:kern w:val="2"/>
    </w:rPr>
  </w:style>
  <w:style w:type="table" w:customStyle="1" w:styleId="352">
    <w:name w:val="网格型 7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character" w:customStyle="1" w:styleId="353">
    <w:name w:val="Char Char7"/>
    <w:qFormat/>
    <w:uiPriority w:val="0"/>
    <w:rPr>
      <w:rFonts w:eastAsia="仿宋_GB2312"/>
      <w:b/>
      <w:bCs/>
      <w:kern w:val="2"/>
      <w:sz w:val="28"/>
      <w:szCs w:val="24"/>
      <w:u w:color="FF0000"/>
      <w:lang w:val="en-US" w:eastAsia="zh-CN" w:bidi="ar-SA"/>
    </w:rPr>
  </w:style>
  <w:style w:type="character" w:customStyle="1" w:styleId="354">
    <w:name w:val="样式1 Char Char"/>
    <w:link w:val="141"/>
    <w:qFormat/>
    <w:uiPriority w:val="0"/>
    <w:rPr>
      <w:rFonts w:ascii="仿宋_GB2312" w:hAnsi="Calibri" w:eastAsia="仿宋_GB2312"/>
      <w:b/>
      <w:kern w:val="2"/>
      <w:sz w:val="44"/>
      <w:szCs w:val="24"/>
      <w:u w:color="FF0000"/>
    </w:rPr>
  </w:style>
  <w:style w:type="character" w:customStyle="1" w:styleId="355">
    <w:name w:val="链接"/>
    <w:qFormat/>
    <w:uiPriority w:val="0"/>
    <w:rPr>
      <w:rFonts w:ascii="Times New Roman" w:eastAsia="宋体"/>
      <w:color w:val="0000FF"/>
      <w:sz w:val="21"/>
      <w:u w:val="single" w:color="0000FF"/>
      <w:vertAlign w:val="baseline"/>
      <w:lang w:val="en-US" w:eastAsia="zh-CN"/>
    </w:rPr>
  </w:style>
  <w:style w:type="character" w:customStyle="1" w:styleId="356">
    <w:name w:val="p1"/>
    <w:qFormat/>
    <w:uiPriority w:val="0"/>
    <w:rPr>
      <w:sz w:val="21"/>
      <w:szCs w:val="21"/>
    </w:rPr>
  </w:style>
  <w:style w:type="character" w:customStyle="1" w:styleId="357">
    <w:name w:val="批注文字 Char1"/>
    <w:qFormat/>
    <w:uiPriority w:val="99"/>
    <w:rPr>
      <w:rFonts w:ascii="Times New Roman" w:hAnsi="Times New Roman" w:eastAsia="宋体" w:cs="Times New Roman"/>
      <w:szCs w:val="24"/>
    </w:rPr>
  </w:style>
  <w:style w:type="character" w:customStyle="1" w:styleId="358">
    <w:name w:val="无间隔 Char1"/>
    <w:link w:val="242"/>
    <w:qFormat/>
    <w:uiPriority w:val="1"/>
    <w:rPr>
      <w:kern w:val="2"/>
      <w:sz w:val="21"/>
      <w:szCs w:val="24"/>
    </w:rPr>
  </w:style>
  <w:style w:type="character" w:customStyle="1" w:styleId="359">
    <w:name w:val="副标题 Char3"/>
    <w:link w:val="65"/>
    <w:qFormat/>
    <w:uiPriority w:val="0"/>
    <w:rPr>
      <w:rFonts w:ascii="Cambria" w:hAnsi="Cambria"/>
      <w:b/>
      <w:bCs/>
      <w:kern w:val="28"/>
      <w:sz w:val="32"/>
      <w:szCs w:val="32"/>
    </w:rPr>
  </w:style>
  <w:style w:type="character" w:customStyle="1" w:styleId="360">
    <w:name w:val="副标题 Char1"/>
    <w:basedOn w:val="91"/>
    <w:qFormat/>
    <w:uiPriority w:val="11"/>
    <w:rPr>
      <w:rFonts w:asciiTheme="majorHAnsi" w:hAnsiTheme="majorHAnsi" w:cstheme="majorBidi"/>
      <w:b/>
      <w:bCs/>
      <w:kern w:val="28"/>
      <w:sz w:val="32"/>
      <w:szCs w:val="32"/>
      <w:u w:color="FF0000"/>
    </w:rPr>
  </w:style>
  <w:style w:type="character" w:customStyle="1" w:styleId="361">
    <w:name w:val="正文1"/>
    <w:qFormat/>
    <w:uiPriority w:val="0"/>
    <w:rPr>
      <w:rFonts w:hint="eastAsia" w:ascii="宋体" w:hAnsi="宋体" w:eastAsia="宋体"/>
      <w:sz w:val="22"/>
      <w:szCs w:val="22"/>
    </w:rPr>
  </w:style>
  <w:style w:type="character" w:customStyle="1" w:styleId="362">
    <w:name w:val="tpc_content1"/>
    <w:qFormat/>
    <w:uiPriority w:val="0"/>
    <w:rPr>
      <w:sz w:val="20"/>
      <w:szCs w:val="20"/>
    </w:rPr>
  </w:style>
  <w:style w:type="character" w:customStyle="1" w:styleId="363">
    <w:name w:val="HTML 预设格式 Char1"/>
    <w:qFormat/>
    <w:uiPriority w:val="99"/>
    <w:rPr>
      <w:rFonts w:ascii="Courier New" w:hAnsi="Courier New" w:cs="Courier New"/>
      <w:b/>
      <w:kern w:val="2"/>
      <w:u w:color="FF0000"/>
    </w:rPr>
  </w:style>
  <w:style w:type="character" w:customStyle="1" w:styleId="364">
    <w:name w:val="正文文本 2 Char1"/>
    <w:qFormat/>
    <w:uiPriority w:val="99"/>
    <w:rPr>
      <w:rFonts w:ascii="Times New Roman" w:hAnsi="Times New Roman" w:eastAsia="宋体" w:cs="Times New Roman"/>
      <w:szCs w:val="24"/>
    </w:rPr>
  </w:style>
  <w:style w:type="character" w:customStyle="1" w:styleId="365">
    <w:name w:val="批注主题 Char1"/>
    <w:semiHidden/>
    <w:qFormat/>
    <w:uiPriority w:val="99"/>
    <w:rPr>
      <w:rFonts w:ascii="Times New Roman" w:hAnsi="Times New Roman" w:eastAsia="宋体" w:cs="Times New Roman"/>
      <w:b/>
      <w:bCs/>
      <w:szCs w:val="24"/>
    </w:rPr>
  </w:style>
  <w:style w:type="paragraph" w:customStyle="1" w:styleId="366">
    <w:name w:val="font9"/>
    <w:basedOn w:val="1"/>
    <w:qFormat/>
    <w:uiPriority w:val="0"/>
    <w:pPr>
      <w:widowControl/>
      <w:spacing w:before="100" w:beforeAutospacing="1" w:after="100" w:afterAutospacing="1"/>
      <w:jc w:val="left"/>
    </w:pPr>
    <w:rPr>
      <w:rFonts w:hint="eastAsia" w:ascii="仿宋_GB2312" w:hAnsi="宋体" w:eastAsia="仿宋_GB2312"/>
      <w:b w:val="0"/>
      <w:color w:val="FF0000"/>
      <w:kern w:val="0"/>
      <w:sz w:val="18"/>
      <w:szCs w:val="18"/>
    </w:rPr>
  </w:style>
  <w:style w:type="character" w:customStyle="1" w:styleId="367">
    <w:name w:val="日期 Char1"/>
    <w:semiHidden/>
    <w:qFormat/>
    <w:uiPriority w:val="99"/>
    <w:rPr>
      <w:rFonts w:ascii="Times New Roman" w:hAnsi="Times New Roman" w:eastAsia="宋体" w:cs="Times New Roman"/>
      <w:szCs w:val="24"/>
    </w:rPr>
  </w:style>
  <w:style w:type="character" w:customStyle="1" w:styleId="368">
    <w:name w:val="正文文本缩进 Char1"/>
    <w:qFormat/>
    <w:uiPriority w:val="99"/>
    <w:rPr>
      <w:rFonts w:ascii="Times New Roman" w:hAnsi="Times New Roman" w:eastAsia="宋体" w:cs="Times New Roman"/>
      <w:szCs w:val="24"/>
    </w:rPr>
  </w:style>
  <w:style w:type="character" w:customStyle="1" w:styleId="369">
    <w:name w:val="批注框文本 Char1"/>
    <w:semiHidden/>
    <w:qFormat/>
    <w:uiPriority w:val="99"/>
    <w:rPr>
      <w:rFonts w:ascii="Times New Roman" w:hAnsi="Times New Roman" w:eastAsia="宋体" w:cs="Times New Roman"/>
      <w:sz w:val="18"/>
      <w:szCs w:val="18"/>
    </w:rPr>
  </w:style>
  <w:style w:type="character" w:customStyle="1" w:styleId="370">
    <w:name w:val="正文文本缩进 2 Char1"/>
    <w:qFormat/>
    <w:uiPriority w:val="99"/>
    <w:rPr>
      <w:rFonts w:ascii="Times New Roman" w:hAnsi="Times New Roman" w:eastAsia="宋体" w:cs="Times New Roman"/>
      <w:szCs w:val="24"/>
    </w:rPr>
  </w:style>
  <w:style w:type="character" w:customStyle="1" w:styleId="371">
    <w:name w:val="脚注文本 Char1"/>
    <w:qFormat/>
    <w:uiPriority w:val="99"/>
    <w:rPr>
      <w:rFonts w:ascii="Times New Roman" w:hAnsi="Times New Roman" w:eastAsia="宋体" w:cs="Times New Roman"/>
      <w:sz w:val="18"/>
      <w:szCs w:val="18"/>
    </w:rPr>
  </w:style>
  <w:style w:type="character" w:customStyle="1" w:styleId="372">
    <w:name w:val="文档结构图 Char1"/>
    <w:semiHidden/>
    <w:qFormat/>
    <w:uiPriority w:val="99"/>
    <w:rPr>
      <w:rFonts w:ascii="宋体" w:hAnsi="Times New Roman" w:eastAsia="宋体" w:cs="Times New Roman"/>
      <w:sz w:val="18"/>
      <w:szCs w:val="18"/>
    </w:rPr>
  </w:style>
  <w:style w:type="paragraph" w:customStyle="1" w:styleId="373">
    <w:name w:val="font8"/>
    <w:basedOn w:val="1"/>
    <w:qFormat/>
    <w:uiPriority w:val="0"/>
    <w:pPr>
      <w:widowControl/>
      <w:spacing w:before="100" w:beforeAutospacing="1" w:after="100" w:afterAutospacing="1"/>
      <w:jc w:val="left"/>
    </w:pPr>
    <w:rPr>
      <w:rFonts w:hint="eastAsia" w:ascii="仿宋_GB2312" w:hAnsi="宋体" w:eastAsia="仿宋_GB2312"/>
      <w:b w:val="0"/>
      <w:color w:val="000000"/>
      <w:kern w:val="0"/>
      <w:sz w:val="18"/>
      <w:szCs w:val="18"/>
    </w:rPr>
  </w:style>
  <w:style w:type="character" w:customStyle="1" w:styleId="374">
    <w:name w:val="正文文本缩进 3 Char1"/>
    <w:qFormat/>
    <w:uiPriority w:val="99"/>
    <w:rPr>
      <w:rFonts w:ascii="Times New Roman" w:hAnsi="Times New Roman" w:eastAsia="宋体" w:cs="Times New Roman"/>
      <w:sz w:val="16"/>
      <w:szCs w:val="16"/>
    </w:rPr>
  </w:style>
  <w:style w:type="character" w:customStyle="1" w:styleId="375">
    <w:name w:val="页眉 Char1"/>
    <w:qFormat/>
    <w:uiPriority w:val="99"/>
    <w:rPr>
      <w:rFonts w:ascii="Times New Roman" w:hAnsi="Times New Roman" w:eastAsia="宋体" w:cs="Times New Roman"/>
      <w:sz w:val="18"/>
      <w:szCs w:val="18"/>
    </w:rPr>
  </w:style>
  <w:style w:type="paragraph" w:customStyle="1" w:styleId="376">
    <w:name w:val="font7"/>
    <w:basedOn w:val="1"/>
    <w:qFormat/>
    <w:uiPriority w:val="0"/>
    <w:pPr>
      <w:widowControl/>
      <w:spacing w:before="100" w:beforeAutospacing="1" w:after="100" w:afterAutospacing="1"/>
      <w:jc w:val="left"/>
    </w:pPr>
    <w:rPr>
      <w:rFonts w:ascii="Times New Roman" w:hAnsi="Times New Roman"/>
      <w:b w:val="0"/>
      <w:kern w:val="0"/>
      <w:sz w:val="24"/>
    </w:rPr>
  </w:style>
  <w:style w:type="character" w:customStyle="1" w:styleId="377">
    <w:name w:val="正文文本 3 Char1"/>
    <w:qFormat/>
    <w:uiPriority w:val="99"/>
    <w:rPr>
      <w:rFonts w:ascii="Times New Roman" w:hAnsi="Times New Roman" w:eastAsia="宋体" w:cs="Times New Roman"/>
      <w:sz w:val="16"/>
      <w:szCs w:val="16"/>
    </w:rPr>
  </w:style>
  <w:style w:type="character" w:customStyle="1" w:styleId="378">
    <w:name w:val="正文首行缩进 Char1"/>
    <w:qFormat/>
    <w:uiPriority w:val="99"/>
    <w:rPr>
      <w:rFonts w:ascii="Times New Roman" w:hAnsi="Times New Roman" w:eastAsia="宋体" w:cs="Times New Roman"/>
      <w:szCs w:val="24"/>
    </w:rPr>
  </w:style>
  <w:style w:type="character" w:customStyle="1" w:styleId="379">
    <w:name w:val="页脚 Char1"/>
    <w:semiHidden/>
    <w:qFormat/>
    <w:uiPriority w:val="99"/>
    <w:rPr>
      <w:rFonts w:ascii="Times New Roman" w:hAnsi="Times New Roman" w:eastAsia="宋体" w:cs="Times New Roman"/>
      <w:sz w:val="18"/>
      <w:szCs w:val="18"/>
    </w:rPr>
  </w:style>
  <w:style w:type="paragraph" w:customStyle="1" w:styleId="380">
    <w:name w:val="节标题"/>
    <w:basedOn w:val="1"/>
    <w:next w:val="381"/>
    <w:qFormat/>
    <w:uiPriority w:val="0"/>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381">
    <w:name w:val="小节标题"/>
    <w:basedOn w:val="1"/>
    <w:next w:val="1"/>
    <w:qFormat/>
    <w:uiPriority w:val="0"/>
    <w:pPr>
      <w:widowControl/>
      <w:spacing w:before="175" w:after="102" w:line="351" w:lineRule="atLeast"/>
      <w:textAlignment w:val="baseline"/>
    </w:pPr>
    <w:rPr>
      <w:rFonts w:ascii="Times New Roman" w:hAnsi="Times New Roman" w:eastAsia="黑体"/>
      <w:b w:val="0"/>
      <w:color w:val="000000"/>
      <w:kern w:val="0"/>
      <w:szCs w:val="20"/>
      <w:u w:color="000000"/>
    </w:rPr>
  </w:style>
  <w:style w:type="paragraph" w:customStyle="1" w:styleId="382">
    <w:name w:val="xl28"/>
    <w:basedOn w:val="1"/>
    <w:qFormat/>
    <w:uiPriority w:val="0"/>
    <w:pPr>
      <w:widowControl/>
      <w:spacing w:before="100" w:beforeAutospacing="1" w:after="100" w:afterAutospacing="1"/>
      <w:jc w:val="left"/>
    </w:pPr>
    <w:rPr>
      <w:rFonts w:ascii="Times New Roman" w:hAnsi="Times New Roman"/>
      <w:b w:val="0"/>
      <w:kern w:val="0"/>
      <w:sz w:val="24"/>
    </w:rPr>
  </w:style>
  <w:style w:type="paragraph" w:customStyle="1" w:styleId="383">
    <w:name w:val="Char Char Char Char Char Char Char Char Char Char Char Char Char Char Char Char"/>
    <w:basedOn w:val="1"/>
    <w:qFormat/>
    <w:uiPriority w:val="0"/>
    <w:pPr>
      <w:widowControl/>
      <w:spacing w:line="240" w:lineRule="exact"/>
      <w:jc w:val="left"/>
    </w:pPr>
    <w:rPr>
      <w:rFonts w:ascii="Verdana" w:hAnsi="Verdana"/>
      <w:b w:val="0"/>
      <w:color w:val="000000"/>
      <w:kern w:val="0"/>
      <w:sz w:val="20"/>
      <w:szCs w:val="20"/>
      <w:u w:color="000000"/>
      <w:lang w:eastAsia="en-US"/>
    </w:rPr>
  </w:style>
  <w:style w:type="paragraph" w:customStyle="1" w:styleId="38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bCs/>
      <w:kern w:val="0"/>
      <w:sz w:val="18"/>
      <w:szCs w:val="18"/>
    </w:rPr>
  </w:style>
  <w:style w:type="paragraph" w:customStyle="1" w:styleId="385">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bCs/>
      <w:kern w:val="0"/>
      <w:sz w:val="18"/>
      <w:szCs w:val="18"/>
    </w:rPr>
  </w:style>
  <w:style w:type="paragraph" w:customStyle="1" w:styleId="386">
    <w:name w:val="文章总标题"/>
    <w:basedOn w:val="1"/>
    <w:next w:val="387"/>
    <w:qFormat/>
    <w:uiPriority w:val="0"/>
    <w:pPr>
      <w:widowControl/>
      <w:spacing w:before="566" w:after="544" w:line="566" w:lineRule="atLeast"/>
      <w:jc w:val="center"/>
      <w:textAlignment w:val="baseline"/>
    </w:pPr>
    <w:rPr>
      <w:rFonts w:ascii="Arial" w:hAnsi="Times New Roman" w:eastAsia="黑体"/>
      <w:b w:val="0"/>
      <w:color w:val="000000"/>
      <w:kern w:val="0"/>
      <w:sz w:val="54"/>
      <w:szCs w:val="20"/>
      <w:u w:color="000000"/>
    </w:rPr>
  </w:style>
  <w:style w:type="paragraph" w:customStyle="1" w:styleId="387">
    <w:name w:val="文章副标题"/>
    <w:basedOn w:val="1"/>
    <w:next w:val="154"/>
    <w:qFormat/>
    <w:uiPriority w:val="0"/>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38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hint="eastAsia" w:ascii="仿宋_GB2312" w:hAnsi="宋体" w:eastAsia="仿宋_GB2312"/>
      <w:b w:val="0"/>
      <w:kern w:val="0"/>
      <w:sz w:val="18"/>
      <w:szCs w:val="18"/>
    </w:rPr>
  </w:style>
  <w:style w:type="paragraph" w:customStyle="1" w:styleId="389">
    <w:name w:val="正文图标题"/>
    <w:next w:val="143"/>
    <w:qFormat/>
    <w:uiPriority w:val="0"/>
    <w:pPr>
      <w:tabs>
        <w:tab w:val="left" w:pos="360"/>
        <w:tab w:val="left" w:pos="720"/>
      </w:tabs>
      <w:spacing w:before="156" w:beforeLines="50" w:after="156" w:afterLines="50"/>
      <w:ind w:left="720" w:hanging="720"/>
      <w:jc w:val="center"/>
    </w:pPr>
    <w:rPr>
      <w:rFonts w:ascii="黑体" w:hAnsi="Times New Roman" w:eastAsia="黑体" w:cs="Times New Roman"/>
      <w:sz w:val="21"/>
      <w:lang w:val="en-US" w:eastAsia="zh-CN" w:bidi="ar-SA"/>
    </w:rPr>
  </w:style>
  <w:style w:type="paragraph" w:customStyle="1" w:styleId="390">
    <w:name w:val="xl27"/>
    <w:basedOn w:val="1"/>
    <w:qFormat/>
    <w:uiPriority w:val="0"/>
    <w:pPr>
      <w:widowControl/>
      <w:pBdr>
        <w:bottom w:val="single" w:color="auto" w:sz="4" w:space="0"/>
        <w:right w:val="single" w:color="auto" w:sz="4" w:space="0"/>
      </w:pBdr>
      <w:spacing w:before="100" w:beforeAutospacing="1" w:after="100" w:afterAutospacing="1"/>
      <w:jc w:val="center"/>
    </w:pPr>
    <w:rPr>
      <w:rFonts w:hint="eastAsia" w:ascii="仿宋_GB2312" w:hAnsi="宋体" w:eastAsia="仿宋_GB2312"/>
      <w:b w:val="0"/>
      <w:kern w:val="0"/>
      <w:sz w:val="18"/>
      <w:szCs w:val="18"/>
    </w:rPr>
  </w:style>
  <w:style w:type="paragraph" w:customStyle="1" w:styleId="39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仿宋_GB2312" w:hAnsi="宋体" w:eastAsia="仿宋_GB2312"/>
      <w:b w:val="0"/>
      <w:kern w:val="0"/>
      <w:sz w:val="18"/>
      <w:szCs w:val="18"/>
    </w:rPr>
  </w:style>
  <w:style w:type="paragraph" w:customStyle="1" w:styleId="39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b w:val="0"/>
      <w:kern w:val="0"/>
      <w:sz w:val="18"/>
      <w:szCs w:val="18"/>
    </w:rPr>
  </w:style>
  <w:style w:type="paragraph" w:customStyle="1" w:styleId="393">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hint="eastAsia" w:ascii="仿宋_GB2312" w:hAnsi="宋体" w:eastAsia="仿宋_GB2312"/>
      <w:b w:val="0"/>
      <w:color w:val="000000"/>
      <w:kern w:val="0"/>
      <w:sz w:val="18"/>
      <w:szCs w:val="18"/>
    </w:rPr>
  </w:style>
  <w:style w:type="paragraph" w:customStyle="1" w:styleId="394">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b w:val="0"/>
      <w:color w:val="000000"/>
      <w:kern w:val="0"/>
      <w:sz w:val="18"/>
      <w:szCs w:val="18"/>
    </w:rPr>
  </w:style>
  <w:style w:type="paragraph" w:customStyle="1" w:styleId="395">
    <w:name w:val="xl35"/>
    <w:basedOn w:val="1"/>
    <w:qFormat/>
    <w:uiPriority w:val="0"/>
    <w:pPr>
      <w:widowControl/>
      <w:spacing w:before="100" w:beforeAutospacing="1" w:after="100" w:afterAutospacing="1"/>
      <w:jc w:val="center"/>
    </w:pPr>
    <w:rPr>
      <w:rFonts w:ascii="宋体" w:hAnsi="宋体"/>
      <w:b w:val="0"/>
      <w:color w:val="FF6600"/>
      <w:kern w:val="0"/>
      <w:sz w:val="24"/>
    </w:rPr>
  </w:style>
  <w:style w:type="paragraph" w:customStyle="1" w:styleId="396">
    <w:name w:val="xl36"/>
    <w:basedOn w:val="1"/>
    <w:qFormat/>
    <w:uiPriority w:val="0"/>
    <w:pPr>
      <w:widowControl/>
      <w:pBdr>
        <w:right w:val="single" w:color="auto" w:sz="4" w:space="0"/>
      </w:pBdr>
      <w:spacing w:before="100" w:beforeAutospacing="1" w:after="100" w:afterAutospacing="1"/>
      <w:jc w:val="center"/>
    </w:pPr>
    <w:rPr>
      <w:rFonts w:ascii="Times New Roman" w:hAnsi="Times New Roman"/>
      <w:b w:val="0"/>
      <w:kern w:val="0"/>
      <w:sz w:val="18"/>
      <w:szCs w:val="18"/>
    </w:rPr>
  </w:style>
  <w:style w:type="paragraph" w:customStyle="1" w:styleId="397">
    <w:name w:val="xl37"/>
    <w:basedOn w:val="1"/>
    <w:qFormat/>
    <w:uiPriority w:val="0"/>
    <w:pPr>
      <w:widowControl/>
      <w:pBdr>
        <w:right w:val="single" w:color="auto" w:sz="4" w:space="0"/>
      </w:pBdr>
      <w:spacing w:before="100" w:beforeAutospacing="1" w:after="100" w:afterAutospacing="1"/>
      <w:jc w:val="center"/>
      <w:textAlignment w:val="center"/>
    </w:pPr>
    <w:rPr>
      <w:rFonts w:ascii="Times New Roman" w:hAnsi="Times New Roman"/>
      <w:b w:val="0"/>
      <w:kern w:val="0"/>
      <w:sz w:val="24"/>
    </w:rPr>
  </w:style>
  <w:style w:type="paragraph" w:customStyle="1" w:styleId="398">
    <w:name w:val="目录1"/>
    <w:basedOn w:val="1"/>
    <w:next w:val="1"/>
    <w:qFormat/>
    <w:uiPriority w:val="0"/>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399">
    <w:name w:val="三级无"/>
    <w:basedOn w:val="231"/>
    <w:qFormat/>
    <w:uiPriority w:val="0"/>
    <w:pPr>
      <w:tabs>
        <w:tab w:val="clear" w:pos="992"/>
        <w:tab w:val="clear" w:pos="2100"/>
      </w:tabs>
      <w:ind w:left="0" w:firstLine="0"/>
      <w:jc w:val="left"/>
    </w:pPr>
    <w:rPr>
      <w:szCs w:val="21"/>
    </w:rPr>
  </w:style>
  <w:style w:type="paragraph" w:customStyle="1" w:styleId="400">
    <w:name w:val="二级无"/>
    <w:basedOn w:val="142"/>
    <w:qFormat/>
    <w:uiPriority w:val="0"/>
    <w:pPr>
      <w:widowControl/>
      <w:tabs>
        <w:tab w:val="clear" w:pos="5400"/>
      </w:tabs>
      <w:jc w:val="left"/>
    </w:pPr>
    <w:rPr>
      <w:rFonts w:ascii="宋体" w:hAnsi="Times New Roman" w:eastAsia="宋体"/>
      <w:kern w:val="0"/>
      <w:szCs w:val="21"/>
    </w:rPr>
  </w:style>
  <w:style w:type="paragraph" w:customStyle="1" w:styleId="401">
    <w:name w:val="4"/>
    <w:basedOn w:val="1"/>
    <w:next w:val="3"/>
    <w:qFormat/>
    <w:uiPriority w:val="0"/>
    <w:pPr>
      <w:ind w:firstLine="560" w:firstLineChars="200"/>
    </w:pPr>
    <w:rPr>
      <w:rFonts w:ascii="Times New Roman" w:hAnsi="Times New Roman"/>
      <w:b w:val="0"/>
      <w:sz w:val="28"/>
    </w:rPr>
  </w:style>
  <w:style w:type="paragraph" w:customStyle="1" w:styleId="402">
    <w:name w:val="目录3"/>
    <w:basedOn w:val="1"/>
    <w:next w:val="1"/>
    <w:qFormat/>
    <w:uiPriority w:val="0"/>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403">
    <w:name w:val="发布日期"/>
    <w:qFormat/>
    <w:uiPriority w:val="0"/>
    <w:rPr>
      <w:rFonts w:ascii="Times New Roman" w:hAnsi="Times New Roman" w:eastAsia="黑体" w:cs="Times New Roman"/>
      <w:sz w:val="28"/>
      <w:lang w:val="en-US" w:eastAsia="zh-CN" w:bidi="ar-SA"/>
    </w:rPr>
  </w:style>
  <w:style w:type="paragraph" w:customStyle="1" w:styleId="404">
    <w:name w:val="目录4"/>
    <w:basedOn w:val="1"/>
    <w:next w:val="1"/>
    <w:qFormat/>
    <w:uiPriority w:val="0"/>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405">
    <w:name w:val="封面正文"/>
    <w:qFormat/>
    <w:uiPriority w:val="0"/>
    <w:pPr>
      <w:jc w:val="both"/>
    </w:pPr>
    <w:rPr>
      <w:rFonts w:ascii="Times New Roman" w:hAnsi="Times New Roman" w:eastAsia="宋体" w:cs="Times New Roman"/>
      <w:lang w:val="en-US" w:eastAsia="zh-CN" w:bidi="ar-SA"/>
    </w:rPr>
  </w:style>
  <w:style w:type="paragraph" w:customStyle="1" w:styleId="406">
    <w:name w:val="目录标题"/>
    <w:basedOn w:val="1"/>
    <w:next w:val="1"/>
    <w:qFormat/>
    <w:uiPriority w:val="0"/>
    <w:pPr>
      <w:widowControl/>
      <w:spacing w:before="215" w:after="419" w:line="436" w:lineRule="atLeast"/>
      <w:ind w:firstLine="419"/>
      <w:jc w:val="center"/>
      <w:textAlignment w:val="baseline"/>
    </w:pPr>
    <w:rPr>
      <w:rFonts w:ascii="Arial" w:hAnsi="Times New Roman" w:eastAsia="黑体"/>
      <w:b w:val="0"/>
      <w:color w:val="000000"/>
      <w:spacing w:val="283"/>
      <w:kern w:val="0"/>
      <w:sz w:val="42"/>
      <w:szCs w:val="20"/>
      <w:u w:color="000000"/>
    </w:rPr>
  </w:style>
  <w:style w:type="paragraph" w:customStyle="1" w:styleId="407">
    <w:name w:val="目录2"/>
    <w:basedOn w:val="1"/>
    <w:next w:val="1"/>
    <w:qFormat/>
    <w:uiPriority w:val="0"/>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408">
    <w:name w:val="普通(网站)1"/>
    <w:basedOn w:val="1"/>
    <w:qFormat/>
    <w:uiPriority w:val="0"/>
    <w:pPr>
      <w:widowControl/>
      <w:spacing w:before="100" w:beforeAutospacing="1" w:after="100" w:afterAutospacing="1"/>
      <w:jc w:val="left"/>
    </w:pPr>
    <w:rPr>
      <w:rFonts w:ascii="宋体" w:hAnsi="宋体" w:cs="宋体"/>
      <w:b w:val="0"/>
      <w:kern w:val="0"/>
      <w:sz w:val="24"/>
    </w:rPr>
  </w:style>
  <w:style w:type="paragraph" w:customStyle="1" w:styleId="409">
    <w:name w:val="正文+宋体"/>
    <w:basedOn w:val="60"/>
    <w:qFormat/>
    <w:uiPriority w:val="0"/>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410">
    <w:name w:val="reader-word-layer"/>
    <w:basedOn w:val="1"/>
    <w:qFormat/>
    <w:uiPriority w:val="0"/>
    <w:pPr>
      <w:widowControl/>
      <w:spacing w:before="100" w:beforeAutospacing="1" w:after="100" w:afterAutospacing="1"/>
      <w:jc w:val="left"/>
    </w:pPr>
    <w:rPr>
      <w:rFonts w:ascii="宋体" w:hAnsi="宋体" w:cs="宋体"/>
      <w:b w:val="0"/>
      <w:kern w:val="0"/>
      <w:sz w:val="24"/>
    </w:rPr>
  </w:style>
  <w:style w:type="character" w:customStyle="1" w:styleId="411">
    <w:name w:val="Char Char34"/>
    <w:qFormat/>
    <w:uiPriority w:val="0"/>
    <w:rPr>
      <w:rFonts w:eastAsia="仿宋_GB2312"/>
      <w:b/>
      <w:bCs/>
      <w:kern w:val="2"/>
      <w:sz w:val="28"/>
      <w:szCs w:val="24"/>
      <w:u w:color="FF0000"/>
    </w:rPr>
  </w:style>
  <w:style w:type="character" w:customStyle="1" w:styleId="412">
    <w:name w:val="Char Char53"/>
    <w:qFormat/>
    <w:uiPriority w:val="0"/>
    <w:rPr>
      <w:rFonts w:eastAsia="宋体"/>
      <w:color w:val="000000"/>
      <w:kern w:val="2"/>
      <w:sz w:val="18"/>
      <w:lang w:val="en-US" w:eastAsia="zh-CN" w:bidi="ar-SA"/>
    </w:rPr>
  </w:style>
  <w:style w:type="character" w:customStyle="1" w:styleId="413">
    <w:name w:val="Char Char83"/>
    <w:qFormat/>
    <w:locked/>
    <w:uiPriority w:val="0"/>
    <w:rPr>
      <w:rFonts w:eastAsia="仿宋_GB2312"/>
      <w:b/>
      <w:bCs/>
      <w:kern w:val="2"/>
      <w:sz w:val="28"/>
      <w:szCs w:val="24"/>
      <w:u w:color="FF0000"/>
      <w:lang w:val="en-US" w:eastAsia="zh-CN" w:bidi="ar-SA"/>
    </w:rPr>
  </w:style>
  <w:style w:type="character" w:customStyle="1" w:styleId="414">
    <w:name w:val="Char Char23"/>
    <w:qFormat/>
    <w:uiPriority w:val="0"/>
    <w:rPr>
      <w:rFonts w:eastAsia="宋体"/>
      <w:b/>
      <w:kern w:val="2"/>
      <w:sz w:val="28"/>
      <w:lang w:val="en-US" w:eastAsia="zh-CN" w:bidi="ar-SA"/>
    </w:rPr>
  </w:style>
  <w:style w:type="character" w:customStyle="1" w:styleId="415">
    <w:name w:val="Char Char43"/>
    <w:qFormat/>
    <w:uiPriority w:val="0"/>
    <w:rPr>
      <w:rFonts w:ascii="Times New Roman" w:hAnsi="Times New Roman" w:eastAsia="宋体"/>
      <w:b/>
      <w:kern w:val="44"/>
      <w:sz w:val="30"/>
    </w:rPr>
  </w:style>
  <w:style w:type="paragraph" w:customStyle="1" w:styleId="416">
    <w:name w:val="正文文本缩进5"/>
    <w:basedOn w:val="1"/>
    <w:qFormat/>
    <w:uiPriority w:val="0"/>
    <w:pPr>
      <w:widowControl/>
      <w:spacing w:line="360" w:lineRule="auto"/>
      <w:ind w:firstLine="570"/>
    </w:pPr>
    <w:rPr>
      <w:rFonts w:ascii="Times New Roman" w:hAnsi="Times New Roman" w:eastAsia="隶书"/>
      <w:b w:val="0"/>
      <w:kern w:val="0"/>
      <w:sz w:val="28"/>
      <w:szCs w:val="20"/>
    </w:rPr>
  </w:style>
  <w:style w:type="table" w:customStyle="1" w:styleId="417">
    <w:name w:val="网格型 71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18">
    <w:name w:val="Char Char71"/>
    <w:qFormat/>
    <w:uiPriority w:val="0"/>
    <w:rPr>
      <w:rFonts w:eastAsia="仿宋_GB2312"/>
      <w:b/>
      <w:bCs/>
      <w:kern w:val="2"/>
      <w:sz w:val="28"/>
      <w:szCs w:val="24"/>
      <w:u w:color="FF0000"/>
      <w:lang w:val="en-US" w:eastAsia="zh-CN" w:bidi="ar-SA"/>
    </w:rPr>
  </w:style>
  <w:style w:type="character" w:customStyle="1" w:styleId="419">
    <w:name w:val="Char Char35"/>
    <w:qFormat/>
    <w:uiPriority w:val="0"/>
    <w:rPr>
      <w:rFonts w:eastAsia="仿宋_GB2312"/>
      <w:b/>
      <w:bCs/>
      <w:kern w:val="2"/>
      <w:sz w:val="28"/>
      <w:szCs w:val="24"/>
      <w:u w:color="FF0000"/>
    </w:rPr>
  </w:style>
  <w:style w:type="character" w:customStyle="1" w:styleId="420">
    <w:name w:val="Char Char54"/>
    <w:qFormat/>
    <w:uiPriority w:val="0"/>
    <w:rPr>
      <w:rFonts w:eastAsia="宋体"/>
      <w:color w:val="000000"/>
      <w:kern w:val="2"/>
      <w:sz w:val="18"/>
      <w:lang w:val="en-US" w:eastAsia="zh-CN" w:bidi="ar-SA"/>
    </w:rPr>
  </w:style>
  <w:style w:type="character" w:customStyle="1" w:styleId="421">
    <w:name w:val="Char Char84"/>
    <w:qFormat/>
    <w:locked/>
    <w:uiPriority w:val="0"/>
    <w:rPr>
      <w:rFonts w:eastAsia="仿宋_GB2312"/>
      <w:b/>
      <w:bCs/>
      <w:kern w:val="2"/>
      <w:sz w:val="28"/>
      <w:szCs w:val="24"/>
      <w:u w:color="FF0000"/>
      <w:lang w:val="en-US" w:eastAsia="zh-CN" w:bidi="ar-SA"/>
    </w:rPr>
  </w:style>
  <w:style w:type="character" w:customStyle="1" w:styleId="422">
    <w:name w:val="Char Char24"/>
    <w:qFormat/>
    <w:uiPriority w:val="0"/>
    <w:rPr>
      <w:rFonts w:eastAsia="宋体"/>
      <w:b/>
      <w:kern w:val="2"/>
      <w:sz w:val="28"/>
      <w:lang w:val="en-US" w:eastAsia="zh-CN" w:bidi="ar-SA"/>
    </w:rPr>
  </w:style>
  <w:style w:type="character" w:customStyle="1" w:styleId="423">
    <w:name w:val="Char Char44"/>
    <w:qFormat/>
    <w:uiPriority w:val="0"/>
    <w:rPr>
      <w:rFonts w:ascii="Times New Roman" w:hAnsi="Times New Roman" w:eastAsia="宋体"/>
      <w:b/>
      <w:kern w:val="44"/>
      <w:sz w:val="30"/>
    </w:rPr>
  </w:style>
  <w:style w:type="paragraph" w:customStyle="1" w:styleId="424">
    <w:name w:val="正文文本缩进6"/>
    <w:basedOn w:val="1"/>
    <w:qFormat/>
    <w:uiPriority w:val="0"/>
    <w:pPr>
      <w:widowControl/>
      <w:spacing w:line="360" w:lineRule="auto"/>
      <w:ind w:firstLine="570"/>
    </w:pPr>
    <w:rPr>
      <w:rFonts w:ascii="Times New Roman" w:hAnsi="Times New Roman" w:eastAsia="隶书"/>
      <w:b w:val="0"/>
      <w:kern w:val="0"/>
      <w:sz w:val="28"/>
      <w:szCs w:val="20"/>
    </w:rPr>
  </w:style>
  <w:style w:type="table" w:customStyle="1" w:styleId="425">
    <w:name w:val="网格型 71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26">
    <w:name w:val="Char Char72"/>
    <w:qFormat/>
    <w:uiPriority w:val="0"/>
    <w:rPr>
      <w:rFonts w:eastAsia="仿宋_GB2312"/>
      <w:b/>
      <w:bCs/>
      <w:kern w:val="2"/>
      <w:sz w:val="28"/>
      <w:szCs w:val="24"/>
      <w:u w:color="FF0000"/>
      <w:lang w:val="en-US" w:eastAsia="zh-CN" w:bidi="ar-SA"/>
    </w:rPr>
  </w:style>
  <w:style w:type="character" w:customStyle="1" w:styleId="427">
    <w:name w:val="Char Char36"/>
    <w:qFormat/>
    <w:uiPriority w:val="0"/>
    <w:rPr>
      <w:rFonts w:eastAsia="仿宋_GB2312"/>
      <w:b/>
      <w:bCs/>
      <w:kern w:val="2"/>
      <w:sz w:val="28"/>
      <w:szCs w:val="24"/>
      <w:u w:color="FF0000"/>
    </w:rPr>
  </w:style>
  <w:style w:type="character" w:customStyle="1" w:styleId="428">
    <w:name w:val="Char Char55"/>
    <w:qFormat/>
    <w:uiPriority w:val="0"/>
    <w:rPr>
      <w:rFonts w:eastAsia="宋体"/>
      <w:color w:val="000000"/>
      <w:kern w:val="2"/>
      <w:sz w:val="18"/>
      <w:lang w:val="en-US" w:eastAsia="zh-CN" w:bidi="ar-SA"/>
    </w:rPr>
  </w:style>
  <w:style w:type="character" w:customStyle="1" w:styleId="429">
    <w:name w:val="Char Char85"/>
    <w:qFormat/>
    <w:locked/>
    <w:uiPriority w:val="0"/>
    <w:rPr>
      <w:rFonts w:eastAsia="仿宋_GB2312"/>
      <w:b/>
      <w:bCs/>
      <w:kern w:val="2"/>
      <w:sz w:val="28"/>
      <w:szCs w:val="24"/>
      <w:u w:color="FF0000"/>
      <w:lang w:val="en-US" w:eastAsia="zh-CN" w:bidi="ar-SA"/>
    </w:rPr>
  </w:style>
  <w:style w:type="character" w:customStyle="1" w:styleId="430">
    <w:name w:val="Char Char25"/>
    <w:qFormat/>
    <w:uiPriority w:val="0"/>
    <w:rPr>
      <w:rFonts w:eastAsia="宋体"/>
      <w:b/>
      <w:kern w:val="2"/>
      <w:sz w:val="28"/>
      <w:lang w:val="en-US" w:eastAsia="zh-CN" w:bidi="ar-SA"/>
    </w:rPr>
  </w:style>
  <w:style w:type="character" w:customStyle="1" w:styleId="431">
    <w:name w:val="Char Char45"/>
    <w:qFormat/>
    <w:uiPriority w:val="0"/>
    <w:rPr>
      <w:rFonts w:ascii="Times New Roman" w:hAnsi="Times New Roman" w:eastAsia="宋体"/>
      <w:b/>
      <w:kern w:val="44"/>
      <w:sz w:val="30"/>
    </w:rPr>
  </w:style>
  <w:style w:type="paragraph" w:customStyle="1" w:styleId="432">
    <w:name w:val="正文文本缩进7"/>
    <w:basedOn w:val="1"/>
    <w:qFormat/>
    <w:uiPriority w:val="0"/>
    <w:pPr>
      <w:widowControl/>
      <w:spacing w:line="360" w:lineRule="auto"/>
      <w:ind w:firstLine="570"/>
    </w:pPr>
    <w:rPr>
      <w:rFonts w:ascii="Times New Roman" w:hAnsi="Times New Roman" w:eastAsia="隶书"/>
      <w:b w:val="0"/>
      <w:kern w:val="0"/>
      <w:sz w:val="28"/>
      <w:szCs w:val="20"/>
    </w:rPr>
  </w:style>
  <w:style w:type="table" w:customStyle="1" w:styleId="433">
    <w:name w:val="网格型 71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34">
    <w:name w:val="Char Char73"/>
    <w:qFormat/>
    <w:uiPriority w:val="0"/>
    <w:rPr>
      <w:rFonts w:eastAsia="仿宋_GB2312"/>
      <w:b/>
      <w:bCs/>
      <w:kern w:val="2"/>
      <w:sz w:val="28"/>
      <w:szCs w:val="24"/>
      <w:u w:color="FF0000"/>
      <w:lang w:val="en-US" w:eastAsia="zh-CN" w:bidi="ar-SA"/>
    </w:rPr>
  </w:style>
  <w:style w:type="character" w:customStyle="1" w:styleId="435">
    <w:name w:val="Char Char37"/>
    <w:qFormat/>
    <w:uiPriority w:val="0"/>
    <w:rPr>
      <w:rFonts w:eastAsia="仿宋_GB2312"/>
      <w:b/>
      <w:bCs/>
      <w:kern w:val="2"/>
      <w:sz w:val="28"/>
      <w:szCs w:val="24"/>
      <w:u w:color="FF0000"/>
    </w:rPr>
  </w:style>
  <w:style w:type="character" w:customStyle="1" w:styleId="436">
    <w:name w:val="Char Char56"/>
    <w:qFormat/>
    <w:uiPriority w:val="0"/>
    <w:rPr>
      <w:rFonts w:eastAsia="宋体"/>
      <w:color w:val="000000"/>
      <w:kern w:val="2"/>
      <w:sz w:val="18"/>
      <w:lang w:val="en-US" w:eastAsia="zh-CN" w:bidi="ar-SA"/>
    </w:rPr>
  </w:style>
  <w:style w:type="character" w:customStyle="1" w:styleId="437">
    <w:name w:val="Char Char86"/>
    <w:qFormat/>
    <w:locked/>
    <w:uiPriority w:val="0"/>
    <w:rPr>
      <w:rFonts w:eastAsia="仿宋_GB2312"/>
      <w:b/>
      <w:bCs/>
      <w:kern w:val="2"/>
      <w:sz w:val="28"/>
      <w:szCs w:val="24"/>
      <w:u w:color="FF0000"/>
      <w:lang w:val="en-US" w:eastAsia="zh-CN" w:bidi="ar-SA"/>
    </w:rPr>
  </w:style>
  <w:style w:type="character" w:customStyle="1" w:styleId="438">
    <w:name w:val="Char Char26"/>
    <w:qFormat/>
    <w:uiPriority w:val="0"/>
    <w:rPr>
      <w:rFonts w:eastAsia="宋体"/>
      <w:b/>
      <w:kern w:val="2"/>
      <w:sz w:val="28"/>
      <w:lang w:val="en-US" w:eastAsia="zh-CN" w:bidi="ar-SA"/>
    </w:rPr>
  </w:style>
  <w:style w:type="character" w:customStyle="1" w:styleId="439">
    <w:name w:val="Char Char46"/>
    <w:qFormat/>
    <w:uiPriority w:val="0"/>
    <w:rPr>
      <w:rFonts w:ascii="Times New Roman" w:hAnsi="Times New Roman" w:eastAsia="宋体"/>
      <w:b/>
      <w:kern w:val="44"/>
      <w:sz w:val="30"/>
    </w:rPr>
  </w:style>
  <w:style w:type="paragraph" w:customStyle="1" w:styleId="440">
    <w:name w:val="正文文本缩进8"/>
    <w:basedOn w:val="1"/>
    <w:qFormat/>
    <w:uiPriority w:val="0"/>
    <w:pPr>
      <w:widowControl/>
      <w:spacing w:line="360" w:lineRule="auto"/>
      <w:ind w:firstLine="570"/>
    </w:pPr>
    <w:rPr>
      <w:rFonts w:ascii="Times New Roman" w:hAnsi="Times New Roman" w:eastAsia="隶书"/>
      <w:b w:val="0"/>
      <w:kern w:val="0"/>
      <w:sz w:val="28"/>
      <w:szCs w:val="20"/>
    </w:rPr>
  </w:style>
  <w:style w:type="table" w:customStyle="1" w:styleId="441">
    <w:name w:val="网格型 715"/>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42">
    <w:name w:val="Char Char74"/>
    <w:qFormat/>
    <w:uiPriority w:val="0"/>
    <w:rPr>
      <w:rFonts w:eastAsia="仿宋_GB2312"/>
      <w:b/>
      <w:bCs/>
      <w:kern w:val="2"/>
      <w:sz w:val="28"/>
      <w:szCs w:val="24"/>
      <w:u w:color="FF0000"/>
      <w:lang w:val="en-US" w:eastAsia="zh-CN" w:bidi="ar-SA"/>
    </w:rPr>
  </w:style>
  <w:style w:type="character" w:customStyle="1" w:styleId="443">
    <w:name w:val="纯文本 Char2"/>
    <w:qFormat/>
    <w:uiPriority w:val="99"/>
    <w:rPr>
      <w:rFonts w:ascii="宋体" w:hAnsi="Courier New" w:cs="Courier New"/>
      <w:kern w:val="2"/>
      <w:sz w:val="21"/>
      <w:szCs w:val="21"/>
    </w:rPr>
  </w:style>
  <w:style w:type="character" w:customStyle="1" w:styleId="444">
    <w:name w:val="正文文本 Char2"/>
    <w:semiHidden/>
    <w:qFormat/>
    <w:uiPriority w:val="99"/>
    <w:rPr>
      <w:kern w:val="2"/>
      <w:sz w:val="21"/>
      <w:szCs w:val="24"/>
    </w:rPr>
  </w:style>
  <w:style w:type="table" w:customStyle="1" w:styleId="445">
    <w:name w:val="网格型 7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46">
    <w:name w:val="网格型 71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47">
    <w:name w:val="网格型 716"/>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48">
    <w:name w:val="Char Char38"/>
    <w:qFormat/>
    <w:uiPriority w:val="0"/>
    <w:rPr>
      <w:rFonts w:eastAsia="仿宋_GB2312"/>
      <w:b/>
      <w:bCs/>
      <w:kern w:val="2"/>
      <w:sz w:val="28"/>
      <w:szCs w:val="24"/>
      <w:u w:color="FF0000"/>
    </w:rPr>
  </w:style>
  <w:style w:type="character" w:customStyle="1" w:styleId="449">
    <w:name w:val="Char Char57"/>
    <w:qFormat/>
    <w:uiPriority w:val="0"/>
    <w:rPr>
      <w:rFonts w:eastAsia="宋体"/>
      <w:color w:val="000000"/>
      <w:kern w:val="2"/>
      <w:sz w:val="18"/>
      <w:lang w:val="en-US" w:eastAsia="zh-CN" w:bidi="ar-SA"/>
    </w:rPr>
  </w:style>
  <w:style w:type="character" w:customStyle="1" w:styleId="450">
    <w:name w:val="Char Char87"/>
    <w:qFormat/>
    <w:locked/>
    <w:uiPriority w:val="0"/>
    <w:rPr>
      <w:rFonts w:eastAsia="仿宋_GB2312"/>
      <w:b/>
      <w:bCs/>
      <w:kern w:val="2"/>
      <w:sz w:val="28"/>
      <w:szCs w:val="24"/>
      <w:u w:color="FF0000"/>
      <w:lang w:val="en-US" w:eastAsia="zh-CN" w:bidi="ar-SA"/>
    </w:rPr>
  </w:style>
  <w:style w:type="character" w:customStyle="1" w:styleId="451">
    <w:name w:val="Char Char27"/>
    <w:qFormat/>
    <w:uiPriority w:val="0"/>
    <w:rPr>
      <w:rFonts w:eastAsia="宋体"/>
      <w:b/>
      <w:kern w:val="2"/>
      <w:sz w:val="28"/>
      <w:lang w:val="en-US" w:eastAsia="zh-CN" w:bidi="ar-SA"/>
    </w:rPr>
  </w:style>
  <w:style w:type="character" w:customStyle="1" w:styleId="452">
    <w:name w:val="Char Char47"/>
    <w:qFormat/>
    <w:uiPriority w:val="0"/>
    <w:rPr>
      <w:rFonts w:ascii="Times New Roman" w:hAnsi="Times New Roman" w:eastAsia="宋体"/>
      <w:b/>
      <w:kern w:val="44"/>
      <w:sz w:val="30"/>
    </w:rPr>
  </w:style>
  <w:style w:type="paragraph" w:customStyle="1" w:styleId="453">
    <w:name w:val="正文文本缩进9"/>
    <w:basedOn w:val="1"/>
    <w:qFormat/>
    <w:uiPriority w:val="0"/>
    <w:pPr>
      <w:widowControl/>
      <w:spacing w:line="360" w:lineRule="auto"/>
      <w:ind w:firstLine="570"/>
    </w:pPr>
    <w:rPr>
      <w:rFonts w:ascii="Times New Roman" w:hAnsi="Times New Roman" w:eastAsia="隶书"/>
      <w:b w:val="0"/>
      <w:kern w:val="0"/>
      <w:sz w:val="28"/>
      <w:szCs w:val="20"/>
    </w:rPr>
  </w:style>
  <w:style w:type="table" w:customStyle="1" w:styleId="454">
    <w:name w:val="网格型 717"/>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55">
    <w:name w:val="Char Char75"/>
    <w:qFormat/>
    <w:uiPriority w:val="0"/>
    <w:rPr>
      <w:rFonts w:eastAsia="仿宋_GB2312"/>
      <w:b/>
      <w:bCs/>
      <w:kern w:val="2"/>
      <w:sz w:val="28"/>
      <w:szCs w:val="24"/>
      <w:u w:color="FF0000"/>
      <w:lang w:val="en-US" w:eastAsia="zh-CN" w:bidi="ar-SA"/>
    </w:rPr>
  </w:style>
  <w:style w:type="table" w:customStyle="1" w:styleId="456">
    <w:name w:val="网格型 718"/>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57">
    <w:name w:val="网格型 7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58">
    <w:name w:val="网格型 711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59">
    <w:name w:val="网格型 72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60">
    <w:name w:val="网格型 711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61">
    <w:name w:val="网格型 72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2">
    <w:name w:val="网格型 7111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3">
    <w:name w:val="网格型 712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4">
    <w:name w:val="网格型 7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5">
    <w:name w:val="网格型 711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6">
    <w:name w:val="网格型 72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67">
    <w:name w:val="网格型 7111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68">
    <w:name w:val="网格型 721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69">
    <w:name w:val="网格型 71111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0">
    <w:name w:val="网格型 75"/>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1">
    <w:name w:val="网格型 711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2">
    <w:name w:val="网格型 72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73">
    <w:name w:val="网格型 7111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74">
    <w:name w:val="网格型 721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5">
    <w:name w:val="网格型 711113"/>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6">
    <w:name w:val="网格型 76"/>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7">
    <w:name w:val="网格型 7115"/>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78">
    <w:name w:val="网格型 72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79">
    <w:name w:val="网格型 7111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480">
    <w:name w:val="网格型 721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81">
    <w:name w:val="网格型 711114"/>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482">
    <w:name w:val="注释标题 Char"/>
    <w:basedOn w:val="91"/>
    <w:link w:val="18"/>
    <w:qFormat/>
    <w:uiPriority w:val="0"/>
    <w:rPr>
      <w:rFonts w:ascii="宋体"/>
      <w:kern w:val="2"/>
      <w:sz w:val="21"/>
    </w:rPr>
  </w:style>
  <w:style w:type="paragraph" w:customStyle="1" w:styleId="483">
    <w:name w:val="11正文"/>
    <w:basedOn w:val="1"/>
    <w:qFormat/>
    <w:uiPriority w:val="0"/>
    <w:pPr>
      <w:spacing w:line="460" w:lineRule="exact"/>
      <w:ind w:firstLine="200" w:firstLineChars="200"/>
    </w:pPr>
    <w:rPr>
      <w:rFonts w:ascii="Times New Roman" w:hAnsi="Times New Roman"/>
      <w:b w:val="0"/>
      <w:bCs/>
      <w:sz w:val="24"/>
    </w:rPr>
  </w:style>
  <w:style w:type="character" w:customStyle="1" w:styleId="484">
    <w:name w:val="font441"/>
    <w:qFormat/>
    <w:uiPriority w:val="0"/>
    <w:rPr>
      <w:rFonts w:hint="eastAsia" w:ascii="仿宋" w:hAnsi="仿宋" w:eastAsia="仿宋" w:cs="仿宋"/>
      <w:color w:val="000000"/>
      <w:sz w:val="22"/>
      <w:szCs w:val="22"/>
      <w:u w:val="none"/>
    </w:rPr>
  </w:style>
  <w:style w:type="character" w:customStyle="1" w:styleId="485">
    <w:name w:val="表格题目 Char"/>
    <w:link w:val="486"/>
    <w:qFormat/>
    <w:uiPriority w:val="0"/>
    <w:rPr>
      <w:rFonts w:eastAsia="黑体"/>
      <w:kern w:val="2"/>
      <w:sz w:val="24"/>
    </w:rPr>
  </w:style>
  <w:style w:type="paragraph" w:customStyle="1" w:styleId="486">
    <w:name w:val="表格题目"/>
    <w:basedOn w:val="1"/>
    <w:link w:val="485"/>
    <w:qFormat/>
    <w:uiPriority w:val="0"/>
    <w:pPr>
      <w:adjustRightInd w:val="0"/>
      <w:snapToGrid w:val="0"/>
      <w:spacing w:line="520" w:lineRule="exact"/>
      <w:jc w:val="center"/>
    </w:pPr>
    <w:rPr>
      <w:rFonts w:ascii="Times New Roman" w:hAnsi="Times New Roman" w:eastAsia="黑体"/>
      <w:b w:val="0"/>
      <w:sz w:val="24"/>
      <w:szCs w:val="20"/>
    </w:rPr>
  </w:style>
  <w:style w:type="character" w:customStyle="1" w:styleId="487">
    <w:name w:val="b a Char"/>
    <w:link w:val="488"/>
    <w:qFormat/>
    <w:uiPriority w:val="0"/>
    <w:rPr>
      <w:kern w:val="2"/>
      <w:sz w:val="28"/>
    </w:rPr>
  </w:style>
  <w:style w:type="paragraph" w:customStyle="1" w:styleId="488">
    <w:name w:val="b a"/>
    <w:basedOn w:val="1"/>
    <w:link w:val="487"/>
    <w:qFormat/>
    <w:uiPriority w:val="0"/>
    <w:pPr>
      <w:adjustRightInd w:val="0"/>
      <w:snapToGrid w:val="0"/>
      <w:spacing w:line="520" w:lineRule="exact"/>
      <w:ind w:firstLine="200" w:firstLineChars="200"/>
    </w:pPr>
    <w:rPr>
      <w:rFonts w:ascii="Times New Roman" w:hAnsi="Times New Roman"/>
      <w:b w:val="0"/>
      <w:sz w:val="28"/>
      <w:szCs w:val="20"/>
    </w:rPr>
  </w:style>
  <w:style w:type="character" w:customStyle="1" w:styleId="489">
    <w:name w:val="报告正文 Char Char"/>
    <w:link w:val="490"/>
    <w:qFormat/>
    <w:uiPriority w:val="0"/>
    <w:rPr>
      <w:rFonts w:ascii="宋体" w:hAnsi="宋体"/>
      <w:kern w:val="2"/>
      <w:sz w:val="24"/>
      <w:szCs w:val="24"/>
    </w:rPr>
  </w:style>
  <w:style w:type="paragraph" w:customStyle="1" w:styleId="490">
    <w:name w:val="报告正文 Char"/>
    <w:basedOn w:val="1"/>
    <w:link w:val="489"/>
    <w:qFormat/>
    <w:uiPriority w:val="0"/>
    <w:pPr>
      <w:spacing w:line="360" w:lineRule="auto"/>
      <w:ind w:firstLine="480" w:firstLineChars="200"/>
    </w:pPr>
    <w:rPr>
      <w:rFonts w:ascii="宋体" w:hAnsi="宋体"/>
      <w:b w:val="0"/>
      <w:sz w:val="24"/>
    </w:rPr>
  </w:style>
  <w:style w:type="character" w:customStyle="1" w:styleId="491">
    <w:name w:val="font221"/>
    <w:qFormat/>
    <w:uiPriority w:val="0"/>
    <w:rPr>
      <w:rFonts w:hint="default" w:ascii="Times New Roman" w:hAnsi="Times New Roman" w:cs="Times New Roman"/>
      <w:color w:val="000000"/>
      <w:sz w:val="22"/>
      <w:szCs w:val="22"/>
      <w:u w:val="none"/>
    </w:rPr>
  </w:style>
  <w:style w:type="character" w:customStyle="1" w:styleId="492">
    <w:name w:val="段 Char"/>
    <w:link w:val="143"/>
    <w:qFormat/>
    <w:uiPriority w:val="0"/>
    <w:rPr>
      <w:rFonts w:ascii="宋体" w:hAnsi="Calibri"/>
      <w:kern w:val="2"/>
      <w:sz w:val="21"/>
      <w:szCs w:val="24"/>
      <w:u w:color="FF0000"/>
    </w:rPr>
  </w:style>
  <w:style w:type="character" w:customStyle="1" w:styleId="493">
    <w:name w:val="b正文 Char"/>
    <w:link w:val="494"/>
    <w:qFormat/>
    <w:uiPriority w:val="0"/>
    <w:rPr>
      <w:rFonts w:ascii="Arial" w:hAnsi="Arial"/>
      <w:kern w:val="2"/>
      <w:sz w:val="28"/>
      <w:szCs w:val="28"/>
    </w:rPr>
  </w:style>
  <w:style w:type="paragraph" w:customStyle="1" w:styleId="494">
    <w:name w:val="b正文"/>
    <w:basedOn w:val="1"/>
    <w:link w:val="493"/>
    <w:qFormat/>
    <w:uiPriority w:val="0"/>
    <w:pPr>
      <w:adjustRightInd w:val="0"/>
      <w:snapToGrid w:val="0"/>
      <w:spacing w:line="520" w:lineRule="exact"/>
      <w:ind w:firstLine="700" w:firstLineChars="250"/>
    </w:pPr>
    <w:rPr>
      <w:rFonts w:ascii="Arial" w:hAnsi="Arial"/>
      <w:b w:val="0"/>
      <w:sz w:val="28"/>
      <w:szCs w:val="28"/>
    </w:rPr>
  </w:style>
  <w:style w:type="paragraph" w:customStyle="1" w:styleId="495">
    <w:name w:val="Char"/>
    <w:basedOn w:val="1"/>
    <w:qFormat/>
    <w:uiPriority w:val="0"/>
    <w:pPr>
      <w:spacing w:line="360" w:lineRule="auto"/>
      <w:ind w:firstLine="200" w:firstLineChars="200"/>
    </w:pPr>
    <w:rPr>
      <w:rFonts w:ascii="宋体" w:hAnsi="宋体" w:cs="宋体"/>
      <w:b w:val="0"/>
      <w:sz w:val="24"/>
    </w:rPr>
  </w:style>
  <w:style w:type="paragraph" w:customStyle="1" w:styleId="496">
    <w:name w:val="cjh"/>
    <w:basedOn w:val="1"/>
    <w:next w:val="1"/>
    <w:qFormat/>
    <w:uiPriority w:val="0"/>
    <w:pPr>
      <w:keepLines/>
      <w:suppressLineNumbers/>
      <w:suppressAutoHyphens/>
      <w:jc w:val="center"/>
      <w:outlineLvl w:val="0"/>
    </w:pPr>
    <w:rPr>
      <w:rFonts w:ascii="宋体" w:hAnsi="Times New Roman"/>
      <w:b w:val="0"/>
      <w:kern w:val="24"/>
      <w:szCs w:val="20"/>
    </w:rPr>
  </w:style>
  <w:style w:type="paragraph" w:customStyle="1" w:styleId="497">
    <w:name w:val="默认段落字体 Para Char Char Char Char"/>
    <w:basedOn w:val="1"/>
    <w:qFormat/>
    <w:uiPriority w:val="0"/>
    <w:rPr>
      <w:rFonts w:ascii="Times New Roman" w:hAnsi="Times New Roman"/>
      <w:b w:val="0"/>
    </w:rPr>
  </w:style>
  <w:style w:type="paragraph" w:customStyle="1" w:styleId="498">
    <w:name w:val="默认段落字体 Para Char Char Char Char Char Char Char Char Char Char Char"/>
    <w:basedOn w:val="7"/>
    <w:qFormat/>
    <w:uiPriority w:val="0"/>
    <w:pPr>
      <w:widowControl w:val="0"/>
      <w:tabs>
        <w:tab w:val="left" w:pos="360"/>
        <w:tab w:val="left" w:pos="900"/>
      </w:tabs>
      <w:snapToGrid w:val="0"/>
      <w:spacing w:before="120" w:after="120"/>
      <w:ind w:left="542" w:leftChars="-12" w:firstLine="200" w:firstLineChars="200"/>
      <w:jc w:val="both"/>
    </w:pPr>
    <w:rPr>
      <w:rFonts w:ascii="Times New Roman" w:hAnsi="Times New Roman" w:eastAsia="黑体"/>
      <w:b w:val="0"/>
      <w:bCs w:val="0"/>
      <w:szCs w:val="36"/>
    </w:rPr>
  </w:style>
  <w:style w:type="paragraph" w:customStyle="1" w:styleId="499">
    <w:name w:val="样式 标题 3标3Section + 黑色 段前: 0.5 行 段后: 0.5 行"/>
    <w:basedOn w:val="7"/>
    <w:qFormat/>
    <w:uiPriority w:val="0"/>
    <w:pPr>
      <w:keepNext w:val="0"/>
      <w:keepLines w:val="0"/>
      <w:widowControl w:val="0"/>
      <w:snapToGrid w:val="0"/>
      <w:spacing w:line="520" w:lineRule="exact"/>
    </w:pPr>
    <w:rPr>
      <w:rFonts w:ascii="Arial" w:hAnsi="Arial" w:eastAsia="宋体" w:cs="宋体"/>
      <w:color w:val="000000"/>
    </w:rPr>
  </w:style>
  <w:style w:type="paragraph" w:customStyle="1" w:styleId="500">
    <w:name w:val="基准篇眉"/>
    <w:basedOn w:val="1"/>
    <w:qFormat/>
    <w:uiPriority w:val="0"/>
    <w:pPr>
      <w:tabs>
        <w:tab w:val="center" w:pos="3780"/>
        <w:tab w:val="right" w:pos="7560"/>
      </w:tabs>
    </w:pPr>
    <w:rPr>
      <w:rFonts w:ascii="Times New Roman" w:hAnsi="Times New Roman"/>
      <w:b w:val="0"/>
    </w:rPr>
  </w:style>
  <w:style w:type="paragraph" w:customStyle="1" w:styleId="501">
    <w:name w:val="单位名称"/>
    <w:basedOn w:val="36"/>
    <w:qFormat/>
    <w:uiPriority w:val="0"/>
    <w:pPr>
      <w:keepNext/>
      <w:spacing w:before="160"/>
    </w:pPr>
    <w:rPr>
      <w:rFonts w:ascii="Arial" w:hAnsi="Arial"/>
      <w:b/>
      <w:sz w:val="21"/>
      <w:szCs w:val="24"/>
    </w:rPr>
  </w:style>
  <w:style w:type="paragraph" w:customStyle="1" w:styleId="502">
    <w:name w:val="表格样式"/>
    <w:basedOn w:val="1"/>
    <w:qFormat/>
    <w:uiPriority w:val="0"/>
    <w:pPr>
      <w:adjustRightInd w:val="0"/>
      <w:snapToGrid w:val="0"/>
      <w:jc w:val="center"/>
    </w:pPr>
    <w:rPr>
      <w:rFonts w:ascii="Times New Roman" w:hAnsi="Times New Roman"/>
      <w:b w:val="0"/>
      <w:szCs w:val="20"/>
    </w:rPr>
  </w:style>
  <w:style w:type="paragraph" w:customStyle="1" w:styleId="503">
    <w:name w:val="表头b"/>
    <w:basedOn w:val="1"/>
    <w:qFormat/>
    <w:uiPriority w:val="0"/>
    <w:pPr>
      <w:adjustRightInd w:val="0"/>
      <w:snapToGrid w:val="0"/>
      <w:spacing w:line="520" w:lineRule="exact"/>
      <w:ind w:firstLine="482" w:firstLineChars="200"/>
      <w:jc w:val="center"/>
    </w:pPr>
    <w:rPr>
      <w:rFonts w:ascii="宋体" w:hAnsi="宋体"/>
      <w:sz w:val="24"/>
    </w:rPr>
  </w:style>
  <w:style w:type="paragraph" w:customStyle="1" w:styleId="504">
    <w:name w:val="方框"/>
    <w:basedOn w:val="1"/>
    <w:qFormat/>
    <w:uiPriority w:val="0"/>
    <w:pPr>
      <w:widowControl/>
      <w:spacing w:line="240" w:lineRule="atLeast"/>
    </w:pPr>
    <w:rPr>
      <w:rFonts w:ascii="宋体" w:hAnsi="Times New Roman"/>
      <w:b w:val="0"/>
      <w:kern w:val="0"/>
      <w:sz w:val="24"/>
      <w:szCs w:val="20"/>
    </w:rPr>
  </w:style>
  <w:style w:type="paragraph" w:customStyle="1" w:styleId="505">
    <w:name w:val="样式 正文首行缩进正文首行缩进 Char + 段前: 0.5 行"/>
    <w:basedOn w:val="87"/>
    <w:qFormat/>
    <w:uiPriority w:val="0"/>
    <w:pPr>
      <w:spacing w:before="156" w:beforeLines="50" w:after="0" w:line="360" w:lineRule="auto"/>
      <w:ind w:firstLine="567" w:firstLineChars="0"/>
    </w:pPr>
    <w:rPr>
      <w:rFonts w:hAnsi="Times New Roman" w:eastAsia="宋体" w:cs="宋体"/>
      <w:b w:val="0"/>
      <w:sz w:val="28"/>
      <w:szCs w:val="20"/>
    </w:rPr>
  </w:style>
  <w:style w:type="paragraph" w:customStyle="1" w:styleId="506">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507">
    <w:name w:val="样式 正文首行缩进 + 段前: 0.5 行"/>
    <w:basedOn w:val="87"/>
    <w:qFormat/>
    <w:uiPriority w:val="0"/>
    <w:pPr>
      <w:spacing w:before="156" w:beforeLines="50" w:after="0" w:line="360" w:lineRule="auto"/>
      <w:ind w:firstLine="567" w:firstLineChars="0"/>
    </w:pPr>
    <w:rPr>
      <w:rFonts w:hAnsi="Times New Roman" w:eastAsia="宋体" w:cs="宋体"/>
      <w:b w:val="0"/>
      <w:sz w:val="28"/>
      <w:szCs w:val="20"/>
    </w:rPr>
  </w:style>
  <w:style w:type="paragraph" w:customStyle="1" w:styleId="508">
    <w:name w:val="图"/>
    <w:basedOn w:val="23"/>
    <w:next w:val="1"/>
    <w:qFormat/>
    <w:uiPriority w:val="0"/>
    <w:pPr>
      <w:widowControl w:val="0"/>
      <w:spacing w:line="240" w:lineRule="auto"/>
      <w:ind w:firstLine="0" w:firstLineChars="0"/>
      <w:jc w:val="center"/>
    </w:pPr>
    <w:rPr>
      <w:rFonts w:ascii="宋体" w:hAnsi="Times New Roman"/>
      <w:b w:val="0"/>
      <w:kern w:val="2"/>
      <w:sz w:val="21"/>
      <w:szCs w:val="21"/>
    </w:rPr>
  </w:style>
  <w:style w:type="paragraph" w:customStyle="1" w:styleId="509">
    <w:name w:val="表格2"/>
    <w:basedOn w:val="1"/>
    <w:qFormat/>
    <w:uiPriority w:val="0"/>
    <w:pPr>
      <w:adjustRightInd w:val="0"/>
      <w:jc w:val="center"/>
      <w:textAlignment w:val="baseline"/>
    </w:pPr>
    <w:rPr>
      <w:rFonts w:ascii="宋体" w:hAnsi="Times New Roman"/>
      <w:b w:val="0"/>
      <w:kern w:val="0"/>
      <w:szCs w:val="20"/>
    </w:rPr>
  </w:style>
  <w:style w:type="paragraph" w:customStyle="1" w:styleId="510">
    <w:name w:val="表格内容b"/>
    <w:basedOn w:val="1"/>
    <w:qFormat/>
    <w:uiPriority w:val="0"/>
    <w:pPr>
      <w:adjustRightInd w:val="0"/>
      <w:snapToGrid w:val="0"/>
      <w:jc w:val="center"/>
    </w:pPr>
    <w:rPr>
      <w:rFonts w:ascii="宋体" w:hAnsi="宋体"/>
      <w:b w:val="0"/>
      <w:szCs w:val="21"/>
    </w:rPr>
  </w:style>
  <w:style w:type="paragraph" w:customStyle="1" w:styleId="511">
    <w:name w:val="表题"/>
    <w:basedOn w:val="1"/>
    <w:next w:val="1"/>
    <w:qFormat/>
    <w:uiPriority w:val="0"/>
    <w:pPr>
      <w:widowControl/>
      <w:overflowPunct w:val="0"/>
      <w:autoSpaceDE w:val="0"/>
      <w:autoSpaceDN w:val="0"/>
      <w:adjustRightInd w:val="0"/>
      <w:spacing w:before="120" w:after="120" w:line="360" w:lineRule="auto"/>
      <w:jc w:val="center"/>
      <w:textAlignment w:val="baseline"/>
    </w:pPr>
    <w:rPr>
      <w:rFonts w:ascii="Times New Roman" w:hAnsi="Times New Roman"/>
      <w:kern w:val="0"/>
      <w:szCs w:val="20"/>
      <w:lang w:val="en-GB"/>
    </w:rPr>
  </w:style>
  <w:style w:type="paragraph" w:customStyle="1" w:styleId="512">
    <w:name w:val="样式 标题 4标题 4 Char +"/>
    <w:basedOn w:val="8"/>
    <w:qFormat/>
    <w:uiPriority w:val="0"/>
    <w:pPr>
      <w:keepNext w:val="0"/>
      <w:keepLines w:val="0"/>
      <w:widowControl w:val="0"/>
      <w:tabs>
        <w:tab w:val="left" w:pos="1440"/>
      </w:tabs>
      <w:spacing w:before="0" w:after="0" w:line="240" w:lineRule="auto"/>
      <w:ind w:left="-567" w:firstLine="567"/>
      <w:jc w:val="both"/>
    </w:pPr>
    <w:rPr>
      <w:rFonts w:ascii="Times New Roman" w:hAnsi="Times New Roman"/>
      <w:bCs w:val="0"/>
      <w:szCs w:val="28"/>
    </w:rPr>
  </w:style>
  <w:style w:type="paragraph" w:customStyle="1" w:styleId="513">
    <w:name w:val="表格1"/>
    <w:basedOn w:val="1"/>
    <w:qFormat/>
    <w:uiPriority w:val="0"/>
    <w:pPr>
      <w:snapToGrid w:val="0"/>
    </w:pPr>
    <w:rPr>
      <w:rFonts w:ascii="Times New Roman" w:hAnsi="Times New Roman" w:eastAsia="仿宋_GB2312"/>
      <w:b w:val="0"/>
    </w:rPr>
  </w:style>
  <w:style w:type="paragraph" w:customStyle="1" w:styleId="514">
    <w:name w:val="样式 宋体 小四 段前: 7.8 磅 段后: 7.8 磅 行距: 固定值 20 磅"/>
    <w:basedOn w:val="1"/>
    <w:qFormat/>
    <w:uiPriority w:val="0"/>
    <w:pPr>
      <w:spacing w:before="156" w:after="156" w:line="400" w:lineRule="exact"/>
      <w:ind w:left="100" w:leftChars="100" w:firstLine="200" w:firstLineChars="200"/>
    </w:pPr>
    <w:rPr>
      <w:rFonts w:ascii="宋体" w:hAnsi="宋体"/>
      <w:b w:val="0"/>
      <w:sz w:val="24"/>
      <w:szCs w:val="20"/>
    </w:rPr>
  </w:style>
  <w:style w:type="paragraph" w:customStyle="1" w:styleId="515">
    <w:name w:val="一级无"/>
    <w:basedOn w:val="148"/>
    <w:qFormat/>
    <w:uiPriority w:val="0"/>
    <w:pPr>
      <w:widowControl/>
      <w:tabs>
        <w:tab w:val="clear" w:pos="5400"/>
      </w:tabs>
      <w:jc w:val="left"/>
    </w:pPr>
    <w:rPr>
      <w:rFonts w:ascii="宋体" w:hAnsi="Times New Roman" w:eastAsia="宋体"/>
      <w:kern w:val="0"/>
      <w:szCs w:val="21"/>
    </w:rPr>
  </w:style>
  <w:style w:type="paragraph" w:customStyle="1" w:styleId="516">
    <w:name w:val="图表脚注"/>
    <w:next w:val="143"/>
    <w:qFormat/>
    <w:uiPriority w:val="0"/>
    <w:pPr>
      <w:ind w:left="300" w:leftChars="200" w:hanging="100" w:hangingChars="100"/>
      <w:jc w:val="both"/>
    </w:pPr>
    <w:rPr>
      <w:rFonts w:ascii="宋体" w:hAnsi="Times New Roman" w:eastAsia="宋体" w:cs="Times New Roman"/>
      <w:sz w:val="18"/>
      <w:lang w:val="en-US" w:eastAsia="zh-CN" w:bidi="ar-SA"/>
    </w:rPr>
  </w:style>
  <w:style w:type="character" w:customStyle="1" w:styleId="517">
    <w:name w:val="未处理的提及1"/>
    <w:basedOn w:val="91"/>
    <w:unhideWhenUsed/>
    <w:qFormat/>
    <w:uiPriority w:val="99"/>
    <w:rPr>
      <w:color w:val="605E5C"/>
      <w:shd w:val="clear" w:color="auto" w:fill="E1DFDD"/>
    </w:rPr>
  </w:style>
  <w:style w:type="paragraph" w:customStyle="1" w:styleId="518">
    <w:name w:val="paragraph"/>
    <w:basedOn w:val="1"/>
    <w:semiHidden/>
    <w:uiPriority w:val="0"/>
    <w:pPr>
      <w:widowControl/>
      <w:spacing w:before="100" w:beforeAutospacing="1" w:after="100" w:afterAutospacing="1"/>
      <w:jc w:val="left"/>
    </w:pPr>
    <w:rPr>
      <w:rFonts w:ascii="等线" w:hAnsi="等线" w:eastAsia="等线"/>
      <w:b w:val="0"/>
      <w:kern w:val="0"/>
      <w:sz w:val="24"/>
    </w:rPr>
  </w:style>
  <w:style w:type="character" w:customStyle="1" w:styleId="519">
    <w:name w:val="宏文本 Char"/>
    <w:basedOn w:val="91"/>
    <w:link w:val="4"/>
    <w:qFormat/>
    <w:uiPriority w:val="0"/>
    <w:rPr>
      <w:rFonts w:ascii="Courier New" w:hAnsi="Courier New" w:cs="Courier New"/>
      <w:kern w:val="2"/>
      <w:sz w:val="24"/>
      <w:szCs w:val="24"/>
    </w:rPr>
  </w:style>
  <w:style w:type="character" w:customStyle="1" w:styleId="520">
    <w:name w:val="电子邮件签名 Char"/>
    <w:basedOn w:val="91"/>
    <w:link w:val="21"/>
    <w:qFormat/>
    <w:uiPriority w:val="0"/>
    <w:rPr>
      <w:kern w:val="2"/>
      <w:sz w:val="21"/>
    </w:rPr>
  </w:style>
  <w:style w:type="character" w:customStyle="1" w:styleId="521">
    <w:name w:val="称呼 Char"/>
    <w:basedOn w:val="91"/>
    <w:link w:val="32"/>
    <w:qFormat/>
    <w:uiPriority w:val="0"/>
    <w:rPr>
      <w:kern w:val="2"/>
      <w:sz w:val="21"/>
    </w:rPr>
  </w:style>
  <w:style w:type="character" w:customStyle="1" w:styleId="522">
    <w:name w:val="结束语 Char"/>
    <w:basedOn w:val="91"/>
    <w:link w:val="34"/>
    <w:qFormat/>
    <w:uiPriority w:val="0"/>
    <w:rPr>
      <w:kern w:val="2"/>
      <w:sz w:val="21"/>
    </w:rPr>
  </w:style>
  <w:style w:type="character" w:customStyle="1" w:styleId="523">
    <w:name w:val="HTML 地址 Char"/>
    <w:basedOn w:val="91"/>
    <w:link w:val="42"/>
    <w:qFormat/>
    <w:uiPriority w:val="0"/>
    <w:rPr>
      <w:i/>
      <w:iCs/>
      <w:kern w:val="2"/>
      <w:sz w:val="21"/>
    </w:rPr>
  </w:style>
  <w:style w:type="character" w:customStyle="1" w:styleId="524">
    <w:name w:val="尾注文本 Char"/>
    <w:basedOn w:val="91"/>
    <w:link w:val="53"/>
    <w:qFormat/>
    <w:uiPriority w:val="0"/>
    <w:rPr>
      <w:kern w:val="2"/>
      <w:sz w:val="21"/>
      <w:szCs w:val="24"/>
    </w:rPr>
  </w:style>
  <w:style w:type="character" w:customStyle="1" w:styleId="525">
    <w:name w:val="签名 Char"/>
    <w:basedOn w:val="91"/>
    <w:link w:val="59"/>
    <w:qFormat/>
    <w:uiPriority w:val="0"/>
    <w:rPr>
      <w:kern w:val="2"/>
      <w:sz w:val="21"/>
    </w:rPr>
  </w:style>
  <w:style w:type="character" w:customStyle="1" w:styleId="526">
    <w:name w:val="信息标题 Char"/>
    <w:basedOn w:val="91"/>
    <w:link w:val="80"/>
    <w:qFormat/>
    <w:uiPriority w:val="0"/>
    <w:rPr>
      <w:rFonts w:ascii="等线 Light" w:hAnsi="等线 Light" w:eastAsia="等线 Light"/>
      <w:kern w:val="2"/>
      <w:sz w:val="24"/>
      <w:szCs w:val="24"/>
      <w:shd w:val="pct20" w:color="auto" w:fill="auto"/>
    </w:rPr>
  </w:style>
  <w:style w:type="character" w:customStyle="1" w:styleId="527">
    <w:name w:val="标题 3 字符1"/>
    <w:autoRedefine/>
    <w:qFormat/>
    <w:uiPriority w:val="0"/>
    <w:rPr>
      <w:rFonts w:ascii="黑体" w:hAnsi="黑体" w:eastAsia="黑体" w:cs="黑体"/>
      <w:kern w:val="2"/>
      <w:sz w:val="28"/>
      <w:szCs w:val="28"/>
    </w:rPr>
  </w:style>
  <w:style w:type="character" w:customStyle="1" w:styleId="528">
    <w:name w:val="索引 8 Char"/>
    <w:link w:val="20"/>
    <w:autoRedefine/>
    <w:qFormat/>
    <w:uiPriority w:val="0"/>
    <w:rPr>
      <w:kern w:val="2"/>
      <w:sz w:val="28"/>
      <w:u w:color="FF0000"/>
    </w:rPr>
  </w:style>
  <w:style w:type="character" w:customStyle="1" w:styleId="529">
    <w:name w:val="批注文字 字符2"/>
    <w:autoRedefine/>
    <w:qFormat/>
    <w:uiPriority w:val="99"/>
    <w:rPr>
      <w:rFonts w:ascii="宋体" w:hAnsi="宋体"/>
      <w:kern w:val="2"/>
      <w:sz w:val="28"/>
      <w:szCs w:val="28"/>
    </w:rPr>
  </w:style>
  <w:style w:type="character" w:customStyle="1" w:styleId="530">
    <w:name w:val="number"/>
    <w:autoRedefine/>
    <w:qFormat/>
    <w:uiPriority w:val="0"/>
  </w:style>
  <w:style w:type="character" w:customStyle="1" w:styleId="531">
    <w:name w:val="fontstyle01"/>
    <w:autoRedefine/>
    <w:qFormat/>
    <w:uiPriority w:val="0"/>
    <w:rPr>
      <w:rFonts w:hint="default" w:ascii="仿宋" w:hAnsi="仿宋"/>
      <w:color w:val="000000"/>
      <w:sz w:val="32"/>
      <w:szCs w:val="32"/>
    </w:rPr>
  </w:style>
  <w:style w:type="paragraph" w:customStyle="1" w:styleId="532">
    <w:name w:val="UserStyle_0"/>
    <w:autoRedefine/>
    <w:qFormat/>
    <w:uiPriority w:val="0"/>
    <w:pPr>
      <w:keepNext/>
      <w:keepLines/>
      <w:tabs>
        <w:tab w:val="left" w:pos="420"/>
      </w:tabs>
      <w:spacing w:before="280" w:after="290" w:line="360" w:lineRule="auto"/>
      <w:ind w:left="447" w:leftChars="44" w:hanging="403"/>
      <w:jc w:val="both"/>
      <w:textAlignment w:val="baseline"/>
    </w:pPr>
    <w:rPr>
      <w:rFonts w:ascii="宋体" w:hAnsi="宋体" w:eastAsia="宋体" w:cs="宋体"/>
      <w:b/>
      <w:bCs/>
      <w:kern w:val="2"/>
      <w:sz w:val="24"/>
      <w:szCs w:val="22"/>
      <w:lang w:val="en-US" w:eastAsia="zh-CN" w:bidi="ar-SA"/>
    </w:rPr>
  </w:style>
  <w:style w:type="paragraph" w:customStyle="1" w:styleId="533">
    <w:name w:val="List Paragraph1"/>
    <w:basedOn w:val="1"/>
    <w:autoRedefine/>
    <w:qFormat/>
    <w:uiPriority w:val="0"/>
    <w:pPr>
      <w:ind w:firstLine="420" w:firstLineChars="200"/>
    </w:pPr>
    <w:rPr>
      <w:rFonts w:ascii="Times New Roman" w:hAnsi="Times New Roman"/>
      <w:b w:val="0"/>
    </w:rPr>
  </w:style>
  <w:style w:type="paragraph" w:customStyle="1" w:styleId="534">
    <w:name w:val="text"/>
    <w:basedOn w:val="1"/>
    <w:autoRedefine/>
    <w:qFormat/>
    <w:uiPriority w:val="0"/>
    <w:pPr>
      <w:widowControl/>
      <w:spacing w:before="100" w:beforeAutospacing="1" w:after="100" w:afterAutospacing="1"/>
      <w:ind w:firstLine="480"/>
      <w:jc w:val="left"/>
    </w:pPr>
    <w:rPr>
      <w:rFonts w:ascii="黑体" w:hAnsi="黑体" w:cs="宋体"/>
      <w:b w:val="0"/>
      <w:color w:val="486B8A"/>
      <w:kern w:val="0"/>
      <w:sz w:val="18"/>
      <w:szCs w:val="18"/>
    </w:rPr>
  </w:style>
  <w:style w:type="character" w:customStyle="1" w:styleId="535">
    <w:name w:val="标题 3 Char"/>
    <w:autoRedefine/>
    <w:qFormat/>
    <w:uiPriority w:val="0"/>
    <w:rPr>
      <w:rFonts w:eastAsia="宋体"/>
      <w:b/>
      <w:kern w:val="2"/>
      <w:sz w:val="28"/>
      <w:lang w:val="en-US" w:eastAsia="zh-CN" w:bidi="ar-SA"/>
    </w:rPr>
  </w:style>
  <w:style w:type="character" w:customStyle="1" w:styleId="536">
    <w:name w:val="批注文字 Char"/>
    <w:autoRedefine/>
    <w:qFormat/>
    <w:uiPriority w:val="0"/>
    <w:rPr>
      <w:kern w:val="2"/>
      <w:sz w:val="21"/>
      <w:szCs w:val="24"/>
    </w:rPr>
  </w:style>
  <w:style w:type="character" w:customStyle="1" w:styleId="537">
    <w:name w:val="标题 1 Char"/>
    <w:autoRedefine/>
    <w:qFormat/>
    <w:uiPriority w:val="0"/>
    <w:rPr>
      <w:rFonts w:ascii="Times New Roman" w:hAnsi="Times New Roman" w:eastAsia="宋体"/>
      <w:b/>
      <w:kern w:val="44"/>
      <w:sz w:val="30"/>
    </w:rPr>
  </w:style>
  <w:style w:type="character" w:customStyle="1" w:styleId="538">
    <w:name w:val="纯文本 Char"/>
    <w:autoRedefine/>
    <w:qFormat/>
    <w:uiPriority w:val="0"/>
    <w:rPr>
      <w:rFonts w:ascii="宋体" w:hAnsi="Courier New"/>
      <w:kern w:val="2"/>
      <w:sz w:val="21"/>
      <w:szCs w:val="21"/>
      <w:u w:color="FF0000"/>
    </w:rPr>
  </w:style>
  <w:style w:type="character" w:customStyle="1" w:styleId="539">
    <w:name w:val="批注框文本 Char"/>
    <w:autoRedefine/>
    <w:qFormat/>
    <w:uiPriority w:val="0"/>
    <w:rPr>
      <w:kern w:val="2"/>
      <w:sz w:val="18"/>
    </w:rPr>
  </w:style>
  <w:style w:type="character" w:customStyle="1" w:styleId="540">
    <w:name w:val="页脚 Char"/>
    <w:autoRedefine/>
    <w:qFormat/>
    <w:uiPriority w:val="99"/>
    <w:rPr>
      <w:kern w:val="2"/>
      <w:sz w:val="18"/>
    </w:rPr>
  </w:style>
  <w:style w:type="character" w:customStyle="1" w:styleId="541">
    <w:name w:val="批注主题 Char"/>
    <w:autoRedefine/>
    <w:qFormat/>
    <w:uiPriority w:val="0"/>
    <w:rPr>
      <w:rFonts w:eastAsia="汉仪雁翎体简"/>
      <w:b/>
      <w:bCs/>
      <w:kern w:val="2"/>
      <w:sz w:val="21"/>
      <w:szCs w:val="24"/>
      <w:u w:color="FF0000"/>
    </w:rPr>
  </w:style>
  <w:style w:type="character" w:customStyle="1" w:styleId="542">
    <w:name w:val="正文文本 Char"/>
    <w:autoRedefine/>
    <w:qFormat/>
    <w:uiPriority w:val="0"/>
    <w:rPr>
      <w:rFonts w:ascii="仿宋_GB2312"/>
      <w:kern w:val="2"/>
      <w:sz w:val="28"/>
      <w:szCs w:val="28"/>
      <w:u w:color="FF0000"/>
    </w:rPr>
  </w:style>
  <w:style w:type="character" w:customStyle="1" w:styleId="543">
    <w:name w:val="正文文本缩进 Char"/>
    <w:autoRedefine/>
    <w:qFormat/>
    <w:uiPriority w:val="99"/>
    <w:rPr>
      <w:rFonts w:eastAsia="汉仪雁翎体简"/>
      <w:b/>
      <w:sz w:val="28"/>
      <w:u w:color="FF0000"/>
      <w:lang w:val="en-US" w:eastAsia="zh-CN" w:bidi="ar-SA"/>
    </w:rPr>
  </w:style>
  <w:style w:type="character" w:customStyle="1" w:styleId="544">
    <w:name w:val="正文文本缩进 字符1"/>
    <w:autoRedefine/>
    <w:semiHidden/>
    <w:qFormat/>
    <w:uiPriority w:val="99"/>
    <w:rPr>
      <w:rFonts w:ascii="Times New Roman" w:hAnsi="Times New Roman" w:eastAsia="宋体" w:cs="Times New Roman"/>
      <w:szCs w:val="20"/>
    </w:rPr>
  </w:style>
  <w:style w:type="character" w:customStyle="1" w:styleId="545">
    <w:name w:val="页脚 字符1"/>
    <w:autoRedefine/>
    <w:qFormat/>
    <w:uiPriority w:val="99"/>
    <w:rPr>
      <w:rFonts w:ascii="Times New Roman" w:hAnsi="Times New Roman" w:eastAsia="宋体" w:cs="Times New Roman"/>
      <w:sz w:val="18"/>
      <w:szCs w:val="18"/>
    </w:rPr>
  </w:style>
  <w:style w:type="character" w:customStyle="1" w:styleId="546">
    <w:name w:val="批注文字 字符1"/>
    <w:autoRedefine/>
    <w:qFormat/>
    <w:uiPriority w:val="0"/>
    <w:rPr>
      <w:rFonts w:ascii="Times New Roman" w:hAnsi="Times New Roman" w:eastAsia="宋体" w:cs="Times New Roman"/>
      <w:szCs w:val="20"/>
    </w:rPr>
  </w:style>
  <w:style w:type="character" w:customStyle="1" w:styleId="547">
    <w:name w:val="批注主题 字符1"/>
    <w:autoRedefine/>
    <w:qFormat/>
    <w:uiPriority w:val="99"/>
    <w:rPr>
      <w:rFonts w:ascii="Times New Roman" w:hAnsi="Times New Roman" w:eastAsia="宋体" w:cs="Times New Roman"/>
      <w:b/>
      <w:bCs/>
      <w:szCs w:val="20"/>
    </w:rPr>
  </w:style>
  <w:style w:type="character" w:customStyle="1" w:styleId="548">
    <w:name w:val="正文文本 字符1"/>
    <w:qFormat/>
    <w:uiPriority w:val="1"/>
    <w:rPr>
      <w:rFonts w:ascii="Times New Roman" w:hAnsi="Times New Roman" w:eastAsia="宋体" w:cs="Times New Roman"/>
      <w:szCs w:val="20"/>
    </w:rPr>
  </w:style>
  <w:style w:type="character" w:customStyle="1" w:styleId="549">
    <w:name w:val="正文文本首行缩进 字符1"/>
    <w:autoRedefine/>
    <w:qFormat/>
    <w:uiPriority w:val="0"/>
  </w:style>
  <w:style w:type="character" w:customStyle="1" w:styleId="550">
    <w:name w:val="标题 字符1"/>
    <w:autoRedefine/>
    <w:qFormat/>
    <w:uiPriority w:val="0"/>
    <w:rPr>
      <w:rFonts w:ascii="等线 Light" w:hAnsi="等线 Light" w:eastAsia="等线 Light" w:cs="Times New Roman"/>
      <w:b/>
      <w:bCs/>
      <w:sz w:val="32"/>
      <w:szCs w:val="32"/>
    </w:rPr>
  </w:style>
  <w:style w:type="character" w:customStyle="1" w:styleId="551">
    <w:name w:val="正文文本 3 字符1"/>
    <w:autoRedefine/>
    <w:qFormat/>
    <w:uiPriority w:val="0"/>
    <w:rPr>
      <w:rFonts w:ascii="Times New Roman" w:hAnsi="Times New Roman" w:eastAsia="宋体" w:cs="Times New Roman"/>
      <w:sz w:val="16"/>
      <w:szCs w:val="16"/>
    </w:rPr>
  </w:style>
  <w:style w:type="character" w:customStyle="1" w:styleId="552">
    <w:name w:val="纯文本 字符1"/>
    <w:autoRedefine/>
    <w:qFormat/>
    <w:uiPriority w:val="0"/>
    <w:rPr>
      <w:rFonts w:ascii="等线" w:hAnsi="Courier New" w:cs="Courier New"/>
      <w:szCs w:val="20"/>
    </w:rPr>
  </w:style>
  <w:style w:type="character" w:customStyle="1" w:styleId="553">
    <w:name w:val="日期 字符1"/>
    <w:autoRedefine/>
    <w:qFormat/>
    <w:uiPriority w:val="0"/>
    <w:rPr>
      <w:rFonts w:ascii="Times New Roman" w:hAnsi="Times New Roman" w:eastAsia="宋体" w:cs="Times New Roman"/>
      <w:szCs w:val="20"/>
    </w:rPr>
  </w:style>
  <w:style w:type="character" w:customStyle="1" w:styleId="554">
    <w:name w:val="正文文本缩进 2 字符1"/>
    <w:autoRedefine/>
    <w:qFormat/>
    <w:uiPriority w:val="0"/>
    <w:rPr>
      <w:rFonts w:ascii="Times New Roman" w:hAnsi="Times New Roman" w:eastAsia="宋体" w:cs="Times New Roman"/>
      <w:szCs w:val="20"/>
    </w:rPr>
  </w:style>
  <w:style w:type="character" w:customStyle="1" w:styleId="555">
    <w:name w:val="页眉 字符1"/>
    <w:autoRedefine/>
    <w:qFormat/>
    <w:uiPriority w:val="0"/>
    <w:rPr>
      <w:rFonts w:ascii="Times New Roman" w:hAnsi="Times New Roman" w:eastAsia="宋体" w:cs="Times New Roman"/>
      <w:sz w:val="18"/>
      <w:szCs w:val="18"/>
    </w:rPr>
  </w:style>
  <w:style w:type="character" w:customStyle="1" w:styleId="556">
    <w:name w:val="脚注文本 字符1"/>
    <w:qFormat/>
    <w:uiPriority w:val="0"/>
    <w:rPr>
      <w:rFonts w:ascii="Times New Roman" w:hAnsi="Times New Roman" w:eastAsia="宋体" w:cs="Times New Roman"/>
      <w:sz w:val="18"/>
      <w:szCs w:val="18"/>
    </w:rPr>
  </w:style>
  <w:style w:type="character" w:customStyle="1" w:styleId="557">
    <w:name w:val="正文文本 2 字符1"/>
    <w:qFormat/>
    <w:uiPriority w:val="0"/>
    <w:rPr>
      <w:rFonts w:ascii="Times New Roman" w:hAnsi="Times New Roman" w:eastAsia="宋体" w:cs="Times New Roman"/>
      <w:szCs w:val="20"/>
    </w:rPr>
  </w:style>
  <w:style w:type="character" w:customStyle="1" w:styleId="558">
    <w:name w:val="正文文本缩进 3 字符1"/>
    <w:qFormat/>
    <w:uiPriority w:val="0"/>
    <w:rPr>
      <w:rFonts w:ascii="Times New Roman" w:hAnsi="Times New Roman" w:eastAsia="宋体" w:cs="Times New Roman"/>
      <w:sz w:val="16"/>
      <w:szCs w:val="16"/>
    </w:rPr>
  </w:style>
  <w:style w:type="paragraph" w:styleId="559">
    <w:name w:val="Intense Quote"/>
    <w:basedOn w:val="1"/>
    <w:next w:val="1"/>
    <w:link w:val="560"/>
    <w:qFormat/>
    <w:uiPriority w:val="99"/>
    <w:pPr>
      <w:pBdr>
        <w:top w:val="single" w:color="4472C4" w:sz="4" w:space="10"/>
        <w:bottom w:val="single" w:color="4472C4" w:sz="4" w:space="10"/>
      </w:pBdr>
      <w:spacing w:before="360" w:after="360"/>
      <w:ind w:left="864" w:right="864"/>
      <w:jc w:val="center"/>
    </w:pPr>
    <w:rPr>
      <w:rFonts w:ascii="Times New Roman" w:hAnsi="Times New Roman"/>
      <w:b w:val="0"/>
      <w:i/>
      <w:iCs/>
      <w:color w:val="4472C4"/>
      <w:szCs w:val="20"/>
    </w:rPr>
  </w:style>
  <w:style w:type="character" w:customStyle="1" w:styleId="560">
    <w:name w:val="明显引用 Char"/>
    <w:basedOn w:val="91"/>
    <w:link w:val="559"/>
    <w:qFormat/>
    <w:uiPriority w:val="99"/>
    <w:rPr>
      <w:i/>
      <w:iCs/>
      <w:color w:val="4472C4"/>
      <w:kern w:val="2"/>
      <w:sz w:val="21"/>
    </w:rPr>
  </w:style>
  <w:style w:type="paragraph" w:customStyle="1" w:styleId="561">
    <w:name w:val="书目1"/>
    <w:basedOn w:val="1"/>
    <w:next w:val="1"/>
    <w:autoRedefine/>
    <w:unhideWhenUsed/>
    <w:qFormat/>
    <w:uiPriority w:val="37"/>
    <w:rPr>
      <w:rFonts w:ascii="Times New Roman" w:hAnsi="Times New Roman"/>
      <w:b w:val="0"/>
      <w:szCs w:val="20"/>
    </w:rPr>
  </w:style>
  <w:style w:type="paragraph" w:styleId="562">
    <w:name w:val="Quote"/>
    <w:basedOn w:val="1"/>
    <w:next w:val="1"/>
    <w:link w:val="563"/>
    <w:qFormat/>
    <w:uiPriority w:val="99"/>
    <w:pPr>
      <w:spacing w:before="200" w:after="160"/>
      <w:ind w:left="864" w:right="864"/>
      <w:jc w:val="center"/>
    </w:pPr>
    <w:rPr>
      <w:rFonts w:ascii="Times New Roman" w:hAnsi="Times New Roman"/>
      <w:b w:val="0"/>
      <w:i/>
      <w:iCs/>
      <w:color w:val="404040"/>
      <w:szCs w:val="20"/>
    </w:rPr>
  </w:style>
  <w:style w:type="character" w:customStyle="1" w:styleId="563">
    <w:name w:val="引用 Char"/>
    <w:basedOn w:val="91"/>
    <w:link w:val="562"/>
    <w:qFormat/>
    <w:uiPriority w:val="99"/>
    <w:rPr>
      <w:i/>
      <w:iCs/>
      <w:color w:val="404040"/>
      <w:kern w:val="2"/>
      <w:sz w:val="21"/>
    </w:rPr>
  </w:style>
  <w:style w:type="character" w:customStyle="1" w:styleId="564">
    <w:name w:val="Footer Char"/>
    <w:semiHidden/>
    <w:qFormat/>
    <w:uiPriority w:val="99"/>
    <w:rPr>
      <w:b/>
      <w:sz w:val="18"/>
      <w:szCs w:val="18"/>
      <w:u w:color="FF0000"/>
    </w:rPr>
  </w:style>
  <w:style w:type="paragraph" w:customStyle="1" w:styleId="565">
    <w:name w:val="修订11"/>
    <w:semiHidden/>
    <w:qFormat/>
    <w:uiPriority w:val="99"/>
    <w:rPr>
      <w:rFonts w:ascii="Times New Roman" w:hAnsi="Times New Roman" w:eastAsia="宋体" w:cs="Times New Roman"/>
      <w:kern w:val="2"/>
      <w:sz w:val="21"/>
      <w:szCs w:val="24"/>
      <w:u w:color="FF0000"/>
      <w:lang w:val="en-US" w:eastAsia="zh-CN" w:bidi="ar-SA"/>
    </w:rPr>
  </w:style>
  <w:style w:type="paragraph" w:customStyle="1" w:styleId="566">
    <w:name w:val="TOC 标题11"/>
    <w:basedOn w:val="5"/>
    <w:next w:val="1"/>
    <w:qFormat/>
    <w:uiPriority w:val="99"/>
    <w:pPr>
      <w:keepLines/>
      <w:widowControl/>
      <w:spacing w:before="480" w:line="276" w:lineRule="auto"/>
      <w:jc w:val="left"/>
      <w:outlineLvl w:val="9"/>
    </w:pPr>
    <w:rPr>
      <w:rFonts w:ascii="Cambria" w:hAnsi="Cambria" w:eastAsia="宋体"/>
      <w:bCs/>
      <w:color w:val="365F91"/>
      <w:kern w:val="0"/>
      <w:sz w:val="28"/>
      <w:szCs w:val="28"/>
    </w:rPr>
  </w:style>
  <w:style w:type="table" w:customStyle="1" w:styleId="567">
    <w:name w:val="网格型2"/>
    <w:basedOn w:val="8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8">
    <w:name w:val="网格型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69">
    <w:name w:val="xl63"/>
    <w:basedOn w:val="1"/>
    <w:autoRedefine/>
    <w:qFormat/>
    <w:uiPriority w:val="0"/>
    <w:pPr>
      <w:widowControl/>
      <w:spacing w:before="100" w:beforeAutospacing="1" w:after="100" w:afterAutospacing="1"/>
      <w:jc w:val="center"/>
    </w:pPr>
    <w:rPr>
      <w:rFonts w:ascii="宋体" w:hAnsi="宋体" w:cs="宋体"/>
      <w:b w:val="0"/>
      <w:kern w:val="0"/>
      <w:sz w:val="24"/>
    </w:rPr>
  </w:style>
  <w:style w:type="paragraph" w:customStyle="1" w:styleId="570">
    <w:name w:val="xl64"/>
    <w:basedOn w:val="1"/>
    <w:autoRedefine/>
    <w:qFormat/>
    <w:uiPriority w:val="0"/>
    <w:pPr>
      <w:widowControl/>
      <w:spacing w:before="100" w:beforeAutospacing="1" w:after="100" w:afterAutospacing="1"/>
      <w:jc w:val="center"/>
    </w:pPr>
    <w:rPr>
      <w:rFonts w:ascii="宋体" w:hAnsi="宋体" w:cs="宋体"/>
      <w:b w:val="0"/>
      <w:kern w:val="0"/>
      <w:sz w:val="24"/>
    </w:rPr>
  </w:style>
  <w:style w:type="character" w:customStyle="1" w:styleId="571">
    <w:name w:val="封面标题 Char"/>
    <w:link w:val="572"/>
    <w:qFormat/>
    <w:uiPriority w:val="0"/>
    <w:rPr>
      <w:rFonts w:ascii="华文中宋" w:eastAsia="华文中宋"/>
      <w:b/>
      <w:bCs/>
      <w:w w:val="90"/>
      <w:sz w:val="52"/>
      <w:szCs w:val="52"/>
    </w:rPr>
  </w:style>
  <w:style w:type="paragraph" w:customStyle="1" w:styleId="572">
    <w:name w:val="封面标题"/>
    <w:basedOn w:val="1"/>
    <w:link w:val="571"/>
    <w:autoRedefine/>
    <w:qFormat/>
    <w:uiPriority w:val="0"/>
    <w:pPr>
      <w:jc w:val="center"/>
    </w:pPr>
    <w:rPr>
      <w:rFonts w:ascii="华文中宋" w:hAnsi="Times New Roman" w:eastAsia="华文中宋"/>
      <w:bCs/>
      <w:w w:val="90"/>
      <w:kern w:val="0"/>
      <w:sz w:val="52"/>
      <w:szCs w:val="52"/>
    </w:rPr>
  </w:style>
  <w:style w:type="paragraph" w:customStyle="1" w:styleId="573">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574">
    <w:name w:val="附录标识"/>
    <w:basedOn w:val="1"/>
    <w:next w:val="143"/>
    <w:qFormat/>
    <w:uiPriority w:val="0"/>
    <w:pPr>
      <w:keepNext/>
      <w:widowControl/>
      <w:numPr>
        <w:ilvl w:val="0"/>
        <w:numId w:val="15"/>
      </w:numPr>
      <w:shd w:val="clear" w:color="FFFFFF" w:fill="FFFFFF"/>
      <w:tabs>
        <w:tab w:val="left" w:pos="360"/>
        <w:tab w:val="left" w:pos="6405"/>
      </w:tabs>
      <w:spacing w:before="640" w:after="280"/>
      <w:jc w:val="center"/>
      <w:outlineLvl w:val="0"/>
    </w:pPr>
    <w:rPr>
      <w:rFonts w:ascii="黑体" w:hAnsi="Times New Roman" w:eastAsia="黑体"/>
      <w:b w:val="0"/>
      <w:kern w:val="0"/>
      <w:szCs w:val="20"/>
    </w:rPr>
  </w:style>
  <w:style w:type="paragraph" w:customStyle="1" w:styleId="575">
    <w:name w:val="附录二级条标题"/>
    <w:basedOn w:val="1"/>
    <w:next w:val="143"/>
    <w:qFormat/>
    <w:uiPriority w:val="0"/>
    <w:pPr>
      <w:widowControl/>
      <w:numPr>
        <w:ilvl w:val="3"/>
        <w:numId w:val="15"/>
      </w:numPr>
      <w:tabs>
        <w:tab w:val="left" w:pos="360"/>
      </w:tabs>
      <w:wordWrap w:val="0"/>
      <w:overflowPunct w:val="0"/>
      <w:autoSpaceDE w:val="0"/>
      <w:autoSpaceDN w:val="0"/>
      <w:spacing w:beforeLines="50" w:afterLines="50"/>
      <w:textAlignment w:val="baseline"/>
      <w:outlineLvl w:val="3"/>
    </w:pPr>
    <w:rPr>
      <w:rFonts w:ascii="黑体" w:hAnsi="Times New Roman" w:eastAsia="黑体"/>
      <w:b w:val="0"/>
      <w:kern w:val="21"/>
      <w:szCs w:val="20"/>
    </w:rPr>
  </w:style>
  <w:style w:type="paragraph" w:customStyle="1" w:styleId="576">
    <w:name w:val="附录二级无"/>
    <w:basedOn w:val="575"/>
    <w:qFormat/>
    <w:uiPriority w:val="0"/>
    <w:pPr>
      <w:tabs>
        <w:tab w:val="clear" w:pos="360"/>
      </w:tabs>
      <w:spacing w:beforeLines="0" w:afterLines="0"/>
    </w:pPr>
    <w:rPr>
      <w:rFonts w:ascii="宋体" w:eastAsia="宋体"/>
      <w:szCs w:val="21"/>
    </w:rPr>
  </w:style>
  <w:style w:type="paragraph" w:customStyle="1" w:styleId="577">
    <w:name w:val="附录三级条标题"/>
    <w:basedOn w:val="575"/>
    <w:next w:val="143"/>
    <w:qFormat/>
    <w:uiPriority w:val="0"/>
    <w:pPr>
      <w:numPr>
        <w:ilvl w:val="4"/>
      </w:numPr>
      <w:outlineLvl w:val="4"/>
    </w:pPr>
  </w:style>
  <w:style w:type="paragraph" w:customStyle="1" w:styleId="578">
    <w:name w:val="附录四级条标题"/>
    <w:basedOn w:val="577"/>
    <w:next w:val="143"/>
    <w:qFormat/>
    <w:uiPriority w:val="0"/>
    <w:pPr>
      <w:numPr>
        <w:ilvl w:val="5"/>
      </w:numPr>
      <w:outlineLvl w:val="5"/>
    </w:pPr>
  </w:style>
  <w:style w:type="paragraph" w:customStyle="1" w:styleId="579">
    <w:name w:val="附录五级条标题"/>
    <w:basedOn w:val="578"/>
    <w:next w:val="143"/>
    <w:autoRedefine/>
    <w:qFormat/>
    <w:uiPriority w:val="0"/>
    <w:pPr>
      <w:numPr>
        <w:ilvl w:val="6"/>
      </w:numPr>
      <w:outlineLvl w:val="6"/>
    </w:pPr>
  </w:style>
  <w:style w:type="paragraph" w:customStyle="1" w:styleId="580">
    <w:name w:val="附录章标题"/>
    <w:next w:val="143"/>
    <w:qFormat/>
    <w:uiPriority w:val="0"/>
    <w:pPr>
      <w:numPr>
        <w:ilvl w:val="1"/>
        <w:numId w:val="15"/>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581">
    <w:name w:val="附录一级条标题"/>
    <w:basedOn w:val="580"/>
    <w:next w:val="143"/>
    <w:qFormat/>
    <w:uiPriority w:val="0"/>
    <w:pPr>
      <w:numPr>
        <w:ilvl w:val="2"/>
      </w:numPr>
      <w:autoSpaceDN w:val="0"/>
      <w:spacing w:beforeLines="50" w:afterLines="50"/>
      <w:outlineLvl w:val="2"/>
    </w:pPr>
  </w:style>
  <w:style w:type="character" w:customStyle="1" w:styleId="582">
    <w:name w:val="文字1 Char Char"/>
    <w:autoRedefine/>
    <w:qFormat/>
    <w:uiPriority w:val="0"/>
    <w:rPr>
      <w:kern w:val="2"/>
      <w:sz w:val="28"/>
      <w:lang w:val="en-US" w:eastAsia="zh-CN" w:bidi="ar-SA"/>
    </w:rPr>
  </w:style>
  <w:style w:type="table" w:customStyle="1" w:styleId="583">
    <w:name w:val="Table Normal1"/>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584">
    <w:name w:val="正文文本缩进11"/>
    <w:basedOn w:val="1"/>
    <w:autoRedefine/>
    <w:qFormat/>
    <w:uiPriority w:val="0"/>
    <w:pPr>
      <w:widowControl/>
      <w:spacing w:line="360" w:lineRule="auto"/>
      <w:ind w:firstLine="570"/>
    </w:pPr>
    <w:rPr>
      <w:rFonts w:ascii="Times New Roman" w:hAnsi="Times New Roman" w:eastAsia="汉仪雁翎体简"/>
      <w:b w:val="0"/>
      <w:kern w:val="0"/>
      <w:sz w:val="28"/>
      <w:szCs w:val="20"/>
    </w:rPr>
  </w:style>
  <w:style w:type="character" w:customStyle="1" w:styleId="585">
    <w:name w:val="标题 Char2"/>
    <w:basedOn w:val="91"/>
    <w:qFormat/>
    <w:uiPriority w:val="0"/>
    <w:rPr>
      <w:rFonts w:hint="default" w:ascii="Cambria" w:hAnsi="Cambria" w:eastAsia="Cambria" w:cs="Times New Roman"/>
      <w:b/>
      <w:bCs/>
      <w:kern w:val="2"/>
      <w:sz w:val="32"/>
      <w:szCs w:val="32"/>
      <w:u w:color="FF0000"/>
    </w:rPr>
  </w:style>
  <w:style w:type="character" w:customStyle="1" w:styleId="586">
    <w:name w:val="正文文本缩进 字符2"/>
    <w:basedOn w:val="91"/>
    <w:qFormat/>
    <w:uiPriority w:val="0"/>
    <w:rPr>
      <w:kern w:val="2"/>
      <w:sz w:val="28"/>
      <w:szCs w:val="28"/>
    </w:rPr>
  </w:style>
  <w:style w:type="character" w:customStyle="1" w:styleId="587">
    <w:name w:val="Char Char511"/>
    <w:basedOn w:val="91"/>
    <w:qFormat/>
    <w:uiPriority w:val="0"/>
    <w:rPr>
      <w:rFonts w:hint="eastAsia" w:ascii="宋体" w:hAnsi="宋体" w:eastAsia="宋体" w:cs="宋体"/>
      <w:color w:val="000000"/>
      <w:kern w:val="2"/>
      <w:sz w:val="18"/>
      <w:lang w:val="en-US" w:eastAsia="zh-CN" w:bidi="ar"/>
    </w:rPr>
  </w:style>
  <w:style w:type="character" w:customStyle="1" w:styleId="588">
    <w:name w:val="行号1"/>
    <w:basedOn w:val="91"/>
    <w:qFormat/>
    <w:uiPriority w:val="0"/>
  </w:style>
  <w:style w:type="character" w:customStyle="1" w:styleId="589">
    <w:name w:val="页脚 字符2"/>
    <w:basedOn w:val="91"/>
    <w:qFormat/>
    <w:uiPriority w:val="0"/>
    <w:rPr>
      <w:kern w:val="2"/>
      <w:sz w:val="21"/>
      <w:szCs w:val="18"/>
    </w:rPr>
  </w:style>
  <w:style w:type="character" w:customStyle="1" w:styleId="590">
    <w:name w:val="正文文字缩进 Char11"/>
    <w:basedOn w:val="91"/>
    <w:qFormat/>
    <w:uiPriority w:val="0"/>
    <w:rPr>
      <w:rFonts w:hint="eastAsia" w:ascii="宋体" w:hAnsi="宋体" w:eastAsia="宋体" w:cs="宋体"/>
      <w:kern w:val="2"/>
      <w:sz w:val="28"/>
      <w:szCs w:val="24"/>
      <w:lang w:val="en-US" w:eastAsia="zh-CN" w:bidi="ar"/>
    </w:rPr>
  </w:style>
  <w:style w:type="character" w:customStyle="1" w:styleId="591">
    <w:name w:val="Char Char311"/>
    <w:basedOn w:val="91"/>
    <w:qFormat/>
    <w:uiPriority w:val="0"/>
    <w:rPr>
      <w:rFonts w:hint="eastAsia" w:ascii="仿宋_GB2312" w:eastAsia="仿宋_GB2312" w:cs="仿宋_GB2312"/>
      <w:b/>
      <w:bCs/>
      <w:kern w:val="2"/>
      <w:sz w:val="28"/>
      <w:szCs w:val="24"/>
      <w:u w:color="FF0000"/>
    </w:rPr>
  </w:style>
  <w:style w:type="character" w:customStyle="1" w:styleId="592">
    <w:name w:val="msosubtleemphasis"/>
    <w:basedOn w:val="91"/>
    <w:qFormat/>
    <w:uiPriority w:val="0"/>
    <w:rPr>
      <w:i/>
      <w:iCs/>
      <w:color w:val="404040"/>
    </w:rPr>
  </w:style>
  <w:style w:type="character" w:customStyle="1" w:styleId="593">
    <w:name w:val="正文文本缩进 2 字符2"/>
    <w:basedOn w:val="91"/>
    <w:qFormat/>
    <w:uiPriority w:val="0"/>
    <w:rPr>
      <w:rFonts w:hint="default" w:ascii="Swis721 BT" w:hAnsi="Swis721 BT" w:eastAsia="仿宋_GB2312" w:cs="Swis721 BT"/>
      <w:spacing w:val="-20"/>
      <w:kern w:val="2"/>
      <w:sz w:val="28"/>
      <w:szCs w:val="24"/>
      <w:lang w:val="en-US"/>
    </w:rPr>
  </w:style>
  <w:style w:type="character" w:customStyle="1" w:styleId="594">
    <w:name w:val="表格、图片标题 字符"/>
    <w:basedOn w:val="91"/>
    <w:qFormat/>
    <w:uiPriority w:val="0"/>
    <w:rPr>
      <w:b/>
      <w:kern w:val="2"/>
      <w:sz w:val="24"/>
      <w:szCs w:val="24"/>
    </w:rPr>
  </w:style>
  <w:style w:type="character" w:customStyle="1" w:styleId="595">
    <w:name w:val="cf01"/>
    <w:basedOn w:val="91"/>
    <w:qFormat/>
    <w:uiPriority w:val="0"/>
    <w:rPr>
      <w:rFonts w:hint="eastAsia" w:ascii="Microsoft YaHei UI" w:hAnsi="Microsoft YaHei UI" w:eastAsia="Microsoft YaHei UI" w:cs="Microsoft YaHei UI"/>
      <w:sz w:val="18"/>
      <w:szCs w:val="18"/>
    </w:rPr>
  </w:style>
  <w:style w:type="character" w:customStyle="1" w:styleId="596">
    <w:name w:val="标题 2 Char Char Char Char"/>
    <w:basedOn w:val="91"/>
    <w:qFormat/>
    <w:uiPriority w:val="0"/>
    <w:rPr>
      <w:rFonts w:hint="eastAsia" w:ascii="宋体" w:hAnsi="宋体" w:eastAsia="宋体" w:cs="宋体"/>
      <w:b/>
      <w:color w:val="000000"/>
      <w:kern w:val="2"/>
      <w:sz w:val="24"/>
      <w:lang w:val="en-US" w:eastAsia="zh-CN"/>
    </w:rPr>
  </w:style>
  <w:style w:type="character" w:customStyle="1" w:styleId="597">
    <w:name w:val="批注主题 Char Char"/>
    <w:basedOn w:val="91"/>
    <w:link w:val="598"/>
    <w:qFormat/>
    <w:uiPriority w:val="0"/>
    <w:rPr>
      <w:rFonts w:ascii="汉仪雁翎体简" w:hAnsi="汉仪雁翎体简" w:eastAsia="汉仪雁翎体简" w:cs="汉仪雁翎体简"/>
      <w:bCs/>
      <w:kern w:val="2"/>
      <w:sz w:val="21"/>
      <w:szCs w:val="24"/>
      <w:u w:color="FF0000"/>
    </w:rPr>
  </w:style>
  <w:style w:type="paragraph" w:customStyle="1" w:styleId="598">
    <w:name w:val="批注主题1"/>
    <w:basedOn w:val="30"/>
    <w:next w:val="30"/>
    <w:link w:val="597"/>
    <w:qFormat/>
    <w:uiPriority w:val="0"/>
    <w:rPr>
      <w:rFonts w:hint="eastAsia" w:ascii="汉仪雁翎体简" w:hAnsi="汉仪雁翎体简" w:eastAsia="汉仪雁翎体简" w:cs="汉仪雁翎体简"/>
      <w:b w:val="0"/>
      <w:bCs/>
    </w:rPr>
  </w:style>
  <w:style w:type="character" w:customStyle="1" w:styleId="599">
    <w:name w:val="批注引用1"/>
    <w:basedOn w:val="91"/>
    <w:qFormat/>
    <w:uiPriority w:val="0"/>
    <w:rPr>
      <w:sz w:val="21"/>
      <w:szCs w:val="21"/>
    </w:rPr>
  </w:style>
  <w:style w:type="character" w:customStyle="1" w:styleId="600">
    <w:name w:val="页码1"/>
    <w:basedOn w:val="91"/>
    <w:qFormat/>
    <w:uiPriority w:val="0"/>
    <w:rPr>
      <w:rFonts w:hint="eastAsia" w:ascii="宋体" w:hAnsi="宋体" w:eastAsia="宋体" w:cs="宋体"/>
      <w:sz w:val="24"/>
    </w:rPr>
  </w:style>
  <w:style w:type="character" w:customStyle="1" w:styleId="601">
    <w:name w:val="HTML 预设格式 Char2"/>
    <w:basedOn w:val="91"/>
    <w:qFormat/>
    <w:uiPriority w:val="0"/>
    <w:rPr>
      <w:rFonts w:hint="default" w:ascii="Courier New" w:hAnsi="Courier New" w:eastAsia="汉仪雁翎体简" w:cs="Courier New"/>
      <w:b/>
      <w:kern w:val="2"/>
      <w:u w:color="FF0000"/>
    </w:rPr>
  </w:style>
  <w:style w:type="character" w:customStyle="1" w:styleId="602">
    <w:name w:val="副标题 Char2"/>
    <w:basedOn w:val="91"/>
    <w:qFormat/>
    <w:uiPriority w:val="0"/>
    <w:rPr>
      <w:rFonts w:hint="default" w:ascii="Cambria" w:hAnsi="Cambria" w:eastAsia="Cambria" w:cs="Times New Roman"/>
      <w:b/>
      <w:bCs/>
      <w:kern w:val="28"/>
      <w:sz w:val="32"/>
      <w:szCs w:val="32"/>
      <w:u w:color="FF0000"/>
    </w:rPr>
  </w:style>
  <w:style w:type="table" w:customStyle="1" w:styleId="603">
    <w:name w:val="网格型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604">
    <w:name w:val="Char Char Char Char Char Char Char Char Char Char1 Char Char Char"/>
    <w:basedOn w:val="1"/>
    <w:qFormat/>
    <w:uiPriority w:val="0"/>
    <w:pPr>
      <w:widowControl/>
      <w:spacing w:after="160" w:line="240" w:lineRule="exact"/>
      <w:jc w:val="left"/>
    </w:pPr>
    <w:rPr>
      <w:rFonts w:ascii="Verdana" w:hAnsi="Verdana"/>
      <w:b w:val="0"/>
      <w:kern w:val="0"/>
      <w:sz w:val="20"/>
      <w:szCs w:val="20"/>
      <w:lang w:eastAsia="en-US"/>
    </w:rPr>
  </w:style>
  <w:style w:type="character" w:customStyle="1" w:styleId="605">
    <w:name w:val="正文文本首行缩进 2 字符1"/>
    <w:uiPriority w:val="0"/>
    <w:rPr>
      <w:rFonts w:ascii="Times New Roman" w:hAnsi="Times New Roman" w:eastAsia="宋体" w:cs="Times New Roman"/>
      <w:b/>
      <w:sz w:val="18"/>
      <w:szCs w:val="24"/>
    </w:rPr>
  </w:style>
  <w:style w:type="character" w:customStyle="1" w:styleId="606">
    <w:name w:val="标题 1 字符1"/>
    <w:uiPriority w:val="0"/>
    <w:rPr>
      <w:rFonts w:ascii="Times New Roman" w:hAnsi="Times New Roman" w:eastAsia="仿宋_GB2312" w:cs="Times New Roman"/>
      <w:b/>
      <w:sz w:val="44"/>
      <w:szCs w:val="24"/>
      <w:u w:color="FF0000"/>
    </w:rPr>
  </w:style>
  <w:style w:type="character" w:customStyle="1" w:styleId="607">
    <w:name w:val="标题 2 字符1"/>
    <w:uiPriority w:val="0"/>
    <w:rPr>
      <w:rFonts w:ascii="宋体" w:hAnsi="Arial" w:eastAsia="仿宋_GB2312" w:cs="Times New Roman"/>
      <w:b/>
      <w:kern w:val="0"/>
      <w:sz w:val="30"/>
      <w:szCs w:val="20"/>
      <w:u w:color="FF0000"/>
    </w:rPr>
  </w:style>
  <w:style w:type="character" w:customStyle="1" w:styleId="608">
    <w:name w:val="标题 4 字符1"/>
    <w:uiPriority w:val="0"/>
    <w:rPr>
      <w:rFonts w:ascii="Arial" w:hAnsi="Arial" w:eastAsia="宋体" w:cs="Times New Roman"/>
      <w:bCs/>
      <w:kern w:val="0"/>
      <w:sz w:val="28"/>
      <w:szCs w:val="20"/>
      <w:u w:color="FF0000"/>
    </w:rPr>
  </w:style>
  <w:style w:type="character" w:customStyle="1" w:styleId="609">
    <w:name w:val="标题 5 字符1"/>
    <w:uiPriority w:val="0"/>
    <w:rPr>
      <w:rFonts w:ascii="Times New Roman" w:hAnsi="Times New Roman" w:eastAsia="宋体" w:cs="Times New Roman"/>
      <w:kern w:val="0"/>
      <w:sz w:val="28"/>
      <w:szCs w:val="20"/>
      <w:u w:color="FF0000"/>
    </w:rPr>
  </w:style>
  <w:style w:type="character" w:customStyle="1" w:styleId="610">
    <w:name w:val="标题 6 字符1"/>
    <w:uiPriority w:val="0"/>
    <w:rPr>
      <w:rFonts w:ascii="Times New Roman" w:hAnsi="Times New Roman" w:eastAsia="宋体" w:cs="Times New Roman"/>
      <w:bCs/>
      <w:sz w:val="28"/>
      <w:szCs w:val="24"/>
      <w:u w:color="FF0000"/>
    </w:rPr>
  </w:style>
  <w:style w:type="character" w:customStyle="1" w:styleId="611">
    <w:name w:val="标题 7 字符1"/>
    <w:uiPriority w:val="0"/>
    <w:rPr>
      <w:rFonts w:ascii="Times New Roman" w:hAnsi="Times New Roman" w:eastAsia="宋体" w:cs="Times New Roman"/>
      <w:b/>
      <w:sz w:val="15"/>
      <w:szCs w:val="24"/>
      <w:u w:color="FF0000"/>
    </w:rPr>
  </w:style>
  <w:style w:type="character" w:customStyle="1" w:styleId="612">
    <w:name w:val="标题 8 字符1"/>
    <w:uiPriority w:val="0"/>
    <w:rPr>
      <w:rFonts w:ascii="Arial" w:hAnsi="Arial" w:eastAsia="黑体" w:cs="Times New Roman"/>
      <w:kern w:val="0"/>
      <w:sz w:val="24"/>
      <w:szCs w:val="20"/>
    </w:rPr>
  </w:style>
  <w:style w:type="character" w:customStyle="1" w:styleId="613">
    <w:name w:val="标题 9 字符1"/>
    <w:uiPriority w:val="0"/>
    <w:rPr>
      <w:rFonts w:ascii="Arial" w:hAnsi="Arial" w:eastAsia="黑体" w:cs="Times New Roman"/>
      <w:kern w:val="0"/>
      <w:sz w:val="28"/>
      <w:szCs w:val="20"/>
    </w:rPr>
  </w:style>
  <w:style w:type="character" w:customStyle="1" w:styleId="614">
    <w:name w:val="文档结构图 字符1"/>
    <w:uiPriority w:val="0"/>
    <w:rPr>
      <w:rFonts w:ascii="Times New Roman" w:hAnsi="Times New Roman" w:eastAsia="仿宋_GB2312" w:cs="Times New Roman"/>
      <w:sz w:val="24"/>
      <w:szCs w:val="24"/>
      <w:u w:color="FF0000"/>
      <w:shd w:val="clear" w:color="auto" w:fill="000080"/>
    </w:rPr>
  </w:style>
  <w:style w:type="character" w:customStyle="1" w:styleId="615">
    <w:name w:val="批注框文本 字符1"/>
    <w:uiPriority w:val="0"/>
    <w:rPr>
      <w:rFonts w:ascii="Times New Roman" w:hAnsi="Times New Roman" w:eastAsia="宋体" w:cs="Times New Roman"/>
      <w:b/>
      <w:sz w:val="18"/>
      <w:szCs w:val="18"/>
      <w:u w:color="FF0000"/>
    </w:rPr>
  </w:style>
  <w:style w:type="character" w:customStyle="1" w:styleId="616">
    <w:name w:val="副标题 字符1"/>
    <w:uiPriority w:val="0"/>
    <w:rPr>
      <w:rFonts w:ascii="Cambria" w:hAnsi="Cambria" w:eastAsia="宋体" w:cs="Times New Roman"/>
      <w:b/>
      <w:bCs/>
      <w:kern w:val="28"/>
      <w:sz w:val="32"/>
      <w:szCs w:val="32"/>
    </w:rPr>
  </w:style>
  <w:style w:type="character" w:customStyle="1" w:styleId="617">
    <w:name w:val="HTML 预设格式 字符1"/>
    <w:uiPriority w:val="0"/>
    <w:rPr>
      <w:rFonts w:ascii="Courier New" w:hAnsi="Courier New" w:eastAsia="宋体" w:cs="Courier New"/>
      <w:sz w:val="20"/>
      <w:szCs w:val="20"/>
      <w:u w:color="FF0000"/>
    </w:rPr>
  </w:style>
  <w:style w:type="paragraph" w:customStyle="1" w:styleId="618">
    <w:name w:val="修订4"/>
    <w:uiPriority w:val="0"/>
    <w:rPr>
      <w:rFonts w:ascii="Times New Roman" w:hAnsi="Times New Roman" w:eastAsia="宋体" w:cs="Times New Roman"/>
      <w:kern w:val="2"/>
      <w:sz w:val="21"/>
      <w:szCs w:val="24"/>
      <w:u w:color="FF0000"/>
      <w:lang w:val="en-US" w:eastAsia="zh-CN" w:bidi="ar-SA"/>
    </w:rPr>
  </w:style>
  <w:style w:type="paragraph" w:customStyle="1" w:styleId="619">
    <w:name w:val="TOC 标题3"/>
    <w:basedOn w:val="5"/>
    <w:next w:val="1"/>
    <w:qFormat/>
    <w:uiPriority w:val="0"/>
    <w:pPr>
      <w:keepLines/>
      <w:widowControl/>
      <w:spacing w:before="480" w:line="276" w:lineRule="auto"/>
      <w:jc w:val="left"/>
      <w:outlineLvl w:val="9"/>
    </w:pPr>
    <w:rPr>
      <w:rFonts w:ascii="Cambria" w:hAnsi="Cambria" w:eastAsia="宋体"/>
      <w:bCs/>
      <w:color w:val="365F91"/>
      <w:kern w:val="0"/>
      <w:sz w:val="28"/>
      <w:szCs w:val="28"/>
    </w:rPr>
  </w:style>
  <w:style w:type="character" w:customStyle="1" w:styleId="620">
    <w:name w:val="不明显强调2"/>
    <w:qFormat/>
    <w:uiPriority w:val="19"/>
    <w:rPr>
      <w:i/>
      <w:iCs/>
      <w:color w:val="404040"/>
    </w:rPr>
  </w:style>
  <w:style w:type="character" w:customStyle="1" w:styleId="621">
    <w:name w:val="书籍标题3"/>
    <w:qFormat/>
    <w:uiPriority w:val="0"/>
    <w:rPr>
      <w:b/>
      <w:bCs/>
      <w:smallCaps/>
      <w:spacing w:val="5"/>
    </w:rPr>
  </w:style>
  <w:style w:type="character" w:customStyle="1" w:styleId="622">
    <w:name w:val="无间隔 字符1"/>
    <w:uiPriority w:val="1"/>
    <w:rPr>
      <w:rFonts w:ascii="Times New Roman" w:hAnsi="Times New Roman" w:eastAsia="宋体" w:cs="Times New Roman"/>
      <w:szCs w:val="24"/>
    </w:rPr>
  </w:style>
  <w:style w:type="paragraph" w:customStyle="1" w:styleId="62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624">
    <w:name w:val="正文文本 21"/>
    <w:basedOn w:val="1"/>
    <w:qFormat/>
    <w:uiPriority w:val="0"/>
    <w:rPr>
      <w:rFonts w:ascii="Times New Roman" w:hAnsi="Times New Roman"/>
      <w:b w:val="0"/>
      <w:sz w:val="24"/>
    </w:rPr>
  </w:style>
  <w:style w:type="paragraph" w:customStyle="1" w:styleId="62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26">
    <w:name w:val="正文缩进1"/>
    <w:basedOn w:val="1"/>
    <w:qFormat/>
    <w:uiPriority w:val="0"/>
    <w:pPr>
      <w:widowControl/>
      <w:spacing w:line="360" w:lineRule="auto"/>
      <w:ind w:firstLine="560" w:firstLineChars="200"/>
      <w:jc w:val="left"/>
    </w:pPr>
    <w:rPr>
      <w:rFonts w:ascii="Times New Roman" w:hAnsi="Times New Roman"/>
      <w:kern w:val="0"/>
      <w:sz w:val="28"/>
      <w:szCs w:val="20"/>
    </w:rPr>
  </w:style>
  <w:style w:type="paragraph" w:customStyle="1" w:styleId="627">
    <w:name w:val="索引 11"/>
    <w:basedOn w:val="1"/>
    <w:next w:val="1"/>
    <w:qFormat/>
    <w:uiPriority w:val="0"/>
    <w:pPr>
      <w:jc w:val="center"/>
    </w:pPr>
    <w:rPr>
      <w:rFonts w:ascii="宋体" w:hAnsi="宋体"/>
      <w:b w:val="0"/>
      <w:color w:val="000000"/>
      <w:sz w:val="24"/>
      <w:szCs w:val="28"/>
    </w:rPr>
  </w:style>
  <w:style w:type="paragraph" w:customStyle="1" w:styleId="628">
    <w:name w:val="文档结构图1"/>
    <w:basedOn w:val="1"/>
    <w:qFormat/>
    <w:uiPriority w:val="0"/>
    <w:pPr>
      <w:shd w:val="clear" w:color="auto" w:fill="000080"/>
      <w:spacing w:line="360" w:lineRule="auto"/>
    </w:pPr>
    <w:rPr>
      <w:rFonts w:ascii="Times New Roman" w:hAnsi="Times New Roman" w:eastAsia="仿宋_GB2312"/>
      <w:b w:val="0"/>
      <w:sz w:val="24"/>
    </w:rPr>
  </w:style>
  <w:style w:type="paragraph" w:customStyle="1" w:styleId="629">
    <w:name w:val="正文文本缩进 31"/>
    <w:basedOn w:val="1"/>
    <w:qFormat/>
    <w:uiPriority w:val="0"/>
    <w:pPr>
      <w:spacing w:line="0" w:lineRule="atLeast"/>
      <w:ind w:firstLine="630"/>
    </w:pPr>
    <w:rPr>
      <w:rFonts w:ascii="Times New Roman" w:hAnsi="Times New Roman"/>
      <w:b w:val="0"/>
      <w:sz w:val="28"/>
    </w:rPr>
  </w:style>
  <w:style w:type="paragraph" w:customStyle="1" w:styleId="630">
    <w:name w:val="日期1"/>
    <w:basedOn w:val="1"/>
    <w:next w:val="1"/>
    <w:qFormat/>
    <w:uiPriority w:val="0"/>
    <w:pPr>
      <w:ind w:left="100" w:leftChars="2500"/>
    </w:pPr>
    <w:rPr>
      <w:rFonts w:ascii="Times New Roman" w:hAnsi="Times New Roman"/>
      <w:sz w:val="28"/>
    </w:rPr>
  </w:style>
  <w:style w:type="paragraph" w:customStyle="1" w:styleId="631">
    <w:name w:val="正文文本缩进 21"/>
    <w:basedOn w:val="1"/>
    <w:qFormat/>
    <w:uiPriority w:val="0"/>
    <w:pPr>
      <w:spacing w:line="360" w:lineRule="auto"/>
      <w:ind w:left="275" w:leftChars="100"/>
    </w:pPr>
    <w:rPr>
      <w:rFonts w:ascii="宋体" w:hAnsi="宋体" w:eastAsia="隶书"/>
      <w:b w:val="0"/>
      <w:sz w:val="28"/>
    </w:rPr>
  </w:style>
  <w:style w:type="paragraph" w:customStyle="1" w:styleId="632">
    <w:name w:val="文本块1"/>
    <w:basedOn w:val="1"/>
    <w:qFormat/>
    <w:uiPriority w:val="0"/>
    <w:pPr>
      <w:ind w:left="-108" w:leftChars="-51" w:right="-93" w:rightChars="-44"/>
      <w:jc w:val="center"/>
    </w:pPr>
    <w:rPr>
      <w:rFonts w:ascii="Times New Roman" w:hAnsi="Times New Roman" w:eastAsia="楷体_GB2312"/>
      <w:spacing w:val="-6"/>
      <w:sz w:val="28"/>
    </w:rPr>
  </w:style>
  <w:style w:type="paragraph" w:customStyle="1" w:styleId="633">
    <w:name w:val="纯文本1"/>
    <w:basedOn w:val="1"/>
    <w:qFormat/>
    <w:uiPriority w:val="0"/>
    <w:rPr>
      <w:rFonts w:ascii="宋体" w:hAnsi="Courier New"/>
      <w:b w:val="0"/>
      <w:szCs w:val="21"/>
    </w:rPr>
  </w:style>
  <w:style w:type="paragraph" w:customStyle="1" w:styleId="634">
    <w:name w:val="_Style 45"/>
    <w:basedOn w:val="1"/>
    <w:qFormat/>
    <w:uiPriority w:val="0"/>
    <w:pPr>
      <w:spacing w:line="360" w:lineRule="auto"/>
      <w:ind w:firstLine="200" w:firstLineChars="200"/>
    </w:pPr>
    <w:rPr>
      <w:rFonts w:ascii="Times New Roman" w:hAnsi="Times New Roman"/>
    </w:rPr>
  </w:style>
  <w:style w:type="paragraph" w:customStyle="1" w:styleId="635">
    <w:name w:val="正文文本 31"/>
    <w:basedOn w:val="1"/>
    <w:qFormat/>
    <w:uiPriority w:val="0"/>
    <w:rPr>
      <w:rFonts w:ascii="Times New Roman" w:hAnsi="Times New Roman"/>
      <w:sz w:val="28"/>
    </w:rPr>
  </w:style>
  <w:style w:type="paragraph" w:customStyle="1" w:styleId="636">
    <w:name w:val="正文首行缩进1"/>
    <w:basedOn w:val="36"/>
    <w:qFormat/>
    <w:uiPriority w:val="0"/>
    <w:pPr>
      <w:ind w:firstLine="420" w:firstLineChars="100"/>
    </w:pPr>
    <w:rPr>
      <w:rFonts w:ascii="Times New Roman" w:hAnsi="Times New Roman" w:eastAsia="隶书"/>
      <w:b/>
      <w:sz w:val="21"/>
      <w:szCs w:val="24"/>
    </w:rPr>
  </w:style>
  <w:style w:type="paragraph" w:customStyle="1" w:styleId="637">
    <w:name w:val="BodyText"/>
    <w:basedOn w:val="1"/>
    <w:next w:val="1"/>
    <w:qFormat/>
    <w:uiPriority w:val="0"/>
    <w:pPr>
      <w:spacing w:after="120"/>
      <w:textAlignment w:val="baseline"/>
    </w:pPr>
    <w:rPr>
      <w:rFonts w:ascii="Times New Roman" w:hAnsi="Times New Roman"/>
    </w:rPr>
  </w:style>
  <w:style w:type="table" w:customStyle="1" w:styleId="638">
    <w:name w:val="网格型 73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39">
    <w:name w:val="网格型 731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40">
    <w:name w:val="网格型 716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41">
    <w:name w:val="网格型 717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642">
    <w:name w:val="索引 8 字符1"/>
    <w:uiPriority w:val="0"/>
    <w:rPr>
      <w:rFonts w:ascii="Times New Roman" w:hAnsi="Times New Roman" w:eastAsia="宋体" w:cs="Times New Roman"/>
      <w:sz w:val="28"/>
      <w:szCs w:val="20"/>
    </w:rPr>
  </w:style>
  <w:style w:type="table" w:customStyle="1" w:styleId="643">
    <w:name w:val="Table Normal2"/>
    <w:unhideWhenUsed/>
    <w:qFormat/>
    <w:uiPriority w:val="0"/>
    <w:tblPr>
      <w:tblCellMar>
        <w:top w:w="0" w:type="dxa"/>
        <w:left w:w="0" w:type="dxa"/>
        <w:bottom w:w="0" w:type="dxa"/>
        <w:right w:w="0" w:type="dxa"/>
      </w:tblCellMar>
    </w:tblPr>
  </w:style>
  <w:style w:type="character" w:customStyle="1" w:styleId="644">
    <w:name w:val="标题 2 Char1"/>
    <w:uiPriority w:val="0"/>
    <w:rPr>
      <w:rFonts w:ascii="Arial" w:hAnsi="Arial" w:eastAsia="宋体"/>
      <w:b/>
      <w:kern w:val="2"/>
      <w:sz w:val="28"/>
      <w:szCs w:val="28"/>
      <w:lang w:val="en-US" w:eastAsia="zh-CN" w:bidi="ar-SA"/>
    </w:rPr>
  </w:style>
  <w:style w:type="paragraph" w:customStyle="1" w:styleId="645">
    <w:name w:val="cjk"/>
    <w:basedOn w:val="1"/>
    <w:uiPriority w:val="0"/>
    <w:pPr>
      <w:jc w:val="left"/>
    </w:pPr>
    <w:rPr>
      <w:rFonts w:hint="eastAsia" w:ascii="宋体" w:hAnsi="宋体"/>
      <w:b w:val="0"/>
      <w:kern w:val="0"/>
      <w:sz w:val="28"/>
      <w:szCs w:val="28"/>
    </w:rPr>
  </w:style>
  <w:style w:type="table" w:customStyle="1" w:styleId="646">
    <w:name w:val="网格型 715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47">
    <w:name w:val="网格型 719"/>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48">
    <w:name w:val="网格型 7110"/>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49">
    <w:name w:val="网格型 712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0">
    <w:name w:val="网格型 713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1">
    <w:name w:val="网格型 714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2">
    <w:name w:val="网格型 715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paragraph" w:customStyle="1" w:styleId="653">
    <w:name w:val="正文文本缩进10"/>
    <w:basedOn w:val="1"/>
    <w:uiPriority w:val="0"/>
    <w:pPr>
      <w:widowControl/>
      <w:spacing w:line="360" w:lineRule="auto"/>
      <w:ind w:firstLine="570"/>
    </w:pPr>
    <w:rPr>
      <w:rFonts w:ascii="Times New Roman" w:hAnsi="Times New Roman" w:eastAsia="隶书"/>
      <w:b w:val="0"/>
      <w:kern w:val="0"/>
      <w:sz w:val="28"/>
      <w:szCs w:val="20"/>
    </w:rPr>
  </w:style>
  <w:style w:type="table" w:customStyle="1" w:styleId="654">
    <w:name w:val="网格型 7112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5">
    <w:name w:val="网格型 74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6">
    <w:name w:val="网格型 77"/>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7">
    <w:name w:val="网格型 7123"/>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8">
    <w:name w:val="网格型 713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59">
    <w:name w:val="网格型 714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0">
    <w:name w:val="网格型 7153"/>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1">
    <w:name w:val="网格型 73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2">
    <w:name w:val="网格型 716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3">
    <w:name w:val="网格型 7112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4">
    <w:name w:val="网格型 74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5">
    <w:name w:val="网格型 7172"/>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6">
    <w:name w:val="网格型 7113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7">
    <w:name w:val="网格型 75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8">
    <w:name w:val="网格型 7312"/>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69">
    <w:name w:val="网格型 7311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70">
    <w:name w:val="网格型 7161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71">
    <w:name w:val="网格型 7171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72">
    <w:name w:val="网格型 76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673">
    <w:name w:val="正文首行缩进 2 Char"/>
    <w:qFormat/>
    <w:uiPriority w:val="99"/>
    <w:rPr>
      <w:rFonts w:eastAsia="隶书"/>
      <w:b/>
      <w:kern w:val="2"/>
      <w:sz w:val="18"/>
      <w:szCs w:val="24"/>
      <w:u w:color="FF0000"/>
      <w:lang w:val="en-US" w:eastAsia="zh-CN" w:bidi="ar-SA"/>
    </w:rPr>
  </w:style>
  <w:style w:type="character" w:customStyle="1" w:styleId="674">
    <w:name w:val="标题 2 Char"/>
    <w:qFormat/>
    <w:uiPriority w:val="0"/>
    <w:rPr>
      <w:rFonts w:ascii="宋体" w:hAnsi="Arial" w:eastAsia="仿宋_GB2312"/>
      <w:b/>
      <w:sz w:val="30"/>
      <w:u w:color="FF0000"/>
    </w:rPr>
  </w:style>
  <w:style w:type="character" w:customStyle="1" w:styleId="675">
    <w:name w:val="标题 4 Char"/>
    <w:qFormat/>
    <w:uiPriority w:val="0"/>
    <w:rPr>
      <w:rFonts w:ascii="Arial" w:hAnsi="Arial"/>
      <w:bCs/>
      <w:sz w:val="28"/>
      <w:u w:color="FF0000"/>
    </w:rPr>
  </w:style>
  <w:style w:type="character" w:customStyle="1" w:styleId="676">
    <w:name w:val="标题 5 Char"/>
    <w:qFormat/>
    <w:uiPriority w:val="0"/>
    <w:rPr>
      <w:sz w:val="28"/>
      <w:u w:color="FF0000"/>
    </w:rPr>
  </w:style>
  <w:style w:type="character" w:customStyle="1" w:styleId="677">
    <w:name w:val="标题 6 Char"/>
    <w:qFormat/>
    <w:uiPriority w:val="0"/>
    <w:rPr>
      <w:bCs/>
      <w:kern w:val="2"/>
      <w:sz w:val="28"/>
      <w:szCs w:val="24"/>
      <w:u w:color="FF0000"/>
    </w:rPr>
  </w:style>
  <w:style w:type="character" w:customStyle="1" w:styleId="678">
    <w:name w:val="标题 7 Char"/>
    <w:qFormat/>
    <w:uiPriority w:val="0"/>
    <w:rPr>
      <w:b/>
      <w:kern w:val="2"/>
      <w:sz w:val="15"/>
      <w:szCs w:val="24"/>
      <w:u w:color="FF0000"/>
    </w:rPr>
  </w:style>
  <w:style w:type="character" w:customStyle="1" w:styleId="679">
    <w:name w:val="标题 8 Char"/>
    <w:qFormat/>
    <w:uiPriority w:val="0"/>
    <w:rPr>
      <w:rFonts w:ascii="Arial" w:hAnsi="Arial" w:eastAsia="黑体"/>
      <w:sz w:val="24"/>
    </w:rPr>
  </w:style>
  <w:style w:type="character" w:customStyle="1" w:styleId="680">
    <w:name w:val="标题 9 Char"/>
    <w:qFormat/>
    <w:uiPriority w:val="0"/>
    <w:rPr>
      <w:rFonts w:ascii="Arial" w:hAnsi="Arial" w:eastAsia="黑体"/>
      <w:sz w:val="28"/>
    </w:rPr>
  </w:style>
  <w:style w:type="character" w:customStyle="1" w:styleId="681">
    <w:name w:val="文档结构图 Char"/>
    <w:qFormat/>
    <w:uiPriority w:val="0"/>
    <w:rPr>
      <w:rFonts w:eastAsia="仿宋_GB2312"/>
      <w:kern w:val="2"/>
      <w:sz w:val="24"/>
      <w:szCs w:val="24"/>
      <w:u w:color="FF0000"/>
      <w:shd w:val="clear" w:color="auto" w:fill="000080"/>
    </w:rPr>
  </w:style>
  <w:style w:type="character" w:customStyle="1" w:styleId="682">
    <w:name w:val="正文文本 3 Char"/>
    <w:qFormat/>
    <w:uiPriority w:val="0"/>
    <w:rPr>
      <w:b/>
      <w:kern w:val="2"/>
      <w:sz w:val="28"/>
      <w:szCs w:val="24"/>
      <w:u w:color="FF0000"/>
    </w:rPr>
  </w:style>
  <w:style w:type="character" w:customStyle="1" w:styleId="683">
    <w:name w:val="日期 Char"/>
    <w:qFormat/>
    <w:uiPriority w:val="0"/>
    <w:rPr>
      <w:b/>
      <w:kern w:val="2"/>
      <w:sz w:val="28"/>
      <w:szCs w:val="24"/>
      <w:u w:color="FF0000"/>
    </w:rPr>
  </w:style>
  <w:style w:type="character" w:customStyle="1" w:styleId="684">
    <w:name w:val="正文文本缩进 2 Char"/>
    <w:qFormat/>
    <w:uiPriority w:val="0"/>
    <w:rPr>
      <w:rFonts w:ascii="宋体" w:hAnsi="宋体" w:eastAsia="隶书"/>
      <w:b/>
      <w:kern w:val="2"/>
      <w:sz w:val="28"/>
      <w:szCs w:val="24"/>
      <w:u w:color="FF0000"/>
      <w:lang w:val="en-US" w:eastAsia="zh-CN" w:bidi="ar-SA"/>
    </w:rPr>
  </w:style>
  <w:style w:type="character" w:customStyle="1" w:styleId="685">
    <w:name w:val="页眉 Char"/>
    <w:qFormat/>
    <w:uiPriority w:val="0"/>
    <w:rPr>
      <w:rFonts w:eastAsia="隶书"/>
      <w:b/>
      <w:kern w:val="2"/>
      <w:sz w:val="18"/>
      <w:szCs w:val="18"/>
      <w:u w:color="FF0000"/>
      <w:lang w:val="en-US" w:eastAsia="zh-CN" w:bidi="ar-SA"/>
    </w:rPr>
  </w:style>
  <w:style w:type="character" w:customStyle="1" w:styleId="686">
    <w:name w:val="副标题 Char"/>
    <w:qFormat/>
    <w:uiPriority w:val="0"/>
    <w:rPr>
      <w:rFonts w:ascii="Cambria" w:hAnsi="Cambria"/>
      <w:b/>
      <w:bCs/>
      <w:kern w:val="28"/>
      <w:sz w:val="32"/>
      <w:szCs w:val="32"/>
    </w:rPr>
  </w:style>
  <w:style w:type="character" w:customStyle="1" w:styleId="687">
    <w:name w:val="脚注文本 Char"/>
    <w:qFormat/>
    <w:uiPriority w:val="0"/>
    <w:rPr>
      <w:kern w:val="2"/>
      <w:sz w:val="18"/>
      <w:szCs w:val="18"/>
    </w:rPr>
  </w:style>
  <w:style w:type="character" w:customStyle="1" w:styleId="688">
    <w:name w:val="正文文本缩进 3 Char"/>
    <w:qFormat/>
    <w:uiPriority w:val="0"/>
    <w:rPr>
      <w:kern w:val="2"/>
      <w:sz w:val="28"/>
      <w:szCs w:val="24"/>
      <w:u w:color="FF0000"/>
    </w:rPr>
  </w:style>
  <w:style w:type="character" w:customStyle="1" w:styleId="689">
    <w:name w:val="正文文本 2 Char"/>
    <w:qFormat/>
    <w:uiPriority w:val="0"/>
    <w:rPr>
      <w:kern w:val="2"/>
      <w:sz w:val="24"/>
      <w:szCs w:val="24"/>
      <w:u w:color="FF0000"/>
    </w:rPr>
  </w:style>
  <w:style w:type="character" w:customStyle="1" w:styleId="690">
    <w:name w:val="HTML 预设格式 Char"/>
    <w:uiPriority w:val="0"/>
    <w:rPr>
      <w:rFonts w:ascii="Courier New" w:hAnsi="Courier New" w:cs="Courier New"/>
      <w:kern w:val="2"/>
      <w:u w:color="FF0000"/>
    </w:rPr>
  </w:style>
  <w:style w:type="character" w:customStyle="1" w:styleId="691">
    <w:name w:val="标题 Char"/>
    <w:qFormat/>
    <w:uiPriority w:val="0"/>
    <w:rPr>
      <w:rFonts w:ascii="Arial" w:hAnsi="Arial"/>
      <w:b/>
      <w:kern w:val="2"/>
      <w:sz w:val="32"/>
    </w:rPr>
  </w:style>
  <w:style w:type="character" w:customStyle="1" w:styleId="692">
    <w:name w:val="正文首行缩进 Char"/>
    <w:qFormat/>
    <w:uiPriority w:val="0"/>
    <w:rPr>
      <w:rFonts w:eastAsia="隶书"/>
      <w:b/>
      <w:szCs w:val="24"/>
      <w:u w:color="FF0000"/>
    </w:rPr>
  </w:style>
  <w:style w:type="character" w:customStyle="1" w:styleId="693">
    <w:name w:val="无间隔 Char"/>
    <w:qFormat/>
    <w:uiPriority w:val="1"/>
    <w:rPr>
      <w:kern w:val="2"/>
      <w:sz w:val="21"/>
      <w:szCs w:val="24"/>
    </w:rPr>
  </w:style>
  <w:style w:type="paragraph" w:customStyle="1" w:styleId="694">
    <w:name w:val="正文文本缩进12"/>
    <w:basedOn w:val="1"/>
    <w:uiPriority w:val="0"/>
    <w:pPr>
      <w:widowControl/>
      <w:spacing w:line="360" w:lineRule="auto"/>
      <w:ind w:firstLine="570"/>
    </w:pPr>
    <w:rPr>
      <w:rFonts w:ascii="Times New Roman" w:hAnsi="Times New Roman" w:eastAsia="隶书"/>
      <w:b w:val="0"/>
      <w:kern w:val="0"/>
      <w:sz w:val="28"/>
      <w:szCs w:val="20"/>
    </w:rPr>
  </w:style>
  <w:style w:type="table" w:customStyle="1" w:styleId="695">
    <w:name w:val="网格型 721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96">
    <w:name w:val="网格型 711111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697">
    <w:name w:val="网格型 722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698">
    <w:name w:val="网格型 71112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699">
    <w:name w:val="网格型 71141"/>
    <w:basedOn w:val="88"/>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700">
    <w:name w:val="未处理的提及2"/>
    <w:semiHidden/>
    <w:unhideWhenUsed/>
    <w:uiPriority w:val="99"/>
    <w:rPr>
      <w:color w:val="605E5C"/>
      <w:shd w:val="clear" w:color="auto" w:fill="E1DFDD"/>
    </w:rPr>
  </w:style>
  <w:style w:type="character" w:customStyle="1" w:styleId="701">
    <w:name w:val="未处理的提及3"/>
    <w:semiHidden/>
    <w:unhideWhenUsed/>
    <w:uiPriority w:val="99"/>
    <w:rPr>
      <w:color w:val="605E5C"/>
      <w:shd w:val="clear" w:color="auto" w:fill="E1DFDD"/>
    </w:rPr>
  </w:style>
  <w:style w:type="character" w:customStyle="1" w:styleId="702">
    <w:name w:val="未处理的提及4"/>
    <w:basedOn w:val="91"/>
    <w:semiHidden/>
    <w:unhideWhenUsed/>
    <w:uiPriority w:val="99"/>
    <w:rPr>
      <w:color w:val="605E5C"/>
      <w:shd w:val="clear" w:color="auto" w:fill="E1DFDD"/>
    </w:rPr>
  </w:style>
  <w:style w:type="table" w:customStyle="1" w:styleId="703">
    <w:name w:val="网格型4"/>
    <w:basedOn w:val="88"/>
    <w:qFormat/>
    <w:uiPriority w:val="59"/>
    <w:rPr>
      <w:kern w:val="2"/>
      <w:sz w:val="28"/>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3.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4.jpeg"/><Relationship Id="rId3" Type="http://schemas.openxmlformats.org/officeDocument/2006/relationships/header" Target="header1.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pn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a280d836-d03e-4a67-b3cd-d9e31549a915</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1CB30774</paraID>
      <start>7</start>
      <end>11</end>
      <status>unmodified</status>
      <modifiedWord/>
      <trackRevisions>false</trackRevisions>
    </reviewItem>
    <reviewItem>
      <errorID>e19f2aa2-70c2-462c-83cf-733ba40f8d6e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3111828F</paraID>
      <start>24</start>
      <end>29</end>
      <status>unmodified</status>
      <modifiedWord/>
      <trackRevisions>false</trackRevisions>
    </reviewItem>
    <reviewItem>
      <errorID>3727a319-bc68-484e-b219-1fa5f19bbcdd</errorID>
      <errorWord>法律、法规</errorWord>
      <group>L1_Word</group>
      <groupName>字词问题</groupName>
      <ability>L2_Typo</ability>
      <abilityName>字词错误</abilityName>
      <candidateList>
        <item>法律法规</item>
      </candidateList>
      <explain/>
      <paraID>3111828F</paraID>
      <start>34</start>
      <end>39</end>
      <status>unmodified</status>
      <modifiedWord/>
      <trackRevisions>false</trackRevisions>
    </reviewItem>
    <reviewItem>
      <errorID>e763e4c0-a4f4-4b7b-8551-4927f327230b</errorID>
      <errorWord>2026年08月20日</errorWord>
      <group>L1_Knowledge</group>
      <groupName>知识性问题</groupName>
      <ability>L2_Time</ability>
      <abilityName>日期时间</abilityName>
      <candidateList>
        <item>2026年8月20日</item>
      </candidateList>
      <explain>根据日常书写习惯，月份一般会省略前导零。</explain>
      <paraID>313BA7FD</paraID>
      <start>29</start>
      <end>40</end>
      <status>unmodified</status>
      <modifiedWord/>
      <trackRevisions>false</trackRevisions>
    </reviewItem>
    <reviewItem>
      <errorID>8e6bb6b1-fa0c-4572-a4f6-df061eb21d42</errorID>
      <errorWord>2009年04月08日</errorWord>
      <group>L1_Knowledge</group>
      <groupName>知识性问题</groupName>
      <ability>L2_Time</ability>
      <abilityName>日期时间</abilityName>
      <candidateList>
        <item>2009年4月8日</item>
      </candidateList>
      <explain>根据日常书写习惯，月份和日期一般会省略前导零。</explain>
      <paraID>2DAA9B88</paraID>
      <start>16</start>
      <end>27</end>
      <status>unmodified</status>
      <modifiedWord/>
      <trackRevisions>false</trackRevisions>
    </reviewItem>
    <reviewItem>
      <errorID>159f33dc-ec24-40a6-85d0-ef9757485a29</errorID>
      <errorWord>:</errorWord>
      <group>L1_Format</group>
      <groupName>格式问题</groupName>
      <ability>L2_HalfPunc_CN</ability>
      <abilityName>全半角问题</abilityName>
      <candidateList>
        <item>：</item>
      </candidateList>
      <explain>文本全半角错误。</explain>
      <paraID>2DAA9B88</paraID>
      <start>102</start>
      <end>103</end>
      <status>unmodified</status>
      <modifiedWord/>
      <trackRevisions>false</trackRevisions>
    </reviewItem>
    <reviewItem>
      <errorID>0f592a70-8191-4aec-b6ab-8d449770ade0</errorID>
      <errorWord>2025年08月20日</errorWord>
      <group>L1_Knowledge</group>
      <groupName>知识性问题</groupName>
      <ability>L2_Time</ability>
      <abilityName>日期时间</abilityName>
      <candidateList>
        <item>2025年8月20日</item>
      </candidateList>
      <explain>根据日常书写习惯，月份一般会省略前导零。</explain>
      <paraID>2DAA9B88</paraID>
      <start>197</start>
      <end>208</end>
      <status>unmodified</status>
      <modifiedWord/>
      <trackRevisions>false</trackRevisions>
    </reviewItem>
    <reviewItem>
      <errorID>21da062a-9ebc-4216-ab64-26fbf5bf187b</errorID>
      <errorWord>2028年08月19日</errorWord>
      <group>L1_Knowledge</group>
      <groupName>知识性问题</groupName>
      <ability>L2_Time</ability>
      <abilityName>日期时间</abilityName>
      <candidateList>
        <item>2028年8月19日</item>
      </candidateList>
      <explain>根据日常书写习惯，月份一般会省略前导零。</explain>
      <paraID>2DAA9B88</paraID>
      <start>209</start>
      <end>220</end>
      <status>unmodified</status>
      <modifiedWord/>
      <trackRevisions>false</trackRevisions>
    </reviewItem>
    <reviewItem>
      <errorID>4948c2f8-5a75-42ec-9a0b-37517e0e9d65</errorID>
      <errorWord>有限公司（下</errorWord>
      <group>L1_Word</group>
      <groupName>字词问题</groupName>
      <ability>L2_Typo</ability>
      <abilityName>字词错误</abilityName>
      <candidateList>
        <item>有限公司（以下</item>
      </candidateList>
      <explain/>
      <paraID>32FA2264</paraID>
      <start>16</start>
      <end>22</end>
      <status>unmodified</status>
      <modifiedWord/>
      <trackRevisions>false</trackRevisions>
    </reviewItem>
    <reviewItem>
      <errorID>e7955524-5faf-49b9-a44f-61f50855eff0</errorID>
      <errorWord>及其</errorWord>
      <group>L1_Word</group>
      <groupName>字词问题</groupName>
      <ability>L2_Typo</ability>
      <abilityName>字词错误</abilityName>
      <candidateList>
        <item>极其</item>
      </candidateList>
      <explain/>
      <paraID>45EEFBAD</paraID>
      <start>34</start>
      <end>36</end>
      <status>unmodified</status>
      <modifiedWord/>
      <trackRevisions>false</trackRevisions>
    </reviewItem>
    <reviewItem>
      <errorID>84d6284b-0b96-4a1c-8866-f88240e666b3</errorID>
      <errorWord>法律、法规</errorWord>
      <group>L1_Word</group>
      <groupName>字词问题</groupName>
      <ability>L2_Typo</ability>
      <abilityName>字词错误</abilityName>
      <candidateList>
        <item>法律法规</item>
      </candidateList>
      <explain/>
      <paraID>61D84397</paraID>
      <start>8</start>
      <end>13</end>
      <status>unmodified</status>
      <modifiedWord/>
      <trackRevisions>false</trackRevisions>
    </reviewItem>
    <reviewItem>
      <errorID>649399f3-60b1-4d7c-9bae-739e0fc5ab80</errorID>
      <errorWord>[2010]23号</errorWord>
      <group>L1_Knowledge</group>
      <groupName>知识性问题</groupName>
      <ability>L2_Knowledge</ability>
      <abilityName>其他知识</abilityName>
      <candidateList>
        <item>〔2010〕23号</item>
      </candidateList>
      <explain>发文字号格式错误。</explain>
      <paraID>2E4E17E8</paraID>
      <start>32</start>
      <end>41</end>
      <status>unmodified</status>
      <modifiedWord/>
      <trackRevisions>false</trackRevisions>
    </reviewItem>
    <reviewItem>
      <errorID>a27f95d4-b52f-4912-a977-a23e6e48031d</errorID>
      <errorWord>[2014]</errorWord>
      <group>L1_Punc</group>
      <groupName>标点问题</groupName>
      <ability>L2_Punc_CN</ability>
      <abilityName>标点符号问题</abilityName>
      <candidateList>
        <item>〔2014〕</item>
      </candidateList>
      <explain/>
      <paraID> 68D59B5</paraID>
      <start>34</start>
      <end>40</end>
      <status>unmodified</status>
      <modifiedWord/>
      <trackRevisions>false</trackRevisions>
    </reviewItem>
    <reviewItem>
      <errorID>4fa690ef-bce0-4740-8bc2-4c94f534fd1c</errorID>
      <errorWord>月1日施行）</errorWord>
      <group>L1_Word</group>
      <groupName>字词问题</groupName>
      <ability>L2_Typo</ability>
      <abilityName>字词错误</abilityName>
      <candidateList>
        <item>月1日起施行）</item>
      </candidateList>
      <explain/>
      <paraID>7A0218FD</paraID>
      <start>43</start>
      <end>49</end>
      <status>unmodified</status>
      <modifiedWord/>
      <trackRevisions>false</trackRevisions>
    </reviewItem>
    <reviewItem>
      <errorID>3031534e-c1e7-4f7f-8ab3-b1f8815dacdb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4A4188F0</paraID>
      <start>25</start>
      <end>26</end>
      <status>unmodified</status>
      <modifiedWord/>
      <trackRevisions>false</trackRevisions>
    </reviewItem>
    <reviewItem>
      <errorID>6a92a2b8-7ef3-4639-bb59-4bcfa365e09b</errorID>
      <errorWord>[2017]121号</errorWord>
      <group>L1_Knowledge</group>
      <groupName>知识性问题</groupName>
      <ability>L2_Knowledge</ability>
      <abilityName>其他知识</abilityName>
      <candidateList>
        <item>〔2017〕121号</item>
      </candidateList>
      <explain>发文字号格式错误。</explain>
      <paraID>5A15C497</paraID>
      <start>40</start>
      <end>50</end>
      <status>unmodified</status>
      <modifiedWord/>
      <trackRevisions>false</trackRevisions>
    </reviewItem>
    <reviewItem>
      <errorID>1c32872e-8d48-4540-8f2e-a4e9d6101f21</errorID>
      <errorWord>[2022]第97号</errorWord>
      <group>L1_Knowledge</group>
      <groupName>知识性问题</groupName>
      <ability>L2_Knowledge</ability>
      <abilityName>其他知识</abilityName>
      <candidateList>
        <item>〔2022〕97号</item>
      </candidateList>
      <explain>发文字号格式错误。</explain>
      <paraID>434DDBB5</paraID>
      <start>35</start>
      <end>45</end>
      <status>unmodified</status>
      <modifiedWord/>
      <trackRevisions>false</trackRevisions>
    </reviewItem>
    <reviewItem>
      <errorID>f371aace-71cd-4416-acc6-58ccdf8e7108</errorID>
      <errorWord>[2008]第9号</errorWord>
      <group>L1_Knowledge</group>
      <groupName>知识性问题</groupName>
      <ability>L2_Knowledge</ability>
      <abilityName>其他知识</abilityName>
      <candidateList>
        <item>〔2008〕9号</item>
      </candidateList>
      <explain>发文字号格式错误。</explain>
      <paraID>2012D985</paraID>
      <start>37</start>
      <end>46</end>
      <status>unmodified</status>
      <modifiedWord/>
      <trackRevisions>false</trackRevisions>
    </reviewItem>
    <reviewItem>
      <errorID>f41bedd4-b733-4ef3-aedf-2c0cda5e6b5a</errorID>
      <errorWord>长沙市烟花爆竹安全生产企业与产业引导条例</errorWord>
      <group>L1_Knowledge</group>
      <groupName>知识性问题</groupName>
      <ability>L2_Knowledge</ability>
      <abilityName>其他知识</abilityName>
      <candidateList>
        <item>长沙市烟花爆竹安全生产与产业引导条例</item>
      </candidateList>
      <explain>当前法律法规未收录或尚未生效，注意核查是否正确。</explain>
      <paraID> E2F97FD</paraID>
      <start>4</start>
      <end>24</end>
      <status>unmodified</status>
      <modifiedWord/>
      <trackRevisions>false</trackRevisions>
    </reviewItem>
    <reviewItem>
      <errorID>ffebb894-e109-431d-b59c-b56c9a3354f0</errorID>
      <errorWord>月1日实施</errorWord>
      <group>L1_Word</group>
      <groupName>字词问题</groupName>
      <ability>L2_Typo</ability>
      <abilityName>字词错误</abilityName>
      <candidateList>
        <item>月1日起实施</item>
      </candidateList>
      <explain/>
      <paraID> E2F97FD</paraID>
      <start>53</start>
      <end>58</end>
      <status>unmodified</status>
      <modifiedWord/>
      <trackRevisions>false</trackRevisions>
    </reviewItem>
    <reviewItem>
      <errorID>09d83979-94bf-4b32-b3a9-b01537a892f2</errorID>
      <errorWord>法律、法规</errorWord>
      <group>L1_Word</group>
      <groupName>字词问题</groupName>
      <ability>L2_Typo</ability>
      <abilityName>字词错误</abilityName>
      <candidateList>
        <item>法律法规</item>
      </candidateList>
      <explain/>
      <paraID>701AEED2</paraID>
      <start>8</start>
      <end>13</end>
      <status>unmodified</status>
      <modifiedWord/>
      <trackRevisions>false</trackRevisions>
    </reviewItem>
    <reviewItem>
      <errorID>923a83c4-7426-49f3-a789-42c868f1713a</errorID>
      <errorWord>参考的</errorWord>
      <group>L1_Word</group>
      <groupName>字词问题</groupName>
      <ability>L2_Typo</ability>
      <abilityName>字词错误</abilityName>
      <candidateList>
        <item>参考</item>
      </candidateList>
      <explain/>
      <paraID>3FC3C504</paraID>
      <start>7</start>
      <end>10</end>
      <status>unmodified</status>
      <modifiedWord/>
      <trackRevisions>false</trackRevisions>
    </reviewItem>
    <reviewItem>
      <errorID>0fab1558-8588-4357-b24a-3724819c9c3e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7F08E762</paraID>
      <start>9</start>
      <end>12</end>
      <status>unmodified</status>
      <modifiedWord/>
      <trackRevisions>false</trackRevisions>
    </reviewItem>
    <reviewItem>
      <errorID>bbd9181d-db5e-4456-9b5e-af6abbb8ef32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7E189D9A</paraID>
      <start>16</start>
      <end>19</end>
      <status>unmodified</status>
      <modifiedWord/>
      <trackRevisions>false</trackRevisions>
    </reviewItem>
    <reviewItem>
      <errorID>605e6678-21a2-4df9-ae3c-b28c45a82833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7E189D9A</paraID>
      <start>29</start>
      <end>32</end>
      <status>unmodified</status>
      <modifiedWord/>
      <trackRevisions>false</trackRevisions>
    </reviewItem>
    <reviewItem>
      <errorID>c9126481-fc3f-4bc0-9ab6-5f95a545d953</errorID>
      <errorWord>法律、法规</errorWord>
      <group>L1_Word</group>
      <groupName>字词问题</groupName>
      <ability>L2_Typo</ability>
      <abilityName>字词错误</abilityName>
      <candidateList>
        <item>法律法规</item>
      </candidateList>
      <explain/>
      <paraID>7E189D9A</paraID>
      <start>45</start>
      <end>50</end>
      <status>unmodified</status>
      <modifiedWord/>
      <trackRevisions>false</trackRevisions>
    </reviewItem>
    <reviewItem>
      <errorID>85175e73-9d77-4059-a89a-f7c4218b1c79</errorID>
      <errorWord>评价时</errorWord>
      <group>L1_Word</group>
      <groupName>字词问题</groupName>
      <ability>L2_Typo</ability>
      <abilityName>字词错误</abilityName>
      <candidateList>
        <item>评价</item>
      </candidateList>
      <explain/>
      <paraID>10E86594</paraID>
      <start>21</start>
      <end>24</end>
      <status>unmodified</status>
      <modifiedWord/>
      <trackRevisions>false</trackRevisions>
    </reviewItem>
    <reviewItem>
      <errorID>a2f842c9-e4fd-4052-b43a-59da65a644c0</errorID>
      <errorWord>2009年04月08日</errorWord>
      <group>L1_Knowledge</group>
      <groupName>知识性问题</groupName>
      <ability>L2_Time</ability>
      <abilityName>日期时间</abilityName>
      <candidateList>
        <item>2009年4月8日</item>
      </candidateList>
      <explain>根据日常书写习惯，月份和日期一般会省略前导零。</explain>
      <paraID>22C910E5</paraID>
      <start>4</start>
      <end>15</end>
      <status>unmodified</status>
      <modifiedWord/>
      <trackRevisions>false</trackRevisions>
    </reviewItem>
    <reviewItem>
      <errorID>bda7e5be-aefc-4dd6-96f5-c3fa28a0fbf4</errorID>
      <errorWord>:</errorWord>
      <group>L1_Format</group>
      <groupName>格式问题</groupName>
      <ability>L2_HalfPunc_CN</ability>
      <abilityName>全半角问题</abilityName>
      <candidateList>
        <item>：</item>
      </candidateList>
      <explain>文本全半角错误。</explain>
      <paraID>22C910E5</paraID>
      <start>90</start>
      <end>91</end>
      <status>unmodified</status>
      <modifiedWord/>
      <trackRevisions>false</trackRevisions>
    </reviewItem>
    <reviewItem>
      <errorID>af0c71b5-9a81-44dd-9c78-5a02650bf38e</errorID>
      <errorWord>2025年08月20日</errorWord>
      <group>L1_Knowledge</group>
      <groupName>知识性问题</groupName>
      <ability>L2_Time</ability>
      <abilityName>日期时间</abilityName>
      <candidateList>
        <item>2025年8月20日</item>
      </candidateList>
      <explain>根据日常书写习惯，月份一般会省略前导零。</explain>
      <paraID>22C910E5</paraID>
      <start>185</start>
      <end>196</end>
      <status>unmodified</status>
      <modifiedWord/>
      <trackRevisions>false</trackRevisions>
    </reviewItem>
    <reviewItem>
      <errorID>e7ac2176-ba33-423e-aa0b-e50fcf403eeb</errorID>
      <errorWord>2028年08月19日</errorWord>
      <group>L1_Knowledge</group>
      <groupName>知识性问题</groupName>
      <ability>L2_Time</ability>
      <abilityName>日期时间</abilityName>
      <candidateList>
        <item>2028年8月19日</item>
      </candidateList>
      <explain>根据日常书写习惯，月份一般会省略前导零。</explain>
      <paraID>22C910E5</paraID>
      <start>197</start>
      <end>208</end>
      <status>unmodified</status>
      <modifiedWord/>
      <trackRevisions>false</trackRevisions>
    </reviewItem>
    <reviewItem>
      <errorID>eeaab527-049b-4a49-9614-3bb661605a01</errorID>
      <errorWord>础</errorWord>
      <group>L1_Word</group>
      <groupName>字词问题</groupName>
      <ability>L2_Typo</ability>
      <abilityName>字词错误</abilityName>
      <candidateList>
        <item>础上</item>
      </candidateList>
      <explain/>
      <paraID>35C7C8EE</paraID>
      <start>34</start>
      <end>35</end>
      <status>unmodified</status>
      <modifiedWord/>
      <trackRevisions>false</trackRevisions>
    </reviewItem>
    <reviewItem>
      <errorID>a71381d0-8662-4c80-9365-5897004a48ee</errorID>
      <errorWord>见</errorWord>
      <group>L1_Word</group>
      <groupName>字词问题</groupName>
      <ability>L2_Typo</ability>
      <abilityName>字词错误</abilityName>
      <candidateList>
        <item>见下</item>
      </candidateList>
      <explain/>
      <paraID>3C5E1BBB</paraID>
      <start>15</start>
      <end>16</end>
      <status>unmodified</status>
      <modifiedWord/>
      <trackRevisions>false</trackRevisions>
    </reviewItem>
    <reviewItem>
      <errorID>66d767aa-370b-4de6-bfdd-ea4ad7e4e193</errorID>
      <errorWord>粘重</errorWord>
      <group>L1_Word</group>
      <groupName>字词问题</groupName>
      <ability>L2_Alias</ability>
      <abilityName>也作/曾用词</abilityName>
      <candidateList>
        <item>黏重</item>
      </candidateList>
      <explain>词汇[粘重]为不规范表述或旧称，其规范书面表述为[黏重]。</explain>
      <paraID>  9EB82F</paraID>
      <start>205</start>
      <end>207</end>
      <status>unmodified</status>
      <modifiedWord/>
      <trackRevisions>false</trackRevisions>
    </reviewItem>
    <reviewItem>
      <errorID>cb9b0e5d-fb6f-4307-b8cd-bf7ba39927d8</errorID>
      <errorWord>如</errorWord>
      <group>L1_Word</group>
      <groupName>字词问题</groupName>
      <ability>L2_Typo</ability>
      <abilityName>字词错误</abilityName>
      <candidateList>
        <item>如下</item>
      </candidateList>
      <explain/>
      <paraID>49C3B960</paraID>
      <start>27</start>
      <end>28</end>
      <status>unmodified</status>
      <modifiedWord/>
      <trackRevisions>false</trackRevisions>
    </reviewItem>
    <reviewItem>
      <errorID>ce57f033-2bca-4f27-9eaf-1aacc6de8e4e</errorID>
      <errorWord>(</errorWord>
      <group>L1_Format</group>
      <groupName>格式问题</groupName>
      <ability>L2_HalfPunc_CN</ability>
      <abilityName>全半角问题</abilityName>
      <candidateList>
        <item>（</item>
      </candidateList>
      <explain>文本全半角错误。</explain>
      <paraID>50844508</paraID>
      <start>15</start>
      <end>16</end>
      <status>unmodified</status>
      <modifiedWord/>
      <trackRevisions>false</trackRevisions>
    </reviewItem>
    <reviewItem>
      <errorID>9674a407-51d3-453d-9e22-7a52ec7e341f</errorID>
      <errorWord>)</errorWord>
      <group>L1_Format</group>
      <groupName>格式问题</groupName>
      <ability>L2_HalfPunc_CN</ability>
      <abilityName>全半角问题</abilityName>
      <candidateList>
        <item>）</item>
      </candidateList>
      <explain>文本全半角错误。</explain>
      <paraID>50844508</paraID>
      <start>17</start>
      <end>18</end>
      <status>unmodified</status>
      <modifiedWord/>
      <trackRevisions>false</trackRevisions>
    </reviewItem>
    <reviewItem>
      <errorID>6764b2c6-f7e9-4d7a-85ed-7f47852d89cd</errorID>
      <errorWord>)</errorWord>
      <group>L1_Format</group>
      <groupName>格式问题</groupName>
      <ability>L2_HalfPunc_CN</ability>
      <abilityName>全半角问题</abilityName>
      <candidateList>
        <item>）</item>
      </candidateList>
      <explain>文本全半角错误。</explain>
      <paraID>4C00CEA5</paraID>
      <start>6</start>
      <end>7</end>
      <status>unmodified</status>
      <modifiedWord/>
      <trackRevisions>false</trackRevisions>
    </reviewItem>
    <reviewItem>
      <errorID>21ac5b0d-60d8-4e94-9321-90d40e33058e</errorID>
      <errorWord>)</errorWord>
      <group>L1_Format</group>
      <groupName>格式问题</groupName>
      <ability>L2_HalfPunc_CN</ability>
      <abilityName>全半角问题</abilityName>
      <candidateList>
        <item>）</item>
      </candidateList>
      <explain>文本全半角错误。</explain>
      <paraID>5604722C</paraID>
      <start>6</start>
      <end>7</end>
      <status>unmodified</status>
      <modifiedWord/>
      <trackRevisions>false</trackRevisions>
    </reviewItem>
    <reviewItem>
      <errorID>7b2b8e02-6ec1-43d5-82ca-f4e5d27c5c88</errorID>
      <errorWord>均能</errorWord>
      <group>L1_Word</group>
      <groupName>字词问题</groupName>
      <ability>L2_Typo</ability>
      <abilityName>字词错误</abilityName>
      <candidateList>
        <item>均</item>
      </candidateList>
      <explain/>
      <paraID>4E2843FE</paraID>
      <start>21</start>
      <end>23</end>
      <status>unmodified</status>
      <modifiedWord/>
      <trackRevisions>false</trackRevisions>
    </reviewItem>
    <reviewItem>
      <errorID>c111a7fe-3ceb-44a2-a5d4-d8f3dd3be855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22E65E9A</paraID>
      <start>53</start>
      <end>54</end>
      <status>unmodified</status>
      <modifiedWord/>
      <trackRevisions>false</trackRevisions>
    </reviewItem>
    <reviewItem>
      <errorID>b820f6ee-65ca-4739-bea1-badf783d21bc</errorID>
      <errorWord>(</errorWord>
      <group>L1_Format</group>
      <groupName>格式问题</groupName>
      <ability>L2_HalfPunc_CN</ability>
      <abilityName>全半角问题</abilityName>
      <candidateList>
        <item>（</item>
      </candidateList>
      <explain>文本全半角错误。</explain>
      <paraID>60F45937</paraID>
      <start>4</start>
      <end>5</end>
      <status>unmodified</status>
      <modifiedWord/>
      <trackRevisions>false</trackRevisions>
    </reviewItem>
    <reviewItem>
      <errorID>05000b10-1e6b-4b82-a337-448521e4c36e</errorID>
      <errorWord>)</errorWord>
      <group>L1_Format</group>
      <groupName>格式问题</groupName>
      <ability>L2_HalfPunc_CN</ability>
      <abilityName>全半角问题</abilityName>
      <candidateList>
        <item>）</item>
      </candidateList>
      <explain>文本全半角错误。</explain>
      <paraID>60F45937</paraID>
      <start>6</start>
      <end>7</end>
      <status>unmodified</status>
      <modifiedWord/>
      <trackRevisions>false</trackRevisions>
    </reviewItem>
    <reviewItem>
      <errorID>e3a08e54-263f-4964-afb3-89849e81fb10</errorID>
      <errorWord>(</errorWord>
      <group>L1_Format</group>
      <groupName>格式问题</groupName>
      <ability>L2_HalfPunc_CN</ability>
      <abilityName>全半角问题</abilityName>
      <candidateList>
        <item>（</item>
      </candidateList>
      <explain>文本全半角错误。</explain>
      <paraID> 18EF1CA</paraID>
      <start>4</start>
      <end>5</end>
      <status>unmodified</status>
      <modifiedWord/>
      <trackRevisions>false</trackRevisions>
    </reviewItem>
    <reviewItem>
      <errorID>eb655329-d478-4644-ac1a-e687fbbcf98f</errorID>
      <errorWord>)</errorWord>
      <group>L1_Format</group>
      <groupName>格式问题</groupName>
      <ability>L2_HalfPunc_CN</ability>
      <abilityName>全半角问题</abilityName>
      <candidateList>
        <item>）</item>
      </candidateList>
      <explain>文本全半角错误。</explain>
      <paraID> 18EF1CA</paraID>
      <start>6</start>
      <end>7</end>
      <status>unmodified</status>
      <modifiedWord/>
      <trackRevisions>false</trackRevisions>
    </reviewItem>
    <reviewItem>
      <errorID>bea12fa4-c6c9-4500-8206-4413c9e3f2c2</errorID>
      <errorWord>(</errorWord>
      <group>L1_Format</group>
      <groupName>格式问题</groupName>
      <ability>L2_HalfPunc_CN</ability>
      <abilityName>全半角问题</abilityName>
      <candidateList>
        <item>（</item>
      </candidateList>
      <explain>文本全半角错误。</explain>
      <paraID>63DE8EB3</paraID>
      <start>4</start>
      <end>5</end>
      <status>unmodified</status>
      <modifiedWord/>
      <trackRevisions>false</trackRevisions>
    </reviewItem>
    <reviewItem>
      <errorID>9b97bf05-c4f5-4eaa-b854-01c21281e0d7</errorID>
      <errorWord>)</errorWord>
      <group>L1_Format</group>
      <groupName>格式问题</groupName>
      <ability>L2_HalfPunc_CN</ability>
      <abilityName>全半角问题</abilityName>
      <candidateList>
        <item>）</item>
      </candidateList>
      <explain>文本全半角错误。</explain>
      <paraID>63DE8EB3</paraID>
      <start>6</start>
      <end>7</end>
      <status>unmodified</status>
      <modifiedWord/>
      <trackRevisions>false</trackRevisions>
    </reviewItem>
    <reviewItem>
      <errorID>6e3f1785-ee3f-47cb-b4a8-9a86d8bec4f3</errorID>
      <errorWord>(</errorWord>
      <group>L1_Format</group>
      <groupName>格式问题</groupName>
      <ability>L2_HalfPunc_CN</ability>
      <abilityName>全半角问题</abilityName>
      <candidateList>
        <item>（</item>
      </candidateList>
      <explain>文本全半角错误。</explain>
      <paraID>5EF7005A</paraID>
      <start>10</start>
      <end>11</end>
      <status>unmodified</status>
      <modifiedWord/>
      <trackRevisions>false</trackRevisions>
    </reviewItem>
    <reviewItem>
      <errorID>008a1aea-6b03-49fa-a748-ecdd5fe2a1f0</errorID>
      <errorWord>)</errorWord>
      <group>L1_Format</group>
      <groupName>格式问题</groupName>
      <ability>L2_HalfPunc_CN</ability>
      <abilityName>全半角问题</abilityName>
      <candidateList>
        <item>）</item>
      </candidateList>
      <explain>文本全半角错误。</explain>
      <paraID>5EF7005A</paraID>
      <start>12</start>
      <end>13</end>
      <status>unmodified</status>
      <modifiedWord/>
      <trackRevisions>false</trackRevisions>
    </reviewItem>
    <reviewItem>
      <errorID>f5509110-441b-4016-9e01-9adcaa8e9115</errorID>
      <errorWord>均能</errorWord>
      <group>L1_Word</group>
      <groupName>字词问题</groupName>
      <ability>L2_Typo</ability>
      <abilityName>字词错误</abilityName>
      <candidateList>
        <item>均</item>
      </candidateList>
      <explain/>
      <paraID>350AA104</paraID>
      <start>21</start>
      <end>23</end>
      <status>unmodified</status>
      <modifiedWord/>
      <trackRevisions>false</trackRevisions>
    </reviewItem>
    <reviewItem>
      <errorID>7d80b0c9-3134-449e-8e9e-e6aef3db32bf</errorID>
      <errorWord>及其</errorWord>
      <group>L1_Word</group>
      <groupName>字词问题</groupName>
      <ability>L2_Typo</ability>
      <abilityName>字词错误</abilityName>
      <candidateList>
        <item>及</item>
      </candidateList>
      <explain/>
      <paraID>259C1A9B</paraID>
      <start>14</start>
      <end>16</end>
      <status>unmodified</status>
      <modifiedWord/>
      <trackRevisions>false</trackRevisions>
    </reviewItem>
    <reviewItem>
      <errorID>09c99cc8-ae46-4f60-b773-34236a8fd80a</errorID>
      <errorWord>即</errorWord>
      <group>L1_Word</group>
      <groupName>字词问题</groupName>
      <ability>L2_Typo</ability>
      <abilityName>字词错误</abilityName>
      <candidateList>
        <item>既</item>
      </candidateList>
      <explain/>
      <paraID>259C1A9B</paraID>
      <start>47</start>
      <end>48</end>
      <status>unmodified</status>
      <modifiedWord/>
      <trackRevisions>false</trackRevisions>
    </reviewItem>
    <reviewItem>
      <errorID>da2b3a3e-0ecb-48fd-a09b-c61278532eb6</errorID>
      <errorWord>其它</errorWord>
      <group>L1_Word</group>
      <groupName>字词问题</groupName>
      <ability>L2_Alias</ability>
      <abilityName>也作/曾用词</abilityName>
      <candidateList>
        <item>其他</item>
      </candidateList>
      <explain>词汇[其它]为不规范表述或旧称，其规范书面表述为[其他]。</explain>
      <paraID>7BB4F655</paraID>
      <start>74</start>
      <end>76</end>
      <status>unmodified</status>
      <modifiedWord/>
      <trackRevisions>false</trackRevisions>
    </reviewItem>
    <reviewItem>
      <errorID>682832bc-7024-4295-a7e4-77b4552d28ca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7E62081</paraID>
      <start>18</start>
      <end>21</end>
      <status>unmodified</status>
      <modifiedWord/>
      <trackRevisions>false</trackRevisions>
    </reviewItem>
    <reviewItem>
      <errorID>27f07e4d-f9b8-4403-8be3-2d0422e48274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7E62081</paraID>
      <start>31</start>
      <end>34</end>
      <status>unmodified</status>
      <modifiedWord/>
      <trackRevisions>false</trackRevisions>
    </reviewItem>
    <reviewItem>
      <errorID>27813a3c-19ce-41e3-95fe-b3d49525f5d3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7E62081</paraID>
      <start>46</start>
      <end>49</end>
      <status>unmodified</status>
      <modifiedWord/>
      <trackRevisions>false</trackRevisions>
    </reviewItem>
    <reviewItem>
      <errorID>d2716a2c-084d-4f82-b176-52af37498503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37</start>
      <end>40</end>
      <status>unmodified</status>
      <modifiedWord/>
      <trackRevisions>false</trackRevisions>
    </reviewItem>
    <reviewItem>
      <errorID>480abe7d-1086-48b5-85a5-88c877c8b682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62</start>
      <end>65</end>
      <status>unmodified</status>
      <modifiedWord/>
      <trackRevisions>false</trackRevisions>
    </reviewItem>
    <reviewItem>
      <errorID>4dc775fe-2038-4803-aef9-f0af77029b1a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75</start>
      <end>78</end>
      <status>unmodified</status>
      <modifiedWord/>
      <trackRevisions>false</trackRevisions>
    </reviewItem>
    <reviewItem>
      <errorID>2ca57adb-c7bd-492e-b32a-4eb5b4ec4099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90</start>
      <end>93</end>
      <status>unmodified</status>
      <modifiedWord/>
      <trackRevisions>false</trackRevisions>
    </reviewItem>
    <reviewItem>
      <errorID>77ee37bf-3738-46f6-9134-8fbef054e580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106</start>
      <end>109</end>
      <status>unmodified</status>
      <modifiedWord/>
      <trackRevisions>false</trackRevisions>
    </reviewItem>
    <reviewItem>
      <errorID>410e7384-1894-49d4-a0bd-2aa81cfca764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126</start>
      <end>129</end>
      <status>unmodified</status>
      <modifiedWord/>
      <trackRevisions>false</trackRevisions>
    </reviewItem>
    <reviewItem>
      <errorID>2fdc98a9-475b-43c9-a0cf-5b9333b8c3f0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142</start>
      <end>145</end>
      <status>unmodified</status>
      <modifiedWord/>
      <trackRevisions>false</trackRevisions>
    </reviewItem>
    <reviewItem>
      <errorID>85d3a4d2-68ab-4362-b2a8-dca378ab50ac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157</start>
      <end>160</end>
      <status>unmodified</status>
      <modifiedWord/>
      <trackRevisions>false</trackRevisions>
    </reviewItem>
    <reviewItem>
      <errorID>69d3f30a-8425-46ff-a1e5-923f103fab35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178</start>
      <end>181</end>
      <status>unmodified</status>
      <modifiedWord/>
      <trackRevisions>false</trackRevisions>
    </reviewItem>
    <reviewItem>
      <errorID>3a45900b-8e9b-403c-aeff-9fca939cfb28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189</start>
      <end>192</end>
      <status>unmodified</status>
      <modifiedWord/>
      <trackRevisions>false</trackRevisions>
    </reviewItem>
    <reviewItem>
      <errorID>eaddfa38-fc96-4dce-91af-0bbd2fbce2b2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206</start>
      <end>209</end>
      <status>unmodified</status>
      <modifiedWord/>
      <trackRevisions>false</trackRevisions>
    </reviewItem>
    <reviewItem>
      <errorID>b93bb2fd-4b45-4df7-a717-6e559b774dcb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233</start>
      <end>236</end>
      <status>unmodified</status>
      <modifiedWord/>
      <trackRevisions>false</trackRevisions>
    </reviewItem>
    <reviewItem>
      <errorID>697e8119-cced-462b-b136-79648585c614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251</start>
      <end>254</end>
      <status>unmodified</status>
      <modifiedWord/>
      <trackRevisions>false</trackRevisions>
    </reviewItem>
    <reviewItem>
      <errorID>615511af-e160-49c2-b0df-e862d329b6a2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265</start>
      <end>268</end>
      <status>unmodified</status>
      <modifiedWord/>
      <trackRevisions>false</trackRevisions>
    </reviewItem>
    <reviewItem>
      <errorID>fdde50e1-f96e-4837-b050-636bf572a554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287</start>
      <end>290</end>
      <status>unmodified</status>
      <modifiedWord/>
      <trackRevisions>false</trackRevisions>
    </reviewItem>
    <reviewItem>
      <errorID>3cd6b409-b660-4f35-bc36-775004980e99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303</start>
      <end>306</end>
      <status>unmodified</status>
      <modifiedWord/>
      <trackRevisions>false</trackRevisions>
    </reviewItem>
    <reviewItem>
      <errorID>0324112f-2388-439c-8559-4d55211b161f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322</start>
      <end>325</end>
      <status>unmodified</status>
      <modifiedWord/>
      <trackRevisions>false</trackRevisions>
    </reviewItem>
    <reviewItem>
      <errorID>42cba1f3-0c79-467b-8b46-926c58e0b130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338</start>
      <end>341</end>
      <status>unmodified</status>
      <modifiedWord/>
      <trackRevisions>false</trackRevisions>
    </reviewItem>
    <reviewItem>
      <errorID>98efb945-8a52-4e28-966a-07a923b0ffc8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350</start>
      <end>353</end>
      <status>unmodified</status>
      <modifiedWord/>
      <trackRevisions>false</trackRevisions>
    </reviewItem>
    <reviewItem>
      <errorID>28964ed8-4a13-4982-859a-2215bcc0f1a3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361</start>
      <end>364</end>
      <status>unmodified</status>
      <modifiedWord/>
      <trackRevisions>false</trackRevisions>
    </reviewItem>
    <reviewItem>
      <errorID>64bf5e0d-76e6-407b-ac18-020ab0210f7d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377</start>
      <end>380</end>
      <status>unmodified</status>
      <modifiedWord/>
      <trackRevisions>false</trackRevisions>
    </reviewItem>
    <reviewItem>
      <errorID>60c66afc-fdbb-458d-baf9-1cf34904720c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391</start>
      <end>394</end>
      <status>unmodified</status>
      <modifiedWord/>
      <trackRevisions>false</trackRevisions>
    </reviewItem>
    <reviewItem>
      <errorID>94299198-94a5-4637-84c6-aab43937e051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402</start>
      <end>405</end>
      <status>unmodified</status>
      <modifiedWord/>
      <trackRevisions>false</trackRevisions>
    </reviewItem>
    <reviewItem>
      <errorID>c5b90e58-2e93-4047-a1ef-24369c0c024d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413</start>
      <end>416</end>
      <status>unmodified</status>
      <modifiedWord/>
      <trackRevisions>false</trackRevisions>
    </reviewItem>
    <reviewItem>
      <errorID>17fcc943-5bda-441c-9731-0543d26b9e65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429</start>
      <end>432</end>
      <status>unmodified</status>
      <modifiedWord/>
      <trackRevisions>false</trackRevisions>
    </reviewItem>
    <reviewItem>
      <errorID>1f24ea60-5708-474a-89f7-4f9b5d2b8707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440</start>
      <end>443</end>
      <status>unmodified</status>
      <modifiedWord/>
      <trackRevisions>false</trackRevisions>
    </reviewItem>
    <reviewItem>
      <errorID>1736bfe6-e8e8-4a6a-8d2a-ec686490b222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452</start>
      <end>455</end>
      <status>unmodified</status>
      <modifiedWord/>
      <trackRevisions>false</trackRevisions>
    </reviewItem>
    <reviewItem>
      <errorID>43741d5f-11f6-45d5-97cb-3ac2f9acde27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464</start>
      <end>467</end>
      <status>unmodified</status>
      <modifiedWord/>
      <trackRevisions>false</trackRevisions>
    </reviewItem>
    <reviewItem>
      <errorID>72926765-43f0-4831-a9e6-653b40ea5d74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483</start>
      <end>486</end>
      <status>unmodified</status>
      <modifiedWord/>
      <trackRevisions>false</trackRevisions>
    </reviewItem>
    <reviewItem>
      <errorID>e24f3de4-7105-434e-a166-dd757dc885ce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494</start>
      <end>497</end>
      <status>unmodified</status>
      <modifiedWord/>
      <trackRevisions>false</trackRevisions>
    </reviewItem>
    <reviewItem>
      <errorID>6097521e-7747-4367-963a-a70888c3fe72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510</start>
      <end>513</end>
      <status>unmodified</status>
      <modifiedWord/>
      <trackRevisions>false</trackRevisions>
    </reviewItem>
    <reviewItem>
      <errorID>69c45eae-fc72-43cf-a5c1-edd61f1a7d4a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521</start>
      <end>524</end>
      <status>unmodified</status>
      <modifiedWord/>
      <trackRevisions>false</trackRevisions>
    </reviewItem>
    <reviewItem>
      <errorID>be1204a0-421e-4989-9a98-1ae433c7ef54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535</start>
      <end>538</end>
      <status>unmodified</status>
      <modifiedWord/>
      <trackRevisions>false</trackRevisions>
    </reviewItem>
    <reviewItem>
      <errorID>50614f16-f2bc-4770-9ffe-beadc531d535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549</start>
      <end>552</end>
      <status>unmodified</status>
      <modifiedWord/>
      <trackRevisions>false</trackRevisions>
    </reviewItem>
    <reviewItem>
      <errorID>4cd493b5-ba9e-49b6-b40d-5dd198f2fb32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564</start>
      <end>567</end>
      <status>unmodified</status>
      <modifiedWord/>
      <trackRevisions>false</trackRevisions>
    </reviewItem>
    <reviewItem>
      <errorID>0a287d4c-0d04-492a-ae87-b468ff24b0e8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2F7B4BF2</paraID>
      <start>575</start>
      <end>578</end>
      <status>unmodified</status>
      <modifiedWord/>
      <trackRevisions>false</trackRevisions>
    </reviewItem>
    <reviewItem>
      <errorID>99a23d72-6a18-4853-9fe5-01b268eb7568</errorID>
      <errorWord>法律、法规</errorWord>
      <group>L1_Word</group>
      <groupName>字词问题</groupName>
      <ability>L2_Typo</ability>
      <abilityName>字词错误</abilityName>
      <candidateList>
        <item>法律法规</item>
      </candidateList>
      <explain/>
      <paraID>2F7B4BF2</paraID>
      <start>621</start>
      <end>626</end>
      <status>unmodified</status>
      <modifiedWord/>
      <trackRevisions>false</trackRevisions>
    </reviewItem>
    <reviewItem>
      <errorID>dbac4c9a-0cf8-406c-9041-92bce662984f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27</start>
      <end>30</end>
      <status>unmodified</status>
      <modifiedWord/>
      <trackRevisions>false</trackRevisions>
    </reviewItem>
    <reviewItem>
      <errorID>a7f79e71-dd6e-4e58-b4ae-b2061e7c014a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42</start>
      <end>45</end>
      <status>unmodified</status>
      <modifiedWord/>
      <trackRevisions>false</trackRevisions>
    </reviewItem>
    <reviewItem>
      <errorID>f94ee2ca-907e-4439-9e02-6460fe959954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61</start>
      <end>64</end>
      <status>unmodified</status>
      <modifiedWord/>
      <trackRevisions>false</trackRevisions>
    </reviewItem>
    <reviewItem>
      <errorID>e0cf82f2-58f8-42f4-aac4-3c97309d732e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81</start>
      <end>84</end>
      <status>unmodified</status>
      <modifiedWord/>
      <trackRevisions>false</trackRevisions>
    </reviewItem>
    <reviewItem>
      <errorID>b83a862b-3769-4875-ba79-6ac6c0859b65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96</start>
      <end>99</end>
      <status>unmodified</status>
      <modifiedWord/>
      <trackRevisions>false</trackRevisions>
    </reviewItem>
    <reviewItem>
      <errorID>401d84b8-97c6-4266-a0bb-a737e03d9652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113</start>
      <end>116</end>
      <status>unmodified</status>
      <modifiedWord/>
      <trackRevisions>false</trackRevisions>
    </reviewItem>
    <reviewItem>
      <errorID>38d63da7-b6d2-4cb0-808c-123944c0937e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281D3D83</paraID>
      <start>129</start>
      <end>132</end>
      <status>unmodified</status>
      <modifiedWord/>
      <trackRevisions>false</trackRevisions>
    </reviewItem>
    <reviewItem>
      <errorID>d2b1c347-3a90-46ad-8965-655528bc2c69</errorID>
      <errorWord>生产生产</errorWord>
      <group>L1_Word</group>
      <groupName>字词问题</groupName>
      <ability>L2_Typo</ability>
      <abilityName>字词错误</abilityName>
      <candidateList>
        <item>生产</item>
      </candidateList>
      <explain/>
      <paraID>281D3D83</paraID>
      <start>147</start>
      <end>151</end>
      <status>unmodified</status>
      <modifiedWord/>
      <trackRevisions>false</trackRevisions>
    </reviewItem>
    <reviewItem>
      <errorID>6960960c-703f-44a5-8589-bb6f554e21e0</errorID>
      <errorWord>责任应</errorWord>
      <group>L1_Word</group>
      <groupName>字词问题</groupName>
      <ability>L2_Typo</ability>
      <abilityName>字词错误</abilityName>
      <candidateList>
        <item>责任</item>
      </candidateList>
      <explain/>
      <paraID>281D3D83</paraID>
      <start>166</start>
      <end>169</end>
      <status>unmodified</status>
      <modifiedWord/>
      <trackRevisions>false</trackRevisions>
    </reviewItem>
    <reviewItem>
      <errorID>2105a9ba-8889-4e9f-bd2b-82cbed8a1126</errorID>
      <errorWord>法律、法规</errorWord>
      <group>L1_Word</group>
      <groupName>字词问题</groupName>
      <ability>L2_Typo</ability>
      <abilityName>字词错误</abilityName>
      <candidateList>
        <item>法律法规</item>
      </candidateList>
      <explain/>
      <paraID>281D3D83</paraID>
      <start>178</start>
      <end>183</end>
      <status>unmodified</status>
      <modifiedWord/>
      <trackRevisions>false</trackRevisions>
    </reviewItem>
    <reviewItem>
      <errorID>06516d2c-22f2-410a-991a-955f66420a94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30</start>
      <end>33</end>
      <status>unmodified</status>
      <modifiedWord/>
      <trackRevisions>false</trackRevisions>
    </reviewItem>
    <reviewItem>
      <errorID>24527483-d800-4650-b4ef-0f578886e065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43</start>
      <end>46</end>
      <status>unmodified</status>
      <modifiedWord/>
      <trackRevisions>false</trackRevisions>
    </reviewItem>
    <reviewItem>
      <errorID>49f879c3-7717-4164-94d2-2ec6daa58e1c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55</start>
      <end>58</end>
      <status>unmodified</status>
      <modifiedWord/>
      <trackRevisions>false</trackRevisions>
    </reviewItem>
    <reviewItem>
      <errorID>3d648d3b-996b-4479-97ba-ba67c158e5fc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72</start>
      <end>75</end>
      <status>unmodified</status>
      <modifiedWord/>
      <trackRevisions>false</trackRevisions>
    </reviewItem>
    <reviewItem>
      <errorID>0462c8c8-891d-4960-bf30-0618ee5d2dd8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93</start>
      <end>96</end>
      <status>unmodified</status>
      <modifiedWord/>
      <trackRevisions>false</trackRevisions>
    </reviewItem>
    <reviewItem>
      <errorID>5505bc22-6b4c-4e59-ab0e-92b5f20388ec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110</start>
      <end>113</end>
      <status>unmodified</status>
      <modifiedWord/>
      <trackRevisions>false</trackRevisions>
    </reviewItem>
    <reviewItem>
      <errorID>a37aae24-bb00-4e98-b90d-7038d64406ac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124</start>
      <end>127</end>
      <status>unmodified</status>
      <modifiedWord/>
      <trackRevisions>false</trackRevisions>
    </reviewItem>
    <reviewItem>
      <errorID>75872710-a99c-46a0-aed4-2cd26ac16e45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139</start>
      <end>142</end>
      <status>unmodified</status>
      <modifiedWord/>
      <trackRevisions>false</trackRevisions>
    </reviewItem>
    <reviewItem>
      <errorID>1afaf68f-a417-411e-914b-3ac5c84b8d0f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165</start>
      <end>168</end>
      <status>unmodified</status>
      <modifiedWord/>
      <trackRevisions>false</trackRevisions>
    </reviewItem>
    <reviewItem>
      <errorID>bb2bbad7-c0cc-4211-b1a3-d944c1b257b0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176</start>
      <end>179</end>
      <status>unmodified</status>
      <modifiedWord/>
      <trackRevisions>false</trackRevisions>
    </reviewItem>
    <reviewItem>
      <errorID>47dd6f63-b97d-4b06-af4a-f6cd979a626a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189</start>
      <end>192</end>
      <status>unmodified</status>
      <modifiedWord/>
      <trackRevisions>false</trackRevisions>
    </reviewItem>
    <reviewItem>
      <errorID>b670e5cc-e9ae-4d29-81aa-c8c42ce27d0f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206</start>
      <end>209</end>
      <status>unmodified</status>
      <modifiedWord/>
      <trackRevisions>false</trackRevisions>
    </reviewItem>
    <reviewItem>
      <errorID>0e8bdfe6-a1f5-4e9a-990f-73da998f8255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4CD7FB8</paraID>
      <start>218</start>
      <end>221</end>
      <status>unmodified</status>
      <modifiedWord/>
      <trackRevisions>false</trackRevisions>
    </reviewItem>
    <reviewItem>
      <errorID>f4c98550-cd94-437e-a649-8ca7477814eb</errorID>
      <errorWord>法律、法规</errorWord>
      <group>L1_Word</group>
      <groupName>字词问题</groupName>
      <ability>L2_Typo</ability>
      <abilityName>字词错误</abilityName>
      <candidateList>
        <item>法律法规</item>
      </candidateList>
      <explain/>
      <paraID> 4CD7FB8</paraID>
      <start>267</start>
      <end>272</end>
      <status>unmodified</status>
      <modifiedWord/>
      <trackRevisions>false</trackRevisions>
    </reviewItem>
    <reviewItem>
      <errorID>e75917a2-aac3-4626-b284-de91c5b2ad66</errorID>
      <errorWord>台帐</errorWord>
      <group>L1_Word</group>
      <groupName>字词问题</groupName>
      <ability>L2_Typo</ability>
      <abilityName>字词错误</abilityName>
      <candidateList>
        <item>台账</item>
      </candidateList>
      <explain/>
      <paraID>7185E6C2</paraID>
      <start>48</start>
      <end>50</end>
      <status>unmodified</status>
      <modifiedWord/>
      <trackRevisions>false</trackRevisions>
    </reviewItem>
    <reviewItem>
      <errorID>1f09bfdb-a5c4-4346-bdd7-d86acbadc177</errorID>
      <errorWord>有害因素辩识</errorWord>
      <group>L1_Word</group>
      <groupName>字词问题</groupName>
      <ability>L2_Typo</ability>
      <abilityName>字词错误</abilityName>
      <candidateList>
        <item>有害因素辨识</item>
      </candidateList>
      <explain/>
      <paraID>53D674DF</paraID>
      <start>9</start>
      <end>15</end>
      <status>unmodified</status>
      <modifiedWord/>
      <trackRevisions>false</trackRevisions>
    </reviewItem>
    <reviewItem>
      <errorID>c4afc211-ec0c-46ee-9b02-5088a34fe642</errorID>
      <errorWord>药料粉碎</errorWord>
      <group>L1_Word</group>
      <groupName>字词问题</groupName>
      <ability>L2_Typo</ability>
      <abilityName>字词错误</abilityName>
      <candidateList>
        <item>药材粉碎</item>
      </candidateList>
      <explain/>
      <paraID>1B99FEC3</paraID>
      <start>0</start>
      <end>4</end>
      <status>unmodified</status>
      <modifiedWord/>
      <trackRevisions>false</trackRevisions>
    </reviewItem>
    <reviewItem>
      <errorID>af03cb21-767b-464c-8163-dd283e8a63ad</errorID>
      <errorWord>(</errorWord>
      <group>L1_Format</group>
      <groupName>格式问题</groupName>
      <ability>L2_HalfPunc_CN</ability>
      <abilityName>全半角问题</abilityName>
      <candidateList>
        <item>（</item>
      </candidateList>
      <explain>文本全半角错误。</explain>
      <paraID>3DB11D95</paraID>
      <start>1</start>
      <end>2</end>
      <status>unmodified</status>
      <modifiedWord/>
      <trackRevisions>false</trackRevisions>
    </reviewItem>
    <reviewItem>
      <errorID>f84d3b1d-fc41-447d-89af-115510b8187f</errorID>
      <errorWord>)</errorWord>
      <group>L1_Format</group>
      <groupName>格式问题</groupName>
      <ability>L2_HalfPunc_CN</ability>
      <abilityName>全半角问题</abilityName>
      <candidateList>
        <item>）</item>
      </candidateList>
      <explain>文本全半角错误。</explain>
      <paraID>3DB11D95</paraID>
      <start>3</start>
      <end>4</end>
      <status>unmodified</status>
      <modifiedWord/>
      <trackRevisions>false</trackRevisions>
    </reviewItem>
    <reviewItem>
      <errorID>495833c0-59b1-44cb-aa34-84b6fed6027d</errorID>
      <errorWord>其它</errorWord>
      <group>L1_Word</group>
      <groupName>字词问题</groupName>
      <ability>L2_Alias</ability>
      <abilityName>也作/曾用词</abilityName>
      <candidateList>
        <item>其他</item>
      </candidateList>
      <explain>词汇[其它]为不规范表述或旧称，其规范书面表述为[其他]。</explain>
      <paraID>244B58FB</paraID>
      <start>33</start>
      <end>35</end>
      <status>unmodified</status>
      <modifiedWord/>
      <trackRevisions>false</trackRevisions>
    </reviewItem>
    <reviewItem>
      <errorID>3b8d3fcd-95c4-4cca-abb7-74e9f3d8697e</errorID>
      <errorWord>,</errorWord>
      <group>L1_Format</group>
      <groupName>格式问题</groupName>
      <ability>L2_HalfPunc_CN</ability>
      <abilityName>全半角问题</abilityName>
      <candidateList>
        <item>，</item>
      </candidateList>
      <explain>文本全半角错误。</explain>
      <paraID> C03F83B</paraID>
      <start>49</start>
      <end>50</end>
      <status>unmodified</status>
      <modifiedWord/>
      <trackRevisions>false</trackRevisions>
    </reviewItem>
    <reviewItem>
      <errorID>1fd9c9b3-9eaf-4749-8a96-aa06e6472d88</errorID>
      <errorWord>(</errorWord>
      <group>L1_Format</group>
      <groupName>格式问题</groupName>
      <ability>L2_HalfPunc_CN</ability>
      <abilityName>全半角问题</abilityName>
      <candidateList>
        <item>（</item>
      </candidateList>
      <explain>文本全半角错误。</explain>
      <paraID>2097E5CC</paraID>
      <start>52</start>
      <end>53</end>
      <status>unmodified</status>
      <modifiedWord/>
      <trackRevisions>false</trackRevisions>
    </reviewItem>
    <reviewItem>
      <errorID>4ed5f863-d466-4174-89c5-81b193429641</errorID>
      <errorWord>)</errorWord>
      <group>L1_Format</group>
      <groupName>格式问题</groupName>
      <ability>L2_HalfPunc_CN</ability>
      <abilityName>全半角问题</abilityName>
      <candidateList>
        <item>）</item>
      </candidateList>
      <explain>文本全半角错误。</explain>
      <paraID>2097E5CC</paraID>
      <start>55</start>
      <end>56</end>
      <status>unmodified</status>
      <modifiedWord/>
      <trackRevisions>false</trackRevisions>
    </reviewItem>
    <reviewItem>
      <errorID>4ff4b74f-0354-407b-a8ae-05b76e73938c</errorID>
      <errorWord>,</errorWord>
      <group>L1_Format</group>
      <groupName>格式问题</groupName>
      <ability>L2_HalfPunc_CN</ability>
      <abilityName>全半角问题</abilityName>
      <candidateList>
        <item>，</item>
      </candidateList>
      <explain>文本全半角错误。</explain>
      <paraID>69821129</paraID>
      <start>53</start>
      <end>54</end>
      <status>unmodified</status>
      <modifiedWord/>
      <trackRevisions>false</trackRevisions>
    </reviewItem>
    <reviewItem>
      <errorID>25cb98a9-eff9-43d0-bf4e-349fb4f4d5da</errorID>
      <errorWord>鼻粘膜</errorWord>
      <group>L1_Word</group>
      <groupName>字词问题</groupName>
      <ability>L2_Alias</ability>
      <abilityName>也作/曾用词</abilityName>
      <candidateList>
        <item>鼻黏膜</item>
      </candidateList>
      <explain>词汇[鼻粘膜]为不规范表述或旧称，其规范书面表述为[鼻黏膜]。</explain>
      <paraID>225ABA4D</paraID>
      <start>20</start>
      <end>23</end>
      <status>unmodified</status>
      <modifiedWord/>
      <trackRevisions>false</trackRevisions>
    </reviewItem>
    <reviewItem>
      <errorID>92d207e3-c064-4aa5-ab98-407be49709e7</errorID>
      <errorWord>(</errorWord>
      <group>L1_Format</group>
      <groupName>格式问题</groupName>
      <ability>L2_HalfPunc_CN</ability>
      <abilityName>全半角问题</abilityName>
      <candidateList>
        <item>（</item>
      </candidateList>
      <explain>文本全半角错误。</explain>
      <paraID>27B4D335</paraID>
      <start>37</start>
      <end>38</end>
      <status>unmodified</status>
      <modifiedWord/>
      <trackRevisions>false</trackRevisions>
    </reviewItem>
    <reviewItem>
      <errorID>7144d4b1-8528-457b-a4ea-74aaea2274ca</errorID>
      <errorWord>)</errorWord>
      <group>L1_Format</group>
      <groupName>格式问题</groupName>
      <ability>L2_HalfPunc_CN</ability>
      <abilityName>全半角问题</abilityName>
      <candidateList>
        <item>）</item>
      </candidateList>
      <explain>文本全半角错误。</explain>
      <paraID>27B4D335</paraID>
      <start>40</start>
      <end>41</end>
      <status>unmodified</status>
      <modifiedWord/>
      <trackRevisions>false</trackRevisions>
    </reviewItem>
    <reviewItem>
      <errorID>571c0006-c6cc-451e-9b03-b43f8c8f1848</errorID>
      <errorWord>(</errorWord>
      <group>L1_Format</group>
      <groupName>格式问题</groupName>
      <ability>L2_HalfPunc_CN</ability>
      <abilityName>全半角问题</abilityName>
      <candidateList>
        <item>（</item>
      </candidateList>
      <explain>文本全半角错误。</explain>
      <paraID>50C3135A</paraID>
      <start>69</start>
      <end>70</end>
      <status>unmodified</status>
      <modifiedWord/>
      <trackRevisions>false</trackRevisions>
    </reviewItem>
    <reviewItem>
      <errorID>5aaac2a2-b1d4-4872-aae2-7a82ce211fbc</errorID>
      <errorWord>)</errorWord>
      <group>L1_Format</group>
      <groupName>格式问题</groupName>
      <ability>L2_HalfPunc_CN</ability>
      <abilityName>全半角问题</abilityName>
      <candidateList>
        <item>）</item>
      </candidateList>
      <explain>文本全半角错误。</explain>
      <paraID>50C3135A</paraID>
      <start>72</start>
      <end>73</end>
      <status>unmodified</status>
      <modifiedWord/>
      <trackRevisions>false</trackRevisions>
    </reviewItem>
    <reviewItem>
      <errorID>ca3ce310-6f11-4328-b977-5a711dbe3acb</errorID>
      <errorWord>:</errorWord>
      <group>L1_Format</group>
      <groupName>格式问题</groupName>
      <ability>L2_HalfPunc_CN</ability>
      <abilityName>全半角问题</abilityName>
      <candidateList>
        <item>：</item>
      </candidateList>
      <explain>文本全半角错误。</explain>
      <paraID>58F1995C</paraID>
      <start>4</start>
      <end>5</end>
      <status>unmodified</status>
      <modifiedWord/>
      <trackRevisions>false</trackRevisions>
    </reviewItem>
    <reviewItem>
      <errorID>085e8dca-ace0-4e23-886b-d0d045c8f532</errorID>
      <errorWord>禁止震动、撞击和</errorWord>
      <group>L1_Word</group>
      <groupName>字词问题</groupName>
      <ability>L2_Typo</ability>
      <abilityName>字词错误</abilityName>
      <candidateList>
        <item>禁止振动、撞击和</item>
      </candidateList>
      <explain/>
      <paraID>7240073F</paraID>
      <start>86</start>
      <end>94</end>
      <status>unmodified</status>
      <modifiedWord/>
      <trackRevisions>false</trackRevisions>
    </reviewItem>
    <reviewItem>
      <errorID>4f768fac-015b-4ffd-befb-9e631334a6dc</errorID>
      <errorWord>(</errorWord>
      <group>L1_Format</group>
      <groupName>格式问题</groupName>
      <ability>L2_HalfPunc_CN</ability>
      <abilityName>全半角问题</abilityName>
      <candidateList>
        <item>（</item>
      </candidateList>
      <explain>文本全半角错误。</explain>
      <paraID>7C241F38</paraID>
      <start>33</start>
      <end>34</end>
      <status>unmodified</status>
      <modifiedWord/>
      <trackRevisions>false</trackRevisions>
    </reviewItem>
    <reviewItem>
      <errorID>0d75a9a5-6e55-4e19-88c9-58520686f08f</errorID>
      <errorWord>)</errorWord>
      <group>L1_Format</group>
      <groupName>格式问题</groupName>
      <ability>L2_HalfPunc_CN</ability>
      <abilityName>全半角问题</abilityName>
      <candidateList>
        <item>）</item>
      </candidateList>
      <explain>文本全半角错误。</explain>
      <paraID>7C241F38</paraID>
      <start>36</start>
      <end>37</end>
      <status>unmodified</status>
      <modifiedWord/>
      <trackRevisions>false</trackRevisions>
    </reviewItem>
    <reviewItem>
      <errorID>0396c8ce-c7d9-4b95-80ca-4e3db4a11e9c</errorID>
      <errorWord>(</errorWord>
      <group>L1_Format</group>
      <groupName>格式问题</groupName>
      <ability>L2_HalfPunc_CN</ability>
      <abilityName>全半角问题</abilityName>
      <candidateList>
        <item>（</item>
      </candidateList>
      <explain>文本全半角错误。</explain>
      <paraID> 735EDAB</paraID>
      <start>2</start>
      <end>3</end>
      <status>unmodified</status>
      <modifiedWord/>
      <trackRevisions>false</trackRevisions>
    </reviewItem>
    <reviewItem>
      <errorID>95b93876-7aea-43ad-8ac8-7f09e39fa3b6</errorID>
      <errorWord>)</errorWord>
      <group>L1_Format</group>
      <groupName>格式问题</groupName>
      <ability>L2_HalfPunc_CN</ability>
      <abilityName>全半角问题</abilityName>
      <candidateList>
        <item>）</item>
      </candidateList>
      <explain>文本全半角错误。</explain>
      <paraID> 735EDAB</paraID>
      <start>5</start>
      <end>6</end>
      <status>unmodified</status>
      <modifiedWord/>
      <trackRevisions>false</trackRevisions>
    </reviewItem>
    <reviewItem>
      <errorID>8aed696b-3a32-4fab-8dd9-55153c2113ad</errorID>
      <errorWord>其它</errorWord>
      <group>L1_Word</group>
      <groupName>字词问题</groupName>
      <ability>L2_Alias</ability>
      <abilityName>也作/曾用词</abilityName>
      <candidateList>
        <item>其他</item>
      </candidateList>
      <explain>词汇[其它]为不规范表述或旧称，其规范书面表述为[其他]。</explain>
      <paraID>4DBFC84A</paraID>
      <start>76</start>
      <end>78</end>
      <status>unmodified</status>
      <modifiedWord/>
      <trackRevisions>false</trackRevisions>
    </reviewItem>
    <reviewItem>
      <errorID>71c1d3ff-a0ea-4c05-9544-4af16aef21e0</errorID>
      <errorWord>,</errorWord>
      <group>L1_Format</group>
      <groupName>格式问题</groupName>
      <ability>L2_HalfPunc_CN</ability>
      <abilityName>全半角问题</abilityName>
      <candidateList>
        <item>，</item>
      </candidateList>
      <explain>文本全半角错误。</explain>
      <paraID>645FD26B</paraID>
      <start>17</start>
      <end>18</end>
      <status>unmodified</status>
      <modifiedWord/>
      <trackRevisions>false</trackRevisions>
    </reviewItem>
    <reviewItem>
      <errorID>a1e8c714-c6a7-4235-9b11-07eb82e3709b</errorID>
      <errorWord>.</errorWord>
      <group>L1_Format</group>
      <groupName>格式问题</groupName>
      <ability>L2_HalfPunc_CN</ability>
      <abilityName>全半角问题</abilityName>
      <candidateList>
        <item>。</item>
      </candidateList>
      <explain>文本全半角错误。</explain>
      <paraID>645FD26B</paraID>
      <start>22</start>
      <end>23</end>
      <status>unmodified</status>
      <modifiedWord/>
      <trackRevisions>false</trackRevisions>
    </reviewItem>
    <reviewItem>
      <errorID>f96f8fae-1b02-4598-919b-a453e715db6b</errorID>
      <errorWord>(</errorWord>
      <group>L1_Format</group>
      <groupName>格式问题</groupName>
      <ability>L2_HalfPunc_CN</ability>
      <abilityName>全半角问题</abilityName>
      <candidateList>
        <item>（</item>
      </candidateList>
      <explain>文本全半角错误。</explain>
      <paraID>645FD26B</paraID>
      <start>42</start>
      <end>43</end>
      <status>unmodified</status>
      <modifiedWord/>
      <trackRevisions>false</trackRevisions>
    </reviewItem>
    <reviewItem>
      <errorID>5548c001-9fee-42d8-a5aa-9dc7fa52d5f2</errorID>
      <errorWord>:</errorWord>
      <group>L1_Format</group>
      <groupName>格式问题</groupName>
      <ability>L2_HalfPunc_CN</ability>
      <abilityName>全半角问题</abilityName>
      <candidateList>
        <item>：</item>
      </candidateList>
      <explain>文本全半角错误。</explain>
      <paraID>41AFCED5</paraID>
      <start>4</start>
      <end>5</end>
      <status>unmodified</status>
      <modifiedWord/>
      <trackRevisions>false</trackRevisions>
    </reviewItem>
    <reviewItem>
      <errorID>6596c565-4b83-4e7b-a029-4f768098e343</errorID>
      <errorWord>具</errorWord>
      <group>L1_Word</group>
      <groupName>字词问题</groupName>
      <ability>L2_Typo</ability>
      <abilityName>字词错误</abilityName>
      <candidateList>
        <item>具有</item>
      </candidateList>
      <explain/>
      <paraID> BA5E46E</paraID>
      <start>5</start>
      <end>6</end>
      <status>unmodified</status>
      <modifiedWord/>
      <trackRevisions>false</trackRevisions>
    </reviewItem>
    <reviewItem>
      <errorID>0f16fc4a-de00-4bd1-9149-069e88c77962</errorID>
      <errorWord>紫绀</errorWord>
      <group>L1_Knowledge</group>
      <groupName>知识性问题</groupName>
      <ability>L2_Term</ability>
      <abilityName>专业术语</abilityName>
      <candidateList>
        <item>发绀</item>
      </candidateList>
      <explain>医学名词[紫绀]为不规范表述或旧称，其规范书面表述为[发绀]。</explain>
      <paraID> BA5E46E</paraID>
      <start>81</start>
      <end>83</end>
      <status>unmodified</status>
      <modifiedWord/>
      <trackRevisions>false</trackRevisions>
    </reviewItem>
    <reviewItem>
      <errorID>0d31a5fd-6f32-4a38-8708-b43339bd182c</errorID>
      <errorWord>其它有害</errorWord>
      <group>L1_Word</group>
      <groupName>字词问题</groupName>
      <ability>L2_Alias</ability>
      <abilityName>也作/曾用词</abilityName>
      <candidateList>
        <item>其他有害</item>
      </candidateList>
      <explain>词汇[其它有害]为不规范表述或旧称，其规范书面表述为[其他有害]。</explain>
      <paraID>76390322</paraID>
      <start>0</start>
      <end>4</end>
      <status>unmodified</status>
      <modifiedWord/>
      <trackRevisions>false</trackRevisions>
    </reviewItem>
    <reviewItem>
      <errorID>ae86d104-ce0b-4229-b560-63c6e23c9b9e</errorID>
      <errorWord>作</errorWord>
      <group>L1_Word</group>
      <groupName>字词问题</groupName>
      <ability>L2_Typo</ability>
      <abilityName>字词错误</abilityName>
      <candidateList>
        <item>做</item>
      </candidateList>
      <explain>存在发音相同字词的误用。</explain>
      <paraID>26B56B59</paraID>
      <start>61</start>
      <end>62</end>
      <status>unmodified</status>
      <modifiedWord/>
      <trackRevisions>false</trackRevisions>
    </reviewItem>
    <reviewItem>
      <errorID>1e0c9407-2216-4023-b8e5-ed6b81068e56</errorID>
      <errorWord>,</errorWord>
      <group>L1_Format</group>
      <groupName>格式问题</groupName>
      <ability>L2_HalfPunc_CN</ability>
      <abilityName>全半角问题</abilityName>
      <candidateList>
        <item>，</item>
      </candidateList>
      <explain>文本全半角错误。</explain>
      <paraID>375E349D</paraID>
      <start>61</start>
      <end>62</end>
      <status>unmodified</status>
      <modifiedWord/>
      <trackRevisions>false</trackRevisions>
    </reviewItem>
    <reviewItem>
      <errorID>8c85edbe-ef1b-4939-878c-cfc5469526bd</errorID>
      <errorWord>心律紊乱</errorWord>
      <group>L1_Knowledge</group>
      <groupName>知识性问题</groupName>
      <ability>L2_Term</ability>
      <abilityName>专业术语</abilityName>
      <candidateList>
        <item>心律失常</item>
      </candidateList>
      <explain>医学名词[心律紊乱]为不规范表述或旧称，其规范书面表述为[心律失常]。</explain>
      <paraID>1C56F9D6</paraID>
      <start>51</start>
      <end>55</end>
      <status>unmodified</status>
      <modifiedWord/>
      <trackRevisions>false</trackRevisions>
    </reviewItem>
    <reviewItem>
      <errorID>04c3377a-a1f4-4236-9131-60bb2aa4f9ae</errorID>
      <errorWord>心律紊乱</errorWord>
      <group>L1_Knowledge</group>
      <groupName>知识性问题</groupName>
      <ability>L2_Term</ability>
      <abilityName>专业术语</abilityName>
      <candidateList>
        <item>心律失常</item>
      </candidateList>
      <explain>医学名词[心律紊乱]为不规范表述或旧称，其规范书面表述为[心律失常]。</explain>
      <paraID>1C56F9D6</paraID>
      <start>72</start>
      <end>76</end>
      <status>unmodified</status>
      <modifiedWord/>
      <trackRevisions>false</trackRevisions>
    </reviewItem>
    <reviewItem>
      <errorID>9bc24415-130e-42f9-9263-151800f3e1c3</errorID>
      <errorWord>其它有害</errorWord>
      <group>L1_Word</group>
      <groupName>字词问题</groupName>
      <ability>L2_Alias</ability>
      <abilityName>也作/曾用词</abilityName>
      <candidateList>
        <item>其他有害</item>
      </candidateList>
      <explain>词汇[其它有害]为不规范表述或旧称，其规范书面表述为[其他有害]。</explain>
      <paraID>4FBB3E0A</paraID>
      <start>0</start>
      <end>4</end>
      <status>unmodified</status>
      <modifiedWord/>
      <trackRevisions>false</trackRevisions>
    </reviewItem>
    <reviewItem>
      <errorID>3e719233-9b1f-43db-abfa-6b529aeaaa73</errorID>
      <errorWord>(</errorWord>
      <group>L1_Format</group>
      <groupName>格式问题</groupName>
      <ability>L2_HalfPunc_CN</ability>
      <abilityName>全半角问题</abilityName>
      <candidateList>
        <item>（</item>
      </candidateList>
      <explain>文本全半角错误。</explain>
      <paraID>6D073DC7</paraID>
      <start>40</start>
      <end>41</end>
      <status>unmodified</status>
      <modifiedWord/>
      <trackRevisions>false</trackRevisions>
    </reviewItem>
    <reviewItem>
      <errorID>83b98e21-371d-47b4-aac0-ecc44f23ba8a</errorID>
      <errorWord>)</errorWord>
      <group>L1_Format</group>
      <groupName>格式问题</groupName>
      <ability>L2_HalfPunc_CN</ability>
      <abilityName>全半角问题</abilityName>
      <candidateList>
        <item>）</item>
      </candidateList>
      <explain>文本全半角错误。</explain>
      <paraID>6D073DC7</paraID>
      <start>43</start>
      <end>44</end>
      <status>unmodified</status>
      <modifiedWord/>
      <trackRevisions>false</trackRevisions>
    </reviewItem>
    <reviewItem>
      <errorID>ebc2d07a-fe94-4f60-b381-0ccb6b2d3b1f</errorID>
      <errorWord>具</errorWord>
      <group>L1_Word</group>
      <groupName>字词问题</groupName>
      <ability>L2_Typo</ability>
      <abilityName>字词错误</abilityName>
      <candidateList>
        <item>具有</item>
      </candidateList>
      <explain/>
      <paraID>28023D0E</paraID>
      <start>5</start>
      <end>6</end>
      <status>unmodified</status>
      <modifiedWord/>
      <trackRevisions>false</trackRevisions>
    </reviewItem>
    <reviewItem>
      <errorID>01b0ad7c-1857-445f-bbf0-a2d55e8eebb9</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28023D0E</paraID>
      <start>57</start>
      <end>60</end>
      <status>unmodified</status>
      <modifiedWord/>
      <trackRevisions>false</trackRevisions>
    </reviewItem>
    <reviewItem>
      <errorID>3d2094b7-5a19-4dc6-8398-f765bdf8e52a</errorID>
      <errorWord>鼻粘膜</errorWord>
      <group>L1_Word</group>
      <groupName>字词问题</groupName>
      <ability>L2_Alias</ability>
      <abilityName>也作/曾用词</abilityName>
      <candidateList>
        <item>鼻黏膜</item>
      </candidateList>
      <explain>词汇[鼻粘膜]为不规范表述或旧称，其规范书面表述为[鼻黏膜]。</explain>
      <paraID>28023D0E</paraID>
      <start>82</start>
      <end>85</end>
      <status>unmodified</status>
      <modifiedWord/>
      <trackRevisions>false</trackRevisions>
    </reviewItem>
    <reviewItem>
      <errorID>8c1d1fb3-6174-4bbd-8c4c-583e9d98da7e</errorID>
      <errorWord>曝晒</errorWord>
      <group>L1_Word</group>
      <groupName>字词问题</groupName>
      <ability>L2_Typo</ability>
      <abilityName>字词错误</abilityName>
      <candidateList>
        <item>暴晒</item>
      </candidateList>
      <explain/>
      <paraID>5806318A</paraID>
      <start>138</start>
      <end>140</end>
      <status>unmodified</status>
      <modifiedWord/>
      <trackRevisions>false</trackRevisions>
    </reviewItem>
    <reviewItem>
      <errorID>12cf15e9-213d-4000-af84-d9056f0b38ee</errorID>
      <errorWord>(</errorWord>
      <group>L1_Format</group>
      <groupName>格式问题</groupName>
      <ability>L2_HalfPunc_CN</ability>
      <abilityName>全半角问题</abilityName>
      <candidateList>
        <item>（</item>
      </candidateList>
      <explain>文本全半角错误。</explain>
      <paraID>50B7CD27</paraID>
      <start>6</start>
      <end>7</end>
      <status>unmodified</status>
      <modifiedWord/>
      <trackRevisions>false</trackRevisions>
    </reviewItem>
    <reviewItem>
      <errorID>27b56176-e4c5-43df-9680-c78a85afbf7e</errorID>
      <errorWord>)</errorWord>
      <group>L1_Format</group>
      <groupName>格式问题</groupName>
      <ability>L2_HalfPunc_CN</ability>
      <abilityName>全半角问题</abilityName>
      <candidateList>
        <item>）</item>
      </candidateList>
      <explain>文本全半角错误。</explain>
      <paraID>50B7CD27</paraID>
      <start>9</start>
      <end>10</end>
      <status>unmodified</status>
      <modifiedWord/>
      <trackRevisions>false</trackRevisions>
    </reviewItem>
    <reviewItem>
      <errorID>9f989f28-4b29-472b-8876-b64e3bc9ca7a</errorID>
      <errorWord>硫磺</errorWord>
      <group>L1_Word</group>
      <groupName>字词问题</groupName>
      <ability>L2_Typo</ability>
      <abilityName>字词错误</abilityName>
      <candidateList>
        <item>硫黄</item>
      </candidateList>
      <explain/>
      <paraID>57DC672B</paraID>
      <start>0</start>
      <end>2</end>
      <status>unmodified</status>
      <modifiedWord/>
      <trackRevisions>false</trackRevisions>
    </reviewItem>
    <reviewItem>
      <errorID>5328444e-2d51-4667-be99-a2eb525fbcb8</errorID>
      <errorWord>,</errorWord>
      <group>L1_Format</group>
      <groupName>格式问题</groupName>
      <ability>L2_HalfPunc_CN</ability>
      <abilityName>全半角问题</abilityName>
      <candidateList>
        <item>，</item>
      </candidateList>
      <explain>文本全半角错误。</explain>
      <paraID>2E9E40BC</paraID>
      <start>7</start>
      <end>8</end>
      <status>unmodified</status>
      <modifiedWord/>
      <trackRevisions>false</trackRevisions>
    </reviewItem>
    <reviewItem>
      <errorID>c436a163-2515-4c40-8b3d-75fa173c10b7</errorID>
      <errorWord>,</errorWord>
      <group>L1_Format</group>
      <groupName>格式问题</groupName>
      <ability>L2_HalfPunc_CN</ability>
      <abilityName>全半角问题</abilityName>
      <candidateList>
        <item>，</item>
      </candidateList>
      <explain>文本全半角错误。</explain>
      <paraID>2E9E40BC</paraID>
      <start>11</start>
      <end>12</end>
      <status>unmodified</status>
      <modifiedWord/>
      <trackRevisions>false</trackRevisions>
    </reviewItem>
    <reviewItem>
      <errorID>d52d23b4-6b2e-4f24-897b-74ec3a85d13a</errorID>
      <errorWord>(</errorWord>
      <group>L1_Format</group>
      <groupName>格式问题</groupName>
      <ability>L2_HalfPunc_CN</ability>
      <abilityName>全半角问题</abilityName>
      <candidateList>
        <item>（</item>
      </candidateList>
      <explain>文本全半角错误。</explain>
      <paraID>661E616A</paraID>
      <start>45</start>
      <end>46</end>
      <status>unmodified</status>
      <modifiedWord/>
      <trackRevisions>false</trackRevisions>
    </reviewItem>
    <reviewItem>
      <errorID>d0a51478-3ac1-4eea-ad76-d553061858da</errorID>
      <errorWord>)</errorWord>
      <group>L1_Format</group>
      <groupName>格式问题</groupName>
      <ability>L2_HalfPunc_CN</ability>
      <abilityName>全半角问题</abilityName>
      <candidateList>
        <item>）</item>
      </candidateList>
      <explain>文本全半角错误。</explain>
      <paraID>661E616A</paraID>
      <start>49</start>
      <end>50</end>
      <status>unmodified</status>
      <modifiedWord/>
      <trackRevisions>false</trackRevisions>
    </reviewItem>
    <reviewItem>
      <errorID>87fca1d7-173d-430c-b069-5a61128c01a8</errorID>
      <errorWord>(</errorWord>
      <group>L1_Format</group>
      <groupName>格式问题</groupName>
      <ability>L2_HalfPunc_CN</ability>
      <abilityName>全半角问题</abilityName>
      <candidateList>
        <item>（</item>
      </candidateList>
      <explain>文本全半角错误。</explain>
      <paraID>6F703EC0</paraID>
      <start>43</start>
      <end>44</end>
      <status>unmodified</status>
      <modifiedWord/>
      <trackRevisions>false</trackRevisions>
    </reviewItem>
    <reviewItem>
      <errorID>3cdb9866-4356-4357-a896-af501794b71a</errorID>
      <errorWord>)</errorWord>
      <group>L1_Format</group>
      <groupName>格式问题</groupName>
      <ability>L2_HalfPunc_CN</ability>
      <abilityName>全半角问题</abilityName>
      <candidateList>
        <item>）</item>
      </candidateList>
      <explain>文本全半角错误。</explain>
      <paraID>6F703EC0</paraID>
      <start>46</start>
      <end>47</end>
      <status>unmodified</status>
      <modifiedWord/>
      <trackRevisions>false</trackRevisions>
    </reviewItem>
    <reviewItem>
      <errorID>8580f056-baf4-48b9-8028-0afd3a23e42a</errorID>
      <errorWord>,</errorWord>
      <group>L1_Format</group>
      <groupName>格式问题</groupName>
      <ability>L2_HalfPunc_CN</ability>
      <abilityName>全半角问题</abilityName>
      <candidateList>
        <item>，</item>
      </candidateList>
      <explain>文本全半角错误。</explain>
      <paraID>2563A577</paraID>
      <start>15</start>
      <end>16</end>
      <status>unmodified</status>
      <modifiedWord/>
      <trackRevisions>false</trackRevisions>
    </reviewItem>
    <reviewItem>
      <errorID>b8b8645d-0550-4f0b-80d1-a2c0fe002d44</errorID>
      <errorWord>,</errorWord>
      <group>L1_Format</group>
      <groupName>格式问题</groupName>
      <ability>L2_HalfPunc_CN</ability>
      <abilityName>全半角问题</abilityName>
      <candidateList>
        <item>，</item>
      </candidateList>
      <explain>文本全半角错误。</explain>
      <paraID>2563A577</paraID>
      <start>37</start>
      <end>38</end>
      <status>unmodified</status>
      <modifiedWord/>
      <trackRevisions>false</trackRevisions>
    </reviewItem>
    <reviewItem>
      <errorID>c345866c-c2e8-411d-bcce-5c5ac7c37967</errorID>
      <errorWord>：&gt;</errorWord>
      <group>L1_Punc</group>
      <groupName>标点问题</groupName>
      <ability>L2_Punc_CN</ability>
      <abilityName>标点符号问题</abilityName>
      <candidateList>
        <item>：</item>
      </candidateList>
      <explain/>
      <paraID>17D8B7B7</paraID>
      <start>6</start>
      <end>8</end>
      <status>unmodified</status>
      <modifiedWord/>
      <trackRevisions>false</trackRevisions>
    </reviewItem>
    <reviewItem>
      <errorID>f956307d-85a9-4db5-833f-b1d81616fc82</errorID>
      <errorWord>(</errorWord>
      <group>L1_Format</group>
      <groupName>格式问题</groupName>
      <ability>L2_HalfPunc_CN</ability>
      <abilityName>全半角问题</abilityName>
      <candidateList>
        <item>（</item>
      </candidateList>
      <explain>文本全半角错误。</explain>
      <paraID>17D8B7B7</paraID>
      <start>11</start>
      <end>12</end>
      <status>unmodified</status>
      <modifiedWord/>
      <trackRevisions>false</trackRevisions>
    </reviewItem>
    <reviewItem>
      <errorID>ab192cc3-1a2a-4ff1-b567-99d46d9323df</errorID>
      <errorWord>)</errorWord>
      <group>L1_Format</group>
      <groupName>格式问题</groupName>
      <ability>L2_HalfPunc_CN</ability>
      <abilityName>全半角问题</abilityName>
      <candidateList>
        <item>）</item>
      </candidateList>
      <explain>文本全半角错误。</explain>
      <paraID>17D8B7B7</paraID>
      <start>18</start>
      <end>19</end>
      <status>unmodified</status>
      <modifiedWord/>
      <trackRevisions>false</trackRevisions>
    </reviewItem>
    <reviewItem>
      <errorID>39efe3b1-e196-4c1d-8d0e-710af1924596</errorID>
      <errorWord>具</errorWord>
      <group>L1_Word</group>
      <groupName>字词问题</groupName>
      <ability>L2_Typo</ability>
      <abilityName>字词错误</abilityName>
      <candidateList>
        <item>具有</item>
      </candidateList>
      <explain/>
      <paraID>1734CD25</paraID>
      <start>7</start>
      <end>8</end>
      <status>unmodified</status>
      <modifiedWord/>
      <trackRevisions>false</trackRevisions>
    </reviewItem>
    <reviewItem>
      <errorID>987b4ec6-a712-480b-8b8a-89762f8e8100</errorID>
      <errorWord>,</errorWord>
      <group>L1_Format</group>
      <groupName>格式问题</groupName>
      <ability>L2_HalfPunc_CN</ability>
      <abilityName>全半角问题</abilityName>
      <candidateList>
        <item>，</item>
      </candidateList>
      <explain>文本全半角错误。</explain>
      <paraID>1734CD25</paraID>
      <start>118</start>
      <end>119</end>
      <status>unmodified</status>
      <modifiedWord/>
      <trackRevisions>false</trackRevisions>
    </reviewItem>
    <reviewItem>
      <errorID>0ce9f658-3d88-4a5b-8bd5-f7aea2403dff</errorID>
      <errorWord>,</errorWord>
      <group>L1_Format</group>
      <groupName>格式问题</groupName>
      <ability>L2_HalfPunc_CN</ability>
      <abilityName>全半角问题</abilityName>
      <candidateList>
        <item>，</item>
      </candidateList>
      <explain>文本全半角错误。</explain>
      <paraID>1734CD25</paraID>
      <start>143</start>
      <end>144</end>
      <status>unmodified</status>
      <modifiedWord/>
      <trackRevisions>false</trackRevisions>
    </reviewItem>
    <reviewItem>
      <errorID>673699f6-7ce2-472e-8008-24566a85bbfe</errorID>
      <errorWord>性力</errorWord>
      <group>L1_Word</group>
      <groupName>字词问题</groupName>
      <ability>L2_Typo</ability>
      <abilityName>字词错误</abilityName>
      <candidateList>
        <item>性</item>
      </candidateList>
      <explain/>
      <paraID>5FAECADF</paraID>
      <start>60</start>
      <end>62</end>
      <status>unmodified</status>
      <modifiedWord/>
      <trackRevisions>false</trackRevisions>
    </reviewItem>
    <reviewItem>
      <errorID>50f1c5af-abf0-4fbb-a8fb-ca1b035b06a1</errorID>
      <errorWord>二种</errorWord>
      <group>L1_Word</group>
      <groupName>字词问题</groupName>
      <ability>L2_Typo</ability>
      <abilityName>字词错误</abilityName>
      <candidateList>
        <item>两种</item>
      </candidateList>
      <explain/>
      <paraID>18694CFE</paraID>
      <start>12</start>
      <end>14</end>
      <status>unmodified</status>
      <modifiedWord/>
      <trackRevisions>false</trackRevisions>
    </reviewItem>
    <reviewItem>
      <errorID>5e0b4339-1bc0-45a7-a307-0d08e40e338c</errorID>
      <errorWord>：&gt;</errorWord>
      <group>L1_Punc</group>
      <groupName>标点问题</groupName>
      <ability>L2_Punc_CN</ability>
      <abilityName>标点符号问题</abilityName>
      <candidateList>
        <item>：</item>
      </candidateList>
      <explain/>
      <paraID>25B0683F</paraID>
      <start>9</start>
      <end>11</end>
      <status>unmodified</status>
      <modifiedWord/>
      <trackRevisions>false</trackRevisions>
    </reviewItem>
    <reviewItem>
      <errorID>998848d2-4076-4e12-a5e1-51557f67cef9</errorID>
      <errorWord>：&gt;</errorWord>
      <group>L1_Punc</group>
      <groupName>标点问题</groupName>
      <ability>L2_Punc_CN</ability>
      <abilityName>标点符号问题</abilityName>
      <candidateList>
        <item>：</item>
      </candidateList>
      <explain/>
      <paraID>25B0683F</paraID>
      <start>42</start>
      <end>44</end>
      <status>unmodified</status>
      <modifiedWord/>
      <trackRevisions>false</trackRevisions>
    </reviewItem>
    <reviewItem>
      <errorID>e1b8494b-517b-4568-b3cc-da1a896a70e5</errorID>
      <errorWord>具</errorWord>
      <group>L1_Word</group>
      <groupName>字词问题</groupName>
      <ability>L2_Typo</ability>
      <abilityName>字词错误</abilityName>
      <candidateList>
        <item>具有</item>
      </candidateList>
      <explain/>
      <paraID>5DC70F25</paraID>
      <start>5</start>
      <end>6</end>
      <status>unmodified</status>
      <modifiedWord/>
      <trackRevisions>false</trackRevisions>
    </reviewItem>
    <reviewItem>
      <errorID>ba4fc199-60ef-4979-aec1-ebd2c5ee96ec</errorID>
      <errorWord>二氧脂碳</errorWord>
      <group>L1_Word</group>
      <groupName>字词问题</groupName>
      <ability>L2_Typo</ability>
      <abilityName>字词错误</abilityName>
      <candidateList>
        <item>二氧化碳</item>
      </candidateList>
      <explain/>
      <paraID>5DC70F25</paraID>
      <start>73</start>
      <end>77</end>
      <status>unmodified</status>
      <modifiedWord/>
      <trackRevisions>false</trackRevisions>
    </reviewItem>
    <reviewItem>
      <errorID>f928471b-8123-4ed9-8ba9-cb2a124c0fee</errorID>
      <errorWord>动</errorWord>
      <group>L1_Word</group>
      <groupName>字词问题</groupName>
      <ability>L2_Typo</ability>
      <abilityName>字词错误</abilityName>
      <candidateList>
        <item>动保</item>
      </candidateList>
      <explain/>
      <paraID>7E184E6F</paraID>
      <start>17</start>
      <end>18</end>
      <status>unmodified</status>
      <modifiedWord/>
      <trackRevisions>false</trackRevisions>
    </reviewItem>
    <reviewItem>
      <errorID>c2107a2c-7139-4f35-81b8-aadc8dbf0a13</errorID>
      <errorWord>在有</errorWord>
      <group>L1_Word</group>
      <groupName>字词问题</groupName>
      <ability>L2_Typo</ability>
      <abilityName>字词错误</abilityName>
      <candidateList>
        <item>在</item>
      </candidateList>
      <explain/>
      <paraID> 585FB4E</paraID>
      <start>10</start>
      <end>12</end>
      <status>unmodified</status>
      <modifiedWord/>
      <trackRevisions>false</trackRevisions>
    </reviewItem>
    <reviewItem>
      <errorID>292f2466-0fc4-4915-b703-925381778414</errorID>
      <errorWord>Kg</errorWord>
      <group>L1_Word</group>
      <groupName>字词问题</groupName>
      <ability>L2_Typo</ability>
      <abilityName>字词错误</abilityName>
      <candidateList>
        <item>kg</item>
      </candidateList>
      <explain/>
      <paraID>21C8A410</paraID>
      <start>7</start>
      <end>9</end>
      <status>unmodified</status>
      <modifiedWord/>
      <trackRevisions>false</trackRevisions>
    </reviewItem>
    <reviewItem>
      <errorID>df1f8409-2099-44c7-a820-60e86082779b</errorID>
      <errorWord>Kg</errorWord>
      <group>L1_Word</group>
      <groupName>字词问题</groupName>
      <ability>L2_Typo</ability>
      <abilityName>字词错误</abilityName>
      <candidateList>
        <item>kg</item>
      </candidateList>
      <explain/>
      <paraID>341CDC92</paraID>
      <start>26</start>
      <end>28</end>
      <status>unmodified</status>
      <modifiedWord/>
      <trackRevisions>false</trackRevisions>
    </reviewItem>
    <reviewItem>
      <errorID>ba91db52-75d8-4648-af33-70962f20501d</errorID>
      <errorWord>在有</errorWord>
      <group>L1_Word</group>
      <groupName>字词问题</groupName>
      <ability>L2_Typo</ability>
      <abilityName>字词错误</abilityName>
      <candidateList>
        <item>在</item>
      </candidateList>
      <explain/>
      <paraID>1153D461</paraID>
      <start>10</start>
      <end>12</end>
      <status>unmodified</status>
      <modifiedWord/>
      <trackRevisions>false</trackRevisions>
    </reviewItem>
    <reviewItem>
      <errorID>138fc382-ec28-4d3c-bfae-c81ba5a72b94</errorID>
      <errorWord>禁止震动、撞击和</errorWord>
      <group>L1_Word</group>
      <groupName>字词问题</groupName>
      <ability>L2_Typo</ability>
      <abilityName>字词错误</abilityName>
      <candidateList>
        <item>禁止振动、撞击和</item>
      </candidateList>
      <explain/>
      <paraID>19070B61</paraID>
      <start>89</start>
      <end>97</end>
      <status>unmodified</status>
      <modifiedWord/>
      <trackRevisions>false</trackRevisions>
    </reviewItem>
    <reviewItem>
      <errorID>2f1bac2d-7a9f-4aad-bf9c-59b5d4e5d92c</errorID>
      <errorWord>～</errorWord>
      <group>L1_Format</group>
      <groupName>格式问题</groupName>
      <ability>L2_HalfPunc_CN</ability>
      <abilityName>全半角问题</abilityName>
      <candidateList>
        <item>~</item>
      </candidateList>
      <explain>文本全半角错误。</explain>
      <paraID>5D8737BC</paraID>
      <start>3</start>
      <end>4</end>
      <status>unmodified</status>
      <modifiedWord/>
      <trackRevisions>false</trackRevisions>
    </reviewItem>
    <reviewItem>
      <errorID>0005f6f3-4db7-48e0-a606-79f892cc2329</errorID>
      <errorWord>(</errorWord>
      <group>L1_Format</group>
      <groupName>格式问题</groupName>
      <ability>L2_HalfPunc_CN</ability>
      <abilityName>全半角问题</abilityName>
      <candidateList>
        <item>（</item>
      </candidateList>
      <explain>文本全半角错误。</explain>
      <paraID>5D461A81</paraID>
      <start>4</start>
      <end>5</end>
      <status>unmodified</status>
      <modifiedWord/>
      <trackRevisions>false</trackRevisions>
    </reviewItem>
    <reviewItem>
      <errorID>486bad6e-3bdc-4885-94d6-a0a96e3ef1d4</errorID>
      <errorWord>)</errorWord>
      <group>L1_Format</group>
      <groupName>格式问题</groupName>
      <ability>L2_HalfPunc_CN</ability>
      <abilityName>全半角问题</abilityName>
      <candidateList>
        <item>）</item>
      </candidateList>
      <explain>文本全半角错误。</explain>
      <paraID>5D461A81</paraID>
      <start>19</start>
      <end>20</end>
      <status>unmodified</status>
      <modifiedWord/>
      <trackRevisions>false</trackRevisions>
    </reviewItem>
    <reviewItem>
      <errorID>ccd667f5-1e77-4234-a3c3-ee4ab528e494</errorID>
      <errorWord>Kg</errorWord>
      <group>L1_Word</group>
      <groupName>字词问题</groupName>
      <ability>L2_Typo</ability>
      <abilityName>字词错误</abilityName>
      <candidateList>
        <item>kg</item>
      </candidateList>
      <explain/>
      <paraID>78772524</paraID>
      <start>7</start>
      <end>9</end>
      <status>unmodified</status>
      <modifiedWord/>
      <trackRevisions>false</trackRevisions>
    </reviewItem>
    <reviewItem>
      <errorID>f26024ee-1eb2-4e0f-aa87-e1495a0a9326</errorID>
      <errorWord>Kg</errorWord>
      <group>L1_Word</group>
      <groupName>字词问题</groupName>
      <ability>L2_Typo</ability>
      <abilityName>字词错误</abilityName>
      <candidateList>
        <item>kg</item>
      </candidateList>
      <explain/>
      <paraID>53E62B37</paraID>
      <start>7</start>
      <end>9</end>
      <status>unmodified</status>
      <modifiedWord/>
      <trackRevisions>false</trackRevisions>
    </reviewItem>
    <reviewItem>
      <errorID>f6108353-b1ec-4a9f-9055-65ae3c96ea58</errorID>
      <errorWord>Kg</errorWord>
      <group>L1_Word</group>
      <groupName>字词问题</groupName>
      <ability>L2_Typo</ability>
      <abilityName>字词错误</abilityName>
      <candidateList>
        <item>kg</item>
      </candidateList>
      <explain/>
      <paraID>34C54DA0</paraID>
      <start>5</start>
      <end>7</end>
      <status>unmodified</status>
      <modifiedWord/>
      <trackRevisions>false</trackRevisions>
    </reviewItem>
    <reviewItem>
      <errorID>7ef6be48-38a9-4eb0-a3a8-0cd4222f0048</errorID>
      <errorWord>Kg</errorWord>
      <group>L1_Word</group>
      <groupName>字词问题</groupName>
      <ability>L2_Typo</ability>
      <abilityName>字词错误</abilityName>
      <candidateList>
        <item>kg</item>
      </candidateList>
      <explain/>
      <paraID>3631C8C2</paraID>
      <start>6</start>
      <end>8</end>
      <status>unmodified</status>
      <modifiedWord/>
      <trackRevisions>false</trackRevisions>
    </reviewItem>
    <reviewItem>
      <errorID>c23856fd-5c8c-4e5e-9bd6-94c8e2dd659a</errorID>
      <errorWord>(</errorWord>
      <group>L1_Format</group>
      <groupName>格式问题</groupName>
      <ability>L2_HalfPunc_CN</ability>
      <abilityName>全半角问题</abilityName>
      <candidateList>
        <item>（</item>
      </candidateList>
      <explain>文本全半角错误。</explain>
      <paraID> 5ECBA66</paraID>
      <start>6</start>
      <end>7</end>
      <status>unmodified</status>
      <modifiedWord/>
      <trackRevisions>false</trackRevisions>
    </reviewItem>
    <reviewItem>
      <errorID>50594eb7-077f-4407-aa67-eed921837f9a</errorID>
      <errorWord>)</errorWord>
      <group>L1_Format</group>
      <groupName>格式问题</groupName>
      <ability>L2_HalfPunc_CN</ability>
      <abilityName>全半角问题</abilityName>
      <candidateList>
        <item>）</item>
      </candidateList>
      <explain>文本全半角错误。</explain>
      <paraID> 5ECBA66</paraID>
      <start>12</start>
      <end>13</end>
      <status>unmodified</status>
      <modifiedWord/>
      <trackRevisions>false</trackRevisions>
    </reviewItem>
    <reviewItem>
      <errorID>61a3956b-9035-4a64-a0a1-99eb174f4511</errorID>
      <errorWord>它</errorWord>
      <group>L1_Word</group>
      <groupName>字词问题</groupName>
      <ability>L2_Typo</ability>
      <abilityName>字词错误</abilityName>
      <candidateList>
        <item>他</item>
      </candidateList>
      <explain/>
      <paraID> 837E743</paraID>
      <start>2</start>
      <end>3</end>
      <status>unmodified</status>
      <modifiedWord/>
      <trackRevisions>false</trackRevisions>
    </reviewItem>
    <reviewItem>
      <errorID>a8c72e4d-467e-4d9b-83ec-ab30af5297f2</errorID>
      <errorWord>碰损</errorWord>
      <group>L1_Word</group>
      <groupName>字词问题</groupName>
      <ability>L2_Typo</ability>
      <abilityName>字词错误</abilityName>
      <candidateList>
        <item>破损</item>
      </candidateList>
      <explain/>
      <paraID>63767C68</paraID>
      <start>59</start>
      <end>61</end>
      <status>unmodified</status>
      <modifiedWord/>
      <trackRevisions>false</trackRevisions>
    </reviewItem>
    <reviewItem>
      <errorID>7980d399-909a-42e8-9323-64e4c508d9a1</errorID>
      <errorWord>其它</errorWord>
      <group>L1_Word</group>
      <groupName>字词问题</groupName>
      <ability>L2_Alias</ability>
      <abilityName>也作/曾用词</abilityName>
      <candidateList>
        <item>其他</item>
      </candidateList>
      <explain>词汇[其它]为不规范表述或旧称，其规范书面表述为[其他]。</explain>
      <paraID>63767C68</paraID>
      <start>134</start>
      <end>136</end>
      <status>unmodified</status>
      <modifiedWord/>
      <trackRevisions>false</trackRevisions>
    </reviewItem>
    <reviewItem>
      <errorID>4c26d112-a939-45f9-9dbe-1b35fe2dda9f</errorID>
      <errorWord>其它</errorWord>
      <group>L1_Word</group>
      <groupName>字词问题</groupName>
      <ability>L2_Alias</ability>
      <abilityName>也作/曾用词</abilityName>
      <candidateList>
        <item>其他</item>
      </candidateList>
      <explain>词汇[其它]为不规范表述或旧称，其规范书面表述为[其他]。</explain>
      <paraID>63767C68</paraID>
      <start>175</start>
      <end>177</end>
      <status>unmodified</status>
      <modifiedWord/>
      <trackRevisions>false</trackRevisions>
    </reviewItem>
    <reviewItem>
      <errorID>cfebdc34-922a-484b-903d-fd173306ad1e</errorID>
      <errorWord>考虑到</errorWord>
      <group>L1_Word</group>
      <groupName>字词问题</groupName>
      <ability>L2_Typo</ability>
      <abilityName>字词错误</abilityName>
      <candidateList>
        <item>考虑</item>
      </candidateList>
      <explain/>
      <paraID>35315F9E</paraID>
      <start>33</start>
      <end>36</end>
      <status>unmodified</status>
      <modifiedWord/>
      <trackRevisions>false</trackRevisions>
    </reviewItem>
    <reviewItem>
      <errorID>42df8e82-0f90-46bb-b466-3b994900fb1b</errorID>
      <errorWord>途经：吸入、食入</errorWord>
      <group>L1_Word</group>
      <groupName>字词问题</groupName>
      <ability>L2_Typo</ability>
      <abilityName>字词错误</abilityName>
      <candidateList>
        <item>途径：吸入、食入</item>
      </candidateList>
      <explain/>
      <paraID>53B15BA4</paraID>
      <start>2</start>
      <end>10</end>
      <status>unmodified</status>
      <modifiedWord/>
      <trackRevisions>false</trackRevisions>
    </reviewItem>
    <reviewItem>
      <errorID>b4423b15-2074-410c-ac9d-8246e62c87c7</errorID>
      <errorWord>在有</errorWord>
      <group>L1_Word</group>
      <groupName>字词问题</groupName>
      <ability>L2_Typo</ability>
      <abilityName>字词错误</abilityName>
      <candidateList>
        <item>在</item>
      </candidateList>
      <explain/>
      <paraID>1F88C2EE</paraID>
      <start>10</start>
      <end>12</end>
      <status>unmodified</status>
      <modifiedWord/>
      <trackRevisions>false</trackRevisions>
    </reviewItem>
    <reviewItem>
      <errorID>216e268a-90e4-498f-80fd-ba80a14f20f8</errorID>
      <errorWord>损害</errorWord>
      <group>L1_Word</group>
      <groupName>字词问题</groupName>
      <ability>L2_Typo</ability>
      <abilityName>字词错误</abilityName>
      <candidateList>
        <item>损坏</item>
      </candidateList>
      <explain>存在发音相近字词的误用。</explain>
      <paraID>4DB65A33</paraID>
      <start>48</start>
      <end>50</end>
      <status>unmodified</status>
      <modifiedWord/>
      <trackRevisions>false</trackRevisions>
    </reviewItem>
    <reviewItem>
      <errorID>41ea84ec-1ec8-47c9-a5e8-d8e35e12dd8d</errorID>
      <errorWord>,</errorWord>
      <group>L1_Format</group>
      <groupName>格式问题</groupName>
      <ability>L2_HalfPunc_CN</ability>
      <abilityName>全半角问题</abilityName>
      <candidateList>
        <item>，</item>
      </candidateList>
      <explain>文本全半角错误。</explain>
      <paraID>485DA69F</paraID>
      <start>62</start>
      <end>63</end>
      <status>unmodified</status>
      <modifiedWord/>
      <trackRevisions>false</trackRevisions>
    </reviewItem>
    <reviewItem>
      <errorID>c1ce3671-0886-4004-8e1e-7de4f4db93f4</errorID>
      <errorWord>,</errorWord>
      <group>L1_Format</group>
      <groupName>格式问题</groupName>
      <ability>L2_HalfPunc_CN</ability>
      <abilityName>全半角问题</abilityName>
      <candidateList>
        <item>，</item>
      </candidateList>
      <explain>文本全半角错误。</explain>
      <paraID>485DA69F</paraID>
      <start>88</start>
      <end>89</end>
      <status>unmodified</status>
      <modifiedWord/>
      <trackRevisions>false</trackRevisions>
    </reviewItem>
    <reviewItem>
      <errorID>f94dd9f9-e3ad-436b-9a39-befbcdbed895</errorID>
      <errorWord>(</errorWord>
      <group>L1_Format</group>
      <groupName>格式问题</groupName>
      <ability>L2_HalfPunc_CN</ability>
      <abilityName>全半角问题</abilityName>
      <candidateList>
        <item>（</item>
      </candidateList>
      <explain>文本全半角错误。</explain>
      <paraID>485DA69F</paraID>
      <start>91</start>
      <end>92</end>
      <status>unmodified</status>
      <modifiedWord/>
      <trackRevisions>false</trackRevisions>
    </reviewItem>
    <reviewItem>
      <errorID>e7b10592-3018-4a10-b35d-fd3826e9f58c</errorID>
      <errorWord>)</errorWord>
      <group>L1_Format</group>
      <groupName>格式问题</groupName>
      <ability>L2_HalfPunc_CN</ability>
      <abilityName>全半角问题</abilityName>
      <candidateList>
        <item>）</item>
      </candidateList>
      <explain>文本全半角错误。</explain>
      <paraID>485DA69F</paraID>
      <start>96</start>
      <end>97</end>
      <status>unmodified</status>
      <modifiedWord/>
      <trackRevisions>false</trackRevisions>
    </reviewItem>
    <reviewItem>
      <errorID>413c6dee-a27f-4b3e-b2da-a8e674f4418e</errorID>
      <errorWord>(</errorWord>
      <group>L1_Format</group>
      <groupName>格式问题</groupName>
      <ability>L2_HalfPunc_CN</ability>
      <abilityName>全半角问题</abilityName>
      <candidateList>
        <item>（</item>
      </candidateList>
      <explain>文本全半角错误。</explain>
      <paraID>485DA69F</paraID>
      <start>99</start>
      <end>100</end>
      <status>unmodified</status>
      <modifiedWord/>
      <trackRevisions>false</trackRevisions>
    </reviewItem>
    <reviewItem>
      <errorID>0043c15a-e6cc-48f7-8dc6-a3de8d1bd147</errorID>
      <errorWord>),</errorWord>
      <group>L1_Format</group>
      <groupName>格式问题</groupName>
      <ability>L2_HalfPunc_CN</ability>
      <abilityName>全半角问题</abilityName>
      <candidateList>
        <item>），</item>
      </candidateList>
      <explain>文本全半角错误。</explain>
      <paraID>485DA69F</paraID>
      <start>104</start>
      <end>106</end>
      <status>unmodified</status>
      <modifiedWord/>
      <trackRevisions>false</trackRevisions>
    </reviewItem>
    <reviewItem>
      <errorID>38d9b5ac-21b7-4efc-ae0d-f0f9f2809363</errorID>
      <errorWord>,</errorWord>
      <group>L1_Format</group>
      <groupName>格式问题</groupName>
      <ability>L2_HalfPunc_CN</ability>
      <abilityName>全半角问题</abilityName>
      <candidateList>
        <item>，</item>
      </candidateList>
      <explain>文本全半角错误。</explain>
      <paraID>485DA69F</paraID>
      <start>113</start>
      <end>114</end>
      <status>unmodified</status>
      <modifiedWord/>
      <trackRevisions>false</trackRevisions>
    </reviewItem>
    <reviewItem>
      <errorID>4b64d2e4-5f4d-49f9-bf7e-1f5ef98a825d</errorID>
      <errorWord>(</errorWord>
      <group>L1_Format</group>
      <groupName>格式问题</groupName>
      <ability>L2_HalfPunc_CN</ability>
      <abilityName>全半角问题</abilityName>
      <candidateList>
        <item>（</item>
      </candidateList>
      <explain>文本全半角错误。</explain>
      <paraID>485DA69F</paraID>
      <start>116</start>
      <end>117</end>
      <status>unmodified</status>
      <modifiedWord/>
      <trackRevisions>false</trackRevisions>
    </reviewItem>
    <reviewItem>
      <errorID>7d28d9d2-f474-4cf7-abaf-ead66e4c6265</errorID>
      <errorWord>)</errorWord>
      <group>L1_Format</group>
      <groupName>格式问题</groupName>
      <ability>L2_HalfPunc_CN</ability>
      <abilityName>全半角问题</abilityName>
      <candidateList>
        <item>）</item>
      </candidateList>
      <explain>文本全半角错误。</explain>
      <paraID>485DA69F</paraID>
      <start>121</start>
      <end>122</end>
      <status>unmodified</status>
      <modifiedWord/>
      <trackRevisions>false</trackRevisions>
    </reviewItem>
    <reviewItem>
      <errorID>bccac4a7-d614-4664-80aa-67acd47599e6</errorID>
      <errorWord>(</errorWord>
      <group>L1_Format</group>
      <groupName>格式问题</groupName>
      <ability>L2_HalfPunc_CN</ability>
      <abilityName>全半角问题</abilityName>
      <candidateList>
        <item>（</item>
      </candidateList>
      <explain>文本全半角错误。</explain>
      <paraID>485DA69F</paraID>
      <start>124</start>
      <end>125</end>
      <status>unmodified</status>
      <modifiedWord/>
      <trackRevisions>false</trackRevisions>
    </reviewItem>
    <reviewItem>
      <errorID>939663d2-2d51-4559-b900-d055d2601977</errorID>
      <errorWord>)</errorWord>
      <group>L1_Format</group>
      <groupName>格式问题</groupName>
      <ability>L2_HalfPunc_CN</ability>
      <abilityName>全半角问题</abilityName>
      <candidateList>
        <item>）</item>
      </candidateList>
      <explain>文本全半角错误。</explain>
      <paraID>485DA69F</paraID>
      <start>129</start>
      <end>130</end>
      <status>unmodified</status>
      <modifiedWord/>
      <trackRevisions>false</trackRevisions>
    </reviewItem>
    <reviewItem>
      <errorID>84c03c90-b0a4-4a53-b7b0-3d04d240fc18</errorID>
      <errorWord>如</errorWord>
      <group>L1_Word</group>
      <groupName>字词问题</groupName>
      <ability>L2_Typo</ability>
      <abilityName>字词错误</abilityName>
      <candidateList>
        <item>如下</item>
      </candidateList>
      <explain/>
      <paraID>3D1BFDCE</paraID>
      <start>32</start>
      <end>33</end>
      <status>unmodified</status>
      <modifiedWord/>
      <trackRevisions>false</trackRevisions>
    </reviewItem>
    <reviewItem>
      <errorID>0db16e45-b3fc-433e-b132-8a6109827541</errorID>
      <errorWord>银光</errorWord>
      <group>L1_Word</group>
      <groupName>字词问题</groupName>
      <ability>L2_Typo</ability>
      <abilityName>字词错误</abilityName>
      <candidateList>
        <item>荧光</item>
      </candidateList>
      <explain/>
      <paraID>2AD3A860</paraID>
      <start>0</start>
      <end>2</end>
      <status>unmodified</status>
      <modifiedWord/>
      <trackRevisions>false</trackRevisions>
    </reviewItem>
    <reviewItem>
      <errorID>89d6b3d3-d2e7-4bb4-9c89-d2cf4bf13762</errorID>
      <errorWord>啸音</errorWord>
      <group>L1_Word</group>
      <groupName>字词问题</groupName>
      <ability>L2_Typo</ability>
      <abilityName>字词错误</abilityName>
      <candidateList>
        <item>消音</item>
      </candidateList>
      <explain>存在发音相同字词的误用。</explain>
      <paraID>628DA0CA</paraID>
      <start>0</start>
      <end>2</end>
      <status>unmodified</status>
      <modifiedWord/>
      <trackRevisions>false</trackRevisions>
    </reviewItem>
    <reviewItem>
      <errorID>62ec95ca-87b6-4f0b-b331-5c32c7f28c7a</errorID>
      <errorWord>,</errorWord>
      <group>L1_Format</group>
      <groupName>格式问题</groupName>
      <ability>L2_HalfPunc_CN</ability>
      <abilityName>全半角问题</abilityName>
      <candidateList>
        <item>，</item>
      </candidateList>
      <explain>文本全半角错误。</explain>
      <paraID> E41CA5B</paraID>
      <start>40</start>
      <end>41</end>
      <status>unmodified</status>
      <modifiedWord/>
      <trackRevisions>false</trackRevisions>
    </reviewItem>
    <reviewItem>
      <errorID>0513a7e3-7451-4ed3-a1ea-327d0ecc8118</errorID>
      <errorWord>:</errorWord>
      <group>L1_Format</group>
      <groupName>格式问题</groupName>
      <ability>L2_HalfPunc_CN</ability>
      <abilityName>全半角问题</abilityName>
      <candidateList>
        <item>：</item>
      </candidateList>
      <explain>文本全半角错误。</explain>
      <paraID>261CD417</paraID>
      <start>24</start>
      <end>25</end>
      <status>unmodified</status>
      <modifiedWord/>
      <trackRevisions>false</trackRevisions>
    </reviewItem>
    <reviewItem>
      <errorID>b4dc16e6-e46b-4d7a-afc1-51f0c2bfb522</errorID>
      <errorWord>〔2018〕第703号</errorWord>
      <group>L1_Knowledge</group>
      <groupName>知识性问题</groupName>
      <ability>L2_Knowledge</ability>
      <abilityName>其他知识</abilityName>
      <candidateList>
        <item>〔2018〕703号</item>
      </candidateList>
      <explain>发文字号格式错误。</explain>
      <paraID>1F28284A</paraID>
      <start>57</start>
      <end>68</end>
      <status>unmodified</status>
      <modifiedWord/>
      <trackRevisions>false</trackRevisions>
    </reviewItem>
    <reviewItem>
      <errorID>c71d944a-8d5e-4815-9aef-b971d667a4c8</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1F28284A</paraID>
      <start>115</start>
      <end>124</end>
      <status>unmodified</status>
      <modifiedWord/>
      <trackRevisions>false</trackRevisions>
    </reviewItem>
    <reviewItem>
      <errorID>d7e4001d-8672-498f-b5b0-ce3e6470abb6</errorID>
      <errorWord>〔2011〕第588号</errorWord>
      <group>L1_Knowledge</group>
      <groupName>知识性问题</groupName>
      <ability>L2_Knowledge</ability>
      <abilityName>其他知识</abilityName>
      <candidateList>
        <item>〔2011〕588号</item>
      </candidateList>
      <explain>发文字号格式错误。</explain>
      <paraID>1F28284A</paraID>
      <start>130</start>
      <end>141</end>
      <status>unmodified</status>
      <modifiedWord/>
      <trackRevisions>false</trackRevisions>
    </reviewItem>
    <reviewItem>
      <errorID>b890f774-bd4e-45ab-9678-b1e01b995d84</errorID>
      <errorWord>(</errorWord>
      <group>L1_Format</group>
      <groupName>格式问题</groupName>
      <ability>L2_HalfPunc_CN</ability>
      <abilityName>全半角问题</abilityName>
      <candidateList>
        <item>（</item>
      </candidateList>
      <explain>文本全半角错误。</explain>
      <paraID>58F7212C</paraID>
      <start>24</start>
      <end>25</end>
      <status>unmodified</status>
      <modifiedWord/>
      <trackRevisions>false</trackRevisions>
    </reviewItem>
    <reviewItem>
      <errorID>8d4499ea-a419-4208-9f4b-2b0e8e2304e1</errorID>
      <errorWord>,</errorWord>
      <group>L1_Format</group>
      <groupName>格式问题</groupName>
      <ability>L2_HalfPunc_CN</ability>
      <abilityName>全半角问题</abilityName>
      <candidateList>
        <item>，</item>
      </candidateList>
      <explain>文本全半角错误。</explain>
      <paraID>58F7212C</paraID>
      <start>29</start>
      <end>30</end>
      <status>unmodified</status>
      <modifiedWord/>
      <trackRevisions>false</trackRevisions>
    </reviewItem>
    <reviewItem>
      <errorID>039b1e0b-d060-4e9f-a5aa-ebca0775c78f</errorID>
      <errorWord>)</errorWord>
      <group>L1_Format</group>
      <groupName>格式问题</groupName>
      <ability>L2_HalfPunc_CN</ability>
      <abilityName>全半角问题</abilityName>
      <candidateList>
        <item>）</item>
      </candidateList>
      <explain>文本全半角错误。</explain>
      <paraID>58F7212C</paraID>
      <start>34</start>
      <end>35</end>
      <status>unmodified</status>
      <modifiedWord/>
      <trackRevisions>false</trackRevisions>
    </reviewItem>
    <reviewItem>
      <errorID>c74326d8-d449-42f3-9d8a-8410a0efb79d</errorID>
      <errorWord>＋</errorWord>
      <group>L1_Format</group>
      <groupName>格式问题</groupName>
      <ability>L2_HalfPunc_CN</ability>
      <abilityName>全半角问题</abilityName>
      <candidateList>
        <item>+</item>
      </candidateList>
      <explain>文本全半角错误。</explain>
      <paraID>42B88BAF</paraID>
      <start>14</start>
      <end>15</end>
      <status>unmodified</status>
      <modifiedWord/>
      <trackRevisions>false</trackRevisions>
    </reviewItem>
    <reviewItem>
      <errorID>2014a81f-9d3e-40ac-978f-2a51f1f5aa48</errorID>
      <errorWord>（</errorWord>
      <group>L1_Format</group>
      <groupName>格式问题</groupName>
      <ability>L2_HalfPunc_CN</ability>
      <abilityName>全半角问题</abilityName>
      <candidateList>
        <item>(</item>
      </candidateList>
      <explain>文本全半角错误。</explain>
      <paraID>42B88BAF</paraID>
      <start>32</start>
      <end>33</end>
      <status>unmodified</status>
      <modifiedWord/>
      <trackRevisions>false</trackRevisions>
    </reviewItem>
    <reviewItem>
      <errorID>152f7151-11c5-43e6-8316-023db08cfc9c</errorID>
      <errorWord>）</errorWord>
      <group>L1_Format</group>
      <groupName>格式问题</groupName>
      <ability>L2_HalfPunc_CN</ability>
      <abilityName>全半角问题</abilityName>
      <candidateList>
        <item>)</item>
      </candidateList>
      <explain>文本全半角错误。</explain>
      <paraID>42B88BAF</paraID>
      <start>34</start>
      <end>35</end>
      <status>unmodified</status>
      <modifiedWord/>
      <trackRevisions>false</trackRevisions>
    </reviewItem>
    <reviewItem>
      <errorID>8e83de62-eeff-4f22-9380-4ced756b8721</errorID>
      <errorWord>，…，</errorWord>
      <group>L1_Punc</group>
      <groupName>标点问题</groupName>
      <ability>L2_Punc_CN</ability>
      <abilityName>标点符号问题</abilityName>
      <candidateList>
        <item>，</item>
      </candidateList>
      <explain/>
      <paraID>1652FBFA</paraID>
      <start>5</start>
      <end>8</end>
      <status>unmodified</status>
      <modifiedWord/>
      <trackRevisions>false</trackRevisions>
    </reviewItem>
    <reviewItem>
      <errorID>a4911115-edf9-4e69-ace3-98857a5f0a5b</errorID>
      <errorWord>，…，</errorWord>
      <group>L1_Punc</group>
      <groupName>标点问题</groupName>
      <ability>L2_Punc_CN</ability>
      <abilityName>标点符号问题</abilityName>
      <candidateList>
        <item>，</item>
      </candidateList>
      <explain/>
      <paraID> 8995913</paraID>
      <start>5</start>
      <end>8</end>
      <status>unmodified</status>
      <modifiedWord/>
      <trackRevisions>false</trackRevisions>
    </reviewItem>
    <reviewItem>
      <errorID>34d4d1ad-b6cd-4ecc-9ad5-cf6f26a1d83b</errorID>
      <errorWord>(</errorWord>
      <group>L1_Format</group>
      <groupName>格式问题</groupName>
      <ability>L2_HalfPunc_CN</ability>
      <abilityName>全半角问题</abilityName>
      <candidateList>
        <item>（</item>
      </candidateList>
      <explain>文本全半角错误。</explain>
      <paraID>5055EECD</paraID>
      <start>2</start>
      <end>3</end>
      <status>unmodified</status>
      <modifiedWord/>
      <trackRevisions>false</trackRevisions>
    </reviewItem>
    <reviewItem>
      <errorID>256793b9-e683-4061-b86a-d51b762a799a</errorID>
      <errorWord>)</errorWord>
      <group>L1_Format</group>
      <groupName>格式问题</groupName>
      <ability>L2_HalfPunc_CN</ability>
      <abilityName>全半角问题</abilityName>
      <candidateList>
        <item>）</item>
      </candidateList>
      <explain>文本全半角错误。</explain>
      <paraID>5055EECD</paraID>
      <start>7</start>
      <end>8</end>
      <status>unmodified</status>
      <modifiedWord/>
      <trackRevisions>false</trackRevisions>
    </reviewItem>
    <reviewItem>
      <errorID>4b20bb8a-38b9-4e3a-bed5-a94ddd24295c</errorID>
      <errorWord>,</errorWord>
      <group>L1_Format</group>
      <groupName>格式问题</groupName>
      <ability>L2_HalfPunc_CN</ability>
      <abilityName>全半角问题</abilityName>
      <candidateList>
        <item>，</item>
      </candidateList>
      <explain>文本全半角错误。</explain>
      <paraID>56BA0BCA</paraID>
      <start>11</start>
      <end>12</end>
      <status>unmodified</status>
      <modifiedWord/>
      <trackRevisions>false</trackRevisions>
    </reviewItem>
    <reviewItem>
      <errorID>94188fb8-278d-4251-8c7a-80a53cbb1586</errorID>
      <errorWord>(</errorWord>
      <group>L1_Format</group>
      <groupName>格式问题</groupName>
      <ability>L2_HalfPunc_CN</ability>
      <abilityName>全半角问题</abilityName>
      <candidateList>
        <item>（</item>
      </candidateList>
      <explain>文本全半角错误。</explain>
      <paraID>1BAE64B8</paraID>
      <start>14</start>
      <end>15</end>
      <status>unmodified</status>
      <modifiedWord/>
      <trackRevisions>false</trackRevisions>
    </reviewItem>
    <reviewItem>
      <errorID>4694b003-a084-493c-b238-528a9cc301e7</errorID>
      <errorWord>)</errorWord>
      <group>L1_Format</group>
      <groupName>格式问题</groupName>
      <ability>L2_HalfPunc_CN</ability>
      <abilityName>全半角问题</abilityName>
      <candidateList>
        <item>）</item>
      </candidateList>
      <explain>文本全半角错误。</explain>
      <paraID>1BAE64B8</paraID>
      <start>24</start>
      <end>25</end>
      <status>unmodified</status>
      <modifiedWord/>
      <trackRevisions>false</trackRevisions>
    </reviewItem>
    <reviewItem>
      <errorID>66eec7ec-4b65-40c1-9112-40af8e163add</errorID>
      <errorWord>(</errorWord>
      <group>L1_Format</group>
      <groupName>格式问题</groupName>
      <ability>L2_HalfPunc_CN</ability>
      <abilityName>全半角问题</abilityName>
      <candidateList>
        <item>（</item>
      </candidateList>
      <explain>文本全半角错误。</explain>
      <paraID>3FBABC9A</paraID>
      <start>2</start>
      <end>3</end>
      <status>unmodified</status>
      <modifiedWord/>
      <trackRevisions>false</trackRevisions>
    </reviewItem>
    <reviewItem>
      <errorID>391491d3-692b-444a-8b22-c9ea3cfab1c1</errorID>
      <errorWord>)</errorWord>
      <group>L1_Format</group>
      <groupName>格式问题</groupName>
      <ability>L2_HalfPunc_CN</ability>
      <abilityName>全半角问题</abilityName>
      <candidateList>
        <item>）</item>
      </candidateList>
      <explain>文本全半角错误。</explain>
      <paraID>3FBABC9A</paraID>
      <start>5</start>
      <end>6</end>
      <status>unmodified</status>
      <modifiedWord/>
      <trackRevisions>false</trackRevisions>
    </reviewItem>
    <reviewItem>
      <errorID>a8127915-beb2-4e7c-93ca-75de22874d15</errorID>
      <errorWord>(</errorWord>
      <group>L1_Format</group>
      <groupName>格式问题</groupName>
      <ability>L2_HalfPunc_CN</ability>
      <abilityName>全半角问题</abilityName>
      <candidateList>
        <item>（</item>
      </candidateList>
      <explain>文本全半角错误。</explain>
      <paraID>65281B20</paraID>
      <start>11</start>
      <end>12</end>
      <status>unmodified</status>
      <modifiedWord/>
      <trackRevisions>false</trackRevisions>
    </reviewItem>
    <reviewItem>
      <errorID>c804ff7a-e460-4257-b2d2-ebcaaa278400</errorID>
      <errorWord>)</errorWord>
      <group>L1_Format</group>
      <groupName>格式问题</groupName>
      <ability>L2_HalfPunc_CN</ability>
      <abilityName>全半角问题</abilityName>
      <candidateList>
        <item>）</item>
      </candidateList>
      <explain>文本全半角错误。</explain>
      <paraID>65281B20</paraID>
      <start>25</start>
      <end>26</end>
      <status>unmodified</status>
      <modifiedWord/>
      <trackRevisions>false</trackRevisions>
    </reviewItem>
    <reviewItem>
      <errorID>c8b794d7-182c-4e6d-a2ee-0504562ac954</errorID>
      <errorWord>(</errorWord>
      <group>L1_Format</group>
      <groupName>格式问题</groupName>
      <ability>L2_HalfPunc_CN</ability>
      <abilityName>全半角问题</abilityName>
      <candidateList>
        <item>（</item>
      </candidateList>
      <explain>文本全半角错误。</explain>
      <paraID> AE46F16</paraID>
      <start>17</start>
      <end>18</end>
      <status>unmodified</status>
      <modifiedWord/>
      <trackRevisions>false</trackRevisions>
    </reviewItem>
    <reviewItem>
      <errorID>e460e0af-fd8f-4e56-889b-d322bed2b213</errorID>
      <errorWord>)</errorWord>
      <group>L1_Format</group>
      <groupName>格式问题</groupName>
      <ability>L2_HalfPunc_CN</ability>
      <abilityName>全半角问题</abilityName>
      <candidateList>
        <item>）</item>
      </candidateList>
      <explain>文本全半角错误。</explain>
      <paraID> AE46F16</paraID>
      <start>25</start>
      <end>26</end>
      <status>unmodified</status>
      <modifiedWord/>
      <trackRevisions>false</trackRevisions>
    </reviewItem>
    <reviewItem>
      <errorID>9b88f8a6-9d15-4b8e-a7d3-f6238d7678ad</errorID>
      <errorWord>(</errorWord>
      <group>L1_Format</group>
      <groupName>格式问题</groupName>
      <ability>L2_HalfPunc_CN</ability>
      <abilityName>全半角问题</abilityName>
      <candidateList>
        <item>（</item>
      </candidateList>
      <explain>文本全半角错误。</explain>
      <paraID>3D71C805</paraID>
      <start>16</start>
      <end>17</end>
      <status>unmodified</status>
      <modifiedWord/>
      <trackRevisions>false</trackRevisions>
    </reviewItem>
    <reviewItem>
      <errorID>68af624d-3306-463b-9bff-746e26f91e40</errorID>
      <errorWord>)</errorWord>
      <group>L1_Format</group>
      <groupName>格式问题</groupName>
      <ability>L2_HalfPunc_CN</ability>
      <abilityName>全半角问题</abilityName>
      <candidateList>
        <item>）</item>
      </candidateList>
      <explain>文本全半角错误。</explain>
      <paraID>3D71C805</paraID>
      <start>24</start>
      <end>25</end>
      <status>unmodified</status>
      <modifiedWord/>
      <trackRevisions>false</trackRevisions>
    </reviewItem>
    <reviewItem>
      <errorID>53fab680-c902-41b5-86b6-e19ff5692af4</errorID>
      <errorWord>(</errorWord>
      <group>L1_Format</group>
      <groupName>格式问题</groupName>
      <ability>L2_HalfPunc_CN</ability>
      <abilityName>全半角问题</abilityName>
      <candidateList>
        <item>（</item>
      </candidateList>
      <explain>文本全半角错误。</explain>
      <paraID>6B2FD331</paraID>
      <start>9</start>
      <end>10</end>
      <status>unmodified</status>
      <modifiedWord/>
      <trackRevisions>false</trackRevisions>
    </reviewItem>
    <reviewItem>
      <errorID>26fca05d-1fbe-4d79-a75d-7940aea0c004</errorID>
      <errorWord>)</errorWord>
      <group>L1_Format</group>
      <groupName>格式问题</groupName>
      <ability>L2_HalfPunc_CN</ability>
      <abilityName>全半角问题</abilityName>
      <candidateList>
        <item>）</item>
      </candidateList>
      <explain>文本全半角错误。</explain>
      <paraID>6B2FD331</paraID>
      <start>11</start>
      <end>12</end>
      <status>unmodified</status>
      <modifiedWord/>
      <trackRevisions>false</trackRevisions>
    </reviewItem>
    <reviewItem>
      <errorID>08d88818-864f-4bd4-888c-8449656b7b54</errorID>
      <errorWord>(</errorWord>
      <group>L1_Format</group>
      <groupName>格式问题</groupName>
      <ability>L2_HalfPunc_CN</ability>
      <abilityName>全半角问题</abilityName>
      <candidateList>
        <item>（</item>
      </candidateList>
      <explain>文本全半角错误。</explain>
      <paraID>5A3C420A</paraID>
      <start>3</start>
      <end>4</end>
      <status>unmodified</status>
      <modifiedWord/>
      <trackRevisions>false</trackRevisions>
    </reviewItem>
    <reviewItem>
      <errorID>13a810e6-4457-40d3-a54e-42d0a36ee9ab</errorID>
      <errorWord>)</errorWord>
      <group>L1_Format</group>
      <groupName>格式问题</groupName>
      <ability>L2_HalfPunc_CN</ability>
      <abilityName>全半角问题</abilityName>
      <candidateList>
        <item>）</item>
      </candidateList>
      <explain>文本全半角错误。</explain>
      <paraID>5A3C420A</paraID>
      <start>5</start>
      <end>6</end>
      <status>unmodified</status>
      <modifiedWord/>
      <trackRevisions>false</trackRevisions>
    </reviewItem>
    <reviewItem>
      <errorID>1649540a-0b49-410a-a2d4-975eff641185</errorID>
      <errorWord>库存放</errorWord>
      <group>L1_Word</group>
      <groupName>字词问题</groupName>
      <ability>L2_Typo</ability>
      <abilityName>字词错误</abilityName>
      <candidateList>
        <item>库存</item>
      </candidateList>
      <explain/>
      <paraID>5A19380D</paraID>
      <start>16</start>
      <end>19</end>
      <status>unmodified</status>
      <modifiedWord/>
      <trackRevisions>false</trackRevisions>
    </reviewItem>
    <reviewItem>
      <errorID>ae0d4471-1d37-45a1-b246-8dd811267560</errorID>
      <errorWord>水份</errorWord>
      <group>L1_Word</group>
      <groupName>字词问题</groupName>
      <ability>L2_Variant</ability>
      <abilityName>异形词</abilityName>
      <candidateList>
        <item>水分</item>
      </candidateList>
      <explain>词汇[水份]的规范词形写作[水分]。</explain>
      <paraID>5D5F0E03</paraID>
      <start>72</start>
      <end>74</end>
      <status>unmodified</status>
      <modifiedWord/>
      <trackRevisions>false</trackRevisions>
    </reviewItem>
    <reviewItem>
      <errorID>a2f96c36-c4c9-45a8-8e02-d170fef7f07b</errorID>
      <errorWord>在</errorWord>
      <group>L1_Word</group>
      <groupName>字词问题</groupName>
      <ability>L2_Typo</ability>
      <abilityName>字词错误</abilityName>
      <candidateList>
        <item>再</item>
      </candidateList>
      <explain>存在发音相同字词的误用。</explain>
      <paraID>497BA023</paraID>
      <start>24</start>
      <end>25</end>
      <status>unmodified</status>
      <modifiedWord/>
      <trackRevisions>false</trackRevisions>
    </reviewItem>
    <reviewItem>
      <errorID>55a1a1f9-821b-43c6-91db-7403b7806748</errorID>
      <errorWord>承上起下</errorWord>
      <group>L1_Word</group>
      <groupName>字词问题</groupName>
      <ability>L2_Alias</ability>
      <abilityName>也作/曾用词</abilityName>
      <candidateList>
        <item>承上启下</item>
      </candidateList>
      <explain>词汇[承上起下]为不规范表述或旧称，其规范书面表述为[承上启下]。</explain>
      <paraID>21184CF8</paraID>
      <start>28</start>
      <end>32</end>
      <status>unmodified</status>
      <modifiedWord/>
      <trackRevisions>false</trackRevisions>
    </reviewItem>
    <reviewItem>
      <errorID>ec0be3c3-c824-4585-9fa3-1939f0c5b794</errorID>
      <errorWord>程</errorWord>
      <group>L1_Word</group>
      <groupName>字词问题</groupName>
      <ability>L2_Typo</ability>
      <abilityName>字词错误</abilityName>
      <candidateList>
        <item>程中</item>
      </candidateList>
      <explain/>
      <paraID> 78D760E</paraID>
      <start>35</start>
      <end>36</end>
      <status>unmodified</status>
      <modifiedWord/>
      <trackRevisions>false</trackRevisions>
    </reviewItem>
    <reviewItem>
      <errorID>5eaa1bb2-8c0a-4043-ac0d-e1c4774e652f</errorID>
      <errorWord>其它</errorWord>
      <group>L1_Word</group>
      <groupName>字词问题</groupName>
      <ability>L2_Alias</ability>
      <abilityName>也作/曾用词</abilityName>
      <candidateList>
        <item>其他</item>
      </candidateList>
      <explain>词汇[其它]为不规范表述或旧称，其规范书面表述为[其他]。</explain>
      <paraID>7F5AAB2B</paraID>
      <start>5</start>
      <end>7</end>
      <status>unmodified</status>
      <modifiedWord/>
      <trackRevisions>false</trackRevisions>
    </reviewItem>
    <reviewItem>
      <errorID>64641388-10c2-4560-b6b5-efab483939df</errorID>
      <errorWord>其它</errorWord>
      <group>L1_Word</group>
      <groupName>字词问题</groupName>
      <ability>L2_Alias</ability>
      <abilityName>也作/曾用词</abilityName>
      <candidateList>
        <item>其他</item>
      </candidateList>
      <explain>词汇[其它]为不规范表述或旧称，其规范书面表述为[其他]。</explain>
      <paraID>66F76A8A</paraID>
      <start>5</start>
      <end>7</end>
      <status>unmodified</status>
      <modifiedWord/>
      <trackRevisions>false</trackRevisions>
    </reviewItem>
    <reviewItem>
      <errorID>83cc4d8d-9dc9-4084-9729-ba1b41090189</errorID>
      <errorWord>各含</errorWord>
      <group>L1_Word</group>
      <groupName>字词问题</groupName>
      <ability>L2_Typo</ability>
      <abilityName>字词错误</abilityName>
      <candidateList>
        <item>包含</item>
      </candidateList>
      <explain/>
      <paraID>397895A3</paraID>
      <start>0</start>
      <end>2</end>
      <status>unmodified</status>
      <modifiedWord/>
      <trackRevisions>false</trackRevisions>
    </reviewItem>
    <reviewItem>
      <errorID>60675e18-367f-4fe2-9f85-3bf85306ba58</errorID>
      <errorWord>常期</errorWord>
      <group>L1_Word</group>
      <groupName>字词问题</groupName>
      <ability>L2_Typo</ability>
      <abilityName>字词错误</abilityName>
      <candidateList>
        <item>长期</item>
      </candidateList>
      <explain/>
      <paraID>2184DC9F</paraID>
      <start>2</start>
      <end>4</end>
      <status>unmodified</status>
      <modifiedWord/>
      <trackRevisions>false</trackRevisions>
    </reviewItem>
    <reviewItem>
      <errorID>1761c9c5-440d-4350-91be-9c89af2e8279</errorID>
      <errorWord>安全卫生责任制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词汇“安全生产责任制”在特定场景下为固定表述形式，请确认此处的“安全卫生责任制”是否存在不当。</explain>
      <paraID>5CA9FFDB</paraID>
      <start>2</start>
      <end>9</end>
      <status>unmodified</status>
      <modifiedWord/>
      <trackRevisions>false</trackRevisions>
    </reviewItem>
    <reviewItem>
      <errorID>8b4deceb-54e1-4d6f-b7ca-e9f1833b37db</errorID>
      <errorWord>,</errorWord>
      <group>L1_Format</group>
      <groupName>格式问题</groupName>
      <ability>L2_HalfPunc_CN</ability>
      <abilityName>全半角问题</abilityName>
      <candidateList>
        <item>，</item>
      </candidateList>
      <explain>文本全半角错误。</explain>
      <paraID>5F9BD367</paraID>
      <start>23</start>
      <end>24</end>
      <status>unmodified</status>
      <modifiedWord/>
      <trackRevisions>false</trackRevisions>
    </reviewItem>
    <reviewItem>
      <errorID>0cb4ad29-96e8-4f85-8848-4ae02bc40133</errorID>
      <errorWord>分</errorWord>
      <group>L1_Word</group>
      <groupName>字词问题</groupName>
      <ability>L2_Typo</ability>
      <abilityName>字词错误</abilityName>
      <candidateList>
        <item>分为</item>
      </candidateList>
      <explain/>
      <paraID>780A0ED3</paraID>
      <start>4</start>
      <end>5</end>
      <status>unmodified</status>
      <modifiedWord/>
      <trackRevisions>false</trackRevisions>
    </reviewItem>
    <reviewItem>
      <errorID>17da0cf6-9ad4-4df2-b8e0-28daf852f64c</errorID>
      <errorWord>必须</errorWord>
      <group>L1_Word</group>
      <groupName>字词问题</groupName>
      <ability>L2_Typo</ability>
      <abilityName>字词错误</abilityName>
      <candidateList>
        <item>必需</item>
      </candidateList>
      <explain/>
      <paraID>28AD5F43</paraID>
      <start>57</start>
      <end>59</end>
      <status>unmodified</status>
      <modifiedWord/>
      <trackRevisions>false</trackRevisions>
    </reviewItem>
    <reviewItem>
      <errorID>30dd9835-3fc6-46e0-81ca-f0744632426c</errorID>
      <errorWord>是已</errorWord>
      <group>L1_Word</group>
      <groupName>字词问题</groupName>
      <ability>L2_Typo</ability>
      <abilityName>字词错误</abilityName>
      <candidateList>
        <item>是</item>
      </candidateList>
      <explain/>
      <paraID>28AD5F43</paraID>
      <start>112</start>
      <end>114</end>
      <status>unmodified</status>
      <modifiedWord/>
      <trackRevisions>false</trackRevisions>
    </reviewItem>
    <reviewItem>
      <errorID>cacf1345-47e7-4995-842d-7d5832b24525</errorID>
      <errorWord>运输为</errorWord>
      <group>L1_Word</group>
      <groupName>字词问题</groupName>
      <ability>L2_Typo</ability>
      <abilityName>字词错误</abilityName>
      <candidateList>
        <item>运输</item>
      </candidateList>
      <explain/>
      <paraID>12516FE2</paraID>
      <start>41</start>
      <end>44</end>
      <status>unmodified</status>
      <modifiedWord/>
      <trackRevisions>false</trackRevisions>
    </reviewItem>
    <reviewItem>
      <errorID>cf10e074-263b-4c75-a111-9f2c905636fc</errorID>
      <errorWord>铁质</errorWord>
      <group>L1_Word</group>
      <groupName>字词问题</groupName>
      <ability>L2_Typo</ability>
      <abilityName>字词错误</abilityName>
      <candidateList>
        <item>铁制</item>
      </candidateList>
      <explain>存在发音相同字词的误用。</explain>
      <paraID>12516FE2</paraID>
      <start>111</start>
      <end>113</end>
      <status>unmodified</status>
      <modifiedWord/>
      <trackRevisions>false</trackRevisions>
    </reviewItem>
    <reviewItem>
      <errorID>4ae31ef8-1fdf-41b4-91e7-f017f7a231ef</errorID>
      <errorWord>曝晒</errorWord>
      <group>L1_Word</group>
      <groupName>字词问题</groupName>
      <ability>L2_Typo</ability>
      <abilityName>字词错误</abilityName>
      <candidateList>
        <item>暴晒</item>
      </candidateList>
      <explain/>
      <paraID>34EFE507</paraID>
      <start>33</start>
      <end>35</end>
      <status>unmodified</status>
      <modifiedWord/>
      <trackRevisions>false</trackRevisions>
    </reviewItem>
    <reviewItem>
      <errorID>8720725f-4cc4-4b6b-9511-b4116de28d0d</errorID>
      <errorWord>档板</errorWord>
      <group>L1_Word</group>
      <groupName>字词问题</groupName>
      <ability>L2_Typo</ability>
      <abilityName>字词错误</abilityName>
      <candidateList>
        <item>挡板</item>
      </candidateList>
      <explain/>
      <paraID>6339BC01</paraID>
      <start>9</start>
      <end>11</end>
      <status>unmodified</status>
      <modifiedWord/>
      <trackRevisions>false</trackRevisions>
    </reviewItem>
    <reviewItem>
      <errorID>4f2e0981-cd2e-42e2-9148-c427c62c2ab7</errorID>
      <errorWord>车箱</errorWord>
      <group>L1_Word</group>
      <groupName>字词问题</groupName>
      <ability>L2_Typo</ability>
      <abilityName>字词错误</abilityName>
      <candidateList>
        <item>车厢</item>
      </candidateList>
      <explain/>
      <paraID>6339BC01</paraID>
      <start>22</start>
      <end>24</end>
      <status>unmodified</status>
      <modifiedWord/>
      <trackRevisions>false</trackRevisions>
    </reviewItem>
    <reviewItem>
      <errorID>7dbef1c7-c7b5-45be-a705-193d2976b64d</errorID>
      <errorWord>铁撬</errorWord>
      <group>L1_Word</group>
      <groupName>字词问题</groupName>
      <ability>L2_Typo</ability>
      <abilityName>字词错误</abilityName>
      <candidateList>
        <item>铁锹</item>
      </candidateList>
      <explain/>
      <paraID>38EE5100</paraID>
      <start>38</start>
      <end>40</end>
      <status>unmodified</status>
      <modifiedWord/>
      <trackRevisions>false</trackRevisions>
    </reviewItem>
    <reviewItem>
      <errorID>accae47f-da21-488c-913d-fa03ac5e3c9e</errorID>
      <errorWord>、或</errorWord>
      <group>L1_Word</group>
      <groupName>字词问题</groupName>
      <ability>L2_Typo</ability>
      <abilityName>字词错误</abilityName>
      <candidateList>
        <item>或</item>
      </candidateList>
      <explain/>
      <paraID>7EE931EC</paraID>
      <start>33</start>
      <end>35</end>
      <status>unmodified</status>
      <modifiedWord/>
      <trackRevisions>false</trackRevisions>
    </reviewItem>
    <reviewItem>
      <errorID>808af101-4f0c-4e4d-8cfa-a5fbbfafcfa5</errorID>
      <errorWord>若工</errorWord>
      <group>L1_Word</group>
      <groupName>字词问题</groupName>
      <ability>L2_Typo</ability>
      <abilityName>字词错误</abilityName>
      <candidateList>
        <item>若</item>
      </candidateList>
      <explain/>
      <paraID> 6BCB000</paraID>
      <start>0</start>
      <end>2</end>
      <status>unmodified</status>
      <modifiedWord/>
      <trackRevisions>false</trackRevisions>
    </reviewItem>
    <reviewItem>
      <errorID>167ebe9c-8743-4f09-8d82-c4129de94eb2</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FB8A667</paraID>
      <start>24</start>
      <end>27</end>
      <status>unmodified</status>
      <modifiedWord/>
      <trackRevisions>false</trackRevisions>
    </reviewItem>
    <reviewItem>
      <errorID>e933611e-12c2-4462-8517-d027c2f8c0ef</errorID>
      <errorWord>危</errorWord>
      <group>L1_Word</group>
      <groupName>字词问题</groupName>
      <ability>L2_Typo</ability>
      <abilityName>字词错误</abilityName>
      <candidateList>
        <item>危险</item>
      </candidateList>
      <explain/>
      <paraID>54EB946A</paraID>
      <start>19</start>
      <end>20</end>
      <status>unmodified</status>
      <modifiedWord/>
      <trackRevisions>false</trackRevisions>
    </reviewItem>
    <reviewItem>
      <errorID>7ec6511a-aa79-4687-94d6-0ea3b84eec42</errorID>
      <errorWord>程</errorWord>
      <group>L1_Word</group>
      <groupName>字词问题</groupName>
      <ability>L2_Typo</ability>
      <abilityName>字词错误</abilityName>
      <candidateList>
        <item>程中</item>
      </candidateList>
      <explain/>
      <paraID>51CDB530</paraID>
      <start>49</start>
      <end>50</end>
      <status>unmodified</status>
      <modifiedWord/>
      <trackRevisions>false</trackRevisions>
    </reviewItem>
    <reviewItem>
      <errorID>d031fc62-8caa-4639-acb4-7f3e98aa5724</errorID>
      <errorWord>程</errorWord>
      <group>L1_Word</group>
      <groupName>字词问题</groupName>
      <ability>L2_Typo</ability>
      <abilityName>字词错误</abilityName>
      <candidateList>
        <item>程中</item>
      </candidateList>
      <explain/>
      <paraID>20E21937</paraID>
      <start>30</start>
      <end>31</end>
      <status>unmodified</status>
      <modifiedWord/>
      <trackRevisions>false</trackRevisions>
    </reviewItem>
    <reviewItem>
      <errorID>cb81eea7-1f00-4a60-840f-5abbad69be12</errorID>
      <errorWord>推积</errorWord>
      <group>L1_Word</group>
      <groupName>字词问题</groupName>
      <ability>L2_Typo</ability>
      <abilityName>字词错误</abilityName>
      <candidateList>
        <item>堆积</item>
      </candidateList>
      <explain/>
      <paraID>548D9EB0</paraID>
      <start>28</start>
      <end>30</end>
      <status>unmodified</status>
      <modifiedWord/>
      <trackRevisions>false</trackRevisions>
    </reviewItem>
    <reviewItem>
      <errorID>f8655cdf-146c-494f-8200-8e2093194b8c</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10679B99</paraID>
      <start>118</start>
      <end>124</end>
      <status>unmodified</status>
      <modifiedWord/>
      <trackRevisions>false</trackRevisions>
    </reviewItem>
    <reviewItem>
      <errorID>acd58e4e-d416-4713-94fb-f002d19dc13c</errorID>
      <errorWord>人</errorWord>
      <group>L1_Word</group>
      <groupName>字词问题</groupName>
      <ability>L2_Typo</ability>
      <abilityName>字词错误</abilityName>
      <candidateList>
        <item>人员</item>
      </candidateList>
      <explain/>
      <paraID>57C90FF1</paraID>
      <start>35</start>
      <end>36</end>
      <status>unmodified</status>
      <modifiedWord/>
      <trackRevisions>false</trackRevisions>
    </reviewItem>
    <reviewItem>
      <errorID>f6e854ad-18e8-4f91-86cd-56e404491bd4</errorID>
      <errorWord>设警示标志</errorWord>
      <group>L1_Word</group>
      <groupName>字词问题</groupName>
      <ability>L2_Typo</ability>
      <abilityName>字词错误</abilityName>
      <candidateList>
        <item>设置警示标志</item>
      </candidateList>
      <explain/>
      <paraID>6769B73A</paraID>
      <start>107</start>
      <end>112</end>
      <status>unmodified</status>
      <modifiedWord/>
      <trackRevisions>false</trackRevisions>
    </reviewItem>
    <reviewItem>
      <errorID>ffcc7743-7746-46f3-a2d4-cecf3f33cb22</errorID>
      <errorWord>砂浆拌</errorWord>
      <group>L1_Word</group>
      <groupName>字词问题</groupName>
      <ability>L2_Typo</ability>
      <abilityName>字词错误</abilityName>
      <candidateList>
        <item>砂浆</item>
      </candidateList>
      <explain/>
      <paraID>5A431FE1</paraID>
      <start>25</start>
      <end>28</end>
      <status>unmodified</status>
      <modifiedWord/>
      <trackRevisions>false</trackRevisions>
    </reviewItem>
    <reviewItem>
      <errorID>d02d28dc-5c16-4242-b081-4c6b54e7be5a</errorID>
      <errorWord>、甚至</errorWord>
      <group>L1_Word</group>
      <groupName>字词问题</groupName>
      <ability>L2_Typo</ability>
      <abilityName>字词错误</abilityName>
      <candidateList>
        <item>，甚至</item>
      </candidateList>
      <explain/>
      <paraID>7B4608B7</paraID>
      <start>45</start>
      <end>48</end>
      <status>unmodified</status>
      <modifiedWord/>
      <trackRevisions>false</trackRevisions>
    </reviewItem>
    <reviewItem>
      <errorID>a5d6d15d-1a45-447a-87f6-1a79d088ddcc</errorID>
      <errorWord>其它</errorWord>
      <group>L1_Word</group>
      <groupName>字词问题</groupName>
      <ability>L2_Alias</ability>
      <abilityName>也作/曾用词</abilityName>
      <candidateList>
        <item>其他</item>
      </candidateList>
      <explain>词汇[其它]为不规范表述或旧称，其规范书面表述为[其他]。</explain>
      <paraID>391F96DA</paraID>
      <start>5</start>
      <end>7</end>
      <status>unmodified</status>
      <modifiedWord/>
      <trackRevisions>false</trackRevisions>
    </reviewItem>
    <reviewItem>
      <errorID>28bb0bdf-f196-446f-8a82-405947e27a97</errorID>
      <errorWord>其它</errorWord>
      <group>L1_Word</group>
      <groupName>字词问题</groupName>
      <ability>L2_Alias</ability>
      <abilityName>也作/曾用词</abilityName>
      <candidateList>
        <item>其他</item>
      </candidateList>
      <explain>词汇[其它]为不规范表述或旧称，其规范书面表述为[其他]。</explain>
      <paraID>3B418610</paraID>
      <start>5</start>
      <end>7</end>
      <status>unmodified</status>
      <modifiedWord/>
      <trackRevisions>false</trackRevisions>
    </reviewItem>
    <reviewItem>
      <errorID>b3949445-4b85-482c-bf52-5a6ac23d1644</errorID>
      <errorWord>、甚至</errorWord>
      <group>L1_Word</group>
      <groupName>字词问题</groupName>
      <ability>L2_Typo</ability>
      <abilityName>字词错误</abilityName>
      <candidateList>
        <item>，甚至</item>
      </candidateList>
      <explain/>
      <paraID>2E73F5B9</paraID>
      <start>281</start>
      <end>284</end>
      <status>unmodified</status>
      <modifiedWord/>
      <trackRevisions>false</trackRevisions>
    </reviewItem>
    <reviewItem>
      <errorID>9c913b23-891d-475e-8833-63871faa477d</errorID>
      <errorWord>冲击波冲击波</errorWord>
      <group>L1_Word</group>
      <groupName>字词问题</groupName>
      <ability>L2_Typo</ability>
      <abilityName>字词错误</abilityName>
      <candidateList>
        <item>冲击波</item>
      </candidateList>
      <explain/>
      <paraID>6E823D24</paraID>
      <start>14</start>
      <end>20</end>
      <status>unmodified</status>
      <modifiedWord/>
      <trackRevisions>false</trackRevisions>
    </reviewItem>
    <reviewItem>
      <errorID>84ddb39b-9312-44ab-bbf2-7ca2edfcfb23</errorID>
      <errorWord>强</errorWord>
      <group>L1_Word</group>
      <groupName>字词问题</groupName>
      <ability>L2_Typo</ability>
      <abilityName>字词错误</abilityName>
      <candidateList>
        <item>强的</item>
      </candidateList>
      <explain/>
      <paraID>4E020C22</paraID>
      <start>12</start>
      <end>13</end>
      <status>unmodified</status>
      <modifiedWord/>
      <trackRevisions>false</trackRevisions>
    </reviewItem>
    <reviewItem>
      <errorID>0495da57-a7f5-47f5-8989-f0159fbdfd8c</errorID>
      <errorWord>(</errorWord>
      <group>L1_Format</group>
      <groupName>格式问题</groupName>
      <ability>L2_HalfPunc_CN</ability>
      <abilityName>全半角问题</abilityName>
      <candidateList>
        <item>（</item>
      </candidateList>
      <explain>文本全半角错误。</explain>
      <paraID> C1CA0B0</paraID>
      <start>90</start>
      <end>91</end>
      <status>unmodified</status>
      <modifiedWord/>
      <trackRevisions>false</trackRevisions>
    </reviewItem>
    <reviewItem>
      <errorID>867509c6-66a7-4ff9-b651-9cbbe1bef794</errorID>
      <errorWord>)</errorWord>
      <group>L1_Format</group>
      <groupName>格式问题</groupName>
      <ability>L2_HalfPunc_CN</ability>
      <abilityName>全半角问题</abilityName>
      <candidateList>
        <item>）</item>
      </candidateList>
      <explain>文本全半角错误。</explain>
      <paraID> C1CA0B0</paraID>
      <start>126</start>
      <end>127</end>
      <status>unmodified</status>
      <modifiedWord/>
      <trackRevisions>false</trackRevisions>
    </reviewItem>
    <reviewItem>
      <errorID>c2961453-e8b9-4ea0-af88-eb9120d8af54</errorID>
      <errorWord>及其</errorWord>
      <group>L1_Word</group>
      <groupName>字词问题</groupName>
      <ability>L2_Typo</ability>
      <abilityName>字词错误</abilityName>
      <candidateList>
        <item>极其</item>
      </candidateList>
      <explain/>
      <paraID>55B59DAF</paraID>
      <start>68</start>
      <end>70</end>
      <status>unmodified</status>
      <modifiedWord/>
      <trackRevisions>false</trackRevisions>
    </reviewItem>
    <reviewItem>
      <errorID>7bd0ef50-02f0-43e0-8c74-393244eb41d6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3576B3BB</paraID>
      <start>10</start>
      <end>13</end>
      <status>unmodified</status>
      <modifiedWord/>
      <trackRevisions>false</trackRevisions>
    </reviewItem>
    <reviewItem>
      <errorID>2010e742-e5f1-4437-826c-419734403ba3</errorID>
      <errorWord>,</errorWord>
      <group>L1_Format</group>
      <groupName>格式问题</groupName>
      <ability>L2_HalfPunc_CN</ability>
      <abilityName>全半角问题</abilityName>
      <candidateList>
        <item>，</item>
      </candidateList>
      <explain>文本全半角错误。</explain>
      <paraID> D50CE41</paraID>
      <start>11</start>
      <end>12</end>
      <status>unmodified</status>
      <modifiedWord/>
      <trackRevisions>false</trackRevisions>
    </reviewItem>
    <reviewItem>
      <errorID>8bc70dca-6a7c-4c52-bc96-78ec2220a509</errorID>
      <errorWord>,</errorWord>
      <group>L1_Format</group>
      <groupName>格式问题</groupName>
      <ability>L2_HalfPunc_CN</ability>
      <abilityName>全半角问题</abilityName>
      <candidateList>
        <item>，</item>
      </candidateList>
      <explain>文本全半角错误。</explain>
      <paraID>70054896</paraID>
      <start>18</start>
      <end>19</end>
      <status>unmodified</status>
      <modifiedWord/>
      <trackRevisions>false</trackRevisions>
    </reviewItem>
    <reviewItem>
      <errorID>49add2a2-3418-4f48-9bd8-d0c0a1a5ee1f</errorID>
      <errorWord>(</errorWord>
      <group>L1_Format</group>
      <groupName>格式问题</groupName>
      <ability>L2_HalfPunc_CN</ability>
      <abilityName>全半角问题</abilityName>
      <candidateList>
        <item>（</item>
      </candidateList>
      <explain>文本全半角错误。</explain>
      <paraID>71C52575</paraID>
      <start>144</start>
      <end>145</end>
      <status>unmodified</status>
      <modifiedWord/>
      <trackRevisions>false</trackRevisions>
    </reviewItem>
    <reviewItem>
      <errorID>aeef45f2-9386-4ed1-887b-e8bb540e969e</errorID>
      <errorWord>)</errorWord>
      <group>L1_Format</group>
      <groupName>格式问题</groupName>
      <ability>L2_HalfPunc_CN</ability>
      <abilityName>全半角问题</abilityName>
      <candidateList>
        <item>）</item>
      </candidateList>
      <explain>文本全半角错误。</explain>
      <paraID>71C52575</paraID>
      <start>146</start>
      <end>147</end>
      <status>unmodified</status>
      <modifiedWord/>
      <trackRevisions>false</trackRevisions>
    </reviewItem>
    <reviewItem>
      <errorID>af07b04e-615a-4010-b684-372aa49353de</errorID>
      <errorWord>(</errorWord>
      <group>L1_Format</group>
      <groupName>格式问题</groupName>
      <ability>L2_HalfPunc_CN</ability>
      <abilityName>全半角问题</abilityName>
      <candidateList>
        <item>（</item>
      </candidateList>
      <explain>文本全半角错误。</explain>
      <paraID>333AE28E</paraID>
      <start>22</start>
      <end>23</end>
      <status>unmodified</status>
      <modifiedWord/>
      <trackRevisions>false</trackRevisions>
    </reviewItem>
    <reviewItem>
      <errorID>b8e4fb65-5d77-486c-9400-0fc221acf410</errorID>
      <errorWord>)</errorWord>
      <group>L1_Format</group>
      <groupName>格式问题</groupName>
      <ability>L2_HalfPunc_CN</ability>
      <abilityName>全半角问题</abilityName>
      <candidateList>
        <item>）</item>
      </candidateList>
      <explain>文本全半角错误。</explain>
      <paraID>333AE28E</paraID>
      <start>24</start>
      <end>25</end>
      <status>unmodified</status>
      <modifiedWord/>
      <trackRevisions>false</trackRevisions>
    </reviewItem>
    <reviewItem>
      <errorID>c607fea4-e694-4775-8593-edd2502717c2</errorID>
      <errorWord>)</errorWord>
      <group>L1_Format</group>
      <groupName>格式问题</groupName>
      <ability>L2_HalfPunc_CN</ability>
      <abilityName>全半角问题</abilityName>
      <candidateList>
        <item>）</item>
      </candidateList>
      <explain>文本全半角错误。</explain>
      <paraID> 1D4FA11</paraID>
      <start>6</start>
      <end>7</end>
      <status>unmodified</status>
      <modifiedWord/>
      <trackRevisions>false</trackRevisions>
    </reviewItem>
    <reviewItem>
      <errorID>f7d26b0c-d2ff-4ac3-98e3-84e5e0ab8e8e</errorID>
      <errorWord>)</errorWord>
      <group>L1_Format</group>
      <groupName>格式问题</groupName>
      <ability>L2_HalfPunc_CN</ability>
      <abilityName>全半角问题</abilityName>
      <candidateList>
        <item>）</item>
      </candidateList>
      <explain>文本全半角错误。</explain>
      <paraID>628A0762</paraID>
      <start>6</start>
      <end>7</end>
      <status>unmodified</status>
      <modifiedWord/>
      <trackRevisions>false</trackRevisions>
    </reviewItem>
    <reviewItem>
      <errorID>de2c4685-47f2-4e52-8077-eb0086ece34f</errorID>
      <errorWord>(</errorWord>
      <group>L1_Format</group>
      <groupName>格式问题</groupName>
      <ability>L2_HalfPunc_CN</ability>
      <abilityName>全半角问题</abilityName>
      <candidateList>
        <item>（</item>
      </candidateList>
      <explain>文本全半角错误。</explain>
      <paraID>6726F448</paraID>
      <start>4</start>
      <end>5</end>
      <status>unmodified</status>
      <modifiedWord/>
      <trackRevisions>false</trackRevisions>
    </reviewItem>
    <reviewItem>
      <errorID>c315364d-54c9-4c4b-bc4c-02a5f0fdbc51</errorID>
      <errorWord>)</errorWord>
      <group>L1_Format</group>
      <groupName>格式问题</groupName>
      <ability>L2_HalfPunc_CN</ability>
      <abilityName>全半角问题</abilityName>
      <candidateList>
        <item>）</item>
      </candidateList>
      <explain>文本全半角错误。</explain>
      <paraID>6726F448</paraID>
      <start>6</start>
      <end>7</end>
      <status>unmodified</status>
      <modifiedWord/>
      <trackRevisions>false</trackRevisions>
    </reviewItem>
    <reviewItem>
      <errorID>22a3f437-2963-4ee6-b410-d7e8f191b933</errorID>
      <errorWord>(</errorWord>
      <group>L1_Format</group>
      <groupName>格式问题</groupName>
      <ability>L2_HalfPunc_CN</ability>
      <abilityName>全半角问题</abilityName>
      <candidateList>
        <item>（</item>
      </candidateList>
      <explain>文本全半角错误。</explain>
      <paraID>464F32C6</paraID>
      <start>4</start>
      <end>5</end>
      <status>unmodified</status>
      <modifiedWord/>
      <trackRevisions>false</trackRevisions>
    </reviewItem>
    <reviewItem>
      <errorID>a2cc33df-ba1a-4c46-a2ac-493f34bfa53e</errorID>
      <errorWord>)</errorWord>
      <group>L1_Format</group>
      <groupName>格式问题</groupName>
      <ability>L2_HalfPunc_CN</ability>
      <abilityName>全半角问题</abilityName>
      <candidateList>
        <item>）</item>
      </candidateList>
      <explain>文本全半角错误。</explain>
      <paraID>464F32C6</paraID>
      <start>6</start>
      <end>7</end>
      <status>unmodified</status>
      <modifiedWord/>
      <trackRevisions>false</trackRevisions>
    </reviewItem>
    <reviewItem>
      <errorID>b3af1802-0ee2-4277-931f-66bc02215a24</errorID>
      <errorWord>(</errorWord>
      <group>L1_Format</group>
      <groupName>格式问题</groupName>
      <ability>L2_HalfPunc_CN</ability>
      <abilityName>全半角问题</abilityName>
      <candidateList>
        <item>（</item>
      </candidateList>
      <explain>文本全半角错误。</explain>
      <paraID>675BBE87</paraID>
      <start>4</start>
      <end>5</end>
      <status>unmodified</status>
      <modifiedWord/>
      <trackRevisions>false</trackRevisions>
    </reviewItem>
    <reviewItem>
      <errorID>1387c5ff-6015-41bb-a741-2f165bc9e05d</errorID>
      <errorWord>)</errorWord>
      <group>L1_Format</group>
      <groupName>格式问题</groupName>
      <ability>L2_HalfPunc_CN</ability>
      <abilityName>全半角问题</abilityName>
      <candidateList>
        <item>）</item>
      </candidateList>
      <explain>文本全半角错误。</explain>
      <paraID>675BBE87</paraID>
      <start>6</start>
      <end>7</end>
      <status>unmodified</status>
      <modifiedWord/>
      <trackRevisions>false</trackRevisions>
    </reviewItem>
    <reviewItem>
      <errorID>87c6bfec-9e89-4f08-98e0-469ab47b2e5b</errorID>
      <errorWord>(</errorWord>
      <group>L1_Format</group>
      <groupName>格式问题</groupName>
      <ability>L2_HalfPunc_CN</ability>
      <abilityName>全半角问题</abilityName>
      <candidateList>
        <item>（</item>
      </candidateList>
      <explain>文本全半角错误。</explain>
      <paraID>24474D5A</paraID>
      <start>10</start>
      <end>11</end>
      <status>unmodified</status>
      <modifiedWord/>
      <trackRevisions>false</trackRevisions>
    </reviewItem>
    <reviewItem>
      <errorID>646593cb-3fdb-4ad5-80eb-3f30295998a5</errorID>
      <errorWord>)</errorWord>
      <group>L1_Format</group>
      <groupName>格式问题</groupName>
      <ability>L2_HalfPunc_CN</ability>
      <abilityName>全半角问题</abilityName>
      <candidateList>
        <item>）</item>
      </candidateList>
      <explain>文本全半角错误。</explain>
      <paraID>24474D5A</paraID>
      <start>12</start>
      <end>13</end>
      <status>unmodified</status>
      <modifiedWord/>
      <trackRevisions>false</trackRevisions>
    </reviewItem>
    <reviewItem>
      <errorID>cb21ac22-b09d-4720-bb25-d5f0dc9ab672</errorID>
      <errorWord>库房</errorWord>
      <group>L1_Word</group>
      <groupName>字词问题</groupName>
      <ability>L2_Typo</ability>
      <abilityName>字词错误</abilityName>
      <candidateList>
        <item>房</item>
      </candidateList>
      <explain/>
      <paraID>20E8721A</paraID>
      <start>10</start>
      <end>12</end>
      <status>unmodified</status>
      <modifiedWord/>
      <trackRevisions>false</trackRevisions>
    </reviewItem>
    <reviewItem>
      <errorID>2de204a1-fa59-4670-8aea-f31cc07f420b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40</start>
      <end>43</end>
      <status>unmodified</status>
      <modifiedWord/>
      <trackRevisions>false</trackRevisions>
    </reviewItem>
    <reviewItem>
      <errorID>8d3293d7-5824-4688-ac76-2e50cc8d36b6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47</start>
      <end>50</end>
      <status>unmodified</status>
      <modifiedWord/>
      <trackRevisions>false</trackRevisions>
    </reviewItem>
    <reviewItem>
      <errorID>bff5a7af-7e37-4de3-bc3f-196a20773efc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54</start>
      <end>57</end>
      <status>unmodified</status>
      <modifiedWord/>
      <trackRevisions>false</trackRevisions>
    </reviewItem>
    <reviewItem>
      <errorID>eeedf3d9-bfa4-49d7-a0f4-461aac65bc97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61</start>
      <end>64</end>
      <status>unmodified</status>
      <modifiedWord/>
      <trackRevisions>false</trackRevisions>
    </reviewItem>
    <reviewItem>
      <errorID>09b1239f-b1a3-4cfd-a4a3-2b057f6ed833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68</start>
      <end>71</end>
      <status>unmodified</status>
      <modifiedWord/>
      <trackRevisions>false</trackRevisions>
    </reviewItem>
    <reviewItem>
      <errorID>1492acc3-0d6c-480d-914d-dcf91f1eed27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76</start>
      <end>79</end>
      <status>unmodified</status>
      <modifiedWord/>
      <trackRevisions>false</trackRevisions>
    </reviewItem>
    <reviewItem>
      <errorID>65860f5a-18c7-42b0-bddb-66ab7376618b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83</start>
      <end>86</end>
      <status>unmodified</status>
      <modifiedWord/>
      <trackRevisions>false</trackRevisions>
    </reviewItem>
    <reviewItem>
      <errorID>414fc80c-20c3-4a82-8887-f8500d90993c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90</start>
      <end>93</end>
      <status>unmodified</status>
      <modifiedWord/>
      <trackRevisions>false</trackRevisions>
    </reviewItem>
    <reviewItem>
      <errorID>a74bdc39-8378-4a62-a29a-93c1cb59a579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20E8721A</paraID>
      <start>97</start>
      <end>100</end>
      <status>unmodified</status>
      <modifiedWord/>
      <trackRevisions>false</trackRevisions>
    </reviewItem>
    <reviewItem>
      <errorID>e038d4de-49f9-457a-a441-0ff75148d14b</errorID>
      <errorWord>、</errorWord>
      <group>L1_Word</group>
      <groupName>字词问题</groupName>
      <ability>L2_Typo</ability>
      <abilityName>字词错误</abilityName>
      <candidateList>
        <item>、各</item>
      </candidateList>
      <explain/>
      <paraID>15C168F1</paraID>
      <start>29</start>
      <end>30</end>
      <status>unmodified</status>
      <modifiedWord/>
      <trackRevisions>false</trackRevisions>
    </reviewItem>
    <reviewItem>
      <errorID>247c676e-6165-4936-b76c-86a4b81e0ceb</errorID>
      <errorWord>较少</errorWord>
      <group>L1_Word</group>
      <groupName>字词问题</groupName>
      <ability>L2_Typo</ability>
      <abilityName>字词错误</abilityName>
      <candidateList>
        <item>减少</item>
      </candidateList>
      <explain/>
      <paraID>491B2474</paraID>
      <start>65</start>
      <end>67</end>
      <status>unmodified</status>
      <modifiedWord/>
      <trackRevisions>false</trackRevisions>
    </reviewItem>
    <reviewItem>
      <errorID>7f359146-e0d6-4367-954d-76c63340b8ec</errorID>
      <errorWord>成</errorWord>
      <group>L1_Word</group>
      <groupName>字词问题</groupName>
      <ability>L2_Typo</ability>
      <abilityName>字词错误</abilityName>
      <candidateList>
        <item>成的</item>
      </candidateList>
      <explain/>
      <paraID>7A287AFF</paraID>
      <start>13</start>
      <end>14</end>
      <status>unmodified</status>
      <modifiedWord/>
      <trackRevisions>false</trackRevisions>
    </reviewItem>
    <reviewItem>
      <errorID>5a667a5b-fe27-4f1a-98b3-d765a69df63f</errorID>
      <errorWord>管理人员经</errorWord>
      <group>L1_Word</group>
      <groupName>字词问题</groupName>
      <ability>L2_Typo</ability>
      <abilityName>字词错误</abilityName>
      <candidateList>
        <item>管理人员经过</item>
      </candidateList>
      <explain/>
      <paraID> BC33083</paraID>
      <start>10</start>
      <end>15</end>
      <status>unmodified</status>
      <modifiedWord/>
      <trackRevisions>false</trackRevisions>
    </reviewItem>
    <reviewItem>
      <errorID>4fb1863f-3da6-4fb8-baeb-6faed4f16f40</errorID>
      <errorWord>有关的安全生产</errorWord>
      <group>L1_Word</group>
      <groupName>字词问题</groupName>
      <ability>L2_Typo</ability>
      <abilityName>字词错误</abilityName>
      <candidateList>
        <item>有关安全生产</item>
      </candidateList>
      <explain/>
      <paraID>4E98609A</paraID>
      <start>45</start>
      <end>52</end>
      <status>unmodified</status>
      <modifiedWord/>
      <trackRevisions>false</trackRevisions>
    </reviewItem>
    <reviewItem>
      <errorID>16faebef-5cd2-45e1-a35c-a23c84dd7c24</errorID>
      <errorWord>法律、法规</errorWord>
      <group>L1_Word</group>
      <groupName>字词问题</groupName>
      <ability>L2_Typo</ability>
      <abilityName>字词错误</abilityName>
      <candidateList>
        <item>法律法规</item>
      </candidateList>
      <explain/>
      <paraID>2FDAFB22</paraID>
      <start>22</start>
      <end>27</end>
      <status>unmodified</status>
      <modifiedWord/>
      <trackRevisions>false</trackRevisions>
    </reviewItem>
    <reviewItem>
      <errorID>bf42f617-6d90-46bf-946b-a68242b4754b</errorID>
      <errorWord>法律、法规</errorWord>
      <group>L1_Word</group>
      <groupName>字词问题</groupName>
      <ability>L2_Typo</ability>
      <abilityName>字词错误</abilityName>
      <candidateList>
        <item>法律法规</item>
      </candidateList>
      <explain/>
      <paraID>1C44D7AD</paraID>
      <start>26</start>
      <end>31</end>
      <status>unmodified</status>
      <modifiedWord/>
      <trackRevisions>false</trackRevisions>
    </reviewItem>
    <reviewItem>
      <errorID>14c84392-a7cc-4282-86c2-c115fe88bf16</errorID>
      <errorWord>法律、法规</errorWord>
      <group>L1_Word</group>
      <groupName>字词问题</groupName>
      <ability>L2_Typo</ability>
      <abilityName>字词错误</abilityName>
      <candidateList>
        <item>法律法规</item>
      </candidateList>
      <explain/>
      <paraID>3735AD0B</paraID>
      <start>38</start>
      <end>43</end>
      <status>unmodified</status>
      <modifiedWord/>
      <trackRevisions>false</trackRevisions>
    </reviewItem>
    <reviewItem>
      <errorID>165c8d99-fba8-4670-a48f-1980edd3d07c</errorID>
      <errorWord>法律、法规</errorWord>
      <group>L1_Word</group>
      <groupName>字词问题</groupName>
      <ability>L2_Typo</ability>
      <abilityName>字词错误</abilityName>
      <candidateList>
        <item>法律法规</item>
      </candidateList>
      <explain/>
      <paraID>2BEE97C4</paraID>
      <start>19</start>
      <end>24</end>
      <status>unmodified</status>
      <modifiedWord/>
      <trackRevisions>false</trackRevisions>
    </reviewItem>
    <reviewItem>
      <errorID>5cf7b37e-39e2-493b-951f-0bf363b64d12</errorID>
      <errorWord>对其</errorWord>
      <group>L1_Word</group>
      <groupName>字词问题</groupName>
      <ability>L2_Typo</ability>
      <abilityName>字词错误</abilityName>
      <candidateList>
        <item>对</item>
      </candidateList>
      <explain/>
      <paraID>4043FFDA</paraID>
      <start>0</start>
      <end>2</end>
      <status>unmodified</status>
      <modifiedWord/>
      <trackRevisions>false</trackRevisions>
    </reviewItem>
    <reviewItem>
      <errorID>33c8d3f3-bec1-46ae-966b-3066f8ace731</errorID>
      <errorWord>立</errorWord>
      <group>L1_Word</group>
      <groupName>字词问题</groupName>
      <ability>L2_Typo</ability>
      <abilityName>字词错误</abilityName>
      <candidateList>
        <item>立了</item>
      </candidateList>
      <explain/>
      <paraID>10678B70</paraID>
      <start>18</start>
      <end>19</end>
      <status>unmodified</status>
      <modifiedWord/>
      <trackRevisions>false</trackRevisions>
    </reviewItem>
    <reviewItem>
      <errorID>d9b7125c-6e80-4a91-af09-219dc4151782</errorID>
      <errorWord>险</errorWord>
      <group>L1_Word</group>
      <groupName>字词问题</groupName>
      <ability>L2_Typo</ability>
      <abilityName>字词错误</abilityName>
      <candidateList>
        <item>险性</item>
      </candidateList>
      <explain/>
      <paraID>412009E9</paraID>
      <start>35</start>
      <end>36</end>
      <status>unmodified</status>
      <modifiedWord/>
      <trackRevisions>false</trackRevisions>
    </reviewItem>
    <reviewItem>
      <errorID>415710be-8143-43a7-982e-26596acf46fb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6609B322</paraID>
      <start>0</start>
      <end>2</end>
      <status>unmodified</status>
      <modifiedWord/>
      <trackRevisions>false</trackRevisions>
    </reviewItem>
    <reviewItem>
      <errorID>d46116f2-17e8-43a0-b33f-06a186d4feb0</errorID>
      <errorWord>"</errorWord>
      <group>L1_Format</group>
      <groupName>格式问题</groupName>
      <ability>L2_HalfPunc_CN</ability>
      <abilityName>全半角问题</abilityName>
      <candidateList>
        <item>“</item>
      </candidateList>
      <explain>文本全半角错误。</explain>
      <paraID>6609B322</paraID>
      <start>29</start>
      <end>30</end>
      <status>unmodified</status>
      <modifiedWord/>
      <trackRevisions>false</trackRevisions>
    </reviewItem>
    <reviewItem>
      <errorID>fa0b8831-7449-4ee0-92cd-f7f7bc229890</errorID>
      <errorWord>"</errorWord>
      <group>L1_Format</group>
      <groupName>格式问题</groupName>
      <ability>L2_HalfPunc_CN</ability>
      <abilityName>全半角问题</abilityName>
      <candidateList>
        <item>”</item>
      </candidateList>
      <explain>文本全半角错误。</explain>
      <paraID>6609B322</paraID>
      <start>34</start>
      <end>35</end>
      <status>unmodified</status>
      <modifiedWord/>
      <trackRevisions>false</trackRevisions>
    </reviewItem>
    <reviewItem>
      <errorID>2ba49ea7-bd21-44dc-add2-7cc7bfbdec21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1D29FD50</paraID>
      <start>0</start>
      <end>2</end>
      <status>unmodified</status>
      <modifiedWord/>
      <trackRevisions>false</trackRevisions>
    </reviewItem>
    <reviewItem>
      <errorID>289a1cae-8696-4c68-b57b-bda41ae101b9</errorID>
      <errorWord>设防护栏杆</errorWord>
      <group>L1_Word</group>
      <groupName>字词问题</groupName>
      <ability>L2_Typo</ability>
      <abilityName>字词错误</abilityName>
      <candidateList>
        <item>设置防护栏杆</item>
      </candidateList>
      <explain/>
      <paraID>1D29FD50</paraID>
      <start>29</start>
      <end>34</end>
      <status>unmodified</status>
      <modifiedWord/>
      <trackRevisions>false</trackRevisions>
    </reviewItem>
    <reviewItem>
      <errorID>eb16f362-f817-4af8-bc4b-4416f0bbdaa3</errorID>
      <errorWord>"</errorWord>
      <group>L1_Format</group>
      <groupName>格式问题</groupName>
      <ability>L2_HalfPunc_CN</ability>
      <abilityName>全半角问题</abilityName>
      <candidateList>
        <item>“</item>
      </candidateList>
      <explain>文本全半角错误。</explain>
      <paraID>1D29FD50</paraID>
      <start>77</start>
      <end>78</end>
      <status>unmodified</status>
      <modifiedWord/>
      <trackRevisions>false</trackRevisions>
    </reviewItem>
    <reviewItem>
      <errorID>65ce64e5-7410-4e06-b48f-5ee81acbf879</errorID>
      <errorWord>"</errorWord>
      <group>L1_Format</group>
      <groupName>格式问题</groupName>
      <ability>L2_HalfPunc_CN</ability>
      <abilityName>全半角问题</abilityName>
      <candidateList>
        <item>”</item>
      </candidateList>
      <explain>文本全半角错误。</explain>
      <paraID>1D29FD50</paraID>
      <start>83</start>
      <end>84</end>
      <status>unmodified</status>
      <modifiedWord/>
      <trackRevisions>false</trackRevisions>
    </reviewItem>
    <reviewItem>
      <errorID>b3b1bdaf-4e5e-42f3-a728-92ba19e040e3</errorID>
      <errorWord>"</errorWord>
      <group>L1_Format</group>
      <groupName>格式问题</groupName>
      <ability>L2_HalfPunc_CN</ability>
      <abilityName>全半角问题</abilityName>
      <candidateList>
        <item>“</item>
      </candidateList>
      <explain>文本全半角错误。</explain>
      <paraID>1D29FD50</paraID>
      <start>84</start>
      <end>85</end>
      <status>unmodified</status>
      <modifiedWord/>
      <trackRevisions>false</trackRevisions>
    </reviewItem>
    <reviewItem>
      <errorID>4e97b135-c8f8-4a1f-a8dd-9bb290f079bd</errorID>
      <errorWord>"</errorWord>
      <group>L1_Format</group>
      <groupName>格式问题</groupName>
      <ability>L2_HalfPunc_CN</ability>
      <abilityName>全半角问题</abilityName>
      <candidateList>
        <item>”</item>
      </candidateList>
      <explain>文本全半角错误。</explain>
      <paraID>1D29FD50</paraID>
      <start>90</start>
      <end>91</end>
      <status>unmodified</status>
      <modifiedWord/>
      <trackRevisions>false</trackRevisions>
    </reviewItem>
    <reviewItem>
      <errorID>3af680a7-e0ca-4fa2-abdd-5a442c50010e</errorID>
      <errorWord>"</errorWord>
      <group>L1_Format</group>
      <groupName>格式问题</groupName>
      <ability>L2_HalfPunc_CN</ability>
      <abilityName>全半角问题</abilityName>
      <candidateList>
        <item>“</item>
      </candidateList>
      <explain>文本全半角错误。</explain>
      <paraID>1D29FD50</paraID>
      <start>188</start>
      <end>189</end>
      <status>unmodified</status>
      <modifiedWord/>
      <trackRevisions>false</trackRevisions>
    </reviewItem>
    <reviewItem>
      <errorID>a5d7d8d2-21ac-4176-b496-4de83c1a150c</errorID>
      <errorWord>"</errorWord>
      <group>L1_Format</group>
      <groupName>格式问题</groupName>
      <ability>L2_HalfPunc_CN</ability>
      <abilityName>全半角问题</abilityName>
      <candidateList>
        <item>”</item>
      </candidateList>
      <explain>文本全半角错误。</explain>
      <paraID>1D29FD50</paraID>
      <start>199</start>
      <end>200</end>
      <status>unmodified</status>
      <modifiedWord/>
      <trackRevisions>false</trackRevisions>
    </reviewItem>
    <reviewItem>
      <errorID>68e662d1-aecd-423a-9f42-29a1ff339dfa</errorID>
      <errorWord>"</errorWord>
      <group>L1_Format</group>
      <groupName>格式问题</groupName>
      <ability>L2_HalfPunc_CN</ability>
      <abilityName>全半角问题</abilityName>
      <candidateList>
        <item>“</item>
      </candidateList>
      <explain>文本全半角错误。</explain>
      <paraID>1D29FD50</paraID>
      <start>288</start>
      <end>289</end>
      <status>unmodified</status>
      <modifiedWord/>
      <trackRevisions>false</trackRevisions>
    </reviewItem>
    <reviewItem>
      <errorID>8ae936c1-ea8e-461f-b532-bf7740a0c2e5</errorID>
      <errorWord>"</errorWord>
      <group>L1_Format</group>
      <groupName>格式问题</groupName>
      <ability>L2_HalfPunc_CN</ability>
      <abilityName>全半角问题</abilityName>
      <candidateList>
        <item>”</item>
      </candidateList>
      <explain>文本全半角错误。</explain>
      <paraID>1D29FD50</paraID>
      <start>291</start>
      <end>292</end>
      <status>unmodified</status>
      <modifiedWord/>
      <trackRevisions>false</trackRevisions>
    </reviewItem>
    <reviewItem>
      <errorID>4649e22f-d59a-46ec-9208-a7a3cceac067</errorID>
      <errorWord>违法</errorWord>
      <group>L1_Word</group>
      <groupName>字词问题</groupName>
      <ability>L2_Typo</ability>
      <abilityName>字词错误</abilityName>
      <candidateList>
        <item>违反</item>
      </candidateList>
      <explain>存在发音相近字词的误用。</explain>
      <paraID>134E7687</paraID>
      <start>12</start>
      <end>14</end>
      <status>unmodified</status>
      <modifiedWord/>
      <trackRevisions>false</trackRevisions>
    </reviewItem>
    <reviewItem>
      <errorID>0029060b-af68-4104-a600-d1a9a863bda2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1284225A</paraID>
      <start>0</start>
      <end>2</end>
      <status>unmodified</status>
      <modifiedWord/>
      <trackRevisions>false</trackRevisions>
    </reviewItem>
    <reviewItem>
      <errorID>32a53074-1df7-47d6-a249-e0de280839e8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722682C0</paraID>
      <start>0</start>
      <end>2</end>
      <status>unmodified</status>
      <modifiedWord/>
      <trackRevisions>false</trackRevisions>
    </reviewItem>
    <reviewItem>
      <errorID>2de46ab7-fd3b-40da-86e8-38c534285996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4A72F876</paraID>
      <start>0</start>
      <end>2</end>
      <status>unmodified</status>
      <modifiedWord/>
      <trackRevisions>false</trackRevisions>
    </reviewItem>
    <reviewItem>
      <errorID>c741a5b8-082a-4fb2-9b2f-a613da189920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37B29252</paraID>
      <start>0</start>
      <end>2</end>
      <status>unmodified</status>
      <modifiedWord/>
      <trackRevisions>false</trackRevisions>
    </reviewItem>
    <reviewItem>
      <errorID>c900b90c-39fa-4d89-ac95-04daed6f0088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7F137A9B</paraID>
      <start>0</start>
      <end>2</end>
      <status>unmodified</status>
      <modifiedWord/>
      <trackRevisions>false</trackRevisions>
    </reviewItem>
    <reviewItem>
      <errorID>fd70a248-e01e-4fb4-9a86-a9f308a1db66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29538C23</paraID>
      <start>0</start>
      <end>2</end>
      <status>unmodified</status>
      <modifiedWord/>
      <trackRevisions>false</trackRevisions>
    </reviewItem>
    <reviewItem>
      <errorID>ff741ced-bc19-4ea8-a60b-6d349442f4ff</errorID>
      <errorWord>"</errorWord>
      <group>L1_Format</group>
      <groupName>格式问题</groupName>
      <ability>L2_HalfPunc_CN</ability>
      <abilityName>全半角问题</abilityName>
      <candidateList>
        <item>“</item>
      </candidateList>
      <explain>文本全半角错误。</explain>
      <paraID>29538C23</paraID>
      <start>17</start>
      <end>18</end>
      <status>unmodified</status>
      <modifiedWord/>
      <trackRevisions>false</trackRevisions>
    </reviewItem>
    <reviewItem>
      <errorID>6b62707c-7742-4982-91b2-27af8bfb6c62</errorID>
      <errorWord>"</errorWord>
      <group>L1_Format</group>
      <groupName>格式问题</groupName>
      <ability>L2_HalfPunc_CN</ability>
      <abilityName>全半角问题</abilityName>
      <candidateList>
        <item>”</item>
      </candidateList>
      <explain>文本全半角错误。</explain>
      <paraID>29538C23</paraID>
      <start>21</start>
      <end>22</end>
      <status>unmodified</status>
      <modifiedWord/>
      <trackRevisions>false</trackRevisions>
    </reviewItem>
    <reviewItem>
      <errorID>064f233d-b8d5-46a4-bb46-ed94b58afdf7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533F010</paraID>
      <start>0</start>
      <end>2</end>
      <status>unmodified</status>
      <modifiedWord/>
      <trackRevisions>false</trackRevisions>
    </reviewItem>
    <reviewItem>
      <errorID>eb19e44f-9a27-4be0-b6d8-515ab13d288b</errorID>
      <errorWord>"</errorWord>
      <group>L1_Format</group>
      <groupName>格式问题</groupName>
      <ability>L2_HalfPunc_CN</ability>
      <abilityName>全半角问题</abilityName>
      <candidateList>
        <item>“</item>
      </candidateList>
      <explain>文本全半角错误。</explain>
      <paraID> 533F010</paraID>
      <start>11</start>
      <end>12</end>
      <status>unmodified</status>
      <modifiedWord/>
      <trackRevisions>false</trackRevisions>
    </reviewItem>
    <reviewItem>
      <errorID>25731288-711f-4edd-93ee-fea0a308e486</errorID>
      <errorWord>"</errorWord>
      <group>L1_Format</group>
      <groupName>格式问题</groupName>
      <ability>L2_HalfPunc_CN</ability>
      <abilityName>全半角问题</abilityName>
      <candidateList>
        <item>”</item>
      </candidateList>
      <explain>文本全半角错误。</explain>
      <paraID> 533F010</paraID>
      <start>16</start>
      <end>17</end>
      <status>unmodified</status>
      <modifiedWord/>
      <trackRevisions>false</trackRevisions>
    </reviewItem>
    <reviewItem>
      <errorID>ab63b917-1d02-4678-862c-f20b175d578a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348D4505</paraID>
      <start>0</start>
      <end>2</end>
      <status>unmodified</status>
      <modifiedWord/>
      <trackRevisions>false</trackRevisions>
    </reviewItem>
    <reviewItem>
      <errorID>f984f518-89cf-438a-bc36-b6aafa780a1f</errorID>
      <errorWord>"</errorWord>
      <group>L1_Format</group>
      <groupName>格式问题</groupName>
      <ability>L2_HalfPunc_CN</ability>
      <abilityName>全半角问题</abilityName>
      <candidateList>
        <item>“</item>
      </candidateList>
      <explain>文本全半角错误。</explain>
      <paraID>348D4505</paraID>
      <start>79</start>
      <end>80</end>
      <status>unmodified</status>
      <modifiedWord/>
      <trackRevisions>false</trackRevisions>
    </reviewItem>
    <reviewItem>
      <errorID>76ee8153-57ea-4cb3-a000-35b211b613f3</errorID>
      <errorWord>"</errorWord>
      <group>L1_Format</group>
      <groupName>格式问题</groupName>
      <ability>L2_HalfPunc_CN</ability>
      <abilityName>全半角问题</abilityName>
      <candidateList>
        <item>”</item>
      </candidateList>
      <explain>文本全半角错误。</explain>
      <paraID>348D4505</paraID>
      <start>82</start>
      <end>83</end>
      <status>unmodified</status>
      <modifiedWord/>
      <trackRevisions>false</trackRevisions>
    </reviewItem>
    <reviewItem>
      <errorID>2376a670-530f-4e8a-bf71-2e8df5678853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2A9D94EE</paraID>
      <start>0</start>
      <end>3</end>
      <status>unmodified</status>
      <modifiedWord/>
      <trackRevisions>false</trackRevisions>
    </reviewItem>
    <reviewItem>
      <errorID>2a05b40b-b7da-461c-b174-23d68909c121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8DD07CA</paraID>
      <start>0</start>
      <end>2</end>
      <status>unmodified</status>
      <modifiedWord/>
      <trackRevisions>false</trackRevisions>
    </reviewItem>
    <reviewItem>
      <errorID>b1bf6ff1-899d-4b62-b5f6-88212399df35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22808B94</paraID>
      <start>0</start>
      <end>2</end>
      <status>unmodified</status>
      <modifiedWord/>
      <trackRevisions>false</trackRevisions>
    </reviewItem>
    <reviewItem>
      <errorID>6ecdd82b-c309-42bc-bfbc-d745237d2d96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38777346</paraID>
      <start>0</start>
      <end>2</end>
      <status>unmodified</status>
      <modifiedWord/>
      <trackRevisions>false</trackRevisions>
    </reviewItem>
    <reviewItem>
      <errorID>4c683cc8-fa38-4bf6-b026-d32546196809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598E1B58</paraID>
      <start>0</start>
      <end>2</end>
      <status>unmodified</status>
      <modifiedWord/>
      <trackRevisions>false</trackRevisions>
    </reviewItem>
    <reviewItem>
      <errorID>516699e0-6af9-4193-81d0-b1c5ae2ea73f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3BBBF3C8</paraID>
      <start>0</start>
      <end>2</end>
      <status>unmodified</status>
      <modifiedWord/>
      <trackRevisions>false</trackRevisions>
    </reviewItem>
    <reviewItem>
      <errorID>f6613112-4bef-4bc6-92a8-9bb8374d1906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34842051</paraID>
      <start>0</start>
      <end>2</end>
      <status>unmodified</status>
      <modifiedWord/>
      <trackRevisions>false</trackRevisions>
    </reviewItem>
    <reviewItem>
      <errorID>ee0bd975-cd71-465a-9116-43f1871bd198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1D62FC79</paraID>
      <start>0</start>
      <end>2</end>
      <status>unmodified</status>
      <modifiedWord/>
      <trackRevisions>false</trackRevisions>
    </reviewItem>
    <reviewItem>
      <errorID>0a4894c5-af04-4b8a-bd4e-98f50b267114</errorID>
      <errorWord>，</errorWord>
      <group>L1_Word</group>
      <groupName>字词问题</groupName>
      <ability>L2_Typo</ability>
      <abilityName>字词错误</abilityName>
      <candidateList>
        <item>，在</item>
      </candidateList>
      <explain/>
      <paraID>1D62FC79</paraID>
      <start>55</start>
      <end>56</end>
      <status>unmodified</status>
      <modifiedWord/>
      <trackRevisions>false</trackRevisions>
    </reviewItem>
    <reviewItem>
      <errorID>08c16463-bbac-43e0-b293-12b4717c989c</errorID>
      <errorWord>来格执行</errorWord>
      <group>L1_Word</group>
      <groupName>字词问题</groupName>
      <ability>L2_Typo</ability>
      <abilityName>字词错误</abilityName>
      <candidateList>
        <item>严格执行</item>
      </candidateList>
      <explain/>
      <paraID>5C367225</paraID>
      <start>71</start>
      <end>75</end>
      <status>unmodified</status>
      <modifiedWord/>
      <trackRevisions>false</trackRevisions>
    </reviewItem>
    <reviewItem>
      <errorID>c95528b9-2104-4d3b-84e2-95d892b06a97</errorID>
      <errorWord>其它</errorWord>
      <group>L1_Word</group>
      <groupName>字词问题</groupName>
      <ability>L2_Alias</ability>
      <abilityName>也作/曾用词</abilityName>
      <candidateList>
        <item>其他</item>
      </candidateList>
      <explain>词汇[其它]为不规范表述或旧称，其规范书面表述为[其他]。</explain>
      <paraID>398CA5DC</paraID>
      <start>6</start>
      <end>8</end>
      <status>unmodified</status>
      <modifiedWord/>
      <trackRevisions>false</trackRevisions>
    </reviewItem>
    <reviewItem>
      <errorID>b77a2468-8bee-46e8-958a-1f44b5f1c2ba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A97B0D8</paraID>
      <start>0</start>
      <end>2</end>
      <status>unmodified</status>
      <modifiedWord/>
      <trackRevisions>false</trackRevisions>
    </reviewItem>
    <reviewItem>
      <errorID>f337f31e-5f10-4ef2-bb69-1ab8f1de76eb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7867FFC5</paraID>
      <start>0</start>
      <end>2</end>
      <status>unmodified</status>
      <modifiedWord/>
      <trackRevisions>false</trackRevisions>
    </reviewItem>
    <reviewItem>
      <errorID>f6271938-d1d1-48f2-ba5e-a3817edf15f2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48CC1656</paraID>
      <start>0</start>
      <end>2</end>
      <status>unmodified</status>
      <modifiedWord/>
      <trackRevisions>false</trackRevisions>
    </reviewItem>
    <reviewItem>
      <errorID>57a83f24-eb3a-4d1b-9a14-c250214718db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5881BF20</paraID>
      <start>0</start>
      <end>2</end>
      <status>unmodified</status>
      <modifiedWord/>
      <trackRevisions>false</trackRevisions>
    </reviewItem>
    <reviewItem>
      <errorID>fcd6804d-5675-43bb-9a02-8507145c4853</errorID>
      <errorWord>"</errorWord>
      <group>L1_Format</group>
      <groupName>格式问题</groupName>
      <ability>L2_HalfPunc_CN</ability>
      <abilityName>全半角问题</abilityName>
      <candidateList>
        <item>“</item>
      </candidateList>
      <explain>文本全半角错误。</explain>
      <paraID>5881BF20</paraID>
      <start>41</start>
      <end>42</end>
      <status>unmodified</status>
      <modifiedWord/>
      <trackRevisions>false</trackRevisions>
    </reviewItem>
    <reviewItem>
      <errorID>2cb99ed6-5b9d-49b0-b190-6a2475db51a3</errorID>
      <errorWord>"</errorWord>
      <group>L1_Format</group>
      <groupName>格式问题</groupName>
      <ability>L2_HalfPunc_CN</ability>
      <abilityName>全半角问题</abilityName>
      <candidateList>
        <item>”</item>
      </candidateList>
      <explain>文本全半角错误。</explain>
      <paraID>5881BF20</paraID>
      <start>44</start>
      <end>45</end>
      <status>unmodified</status>
      <modifiedWord/>
      <trackRevisions>false</trackRevisions>
    </reviewItem>
    <reviewItem>
      <errorID>c3828a43-04ef-4ecb-bd21-2bafd9fe2b35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48E1F52</paraID>
      <start>0</start>
      <end>3</end>
      <status>unmodified</status>
      <modifiedWord/>
      <trackRevisions>false</trackRevisions>
    </reviewItem>
    <reviewItem>
      <errorID>b1273cb8-3fb7-4387-aa57-69e212506fe4</errorID>
      <errorWord>气</errorWord>
      <group>L1_Word</group>
      <groupName>字词问题</groupName>
      <ability>L2_Typo</ability>
      <abilityName>字词错误</abilityName>
      <candidateList>
        <item>电气</item>
      </candidateList>
      <explain/>
      <paraID> 48E1F52</paraID>
      <start>5</start>
      <end>6</end>
      <status>unmodified</status>
      <modifiedWord/>
      <trackRevisions>false</trackRevisions>
    </reviewItem>
    <reviewItem>
      <errorID>2434d183-5c41-418d-b93c-7fa6aded7c1c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5B544775</paraID>
      <start>0</start>
      <end>3</end>
      <status>unmodified</status>
      <modifiedWord/>
      <trackRevisions>false</trackRevisions>
    </reviewItem>
    <reviewItem>
      <errorID>2c8444c5-5b96-401b-ae14-fd063d5b8afa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42D39351</paraID>
      <start>0</start>
      <end>2</end>
      <status>unmodified</status>
      <modifiedWord/>
      <trackRevisions>false</trackRevisions>
    </reviewItem>
    <reviewItem>
      <errorID>6732d50e-14fa-4966-aa36-75f16e4928dc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49C767A3</paraID>
      <start>0</start>
      <end>2</end>
      <status>unmodified</status>
      <modifiedWord/>
      <trackRevisions>false</trackRevisions>
    </reviewItem>
    <reviewItem>
      <errorID>f7923489-5c36-40be-b0a0-54ad7643bb9c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1DFB08F</paraID>
      <start>0</start>
      <end>2</end>
      <status>unmodified</status>
      <modifiedWord/>
      <trackRevisions>false</trackRevisions>
    </reviewItem>
    <reviewItem>
      <errorID>dd492d97-4492-4d08-b95c-122dc7e62443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7D851757</paraID>
      <start>0</start>
      <end>2</end>
      <status>unmodified</status>
      <modifiedWord/>
      <trackRevisions>false</trackRevisions>
    </reviewItem>
    <reviewItem>
      <errorID>5620e9fc-856b-4695-9392-0dd860643565</errorID>
      <errorWord>其</errorWord>
      <group>L1_Word</group>
      <groupName>字词问题</groupName>
      <ability>L2_Typo</ability>
      <abilityName>字词错误</abilityName>
      <candidateList>
        <item>其他</item>
      </candidateList>
      <explain/>
      <paraID> A30B625</paraID>
      <start>168</start>
      <end>169</end>
      <status>unmodified</status>
      <modifiedWord/>
      <trackRevisions>false</trackRevisions>
    </reviewItem>
    <reviewItem>
      <errorID>cc48df53-685a-4e5b-8632-f2451a161a97</errorID>
      <errorWord>＜</errorWord>
      <group>L1_Format</group>
      <groupName>格式问题</groupName>
      <ability>L2_HalfPunc_CN</ability>
      <abilityName>全半角问题</abilityName>
      <candidateList>
        <item>&lt;</item>
      </candidateList>
      <explain>文本全半角错误。</explain>
      <paraID>48AAE640</paraID>
      <start>0</start>
      <end>1</end>
      <status>unmodified</status>
      <modifiedWord/>
      <trackRevisions>false</trackRevisions>
    </reviewItem>
    <reviewItem>
      <errorID>7cd77d23-425e-43c8-a20b-78361d01a9f2</errorID>
      <errorWord>～</errorWord>
      <group>L1_Format</group>
      <groupName>格式问题</groupName>
      <ability>L2_HalfPunc_CN</ability>
      <abilityName>全半角问题</abilityName>
      <candidateList>
        <item>~</item>
      </candidateList>
      <explain>文本全半角错误。</explain>
      <paraID>2EFD5589</paraID>
      <start>3</start>
      <end>4</end>
      <status>unmodified</status>
      <modifiedWord/>
      <trackRevisions>false</trackRevisions>
    </reviewItem>
    <reviewItem>
      <errorID>4eab00d4-c04f-455a-b7d9-c7dd7ad2e0c7</errorID>
      <errorWord>～</errorWord>
      <group>L1_Format</group>
      <groupName>格式问题</groupName>
      <ability>L2_HalfPunc_CN</ability>
      <abilityName>全半角问题</abilityName>
      <candidateList>
        <item>~</item>
      </candidateList>
      <explain>文本全半角错误。</explain>
      <paraID>17DDEF47</paraID>
      <start>3</start>
      <end>4</end>
      <status>unmodified</status>
      <modifiedWord/>
      <trackRevisions>false</trackRevisions>
    </reviewItem>
    <reviewItem>
      <errorID>f2354bf3-08f3-4d03-8141-c04b23203d5a</errorID>
      <errorWord>～</errorWord>
      <group>L1_Format</group>
      <groupName>格式问题</groupName>
      <ability>L2_HalfPunc_CN</ability>
      <abilityName>全半角问题</abilityName>
      <candidateList>
        <item>~</item>
      </candidateList>
      <explain>文本全半角错误。</explain>
      <paraID>343CB2A0</paraID>
      <start>3</start>
      <end>4</end>
      <status>unmodified</status>
      <modifiedWord/>
      <trackRevisions>false</trackRevisions>
    </reviewItem>
    <reviewItem>
      <errorID>95734bee-fe6f-4460-91ce-84a2f7251855</errorID>
      <errorWord>＞</errorWord>
      <group>L1_Format</group>
      <groupName>格式问题</groupName>
      <ability>L2_HalfPunc_CN</ability>
      <abilityName>全半角问题</abilityName>
      <candidateList>
        <item>&gt;</item>
      </candidateList>
      <explain>文本全半角错误。</explain>
      <paraID>5F3D7092</paraID>
      <start>0</start>
      <end>1</end>
      <status>unmodified</status>
      <modifiedWord/>
      <trackRevisions>false</trackRevisions>
    </reviewItem>
    <reviewItem>
      <errorID>eca3117f-601b-45ed-946f-daccc4dc8358</errorID>
      <errorWord>＜</errorWord>
      <group>L1_Format</group>
      <groupName>格式问题</groupName>
      <ability>L2_HalfPunc_CN</ability>
      <abilityName>全半角问题</abilityName>
      <candidateList>
        <item>&lt;</item>
      </candidateList>
      <explain>文本全半角错误。</explain>
      <paraID>4B646A4B</paraID>
      <start>0</start>
      <end>1</end>
      <status>unmodified</status>
      <modifiedWord/>
      <trackRevisions>false</trackRevisions>
    </reviewItem>
    <reviewItem>
      <errorID>d2455a81-310b-490c-9b6d-a1cb83c5156e</errorID>
      <errorWord>～</errorWord>
      <group>L1_Format</group>
      <groupName>格式问题</groupName>
      <ability>L2_HalfPunc_CN</ability>
      <abilityName>全半角问题</abilityName>
      <candidateList>
        <item>~</item>
      </candidateList>
      <explain>文本全半角错误。</explain>
      <paraID>1DD1EB27</paraID>
      <start>4</start>
      <end>5</end>
      <status>unmodified</status>
      <modifiedWord/>
      <trackRevisions>false</trackRevisions>
    </reviewItem>
    <reviewItem>
      <errorID>a6a1aaed-146b-4c42-a97d-b21b21673a7e</errorID>
      <errorWord>偶然</errorWord>
      <group>L1_Word</group>
      <groupName>字词问题</groupName>
      <ability>L2_Typo</ability>
      <abilityName>字词错误</abilityName>
      <candidateList>
        <item>偶尔</item>
      </candidateList>
      <explain/>
      <paraID> B4F77A3</paraID>
      <start>7</start>
      <end>9</end>
      <status>unmodified</status>
      <modifiedWord/>
      <trackRevisions>false</trackRevisions>
    </reviewItem>
    <reviewItem>
      <errorID>15187512-244d-4f36-9f77-075c891a0936</errorID>
      <errorWord>～</errorWord>
      <group>L1_Format</group>
      <groupName>格式问题</groupName>
      <ability>L2_HalfPunc_CN</ability>
      <abilityName>全半角问题</abilityName>
      <candidateList>
        <item>~</item>
      </candidateList>
      <explain>文本全半角错误。</explain>
      <paraID>29D71F37</paraID>
      <start>4</start>
      <end>5</end>
      <status>unmodified</status>
      <modifiedWord/>
      <trackRevisions>false</trackRevisions>
    </reviewItem>
    <reviewItem>
      <errorID>41edbf39-0f9a-4d51-b8de-87e007b97e84</errorID>
      <errorWord>～</errorWord>
      <group>L1_Format</group>
      <groupName>格式问题</groupName>
      <ability>L2_HalfPunc_CN</ability>
      <abilityName>全半角问题</abilityName>
      <candidateList>
        <item>~</item>
      </candidateList>
      <explain>文本全半角错误。</explain>
      <paraID>407E26B7</paraID>
      <start>3</start>
      <end>4</end>
      <status>unmodified</status>
      <modifiedWord/>
      <trackRevisions>false</trackRevisions>
    </reviewItem>
    <reviewItem>
      <errorID>64a2b4c9-05cd-4a0b-a314-92926ef69747</errorID>
      <errorWord>～</errorWord>
      <group>L1_Format</group>
      <groupName>格式问题</groupName>
      <ability>L2_HalfPunc_CN</ability>
      <abilityName>全半角问题</abilityName>
      <candidateList>
        <item>~</item>
      </candidateList>
      <explain>文本全半角错误。</explain>
      <paraID>1F6E86DC</paraID>
      <start>4</start>
      <end>5</end>
      <status>unmodified</status>
      <modifiedWord/>
      <trackRevisions>false</trackRevisions>
    </reviewItem>
    <reviewItem>
      <errorID>a820261e-56af-4902-8d37-b9b579449928</errorID>
      <errorWord>～</errorWord>
      <group>L1_Format</group>
      <groupName>格式问题</groupName>
      <ability>L2_HalfPunc_CN</ability>
      <abilityName>全半角问题</abilityName>
      <candidateList>
        <item>~</item>
      </candidateList>
      <explain>文本全半角错误。</explain>
      <paraID>2A393907</paraID>
      <start>4</start>
      <end>5</end>
      <status>unmodified</status>
      <modifiedWord/>
      <trackRevisions>false</trackRevisions>
    </reviewItem>
    <reviewItem>
      <errorID>404d409e-43e0-439b-9424-25739c6b37b5</errorID>
      <errorWord>＞</errorWord>
      <group>L1_Format</group>
      <groupName>格式问题</groupName>
      <ability>L2_HalfPunc_CN</ability>
      <abilityName>全半角问题</abilityName>
      <candidateList>
        <item>&gt;</item>
      </candidateList>
      <explain>文本全半角错误。</explain>
      <paraID>71D4A97E</paraID>
      <start>0</start>
      <end>1</end>
      <status>unmodified</status>
      <modifiedWord/>
      <trackRevisions>false</trackRevisions>
    </reviewItem>
    <reviewItem>
      <errorID>ee5baa82-4012-407a-9c1e-7a6110b883d7</errorID>
      <errorWord>)</errorWord>
      <group>L1_Format</group>
      <groupName>格式问题</groupName>
      <ability>L2_HalfPunc_CN</ability>
      <abilityName>全半角问题</abilityName>
      <candidateList>
        <item>）</item>
      </candidateList>
      <explain>文本全半角错误。</explain>
      <paraID>28CD56B7</paraID>
      <start>48</start>
      <end>49</end>
      <status>unmodified</status>
      <modifiedWord/>
      <trackRevisions>false</trackRevisions>
    </reviewItem>
    <reviewItem>
      <errorID>67db17df-2b1f-4a59-a688-4e5016024b75</errorID>
      <errorWord>………</errorWord>
      <group>L1_Punc</group>
      <groupName>标点问题</groupName>
      <ability>L2_Punc_CN</ability>
      <abilityName>标点符号问题</abilityName>
      <candidateList>
        <item>……</item>
      </candidateList>
      <explain/>
      <paraID>28CD56B7</paraID>
      <start>49</start>
      <end>52</end>
      <status>unmodified</status>
      <modifiedWord/>
      <trackRevisions>false</trackRevisions>
    </reviewItem>
    <reviewItem>
      <errorID>518522db-ffae-4f25-a738-85fd62111c96</errorID>
      <errorWord>:</errorWord>
      <group>L1_Format</group>
      <groupName>格式问题</groupName>
      <ability>L2_HalfPunc_CN</ability>
      <abilityName>全半角问题</abilityName>
      <candidateList>
        <item>：</item>
      </candidateList>
      <explain>文本全半角错误。</explain>
      <paraID>68847FBF</paraID>
      <start>40</start>
      <end>41</end>
      <status>unmodified</status>
      <modifiedWord/>
      <trackRevisions>false</trackRevisions>
    </reviewItem>
    <reviewItem>
      <errorID>71473494-3b46-4b8c-b359-c54393f89b8a</errorID>
      <errorWord>(</errorWord>
      <group>L1_Format</group>
      <groupName>格式问题</groupName>
      <ability>L2_HalfPunc_CN</ability>
      <abilityName>全半角问题</abilityName>
      <candidateList>
        <item>（</item>
      </candidateList>
      <explain>文本全半角错误。</explain>
      <paraID>3E25B75A</paraID>
      <start>33</start>
      <end>34</end>
      <status>unmodified</status>
      <modifiedWord/>
      <trackRevisions>false</trackRevisions>
    </reviewItem>
    <reviewItem>
      <errorID>7f31b6fb-6214-4394-84b7-cd33a0f45b45</errorID>
      <errorWord>………</errorWord>
      <group>L1_Punc</group>
      <groupName>标点问题</groupName>
      <ability>L2_Punc_CN</ability>
      <abilityName>标点符号问题</abilityName>
      <candidateList>
        <item>……</item>
      </candidateList>
      <explain/>
      <paraID>3E25B75A</paraID>
      <start>47</start>
      <end>50</end>
      <status>unmodified</status>
      <modifiedWord/>
      <trackRevisions>false</trackRevisions>
    </reviewItem>
    <reviewItem>
      <errorID>01d68baa-469d-4d03-acef-6d060fd46ccf</errorID>
      <errorWord>，</errorWord>
      <group>L1_Format</group>
      <groupName>格式问题</groupName>
      <ability>L2_HalfPunc_CN</ability>
      <abilityName>全半角问题</abilityName>
      <candidateList>
        <item>,</item>
      </candidateList>
      <explain>文本全半角错误。</explain>
      <paraID> 68AC4D6</paraID>
      <start>10</start>
      <end>11</end>
      <status>unmodified</status>
      <modifiedWord/>
      <trackRevisions>false</trackRevisions>
    </reviewItem>
    <reviewItem>
      <errorID>f19236f0-468c-420d-91b9-11921d7e811f</errorID>
      <errorWord>…………</errorWord>
      <group>L1_Punc</group>
      <groupName>标点问题</groupName>
      <ability>L2_Punc_CN</ability>
      <abilityName>标点符号问题</abilityName>
      <candidateList>
        <item>……</item>
      </candidateList>
      <explain/>
      <paraID>14AE0223</paraID>
      <start>49</start>
      <end>53</end>
      <status>unmodified</status>
      <modifiedWord/>
      <trackRevisions>false</trackRevisions>
    </reviewItem>
    <reviewItem>
      <errorID>a1df6679-a1ba-4013-8bc3-e63ba46eaeaa</errorID>
      <errorWord>…………</errorWord>
      <group>L1_Punc</group>
      <groupName>标点问题</groupName>
      <ability>L2_Punc_CN</ability>
      <abilityName>标点符号问题</abilityName>
      <candidateList>
        <item>……</item>
      </candidateList>
      <explain/>
      <paraID>7294BBA0</paraID>
      <start>18</start>
      <end>22</end>
      <status>unmodified</status>
      <modifiedWord/>
      <trackRevisions>false</trackRevisions>
    </reviewItem>
    <reviewItem>
      <errorID>6836c49b-c649-47f4-b894-d57fac0db255</errorID>
      <errorWord>的工</errorWord>
      <group>L1_Word</group>
      <groupName>字词问题</groupName>
      <ability>L2_Typo</ability>
      <abilityName>字词错误</abilityName>
      <candidateList>
        <item>的</item>
      </candidateList>
      <explain/>
      <paraID>4EEECAD5</paraID>
      <start>32</start>
      <end>34</end>
      <status>unmodified</status>
      <modifiedWord/>
      <trackRevisions>false</trackRevisions>
    </reviewItem>
    <reviewItem>
      <errorID>e8775e2c-9ff9-41ea-bf75-ab9b314fde37</errorID>
      <errorWord>～</errorWord>
      <group>L1_Format</group>
      <groupName>格式问题</groupName>
      <ability>L2_HalfPunc_CN</ability>
      <abilityName>全半角问题</abilityName>
      <candidateList>
        <item>~</item>
      </candidateList>
      <explain>文本全半角错误。</explain>
      <paraID>346748DA</paraID>
      <start>3</start>
      <end>4</end>
      <status>unmodified</status>
      <modifiedWord/>
      <trackRevisions>false</trackRevisions>
    </reviewItem>
    <reviewItem>
      <errorID>1aca0f07-dc61-49d4-8be8-147cbba4617c</errorID>
      <errorWord>～</errorWord>
      <group>L1_Format</group>
      <groupName>格式问题</groupName>
      <ability>L2_HalfPunc_CN</ability>
      <abilityName>全半角问题</abilityName>
      <candidateList>
        <item>~</item>
      </candidateList>
      <explain>文本全半角错误。</explain>
      <paraID>79629295</paraID>
      <start>3</start>
      <end>4</end>
      <status>unmodified</status>
      <modifiedWord/>
      <trackRevisions>false</trackRevisions>
    </reviewItem>
    <reviewItem>
      <errorID>1cf99a7d-4c82-407c-9bb4-8c4e8acce117</errorID>
      <errorWord>～</errorWord>
      <group>L1_Format</group>
      <groupName>格式问题</groupName>
      <ability>L2_HalfPunc_CN</ability>
      <abilityName>全半角问题</abilityName>
      <candidateList>
        <item>~</item>
      </candidateList>
      <explain>文本全半角错误。</explain>
      <paraID>559E5198</paraID>
      <start>3</start>
      <end>4</end>
      <status>unmodified</status>
      <modifiedWord/>
      <trackRevisions>false</trackRevisions>
    </reviewItem>
    <reviewItem>
      <errorID>bab7e6f4-c40b-4b2e-8124-ff64e40623b6</errorID>
      <errorWord>＞</errorWord>
      <group>L1_Format</group>
      <groupName>格式问题</groupName>
      <ability>L2_HalfPunc_CN</ability>
      <abilityName>全半角问题</abilityName>
      <candidateList>
        <item>&gt;</item>
      </candidateList>
      <explain>文本全半角错误。</explain>
      <paraID>4830D091</paraID>
      <start>0</start>
      <end>1</end>
      <status>unmodified</status>
      <modifiedWord/>
      <trackRevisions>false</trackRevisions>
    </reviewItem>
    <reviewItem>
      <errorID>9a120496-f7db-41e2-a49c-9b56542eb90a</errorID>
      <errorWord>～</errorWord>
      <group>L1_Format</group>
      <groupName>格式问题</groupName>
      <ability>L2_HalfPunc_CN</ability>
      <abilityName>全半角问题</abilityName>
      <candidateList>
        <item>~</item>
      </candidateList>
      <explain>文本全半角错误。</explain>
      <paraID>13BE1EF9</paraID>
      <start>5</start>
      <end>6</end>
      <status>unmodified</status>
      <modifiedWord/>
      <trackRevisions>false</trackRevisions>
    </reviewItem>
    <reviewItem>
      <errorID>81d93c93-7137-4e16-88a2-e21ab7bbfc62</errorID>
      <errorWord>～</errorWord>
      <group>L1_Format</group>
      <groupName>格式问题</groupName>
      <ability>L2_HalfPunc_CN</ability>
      <abilityName>全半角问题</abilityName>
      <candidateList>
        <item>~</item>
      </candidateList>
      <explain>文本全半角错误。</explain>
      <paraID>7FB6F731</paraID>
      <start>5</start>
      <end>6</end>
      <status>unmodified</status>
      <modifiedWord/>
      <trackRevisions>false</trackRevisions>
    </reviewItem>
    <reviewItem>
      <errorID>56249a75-0c65-449e-9c7e-f8bbd61aeed8</errorID>
      <errorWord>～</errorWord>
      <group>L1_Format</group>
      <groupName>格式问题</groupName>
      <ability>L2_HalfPunc_CN</ability>
      <abilityName>全半角问题</abilityName>
      <candidateList>
        <item>~</item>
      </candidateList>
      <explain>文本全半角错误。</explain>
      <paraID>2936109B</paraID>
      <start>5</start>
      <end>6</end>
      <status>unmodified</status>
      <modifiedWord/>
      <trackRevisions>false</trackRevisions>
    </reviewItem>
    <reviewItem>
      <errorID>3a0cee39-e768-400f-a469-db3c52b1167b</errorID>
      <errorWord>＞</errorWord>
      <group>L1_Format</group>
      <groupName>格式问题</groupName>
      <ability>L2_HalfPunc_CN</ability>
      <abilityName>全半角问题</abilityName>
      <candidateList>
        <item>&gt;</item>
      </candidateList>
      <explain>文本全半角错误。</explain>
      <paraID> 1A0DB1C</paraID>
      <start>0</start>
      <end>1</end>
      <status>unmodified</status>
      <modifiedWord/>
      <trackRevisions>false</trackRevisions>
    </reviewItem>
    <reviewItem>
      <errorID>752b734e-7c77-4590-b0e0-20a17e51ec8c</errorID>
      <errorWord>～</errorWord>
      <group>L1_Format</group>
      <groupName>格式问题</groupName>
      <ability>L2_HalfPunc_CN</ability>
      <abilityName>全半角问题</abilityName>
      <candidateList>
        <item>~</item>
      </candidateList>
      <explain>文本全半角错误。</explain>
      <paraID>130280F0</paraID>
      <start>5</start>
      <end>6</end>
      <status>unmodified</status>
      <modifiedWord/>
      <trackRevisions>false</trackRevisions>
    </reviewItem>
    <reviewItem>
      <errorID>d8f096b5-ad3b-487b-a33f-e1337c7e9dca</errorID>
      <errorWord>～</errorWord>
      <group>L1_Format</group>
      <groupName>格式问题</groupName>
      <ability>L2_HalfPunc_CN</ability>
      <abilityName>全半角问题</abilityName>
      <candidateList>
        <item>~</item>
      </candidateList>
      <explain>文本全半角错误。</explain>
      <paraID>621940C4</paraID>
      <start>4</start>
      <end>5</end>
      <status>unmodified</status>
      <modifiedWord/>
      <trackRevisions>false</trackRevisions>
    </reviewItem>
    <reviewItem>
      <errorID>639c2fdf-45ca-4ef3-9b6a-fe469d4ca199</errorID>
      <errorWord>～</errorWord>
      <group>L1_Format</group>
      <groupName>格式问题</groupName>
      <ability>L2_HalfPunc_CN</ability>
      <abilityName>全半角问题</abilityName>
      <candidateList>
        <item>~</item>
      </candidateList>
      <explain>文本全半角错误。</explain>
      <paraID>7DD692C7</paraID>
      <start>5</start>
      <end>6</end>
      <status>unmodified</status>
      <modifiedWord/>
      <trackRevisions>false</trackRevisions>
    </reviewItem>
    <reviewItem>
      <errorID>aaeb8502-89cf-4c21-b44f-863f3899b850</errorID>
      <errorWord>～</errorWord>
      <group>L1_Format</group>
      <groupName>格式问题</groupName>
      <ability>L2_HalfPunc_CN</ability>
      <abilityName>全半角问题</abilityName>
      <candidateList>
        <item>~</item>
      </candidateList>
      <explain>文本全半角错误。</explain>
      <paraID> 5EC94C4</paraID>
      <start>4</start>
      <end>5</end>
      <status>unmodified</status>
      <modifiedWord/>
      <trackRevisions>false</trackRevisions>
    </reviewItem>
    <reviewItem>
      <errorID>667a7e0f-a0da-49b5-b68c-ff122f5a4234</errorID>
      <errorWord>～</errorWord>
      <group>L1_Format</group>
      <groupName>格式问题</groupName>
      <ability>L2_HalfPunc_CN</ability>
      <abilityName>全半角问题</abilityName>
      <candidateList>
        <item>~</item>
      </candidateList>
      <explain>文本全半角错误。</explain>
      <paraID>6013C79E</paraID>
      <start>4</start>
      <end>5</end>
      <status>unmodified</status>
      <modifiedWord/>
      <trackRevisions>false</trackRevisions>
    </reviewItem>
    <reviewItem>
      <errorID>0ad4e15a-d348-47f6-86e1-5ab649258067</errorID>
      <errorWord>～</errorWord>
      <group>L1_Format</group>
      <groupName>格式问题</groupName>
      <ability>L2_HalfPunc_CN</ability>
      <abilityName>全半角问题</abilityName>
      <candidateList>
        <item>~</item>
      </candidateList>
      <explain>文本全半角错误。</explain>
      <paraID>71DDDCE0</paraID>
      <start>4</start>
      <end>5</end>
      <status>unmodified</status>
      <modifiedWord/>
      <trackRevisions>false</trackRevisions>
    </reviewItem>
    <reviewItem>
      <errorID>d46b972f-4ca7-4b73-acc8-3d56537a26af</errorID>
      <errorWord>～</errorWord>
      <group>L1_Format</group>
      <groupName>格式问题</groupName>
      <ability>L2_HalfPunc_CN</ability>
      <abilityName>全半角问题</abilityName>
      <candidateList>
        <item>~</item>
      </candidateList>
      <explain>文本全半角错误。</explain>
      <paraID>676F6D77</paraID>
      <start>4</start>
      <end>5</end>
      <status>unmodified</status>
      <modifiedWord/>
      <trackRevisions>false</trackRevisions>
    </reviewItem>
    <reviewItem>
      <errorID>83d1e245-9a09-465d-8842-c1a8a03565bb</errorID>
      <errorWord>～</errorWord>
      <group>L1_Format</group>
      <groupName>格式问题</groupName>
      <ability>L2_HalfPunc_CN</ability>
      <abilityName>全半角问题</abilityName>
      <candidateList>
        <item>~</item>
      </candidateList>
      <explain>文本全半角错误。</explain>
      <paraID>38C7643E</paraID>
      <start>4</start>
      <end>5</end>
      <status>unmodified</status>
      <modifiedWord/>
      <trackRevisions>false</trackRevisions>
    </reviewItem>
    <reviewItem>
      <errorID>8c1096ef-d230-4858-aeda-c3bdc02f1750</errorID>
      <errorWord>～</errorWord>
      <group>L1_Format</group>
      <groupName>格式问题</groupName>
      <ability>L2_HalfPunc_CN</ability>
      <abilityName>全半角问题</abilityName>
      <candidateList>
        <item>~</item>
      </candidateList>
      <explain>文本全半角错误。</explain>
      <paraID>2081B623</paraID>
      <start>6</start>
      <end>7</end>
      <status>unmodified</status>
      <modifiedWord/>
      <trackRevisions>false</trackRevisions>
    </reviewItem>
    <reviewItem>
      <errorID>840927be-c0ae-4075-ac96-a6ac79f0a25e</errorID>
      <errorWord>～</errorWord>
      <group>L1_Format</group>
      <groupName>格式问题</groupName>
      <ability>L2_HalfPunc_CN</ability>
      <abilityName>全半角问题</abilityName>
      <candidateList>
        <item>~</item>
      </candidateList>
      <explain>文本全半角错误。</explain>
      <paraID>2B352A7E</paraID>
      <start>6</start>
      <end>7</end>
      <status>unmodified</status>
      <modifiedWord/>
      <trackRevisions>false</trackRevisions>
    </reviewItem>
    <reviewItem>
      <errorID>ec0074bb-8f37-4935-a3ba-3128e11e3856</errorID>
      <errorWord>～</errorWord>
      <group>L1_Format</group>
      <groupName>格式问题</groupName>
      <ability>L2_HalfPunc_CN</ability>
      <abilityName>全半角问题</abilityName>
      <candidateList>
        <item>~</item>
      </candidateList>
      <explain>文本全半角错误。</explain>
      <paraID>31ABEC15</paraID>
      <start>5</start>
      <end>6</end>
      <status>unmodified</status>
      <modifiedWord/>
      <trackRevisions>false</trackRevisions>
    </reviewItem>
    <reviewItem>
      <errorID>7977a201-e208-4bdd-8538-459cb029191f</errorID>
      <errorWord>～</errorWord>
      <group>L1_Format</group>
      <groupName>格式问题</groupName>
      <ability>L2_HalfPunc_CN</ability>
      <abilityName>全半角问题</abilityName>
      <candidateList>
        <item>~</item>
      </candidateList>
      <explain>文本全半角错误。</explain>
      <paraID>2B8C9FF9</paraID>
      <start>4</start>
      <end>5</end>
      <status>unmodified</status>
      <modifiedWord/>
      <trackRevisions>false</trackRevisions>
    </reviewItem>
    <reviewItem>
      <errorID>88066715-405c-4498-bb99-1507d6f3bec3</errorID>
      <errorWord>～</errorWord>
      <group>L1_Format</group>
      <groupName>格式问题</groupName>
      <ability>L2_HalfPunc_CN</ability>
      <abilityName>全半角问题</abilityName>
      <candidateList>
        <item>~</item>
      </candidateList>
      <explain>文本全半角错误。</explain>
      <paraID>4CE1CBBA</paraID>
      <start>5</start>
      <end>6</end>
      <status>unmodified</status>
      <modifiedWord/>
      <trackRevisions>false</trackRevisions>
    </reviewItem>
    <reviewItem>
      <errorID>33c3966f-d31e-4849-bb15-5f576c680983</errorID>
      <errorWord>～</errorWord>
      <group>L1_Format</group>
      <groupName>格式问题</groupName>
      <ability>L2_HalfPunc_CN</ability>
      <abilityName>全半角问题</abilityName>
      <candidateList>
        <item>~</item>
      </candidateList>
      <explain>文本全半角错误。</explain>
      <paraID>4AC4BEA9</paraID>
      <start>5</start>
      <end>6</end>
      <status>unmodified</status>
      <modifiedWord/>
      <trackRevisions>false</trackRevisions>
    </reviewItem>
    <reviewItem>
      <errorID>1a28989c-4691-498c-9ef6-0d547f4ba6b4</errorID>
      <errorWord>～</errorWord>
      <group>L1_Format</group>
      <groupName>格式问题</groupName>
      <ability>L2_HalfPunc_CN</ability>
      <abilityName>全半角问题</abilityName>
      <candidateList>
        <item>~</item>
      </candidateList>
      <explain>文本全半角错误。</explain>
      <paraID>78D34883</paraID>
      <start>5</start>
      <end>6</end>
      <status>unmodified</status>
      <modifiedWord/>
      <trackRevisions>false</trackRevisions>
    </reviewItem>
    <reviewItem>
      <errorID>7dc166ca-a566-4e3b-8046-3c3222132b9b</errorID>
      <errorWord>～</errorWord>
      <group>L1_Format</group>
      <groupName>格式问题</groupName>
      <ability>L2_HalfPunc_CN</ability>
      <abilityName>全半角问题</abilityName>
      <candidateList>
        <item>~</item>
      </candidateList>
      <explain>文本全半角错误。</explain>
      <paraID>5C91B1BD</paraID>
      <start>4</start>
      <end>5</end>
      <status>unmodified</status>
      <modifiedWord/>
      <trackRevisions>false</trackRevisions>
    </reviewItem>
    <reviewItem>
      <errorID>1f6e2318-fc38-490f-a628-0128edd5ad95</errorID>
      <errorWord>～</errorWord>
      <group>L1_Format</group>
      <groupName>格式问题</groupName>
      <ability>L2_HalfPunc_CN</ability>
      <abilityName>全半角问题</abilityName>
      <candidateList>
        <item>~</item>
      </candidateList>
      <explain>文本全半角错误。</explain>
      <paraID>5C5C8C14</paraID>
      <start>5</start>
      <end>6</end>
      <status>unmodified</status>
      <modifiedWord/>
      <trackRevisions>false</trackRevisions>
    </reviewItem>
    <reviewItem>
      <errorID>c4d22273-2599-4a13-a103-611522e8d671</errorID>
      <errorWord>～</errorWord>
      <group>L1_Format</group>
      <groupName>格式问题</groupName>
      <ability>L2_HalfPunc_CN</ability>
      <abilityName>全半角问题</abilityName>
      <candidateList>
        <item>~</item>
      </candidateList>
      <explain>文本全半角错误。</explain>
      <paraID>6576D519</paraID>
      <start>5</start>
      <end>6</end>
      <status>unmodified</status>
      <modifiedWord/>
      <trackRevisions>false</trackRevisions>
    </reviewItem>
    <reviewItem>
      <errorID>1ff7bc9a-e176-4361-b93b-63854ff5c28a</errorID>
      <errorWord>(</errorWord>
      <group>L1_Format</group>
      <groupName>格式问题</groupName>
      <ability>L2_HalfPunc_CN</ability>
      <abilityName>全半角问题</abilityName>
      <candidateList>
        <item>（</item>
      </candidateList>
      <explain>文本全半角错误。</explain>
      <paraID>6BC6D2FF</paraID>
      <start>67</start>
      <end>68</end>
      <status>unmodified</status>
      <modifiedWord/>
      <trackRevisions>false</trackRevisions>
    </reviewItem>
    <reviewItem>
      <errorID>6f4b0218-fe33-4eab-986d-9a1749574f47</errorID>
      <errorWord>)</errorWord>
      <group>L1_Format</group>
      <groupName>格式问题</groupName>
      <ability>L2_HalfPunc_CN</ability>
      <abilityName>全半角问题</abilityName>
      <candidateList>
        <item>）</item>
      </candidateList>
      <explain>文本全半角错误。</explain>
      <paraID>6BC6D2FF</paraID>
      <start>82</start>
      <end>83</end>
      <status>unmodified</status>
      <modifiedWord/>
      <trackRevisions>false</trackRevisions>
    </reviewItem>
    <reviewItem>
      <errorID>ccaf4282-ebac-4822-a9fb-853b94bb4171</errorID>
      <errorWord>过程窜</errorWord>
      <group>L1_Word</group>
      <groupName>字词问题</groupName>
      <ability>L2_Typo</ability>
      <abilityName>字词错误</abilityName>
      <candidateList>
        <item>过程</item>
      </candidateList>
      <explain/>
      <paraID> 324321B</paraID>
      <start>77</start>
      <end>80</end>
      <status>unmodified</status>
      <modifiedWord/>
      <trackRevisions>false</trackRevisions>
    </reviewItem>
    <reviewItem>
      <errorID>28f2c252-5fab-443f-8e45-d15be3984507</errorID>
      <errorWord>法律、法规</errorWord>
      <group>L1_Word</group>
      <groupName>字词问题</groupName>
      <ability>L2_Typo</ability>
      <abilityName>字词错误</abilityName>
      <candidateList>
        <item>法律法规</item>
      </candidateList>
      <explain/>
      <paraID>74972453</paraID>
      <start>58</start>
      <end>63</end>
      <status>unmodified</status>
      <modifiedWord/>
      <trackRevisions>false</trackRevisions>
    </reviewItem>
    <reviewItem>
      <errorID>dbe9ea57-5fde-48cd-9a05-9d43b881d858</errorID>
      <errorWord>法律、法规</errorWord>
      <group>L1_Word</group>
      <groupName>字词问题</groupName>
      <ability>L2_Typo</ability>
      <abilityName>字词错误</abilityName>
      <candidateList>
        <item>法律法规</item>
      </candidateList>
      <explain/>
      <paraID> 28613B9</paraID>
      <start>17</start>
      <end>22</end>
      <status>unmodified</status>
      <modifiedWord/>
      <trackRevisions>false</trackRevisions>
    </reviewItem>
    <reviewItem>
      <errorID>dc60dfa1-3bf1-4bb5-ad15-f815e91fd91b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60E9C554</paraID>
      <start>0</start>
      <end>2</end>
      <status>unmodified</status>
      <modifiedWord/>
      <trackRevisions>false</trackRevisions>
    </reviewItem>
    <reviewItem>
      <errorID>630e9bdf-a735-4cdc-b346-3e69699037ef</errorID>
      <errorWord>法律、法规</errorWord>
      <group>L1_Word</group>
      <groupName>字词问题</groupName>
      <ability>L2_Typo</ability>
      <abilityName>字词错误</abilityName>
      <candidateList>
        <item>法律法规</item>
      </candidateList>
      <explain/>
      <paraID>60E9C554</paraID>
      <start>12</start>
      <end>17</end>
      <status>unmodified</status>
      <modifiedWord/>
      <trackRevisions>false</trackRevisions>
    </reviewItem>
    <reviewItem>
      <errorID>3ded8022-7a74-4b5b-91bb-50350820c4d7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3441105</paraID>
      <start>0</start>
      <end>2</end>
      <status>unmodified</status>
      <modifiedWord/>
      <trackRevisions>false</trackRevisions>
    </reviewItem>
    <reviewItem>
      <errorID>6ee1e6b5-7bcf-47b3-a423-ea97b608e54f</errorID>
      <errorWord>并应</errorWord>
      <group>L1_Word</group>
      <groupName>字词问题</groupName>
      <ability>L2_Typo</ability>
      <abilityName>字词错误</abilityName>
      <candidateList>
        <item>并</item>
      </candidateList>
      <explain/>
      <paraID> 3441105</paraID>
      <start>50</start>
      <end>52</end>
      <status>unmodified</status>
      <modifiedWord/>
      <trackRevisions>false</trackRevisions>
    </reviewItem>
    <reviewItem>
      <errorID>d8042940-afc0-4d50-ae7f-e96a143b72cb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654D96B3</paraID>
      <start>0</start>
      <end>2</end>
      <status>unmodified</status>
      <modifiedWord/>
      <trackRevisions>false</trackRevisions>
    </reviewItem>
    <reviewItem>
      <errorID>ee64a02f-d8d3-4988-93eb-c6afdd05a262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6C9B3F79</paraID>
      <start>0</start>
      <end>2</end>
      <status>unmodified</status>
      <modifiedWord/>
      <trackRevisions>false</trackRevisions>
    </reviewItem>
    <reviewItem>
      <errorID>a044bc7b-20e9-4ea6-9334-3deee528e313</errorID>
      <errorWord>提高</errorWord>
      <group>L1_Grammar</group>
      <groupName>语法问题</groupName>
      <ability>L2_Grammar</ability>
      <abilityName>语法错误</abilityName>
      <candidateList>
        <item>增强</item>
      </candidateList>
      <explain>“提高～意识”搭配不当，建议修改为“增强～意识”。</explain>
      <paraID>6C9B3F79</paraID>
      <start>27</start>
      <end>29</end>
      <status>unmodified</status>
      <modifiedWord/>
      <trackRevisions>false</trackRevisions>
    </reviewItem>
    <reviewItem>
      <errorID>b7868487-46e8-4d49-a13b-825a4d10263a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1ADEEBC3</paraID>
      <start>0</start>
      <end>2</end>
      <status>unmodified</status>
      <modifiedWord/>
      <trackRevisions>false</trackRevisions>
    </reviewItem>
    <reviewItem>
      <errorID>a2efc937-294c-45b6-a02f-b93b9ff0481b</errorID>
      <errorWord>职业性健康检查</errorWord>
      <group>L1_Word</group>
      <groupName>字词问题</groupName>
      <ability>L2_Typo</ability>
      <abilityName>字词错误</abilityName>
      <candidateList>
        <item>职业健康检查</item>
      </candidateList>
      <explain/>
      <paraID>1ADEEBC3</paraID>
      <start>12</start>
      <end>19</end>
      <status>unmodified</status>
      <modifiedWord/>
      <trackRevisions>false</trackRevisions>
    </reviewItem>
    <reviewItem>
      <errorID>85b3cf63-167b-4879-b568-d55e72000270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75075368</paraID>
      <start>0</start>
      <end>2</end>
      <status>unmodified</status>
      <modifiedWord/>
      <trackRevisions>false</trackRevisions>
    </reviewItem>
    <reviewItem>
      <errorID>74c330c5-d462-48c9-a0e1-d80af423a454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3517A622</paraID>
      <start>0</start>
      <end>2</end>
      <status>unmodified</status>
      <modifiedWord/>
      <trackRevisions>false</trackRevisions>
    </reviewItem>
    <reviewItem>
      <errorID>76979517-2ba6-4fcd-9512-af67108f093c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674D28D0</paraID>
      <start>0</start>
      <end>2</end>
      <status>unmodified</status>
      <modifiedWord/>
      <trackRevisions>false</trackRevisions>
    </reviewItem>
    <reviewItem>
      <errorID>24c57648-182a-477d-a9b1-8ff77051d115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2A56F061</paraID>
      <start>0</start>
      <end>2</end>
      <status>unmodified</status>
      <modifiedWord/>
      <trackRevisions>false</trackRevisions>
    </reviewItem>
    <reviewItem>
      <errorID>813813df-82c0-4a18-93ff-5e061bcd423a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1B912576</paraID>
      <start>0</start>
      <end>3</end>
      <status>unmodified</status>
      <modifiedWord/>
      <trackRevisions>false</trackRevisions>
    </reviewItem>
    <reviewItem>
      <errorID>45558fbc-69b4-453e-adfa-c463dd7cd800</errorID>
      <errorWord>铁撬</errorWord>
      <group>L1_Word</group>
      <groupName>字词问题</groupName>
      <ability>L2_Typo</ability>
      <abilityName>字词错误</abilityName>
      <candidateList>
        <item>铁锹</item>
      </candidateList>
      <explain/>
      <paraID>1B912576</paraID>
      <start>88</start>
      <end>90</end>
      <status>unmodified</status>
      <modifiedWord/>
      <trackRevisions>false</trackRevisions>
    </reviewItem>
    <reviewItem>
      <errorID>ed6a3879-5cab-4b5f-a270-f68d4b79359f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7D55A325</paraID>
      <start>0</start>
      <end>3</end>
      <status>unmodified</status>
      <modifiedWord/>
      <trackRevisions>false</trackRevisions>
    </reviewItem>
    <reviewItem>
      <errorID>63d78158-3162-48b1-a5f3-96a8a9c31cc5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162391D3</paraID>
      <start>0</start>
      <end>3</end>
      <status>unmodified</status>
      <modifiedWord/>
      <trackRevisions>false</trackRevisions>
    </reviewItem>
    <reviewItem>
      <errorID>f5e3ae42-9a78-48a4-9195-b1d6e3ac358f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6D9E1275</paraID>
      <start>0</start>
      <end>3</end>
      <status>unmodified</status>
      <modifiedWord/>
      <trackRevisions>false</trackRevisions>
    </reviewItem>
    <reviewItem>
      <errorID>374f73d5-7b7a-455d-8062-f303edd8dfc8</errorID>
      <errorWord>签订好</errorWord>
      <group>L1_Word</group>
      <groupName>字词问题</groupName>
      <ability>L2_Typo</ability>
      <abilityName>字词错误</abilityName>
      <candidateList>
        <item>签订</item>
      </candidateList>
      <explain/>
      <paraID>6D9E1275</paraID>
      <start>23</start>
      <end>26</end>
      <status>unmodified</status>
      <modifiedWord/>
      <trackRevisions>false</trackRevisions>
    </reviewItem>
    <reviewItem>
      <errorID>2c0f4468-2588-4aa3-a9f0-8eabc51d25fd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2DD2F294</paraID>
      <start>0</start>
      <end>2</end>
      <status>unmodified</status>
      <modifiedWord/>
      <trackRevisions>false</trackRevisions>
    </reviewItem>
    <reviewItem>
      <errorID>2f9c1655-9e49-4f59-af19-b9227be75f8d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10B0D390</paraID>
      <start>0</start>
      <end>2</end>
      <status>unmodified</status>
      <modifiedWord/>
      <trackRevisions>false</trackRevisions>
    </reviewItem>
    <reviewItem>
      <errorID>eb8e3253-8f76-4608-8464-63ab1245b0f6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6AB0ECD6</paraID>
      <start>0</start>
      <end>2</end>
      <status>unmodified</status>
      <modifiedWord/>
      <trackRevisions>false</trackRevisions>
    </reviewItem>
    <reviewItem>
      <errorID>e07649cd-3490-4c3c-994f-f4fa80930f5c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207AD06B</paraID>
      <start>0</start>
      <end>2</end>
      <status>unmodified</status>
      <modifiedWord/>
      <trackRevisions>false</trackRevisions>
    </reviewItem>
    <reviewItem>
      <errorID>e8b72f5a-e5da-467c-9685-8ef10d743c6a</errorID>
      <errorWord>棉制</errorWord>
      <group>L1_Word</group>
      <groupName>字词问题</groupName>
      <ability>L2_Typo</ability>
      <abilityName>字词错误</abilityName>
      <candidateList>
        <item>棉质</item>
      </candidateList>
      <explain/>
      <paraID>207AD06B</paraID>
      <start>16</start>
      <end>18</end>
      <status>unmodified</status>
      <modifiedWord/>
      <trackRevisions>false</trackRevisions>
    </reviewItem>
    <reviewItem>
      <errorID>e78bc5cb-23df-4b57-8ef4-934ddefda8d2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229A6A52</paraID>
      <start>0</start>
      <end>2</end>
      <status>unmodified</status>
      <modifiedWord/>
      <trackRevisions>false</trackRevisions>
    </reviewItem>
    <reviewItem>
      <errorID>3452cb14-2643-41a9-95fd-439aaa95af2b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18ED9047</paraID>
      <start>0</start>
      <end>2</end>
      <status>unmodified</status>
      <modifiedWord/>
      <trackRevisions>false</trackRevisions>
    </reviewItem>
    <reviewItem>
      <errorID>cb34d4c9-81a7-49a4-8113-979f97a659ee</errorID>
      <errorWord>要</errorWord>
      <group>L1_Word</group>
      <groupName>字词问题</groupName>
      <ability>L2_Typo</ability>
      <abilityName>字词错误</abilityName>
      <candidateList>
        <item>要求</item>
      </candidateList>
      <explain/>
      <paraID>18ED9047</paraID>
      <start>74</start>
      <end>75</end>
      <status>unmodified</status>
      <modifiedWord/>
      <trackRevisions>false</trackRevisions>
    </reviewItem>
    <reviewItem>
      <errorID>1a111df9-bafb-44d5-9103-687005b4a69d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6CC4A804</paraID>
      <start>0</start>
      <end>2</end>
      <status>unmodified</status>
      <modifiedWord/>
      <trackRevisions>false</trackRevisions>
    </reviewItem>
    <reviewItem>
      <errorID>a5d654ac-6d3a-4b2b-b8e7-615a58921bb6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5CB30B06</paraID>
      <start>0</start>
      <end>2</end>
      <status>unmodified</status>
      <modifiedWord/>
      <trackRevisions>false</trackRevisions>
    </reviewItem>
    <reviewItem>
      <errorID>6a6d54a7-299a-4e15-af01-c0a25e8d6d14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4F6E9272</paraID>
      <start>0</start>
      <end>2</end>
      <status>unmodified</status>
      <modifiedWord/>
      <trackRevisions>false</trackRevisions>
    </reviewItem>
    <reviewItem>
      <errorID>ed0665b1-9c45-4ee0-b068-1e29d2c0b1f9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5FF4F5F4</paraID>
      <start>0</start>
      <end>3</end>
      <status>unmodified</status>
      <modifiedWord/>
      <trackRevisions>false</trackRevisions>
    </reviewItem>
    <reviewItem>
      <errorID>47849ac7-8d09-4b35-b0a2-3804bda90359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538C89F9</paraID>
      <start>0</start>
      <end>3</end>
      <status>unmodified</status>
      <modifiedWord/>
      <trackRevisions>false</trackRevisions>
    </reviewItem>
    <reviewItem>
      <errorID>0465d0a1-0199-47a5-b2ed-6b63ebd7f484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42618F4</paraID>
      <start>0</start>
      <end>2</end>
      <status>unmodified</status>
      <modifiedWord/>
      <trackRevisions>false</trackRevisions>
    </reviewItem>
    <reviewItem>
      <errorID>bc18b3f9-e668-4655-af6b-d28ee94e5e60</errorID>
      <errorWord>仓库区</errorWord>
      <group>L1_Word</group>
      <groupName>字词问题</groupName>
      <ability>L2_Typo</ability>
      <abilityName>字词错误</abilityName>
      <candidateList>
        <item>仓库</item>
      </candidateList>
      <explain/>
      <paraID>13CCF24D</paraID>
      <start>7</start>
      <end>10</end>
      <status>unmodified</status>
      <modifiedWord/>
      <trackRevisions>false</trackRevisions>
    </reviewItem>
    <reviewItem>
      <errorID>e1574784-2dfc-4d05-b9f2-b22e50b4b4c2</errorID>
      <errorWord>:</errorWord>
      <group>L1_Format</group>
      <groupName>格式问题</groupName>
      <ability>L2_HalfPunc_CN</ability>
      <abilityName>全半角问题</abilityName>
      <candidateList>
        <item>：</item>
      </candidateList>
      <explain>文本全半角错误。</explain>
      <paraID>387828CC</paraID>
      <start>8</start>
      <end>9</end>
      <status>unmodified</status>
      <modifiedWord/>
      <trackRevisions>false</trackRevisions>
    </reviewItem>
    <reviewItem>
      <errorID>2a39f5b0-201a-4f8e-ae1d-187fa35d60bd</errorID>
      <errorWord>穿带</errorWord>
      <group>L1_Word</group>
      <groupName>字词问题</groupName>
      <ability>L2_Typo</ability>
      <abilityName>字词错误</abilityName>
      <candidateList>
        <item>穿戴</item>
      </candidateList>
      <explain/>
      <paraID>387828CC</paraID>
      <start>80</start>
      <end>82</end>
      <status>unmodified</status>
      <modifiedWord/>
      <trackRevisions>false</trackRevisions>
    </reviewItem>
    <reviewItem>
      <errorID>29ebb76a-7bcb-419e-9c79-99c86098bdf5</errorID>
      <errorWord>:</errorWord>
      <group>L1_Format</group>
      <groupName>格式问题</groupName>
      <ability>L2_HalfPunc_CN</ability>
      <abilityName>全半角问题</abilityName>
      <candidateList>
        <item>：</item>
      </candidateList>
      <explain>文本全半角错误。</explain>
      <paraID>500BDF33</paraID>
      <start>10</start>
      <end>11</end>
      <status>unmodified</status>
      <modifiedWord/>
      <trackRevisions>false</trackRevisions>
    </reviewItem>
    <reviewItem>
      <errorID>c9ad9de2-0f57-47b3-9725-cdd434ac0c18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2783DFB1</paraID>
      <start>0</start>
      <end>2</end>
      <status>unmodified</status>
      <modifiedWord/>
      <trackRevisions>false</trackRevisions>
    </reviewItem>
    <reviewItem>
      <errorID>218dea8a-fe5b-4780-ae1f-8da4a39890de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929573B</paraID>
      <start>0</start>
      <end>2</end>
      <status>unmodified</status>
      <modifiedWord/>
      <trackRevisions>false</trackRevisions>
    </reviewItem>
    <reviewItem>
      <errorID>a69f5331-1521-4547-848f-c51d518c64ab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12042251</paraID>
      <start>0</start>
      <end>2</end>
      <status>unmodified</status>
      <modifiedWord/>
      <trackRevisions>false</trackRevisions>
    </reviewItem>
    <reviewItem>
      <errorID>b8ecf4c4-5c67-4294-9ddb-3f27c09ceb9e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43A53386</paraID>
      <start>0</start>
      <end>2</end>
      <status>unmodified</status>
      <modifiedWord/>
      <trackRevisions>false</trackRevisions>
    </reviewItem>
    <reviewItem>
      <errorID>13ef7afd-d7cb-45be-96cc-5216c39e44d3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33B67B11</paraID>
      <start>0</start>
      <end>2</end>
      <status>unmodified</status>
      <modifiedWord/>
      <trackRevisions>false</trackRevisions>
    </reviewItem>
    <reviewItem>
      <errorID>4a7e892d-8826-43a1-a462-5a1cc0d331d2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5A59C99B</paraID>
      <start>0</start>
      <end>2</end>
      <status>unmodified</status>
      <modifiedWord/>
      <trackRevisions>false</trackRevisions>
    </reviewItem>
    <reviewItem>
      <errorID>fd9b6619-8c2c-4119-993e-3a44071aff77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1753CA62</paraID>
      <start>0</start>
      <end>2</end>
      <status>unmodified</status>
      <modifiedWord/>
      <trackRevisions>false</trackRevisions>
    </reviewItem>
    <reviewItem>
      <errorID>4cf36a7f-d0e6-4b51-8b71-4b3c454634d4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487D0B2</paraID>
      <start>0</start>
      <end>2</end>
      <status>unmodified</status>
      <modifiedWord/>
      <trackRevisions>false</trackRevisions>
    </reviewItem>
    <reviewItem>
      <errorID>74506f5f-0071-402c-803e-6809cad32a79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695DEDE4</paraID>
      <start>0</start>
      <end>2</end>
      <status>unmodified</status>
      <modifiedWord/>
      <trackRevisions>false</trackRevisions>
    </reviewItem>
    <reviewItem>
      <errorID>08603f7b-ccd5-4ca3-8b71-8ffc104fe49f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537C2AA1</paraID>
      <start>0</start>
      <end>2</end>
      <status>unmodified</status>
      <modifiedWord/>
      <trackRevisions>false</trackRevisions>
    </reviewItem>
    <reviewItem>
      <errorID>bd24fd6a-e6ab-4bed-ba88-7e001596223b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5D7C446B</paraID>
      <start>0</start>
      <end>2</end>
      <status>unmodified</status>
      <modifiedWord/>
      <trackRevisions>false</trackRevisions>
    </reviewItem>
    <reviewItem>
      <errorID>fb9c2b1d-c13d-49cc-87b5-4197b3dc7b5e</errorID>
      <errorWord>、、</errorWord>
      <group>L1_Punc</group>
      <groupName>标点问题</groupName>
      <ability>L2_Punc_CN</ability>
      <abilityName>标点符号问题</abilityName>
      <candidateList>
        <item>、</item>
      </candidateList>
      <explain/>
      <paraID>714B2259</paraID>
      <start>16</start>
      <end>18</end>
      <status>unmodified</status>
      <modifiedWord/>
      <trackRevisions>false</trackRevisions>
    </reviewItem>
    <reviewItem>
      <errorID>0f04be52-64b4-4a8e-9ac6-92c52a7fd997</errorID>
      <errorWord>火陷</errorWord>
      <group>L1_Word</group>
      <groupName>字词问题</groupName>
      <ability>L2_Typo</ability>
      <abilityName>字词错误</abilityName>
      <candidateList>
        <item>火势</item>
      </candidateList>
      <explain/>
      <paraID>714B2259</paraID>
      <start>20</start>
      <end>22</end>
      <status>unmodified</status>
      <modifiedWord/>
      <trackRevisions>false</trackRevisions>
    </reviewItem>
    <reviewItem>
      <errorID>8d0d9e60-0a94-4b78-afc8-b6697e9d9e84</errorID>
      <errorWord>抑止</errorWord>
      <group>L1_Word</group>
      <groupName>字词问题</groupName>
      <ability>L2_Typo</ability>
      <abilityName>字词错误</abilityName>
      <candidateList>
        <item>抑制</item>
      </candidateList>
      <explain/>
      <paraID>714B2259</paraID>
      <start>25</start>
      <end>27</end>
      <status>unmodified</status>
      <modifiedWord/>
      <trackRevisions>false</trackRevisions>
    </reviewItem>
    <reviewItem>
      <errorID>f78e9061-64fe-45c5-bc01-7c51b16fb843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6A71A4FE</paraID>
      <start>0</start>
      <end>2</end>
      <status>unmodified</status>
      <modifiedWord/>
      <trackRevisions>false</trackRevisions>
    </reviewItem>
    <reviewItem>
      <errorID>a0600e84-2162-478e-a688-e416f5e185d3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24D39D6F</paraID>
      <start>0</start>
      <end>2</end>
      <status>unmodified</status>
      <modifiedWord/>
      <trackRevisions>false</trackRevisions>
    </reviewItem>
    <reviewItem>
      <errorID>34d1bd89-d1d8-4472-938d-20f524f3bd6e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654B7A26</paraID>
      <start>0</start>
      <end>2</end>
      <status>unmodified</status>
      <modifiedWord/>
      <trackRevisions>false</trackRevisions>
    </reviewItem>
    <reviewItem>
      <errorID>9d483249-eb3c-4960-b5b2-ac0de7f50e67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1B99E0F1</paraID>
      <start>0</start>
      <end>2</end>
      <status>unmodified</status>
      <modifiedWord/>
      <trackRevisions>false</trackRevisions>
    </reviewItem>
    <reviewItem>
      <errorID>974e1548-f744-4e2a-a764-c4c20ac6b0f9</errorID>
      <errorWord>主要以水为主</errorWord>
      <group>L1_Grammar</group>
      <groupName>语法问题</groupName>
      <ability>L2_Grammar</ability>
      <abilityName>语法错误</abilityName>
      <candidateList>
        <item>以水为主</item>
      </candidateList>
      <explain>该表达中的“主要以水为主”存在语义重复。</explain>
      <paraID>1B99E0F1</paraID>
      <start>5</start>
      <end>11</end>
      <status>unmodified</status>
      <modifiedWord/>
      <trackRevisions>false</trackRevisions>
    </reviewItem>
    <reviewItem>
      <errorID>42007cb8-46e4-49ad-a821-bff52372ee7c</errorID>
      <errorWord>才</errorWord>
      <group>L1_Word</group>
      <groupName>字词问题</groupName>
      <ability>L2_Typo</ability>
      <abilityName>字词错误</abilityName>
      <candidateList>
        <item>才能</item>
      </candidateList>
      <explain/>
      <paraID>79574EEB</paraID>
      <start>22</start>
      <end>23</end>
      <status>unmodified</status>
      <modifiedWord/>
      <trackRevisions>false</trackRevisions>
    </reviewItem>
    <reviewItem>
      <errorID>7715f41c-05eb-4426-acc8-abfea74c722b</errorID>
      <errorWord>重、特大</errorWord>
      <group>L1_Punc</group>
      <groupName>标点问题</groupName>
      <ability>L2_Punc_CN</ability>
      <abilityName>标点符号问题</abilityName>
      <candidateList>
        <item>重特大</item>
      </candidateList>
      <explain/>
      <paraID>214A9B05</paraID>
      <start>61</start>
      <end>65</end>
      <status>unmodified</status>
      <modifiedWord/>
      <trackRevisions>false</trackRevisions>
    </reviewItem>
    <reviewItem>
      <errorID>c428c433-e019-45cd-a20d-3bcc14a0e1c0</errorID>
      <errorWord>遏止</errorWord>
      <group>L1_Word</group>
      <groupName>字词问题</groupName>
      <ability>L2_Typo</ability>
      <abilityName>字词错误</abilityName>
      <candidateList>
        <item>遏制</item>
      </candidateList>
      <explain/>
      <paraID>4F623720</paraID>
      <start>16</start>
      <end>18</end>
      <status>unmodified</status>
      <modifiedWord/>
      <trackRevisions>false</trackRevisions>
    </reviewItem>
    <reviewItem>
      <errorID>786aa13b-874b-4c71-a049-65aee7651911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F0B9580</paraID>
      <start>0</start>
      <end>2</end>
      <status>unmodified</status>
      <modifiedWord/>
      <trackRevisions>false</trackRevisions>
    </reviewItem>
    <reviewItem>
      <errorID>58791957-6d26-4f0a-9c86-b8d2420e628a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4A73121C</paraID>
      <start>0</start>
      <end>2</end>
      <status>unmodified</status>
      <modifiedWord/>
      <trackRevisions>false</trackRevisions>
    </reviewItem>
    <reviewItem>
      <errorID>3a4f4c53-b2bb-45f7-bd0e-54ce7c23cc3b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3B8AA85E</paraID>
      <start>0</start>
      <end>2</end>
      <status>unmodified</status>
      <modifiedWord/>
      <trackRevisions>false</trackRevisions>
    </reviewItem>
    <reviewItem>
      <errorID>b0a35e74-cd55-45f5-bd75-42f731eaf072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516A0313</paraID>
      <start>0</start>
      <end>2</end>
      <status>unmodified</status>
      <modifiedWord/>
      <trackRevisions>false</trackRevisions>
    </reviewItem>
    <reviewItem>
      <errorID>0095a49e-3298-495e-ba61-6932de8eddaa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35964356</paraID>
      <start>0</start>
      <end>2</end>
      <status>unmodified</status>
      <modifiedWord/>
      <trackRevisions>false</trackRevisions>
    </reviewItem>
    <reviewItem>
      <errorID>3e49cd7f-2c2c-4177-96eb-d0cf3ca33b0e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60A219A0</paraID>
      <start>0</start>
      <end>2</end>
      <status>unmodified</status>
      <modifiedWord/>
      <trackRevisions>false</trackRevisions>
    </reviewItem>
    <reviewItem>
      <errorID>904c61bc-aca4-4926-819c-c286e278d11c</errorID>
      <errorWord>贴近邻</errorWord>
      <group>L1_Word</group>
      <groupName>字词问题</groupName>
      <ability>L2_Typo</ability>
      <abilityName>字词错误</abilityName>
      <candidateList>
        <item>贴近</item>
      </candidateList>
      <explain/>
      <paraID>60A219A0</paraID>
      <start>35</start>
      <end>38</end>
      <status>unmodified</status>
      <modifiedWord/>
      <trackRevisions>false</trackRevisions>
    </reviewItem>
    <reviewItem>
      <errorID>5404e00b-2528-4202-aea7-30dc652b14c2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45BDF1BB</paraID>
      <start>0</start>
      <end>2</end>
      <status>unmodified</status>
      <modifiedWord/>
      <trackRevisions>false</trackRevisions>
    </reviewItem>
    <reviewItem>
      <errorID>480c7e4c-9778-4404-b0d7-1d987086701b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22EF6E46</paraID>
      <start>0</start>
      <end>2</end>
      <status>unmodified</status>
      <modifiedWord/>
      <trackRevisions>false</trackRevisions>
    </reviewItem>
    <reviewItem>
      <errorID>bfb5b4d9-c26c-47bf-aa64-33b5d381b13c</errorID>
      <errorWord>,</errorWord>
      <group>L1_Format</group>
      <groupName>格式问题</groupName>
      <ability>L2_HalfPunc_CN</ability>
      <abilityName>全半角问题</abilityName>
      <candidateList>
        <item>，</item>
      </candidateList>
      <explain>文本全半角错误。</explain>
      <paraID>22EF6E46</paraID>
      <start>35</start>
      <end>36</end>
      <status>unmodified</status>
      <modifiedWord/>
      <trackRevisions>false</trackRevisions>
    </reviewItem>
    <reviewItem>
      <errorID>d336efe7-1938-412b-97c7-edc2819e6f8d</errorID>
      <errorWord>,</errorWord>
      <group>L1_Format</group>
      <groupName>格式问题</groupName>
      <ability>L2_HalfPunc_CN</ability>
      <abilityName>全半角问题</abilityName>
      <candidateList>
        <item>，</item>
      </candidateList>
      <explain>文本全半角错误。</explain>
      <paraID>22EF6E46</paraID>
      <start>42</start>
      <end>43</end>
      <status>unmodified</status>
      <modifiedWord/>
      <trackRevisions>false</trackRevisions>
    </reviewItem>
    <reviewItem>
      <errorID>fcc284d4-182b-48f0-a625-53c43a8ae116</errorID>
      <errorWord>,</errorWord>
      <group>L1_Format</group>
      <groupName>格式问题</groupName>
      <ability>L2_HalfPunc_CN</ability>
      <abilityName>全半角问题</abilityName>
      <candidateList>
        <item>，</item>
      </candidateList>
      <explain>文本全半角错误。</explain>
      <paraID>22EF6E46</paraID>
      <start>48</start>
      <end>49</end>
      <status>unmodified</status>
      <modifiedWord/>
      <trackRevisions>false</trackRevisions>
    </reviewItem>
    <reviewItem>
      <errorID>782cdc60-f756-4b55-a5d8-d04181f91b68</errorID>
      <errorWord>,</errorWord>
      <group>L1_Format</group>
      <groupName>格式问题</groupName>
      <ability>L2_HalfPunc_CN</ability>
      <abilityName>全半角问题</abilityName>
      <candidateList>
        <item>，</item>
      </candidateList>
      <explain>文本全半角错误。</explain>
      <paraID>22EF6E46</paraID>
      <start>58</start>
      <end>59</end>
      <status>unmodified</status>
      <modifiedWord/>
      <trackRevisions>false</trackRevisions>
    </reviewItem>
    <reviewItem>
      <errorID>8f0e784c-bbec-4ba5-9e03-cb9d1984e85c</errorID>
      <errorWord>,</errorWord>
      <group>L1_Format</group>
      <groupName>格式问题</groupName>
      <ability>L2_HalfPunc_CN</ability>
      <abilityName>全半角问题</abilityName>
      <candidateList>
        <item>，</item>
      </candidateList>
      <explain>文本全半角错误。</explain>
      <paraID>22EF6E46</paraID>
      <start>79</start>
      <end>80</end>
      <status>unmodified</status>
      <modifiedWord/>
      <trackRevisions>false</trackRevisions>
    </reviewItem>
    <reviewItem>
      <errorID>5470a12e-604b-4c14-a502-901ae6050810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2A596826</paraID>
      <start>0</start>
      <end>2</end>
      <status>unmodified</status>
      <modifiedWord/>
      <trackRevisions>false</trackRevisions>
    </reviewItem>
    <reviewItem>
      <errorID>428d4dec-8ed0-4283-a82b-0ddadfb7a7a5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42FD4F86</paraID>
      <start>0</start>
      <end>2</end>
      <status>unmodified</status>
      <modifiedWord/>
      <trackRevisions>false</trackRevisions>
    </reviewItem>
    <reviewItem>
      <errorID>c45bc5f6-7c1b-457c-a539-92f6aa377baa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AE099BB</paraID>
      <start>0</start>
      <end>2</end>
      <status>unmodified</status>
      <modifiedWord/>
      <trackRevisions>false</trackRevisions>
    </reviewItem>
    <reviewItem>
      <errorID>5fb07405-4561-487f-ba28-7d7fd954254b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14950FBF</paraID>
      <start>0</start>
      <end>2</end>
      <status>unmodified</status>
      <modifiedWord/>
      <trackRevisions>false</trackRevisions>
    </reviewItem>
    <reviewItem>
      <errorID>ad2c4fc7-8fe3-4bed-a26b-ef751d45ab2e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105EB61D</paraID>
      <start>0</start>
      <end>2</end>
      <status>unmodified</status>
      <modifiedWord/>
      <trackRevisions>false</trackRevisions>
    </reviewItem>
    <reviewItem>
      <errorID>aba2c019-d605-4cfd-8a3c-a71e552beb1f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1C7D30E8</paraID>
      <start>0</start>
      <end>2</end>
      <status>unmodified</status>
      <modifiedWord/>
      <trackRevisions>false</trackRevisions>
    </reviewItem>
    <reviewItem>
      <errorID>3774c3d3-670d-44aa-9389-725542adda3d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1434FFBC</paraID>
      <start>0</start>
      <end>2</end>
      <status>unmodified</status>
      <modifiedWord/>
      <trackRevisions>false</trackRevisions>
    </reviewItem>
    <reviewItem>
      <errorID>13cc3ca8-d7d2-4fba-8b68-71a235096073</errorID>
      <errorWord>决不</errorWord>
      <group>L1_Word</group>
      <groupName>字词问题</groupName>
      <ability>L2_Typo</ability>
      <abilityName>字词错误</abilityName>
      <candidateList>
        <item>绝不</item>
      </candidateList>
      <explain>存在发音相同字词的误用。</explain>
      <paraID> 9C9FADE</paraID>
      <start>22</start>
      <end>24</end>
      <status>unmodified</status>
      <modifiedWord/>
      <trackRevisions>false</trackRevisions>
    </reviewItem>
    <reviewItem>
      <errorID>4f88db08-99dd-478d-a436-4fae7b9ce00d</errorID>
      <errorWord>,</errorWord>
      <group>L1_Format</group>
      <groupName>格式问题</groupName>
      <ability>L2_HalfPunc_CN</ability>
      <abilityName>全半角问题</abilityName>
      <candidateList>
        <item>，</item>
      </candidateList>
      <explain>文本全半角错误。</explain>
      <paraID> 9C9FADE</paraID>
      <start>94</start>
      <end>95</end>
      <status>unmodified</status>
      <modifiedWord/>
      <trackRevisions>false</trackRevisions>
    </reviewItem>
    <reviewItem>
      <errorID>bb70c329-bc23-4330-9a29-4f59b92df801</errorID>
      <errorWord>,</errorWord>
      <group>L1_Format</group>
      <groupName>格式问题</groupName>
      <ability>L2_HalfPunc_CN</ability>
      <abilityName>全半角问题</abilityName>
      <candidateList>
        <item>，</item>
      </candidateList>
      <explain>文本全半角错误。</explain>
      <paraID> 9C9FADE</paraID>
      <start>108</start>
      <end>109</end>
      <status>unmodified</status>
      <modifiedWord/>
      <trackRevisions>false</trackRevisions>
    </reviewItem>
    <reviewItem>
      <errorID>cb095c6b-c065-40e0-b092-35029fc4336e</errorID>
      <errorWord>,</errorWord>
      <group>L1_Format</group>
      <groupName>格式问题</groupName>
      <ability>L2_HalfPunc_CN</ability>
      <abilityName>全半角问题</abilityName>
      <candidateList>
        <item>，</item>
      </candidateList>
      <explain>文本全半角错误。</explain>
      <paraID> 9C9FADE</paraID>
      <start>150</start>
      <end>151</end>
      <status>unmodified</status>
      <modifiedWord/>
      <trackRevisions>false</trackRevisions>
    </reviewItem>
    <reviewItem>
      <errorID>247f2faa-e9f5-40ba-a671-2365df0d37eb</errorID>
      <errorWord>安全化</errorWord>
      <group>L1_Word</group>
      <groupName>字词问题</groupName>
      <ability>L2_Typo</ability>
      <abilityName>字词错误</abilityName>
      <candidateList>
        <item>安全</item>
      </candidateList>
      <explain/>
      <paraID> 9C9FADE</paraID>
      <start>189</start>
      <end>192</end>
      <status>unmodified</status>
      <modifiedWord/>
      <trackRevisions>false</trackRevisions>
    </reviewItem>
    <reviewItem>
      <errorID>48e7cdf2-bad1-4084-8f4f-a60d8a2a5972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665B7B47</paraID>
      <start>0</start>
      <end>2</end>
      <status>unmodified</status>
      <modifiedWord/>
      <trackRevisions>false</trackRevisions>
    </reviewItem>
    <reviewItem>
      <errorID>591bf7fc-da4a-4c48-98b1-30eaa96fe731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1CB2CAF5</paraID>
      <start>0</start>
      <end>2</end>
      <status>unmodified</status>
      <modifiedWord/>
      <trackRevisions>false</trackRevisions>
    </reviewItem>
    <reviewItem>
      <errorID>ead48fdd-c081-49ee-8d0c-5ca9d1a9be5f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F8AD9C6</paraID>
      <start>0</start>
      <end>2</end>
      <status>unmodified</status>
      <modifiedWord/>
      <trackRevisions>false</trackRevisions>
    </reviewItem>
    <reviewItem>
      <errorID>0fc73ce1-a43d-4318-b4ba-b12be87db13a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74B0F37E</paraID>
      <start>0</start>
      <end>2</end>
      <status>unmodified</status>
      <modifiedWord/>
      <trackRevisions>false</trackRevisions>
    </reviewItem>
    <reviewItem>
      <errorID>0c5dd147-35a2-4435-998a-ef21ee316213</errorID>
      <errorWord>环境里</errorWord>
      <group>L1_Word</group>
      <groupName>字词问题</groupName>
      <ability>L2_Typo</ability>
      <abilityName>字词错误</abilityName>
      <candidateList>
        <item>环境</item>
      </candidateList>
      <explain/>
      <paraID>5DDE8E63</paraID>
      <start>9</start>
      <end>12</end>
      <status>unmodified</status>
      <modifiedWord/>
      <trackRevisions>false</trackRevisions>
    </reviewItem>
    <reviewItem>
      <errorID>027b01fa-0585-4eb7-88fa-a57849eac349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20CF4724</paraID>
      <start>0</start>
      <end>2</end>
      <status>unmodified</status>
      <modifiedWord/>
      <trackRevisions>false</trackRevisions>
    </reviewItem>
    <reviewItem>
      <errorID>a5dcffe2-6fd0-4357-969c-7ab7c238c2ee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4AE8FC21</paraID>
      <start>0</start>
      <end>2</end>
      <status>unmodified</status>
      <modifiedWord/>
      <trackRevisions>false</trackRevisions>
    </reviewItem>
    <reviewItem>
      <errorID>4ec98334-3e47-479f-90af-e75610694824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671D65D6</paraID>
      <start>0</start>
      <end>2</end>
      <status>unmodified</status>
      <modifiedWord/>
      <trackRevisions>false</trackRevisions>
    </reviewItem>
    <reviewItem>
      <errorID>a421f9cf-80c8-4ede-b792-f01307d1397c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6DD8B980</paraID>
      <start>0</start>
      <end>2</end>
      <status>unmodified</status>
      <modifiedWord/>
      <trackRevisions>false</trackRevisions>
    </reviewItem>
    <reviewItem>
      <errorID>45588d0d-5143-4933-896c-940873c381eb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2E515FE2</paraID>
      <start>0</start>
      <end>2</end>
      <status>unmodified</status>
      <modifiedWord/>
      <trackRevisions>false</trackRevisions>
    </reviewItem>
    <reviewItem>
      <errorID>553521b5-3906-4598-8f52-9579fca4c46c</errorID>
      <errorWord>场地是</errorWord>
      <group>L1_Word</group>
      <groupName>字词问题</groupName>
      <ability>L2_Typo</ability>
      <abilityName>字词错误</abilityName>
      <candidateList>
        <item>场地</item>
      </candidateList>
      <explain/>
      <paraID>21573851</paraID>
      <start>8</start>
      <end>11</end>
      <status>unmodified</status>
      <modifiedWord/>
      <trackRevisions>false</trackRevisions>
    </reviewItem>
    <reviewItem>
      <errorID>746426a6-5928-43a4-8617-df59d70231ea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2A183619</paraID>
      <start>0</start>
      <end>2</end>
      <status>unmodified</status>
      <modifiedWord/>
      <trackRevisions>false</trackRevisions>
    </reviewItem>
    <reviewItem>
      <errorID>69f65914-07de-42e6-9c72-2f887f2b47e7</errorID>
      <errorWord>,</errorWord>
      <group>L1_Format</group>
      <groupName>格式问题</groupName>
      <ability>L2_HalfPunc_CN</ability>
      <abilityName>全半角问题</abilityName>
      <candidateList>
        <item>，</item>
      </candidateList>
      <explain>文本全半角错误。</explain>
      <paraID>2A183619</paraID>
      <start>5</start>
      <end>6</end>
      <status>unmodified</status>
      <modifiedWord/>
      <trackRevisions>false</trackRevisions>
    </reviewItem>
    <reviewItem>
      <errorID>58da44e0-13aa-4c58-9245-20556d6501b6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7DE0192C</paraID>
      <start>0</start>
      <end>2</end>
      <status>unmodified</status>
      <modifiedWord/>
      <trackRevisions>false</trackRevisions>
    </reviewItem>
    <reviewItem>
      <errorID>e15a2b78-dcf8-4d10-9efc-13b7ece75426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1932A0C0</paraID>
      <start>0</start>
      <end>2</end>
      <status>unmodified</status>
      <modifiedWord/>
      <trackRevisions>false</trackRevisions>
    </reviewItem>
    <reviewItem>
      <errorID>2a710296-8907-43c5-8aff-d12e20f85558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464DB1A7</paraID>
      <start>0</start>
      <end>2</end>
      <status>unmodified</status>
      <modifiedWord/>
      <trackRevisions>false</trackRevisions>
    </reviewItem>
    <reviewItem>
      <errorID>62f2aca3-08fa-44ed-8514-d9d40902d235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2DA52D95</paraID>
      <start>0</start>
      <end>2</end>
      <status>unmodified</status>
      <modifiedWord/>
      <trackRevisions>false</trackRevisions>
    </reviewItem>
    <reviewItem>
      <errorID>8322ffbe-ed5d-4aa6-bea9-a46f6d462895</errorID>
      <errorWord>设</errorWord>
      <group>L1_Word</group>
      <groupName>字词问题</groupName>
      <ability>L2_Typo</ability>
      <abilityName>字词错误</abilityName>
      <candidateList>
        <item>设置</item>
      </candidateList>
      <explain/>
      <paraID>2DA52D95</paraID>
      <start>48</start>
      <end>49</end>
      <status>unmodified</status>
      <modifiedWord/>
      <trackRevisions>false</trackRevisions>
    </reviewItem>
    <reviewItem>
      <errorID>3f26b837-8a49-4ea8-9f29-b25dae562b3c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34D285C5</paraID>
      <start>0</start>
      <end>2</end>
      <status>unmodified</status>
      <modifiedWord/>
      <trackRevisions>false</trackRevisions>
    </reviewItem>
    <reviewItem>
      <errorID>c7c49bdf-1042-4086-9c21-7506180a34cf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B62ABD7</paraID>
      <start>0</start>
      <end>2</end>
      <status>unmodified</status>
      <modifiedWord/>
      <trackRevisions>false</trackRevisions>
    </reviewItem>
    <reviewItem>
      <errorID>7dda3a36-f468-4d82-a5df-def42b970c8b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6366FF57</paraID>
      <start>0</start>
      <end>2</end>
      <status>unmodified</status>
      <modifiedWord/>
      <trackRevisions>false</trackRevisions>
    </reviewItem>
    <reviewItem>
      <errorID>6b2517a2-d6e3-4d84-bcc6-dc318f4552fe</errorID>
      <errorWord>工</errorWord>
      <group>L1_Word</group>
      <groupName>字词问题</groupName>
      <ability>L2_Typo</ability>
      <abilityName>字词错误</abilityName>
      <candidateList>
        <item>工程</item>
      </candidateList>
      <explain/>
      <paraID>6366FF57</paraID>
      <start>49</start>
      <end>50</end>
      <status>unmodified</status>
      <modifiedWord/>
      <trackRevisions>false</trackRevisions>
    </reviewItem>
    <reviewItem>
      <errorID>a94946a6-1d83-4a88-bb7c-cdb9d4a7e35e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15E9B34</paraID>
      <start>0</start>
      <end>2</end>
      <status>unmodified</status>
      <modifiedWord/>
      <trackRevisions>false</trackRevisions>
    </reviewItem>
    <reviewItem>
      <errorID>2f493c15-349d-4aae-a637-e766a4795d65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2574D144</paraID>
      <start>0</start>
      <end>3</end>
      <status>unmodified</status>
      <modifiedWord/>
      <trackRevisions>false</trackRevisions>
    </reviewItem>
    <reviewItem>
      <errorID>51374424-bc46-428c-a588-c9974cda09f9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55F507E2</paraID>
      <start>0</start>
      <end>2</end>
      <status>unmodified</status>
      <modifiedWord/>
      <trackRevisions>false</trackRevisions>
    </reviewItem>
    <reviewItem>
      <errorID>deb88aae-b68a-4d6e-94fb-1a861d695406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343C3B39</paraID>
      <start>0</start>
      <end>2</end>
      <status>unmodified</status>
      <modifiedWord/>
      <trackRevisions>false</trackRevisions>
    </reviewItem>
    <reviewItem>
      <errorID>0eef0286-7ccf-4c98-aa1b-5708374322dc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5B8D68C</paraID>
      <start>0</start>
      <end>2</end>
      <status>unmodified</status>
      <modifiedWord/>
      <trackRevisions>false</trackRevisions>
    </reviewItem>
    <reviewItem>
      <errorID>0e6d1ecd-8830-48df-b70f-2397559209f2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1F0B6E5C</paraID>
      <start>0</start>
      <end>2</end>
      <status>unmodified</status>
      <modifiedWord/>
      <trackRevisions>false</trackRevisions>
    </reviewItem>
    <reviewItem>
      <errorID>56c892fe-e1d9-4d96-8058-c82e5c36c194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14958D6D</paraID>
      <start>0</start>
      <end>2</end>
      <status>unmodified</status>
      <modifiedWord/>
      <trackRevisions>false</trackRevisions>
    </reviewItem>
    <reviewItem>
      <errorID>2682657b-5a5a-4f26-b35a-90ae571b386c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485F4572</paraID>
      <start>0</start>
      <end>2</end>
      <status>unmodified</status>
      <modifiedWord/>
      <trackRevisions>false</trackRevisions>
    </reviewItem>
    <reviewItem>
      <errorID>b543a2d9-dd9a-4425-8f84-d61d1f7e2568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9F7FEC2</paraID>
      <start>0</start>
      <end>2</end>
      <status>unmodified</status>
      <modifiedWord/>
      <trackRevisions>false</trackRevisions>
    </reviewItem>
    <reviewItem>
      <errorID>09938e9f-1104-44f5-9308-8993164344ee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6AEAE2C</paraID>
      <start>0</start>
      <end>2</end>
      <status>unmodified</status>
      <modifiedWord/>
      <trackRevisions>false</trackRevisions>
    </reviewItem>
    <reviewItem>
      <errorID>4b9e01b7-3f47-41ca-91ef-3ba27e93131c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19BB7719</paraID>
      <start>0</start>
      <end>2</end>
      <status>unmodified</status>
      <modifiedWord/>
      <trackRevisions>false</trackRevisions>
    </reviewItem>
    <reviewItem>
      <errorID>fcc637f9-bf4c-469b-a40b-a2fbc2d119a7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47F5D762</paraID>
      <start>0</start>
      <end>2</end>
      <status>unmodified</status>
      <modifiedWord/>
      <trackRevisions>false</trackRevisions>
    </reviewItem>
    <reviewItem>
      <errorID>78985f70-360c-4376-bc2d-2b38f3bd84f8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3D54B30D</paraID>
      <start>2</start>
      <end>7</end>
      <status>unmodified</status>
      <modifiedWord/>
      <trackRevisions>false</trackRevisions>
    </reviewItem>
    <reviewItem>
      <errorID>cf988f04-bdca-4ebc-bc75-2f0ec9b05f14</errorID>
      <errorWord>形式</errorWord>
      <group>L1_Word</group>
      <groupName>字词问题</groupName>
      <ability>L2_Typo</ability>
      <abilityName>字词错误</abilityName>
      <candidateList>
        <item>形势</item>
      </candidateList>
      <explain/>
      <paraID>3D54B30D</paraID>
      <start>40</start>
      <end>42</end>
      <status>unmodified</status>
      <modifiedWord/>
      <trackRevisions>false</trackRevisions>
    </reviewItem>
    <reviewItem>
      <errorID>f4f8892d-ec18-4410-8119-4d81bb6c025f</errorID>
      <errorWord>等等</errorWord>
      <group>L1_Word</group>
      <groupName>字词问题</groupName>
      <ability>L2_Typo</ability>
      <abilityName>字词错误</abilityName>
      <candidateList>
        <item>等</item>
      </candidateList>
      <explain/>
      <paraID>3D54B30D</paraID>
      <start>169</start>
      <end>171</end>
      <status>unmodified</status>
      <modifiedWord/>
      <trackRevisions>false</trackRevisions>
    </reviewItem>
    <reviewItem>
      <errorID>bad5c106-c7da-4b39-b3ac-b5a95a6bde06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7565DB80</paraID>
      <start>0</start>
      <end>2</end>
      <status>unmodified</status>
      <modifiedWord/>
      <trackRevisions>false</trackRevisions>
    </reviewItem>
    <reviewItem>
      <errorID>87958d2d-fcc2-4507-a109-0ad1ed9ed647</errorID>
      <errorWord>，</errorWord>
      <group>L1_Word</group>
      <groupName>字词问题</groupName>
      <ability>L2_Typo</ability>
      <abilityName>字词错误</abilityName>
      <candidateList>
        <item>，具</item>
      </candidateList>
      <explain/>
      <paraID>2BBC12E8</paraID>
      <start>32</start>
      <end>33</end>
      <status>unmodified</status>
      <modifiedWord/>
      <trackRevisions>false</trackRevisions>
    </reviewItem>
    <reviewItem>
      <errorID>8944c6dd-e791-4df7-b017-80b4b2fa7018</errorID>
      <errorWord>应对所</errorWord>
      <group>L1_Word</group>
      <groupName>字词问题</groupName>
      <ability>L2_Typo</ability>
      <abilityName>字词错误</abilityName>
      <candidateList>
        <item>应对</item>
      </candidateList>
      <explain/>
      <paraID>2BBC12E8</paraID>
      <start>173</start>
      <end>176</end>
      <status>unmodified</status>
      <modifiedWord/>
      <trackRevisions>false</trackRevisions>
    </reviewItem>
    <reviewItem>
      <errorID>aa561a68-d2cf-4e57-96f2-e704a116f05c</errorID>
      <errorWord>作好</errorWord>
      <group>L1_Word</group>
      <groupName>字词问题</groupName>
      <ability>L2_Typo</ability>
      <abilityName>字词错误</abilityName>
      <candidateList>
        <item>做好</item>
      </candidateList>
      <explain>存在发音相同字词的误用。</explain>
      <paraID>2BBC12E8</paraID>
      <start>208</start>
      <end>210</end>
      <status>unmodified</status>
      <modifiedWord/>
      <trackRevisions>false</trackRevisions>
    </reviewItem>
    <reviewItem>
      <errorID>0cc0e4b3-42dc-47b5-9477-417b332e1091</errorID>
      <errorWord>的</errorWord>
      <group>L1_Word</group>
      <groupName>字词问题</groupName>
      <ability>L2_DDD</ability>
      <abilityName>的地得用法</abilityName>
      <candidateList>
        <item>地</item>
      </candidateList>
      <explain/>
      <paraID>2A3650E7</paraID>
      <start>69</start>
      <end>70</end>
      <status>unmodified</status>
      <modifiedWord/>
      <trackRevisions>false</trackRevisions>
    </reviewItem>
    <reviewItem>
      <errorID>9ab60014-d018-474f-9c2f-0638538e3f79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7348A059</paraID>
      <start>20</start>
      <end>23</end>
      <status>unmodified</status>
      <modifiedWord/>
      <trackRevisions>false</trackRevisions>
    </reviewItem>
    <reviewItem>
      <errorID>fbfdab1b-6e0d-4bcf-981a-966eced1e673</errorID>
      <errorWord>等等</errorWord>
      <group>L1_Word</group>
      <groupName>字词问题</groupName>
      <ability>L2_Typo</ability>
      <abilityName>字词错误</abilityName>
      <candidateList>
        <item>等</item>
      </candidateList>
      <explain/>
      <paraID>7348A059</paraID>
      <start>62</start>
      <end>64</end>
      <status>unmodified</status>
      <modifiedWord/>
      <trackRevisions>false</trackRevisions>
    </reviewItem>
    <reviewItem>
      <errorID>e7968551-ca87-4ad8-8560-ef9259295edd</errorID>
      <errorWord>等等</errorWord>
      <group>L1_Word</group>
      <groupName>字词问题</groupName>
      <ability>L2_Typo</ability>
      <abilityName>字词错误</abilityName>
      <candidateList>
        <item>等</item>
      </candidateList>
      <explain/>
      <paraID>5A71D2F5</paraID>
      <start>114</start>
      <end>116</end>
      <status>unmodified</status>
      <modifiedWord/>
      <trackRevisions>false</trackRevisions>
    </reviewItem>
    <reviewItem>
      <errorID>1049c33d-76e7-40e4-8771-e8bb28e699bf</errorID>
      <errorWord>的</errorWord>
      <group>L1_Word</group>
      <groupName>字词问题</groupName>
      <ability>L2_DDD</ability>
      <abilityName>的地得用法</abilityName>
      <candidateList>
        <item>地</item>
      </candidateList>
      <explain/>
      <paraID>5B0EE65F</paraID>
      <start>40</start>
      <end>41</end>
      <status>unmodified</status>
      <modifiedWord/>
      <trackRevisions>false</trackRevisions>
    </reviewItem>
    <reviewItem>
      <errorID>ea926a78-2676-4449-8f4a-64aada127808</errorID>
      <errorWord>有效的控制</errorWord>
      <group>L1_Word</group>
      <groupName>字词问题</groupName>
      <ability>L2_Typo</ability>
      <abilityName>字词错误</abilityName>
      <candidateList>
        <item>有效地控制</item>
      </candidateList>
      <explain/>
      <paraID>5B0EE65F</paraID>
      <start>71</start>
      <end>76</end>
      <status>unmodified</status>
      <modifiedWord/>
      <trackRevisions>false</trackRevisions>
    </reviewItem>
    <reviewItem>
      <errorID>2d2c5a11-8a40-4a9f-b3bd-9bb1c47e8429</errorID>
      <errorWord>工</errorWord>
      <group>L1_Word</group>
      <groupName>字词问题</groupName>
      <ability>L2_Typo</ability>
      <abilityName>字词错误</abilityName>
      <candidateList>
        <item>工在</item>
      </candidateList>
      <explain/>
      <paraID>67308405</paraID>
      <start>64</start>
      <end>65</end>
      <status>unmodified</status>
      <modifiedWord/>
      <trackRevisions>false</trackRevisions>
    </reviewItem>
    <reviewItem>
      <errorID>71268447-2ddf-4ecd-80b2-c6b55730fd9d</errorID>
      <errorWord>并应</errorWord>
      <group>L1_Word</group>
      <groupName>字词问题</groupName>
      <ability>L2_Typo</ability>
      <abilityName>字词错误</abilityName>
      <candidateList>
        <item>并</item>
      </candidateList>
      <explain/>
      <paraID>67308405</paraID>
      <start>79</start>
      <end>81</end>
      <status>unmodified</status>
      <modifiedWord/>
      <trackRevisions>false</trackRevisions>
    </reviewItem>
    <reviewItem>
      <errorID>57d3fed9-1c76-4e2e-8dd6-4c1e7b508212</errorID>
      <errorWord>抛散</errorWord>
      <group>L1_Word</group>
      <groupName>字词问题</groupName>
      <ability>L2_Typo</ability>
      <abilityName>字词错误</abilityName>
      <candidateList>
        <item>抛撒</item>
      </candidateList>
      <explain/>
      <paraID>14E71433</paraID>
      <start>33</start>
      <end>35</end>
      <status>unmodified</status>
      <modifiedWord/>
      <trackRevisions>false</trackRevisions>
    </reviewItem>
    <reviewItem>
      <errorID>c0266d68-4a96-4cc8-a44c-4ffd84bb40db</errorID>
      <errorWord>其它</errorWord>
      <group>L1_Word</group>
      <groupName>字词问题</groupName>
      <ability>L2_Alias</ability>
      <abilityName>也作/曾用词</abilityName>
      <candidateList>
        <item>其他</item>
      </candidateList>
      <explain>词汇[其它]为不规范表述或旧称，其规范书面表述为[其他]。</explain>
      <paraID>76D471CE</paraID>
      <start>3</start>
      <end>5</end>
      <status>unmodified</status>
      <modifiedWord/>
      <trackRevisions>false</trackRevisions>
    </reviewItem>
    <reviewItem>
      <errorID>e9503650-a4ff-403c-9f74-d4c93f953def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4F1EEEA9</paraID>
      <start>0</start>
      <end>2</end>
      <status>unmodified</status>
      <modifiedWord/>
      <trackRevisions>false</trackRevisions>
    </reviewItem>
    <reviewItem>
      <errorID>a8a4a03e-65c9-4938-af9e-3932985eda8f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70B6A8ED</paraID>
      <start>0</start>
      <end>2</end>
      <status>unmodified</status>
      <modifiedWord/>
      <trackRevisions>false</trackRevisions>
    </reviewItem>
    <reviewItem>
      <errorID>16b25e0b-565e-4a07-bdd0-0b4956c155df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2A7B7CA4</paraID>
      <start>0</start>
      <end>2</end>
      <status>unmodified</status>
      <modifiedWord/>
      <trackRevisions>false</trackRevisions>
    </reviewItem>
    <reviewItem>
      <errorID>05431689-4bdf-4438-bee6-c7642d4ee746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E66DAED</paraID>
      <start>0</start>
      <end>2</end>
      <status>unmodified</status>
      <modifiedWord/>
      <trackRevisions>false</trackRevisions>
    </reviewItem>
    <reviewItem>
      <errorID>97033447-3237-408e-9567-61a2dbd59a22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1AE97A83</paraID>
      <start>0</start>
      <end>2</end>
      <status>unmodified</status>
      <modifiedWord/>
      <trackRevisions>false</trackRevisions>
    </reviewItem>
    <reviewItem>
      <errorID>05aad103-3c07-4cc5-addf-78c68652f3c6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A0DA0DA</paraID>
      <start>0</start>
      <end>2</end>
      <status>unmodified</status>
      <modifiedWord/>
      <trackRevisions>false</trackRevisions>
    </reviewItem>
    <reviewItem>
      <errorID>7c90761d-7818-4ae2-add3-c9789d91bd6a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47E07395</paraID>
      <start>0</start>
      <end>2</end>
      <status>unmodified</status>
      <modifiedWord/>
      <trackRevisions>false</trackRevisions>
    </reviewItem>
    <reviewItem>
      <errorID>4ea6b0b7-dd94-4dfa-9ce7-76b698969515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8BEF14D</paraID>
      <start>0</start>
      <end>2</end>
      <status>unmodified</status>
      <modifiedWord/>
      <trackRevisions>false</trackRevisions>
    </reviewItem>
    <reviewItem>
      <errorID>3a9ffbf0-b2bb-41f1-9987-d3953def313b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203BC61B</paraID>
      <start>0</start>
      <end>2</end>
      <status>unmodified</status>
      <modifiedWord/>
      <trackRevisions>false</trackRevisions>
    </reviewItem>
    <reviewItem>
      <errorID>c63de340-c944-4543-84f7-07c7383cafd6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5532B484</paraID>
      <start>0</start>
      <end>2</end>
      <status>unmodified</status>
      <modifiedWord/>
      <trackRevisions>false</trackRevisions>
    </reviewItem>
    <reviewItem>
      <errorID>4cb05cd8-01d7-4d46-b6d9-e09ea00f40fe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1544184D</paraID>
      <start>0</start>
      <end>2</end>
      <status>unmodified</status>
      <modifiedWord/>
      <trackRevisions>false</trackRevisions>
    </reviewItem>
    <reviewItem>
      <errorID>d7d008e4-9102-4c1a-a285-bbde618c59f0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79EF591C</paraID>
      <start>0</start>
      <end>2</end>
      <status>unmodified</status>
      <modifiedWord/>
      <trackRevisions>false</trackRevisions>
    </reviewItem>
    <reviewItem>
      <errorID>c208d6f6-e738-40e8-9c63-03f3e656b17b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538B4086</paraID>
      <start>0</start>
      <end>2</end>
      <status>unmodified</status>
      <modifiedWord/>
      <trackRevisions>false</trackRevisions>
    </reviewItem>
    <reviewItem>
      <errorID>839e15e9-f175-4cb8-b16a-ffad67d47427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233DCA5</paraID>
      <start>0</start>
      <end>2</end>
      <status>unmodified</status>
      <modifiedWord/>
      <trackRevisions>false</trackRevisions>
    </reviewItem>
    <reviewItem>
      <errorID>7b3053d1-ed18-4bff-af62-86759a8bbf89</errorID>
      <errorWord>根据对</errorWord>
      <group>L1_Word</group>
      <groupName>字词问题</groupName>
      <ability>L2_Typo</ability>
      <abilityName>字词错误</abilityName>
      <candidateList>
        <item>根据</item>
      </candidateList>
      <explain/>
      <paraID>1AA456DF</paraID>
      <start>0</start>
      <end>3</end>
      <status>unmodified</status>
      <modifiedWord/>
      <trackRevisions>false</trackRevisions>
    </reviewItem>
    <reviewItem>
      <errorID>e242fd44-1074-4cc1-9ec5-a061cb4e98ca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2DA573F2</paraID>
      <start>0</start>
      <end>2</end>
      <status>unmodified</status>
      <modifiedWord/>
      <trackRevisions>false</trackRevisions>
    </reviewItem>
    <reviewItem>
      <errorID>6bfe95d4-e931-412a-9a71-60bce6ccabc6</errorID>
      <errorWord>根据对</errorWord>
      <group>L1_Word</group>
      <groupName>字词问题</groupName>
      <ability>L2_Typo</ability>
      <abilityName>字词错误</abilityName>
      <candidateList>
        <item>根据</item>
      </candidateList>
      <explain/>
      <paraID>3F5DC79B</paraID>
      <start>0</start>
      <end>3</end>
      <status>unmodified</status>
      <modifiedWord/>
      <trackRevisions>false</trackRevisions>
    </reviewItem>
    <reviewItem>
      <errorID>edada824-6f37-45ca-80ad-eefdbe91815f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6172365A</paraID>
      <start>0</start>
      <end>2</end>
      <status>unmodified</status>
      <modifiedWord/>
      <trackRevisions>false</trackRevisions>
    </reviewItem>
    <reviewItem>
      <errorID>d0e4967c-6304-43c7-9c62-6a2a3973ce52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BBF6419</paraID>
      <start>0</start>
      <end>2</end>
      <status>unmodified</status>
      <modifiedWord/>
      <trackRevisions>false</trackRevisions>
    </reviewItem>
    <reviewItem>
      <errorID>499fd1fb-98bc-4542-8c88-31d15f695b5c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1D69C7F</paraID>
      <start>0</start>
      <end>2</end>
      <status>unmodified</status>
      <modifiedWord/>
      <trackRevisions>false</trackRevisions>
    </reviewItem>
    <reviewItem>
      <errorID>30996a4e-82ed-487c-b183-bae9de02dfa5</errorID>
      <errorWord>法律、法规</errorWord>
      <group>L1_Word</group>
      <groupName>字词问题</groupName>
      <ability>L2_Typo</ability>
      <abilityName>字词错误</abilityName>
      <candidateList>
        <item>法律法规</item>
      </candidateList>
      <explain/>
      <paraID>184E102E</paraID>
      <start>30</start>
      <end>35</end>
      <status>unmodified</status>
      <modifiedWord/>
      <trackRevisions>false</trackRevisions>
    </reviewItem>
    <reviewItem>
      <errorID>e2a94ea5-3c07-45e5-a370-60d21133b7fe</errorID>
      <errorWord>2026年08月20日</errorWord>
      <group>L1_Knowledge</group>
      <groupName>知识性问题</groupName>
      <ability>L2_Time</ability>
      <abilityName>日期时间</abilityName>
      <candidateList>
        <item>2026年8月20日</item>
      </candidateList>
      <explain>根据日常书写习惯，月份一般会省略前导零。</explain>
      <paraID>72826979</paraID>
      <start>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A5F4D6-50B7-49B5-98D3-74F54B5A6D51}">
  <ds:schemaRefs/>
</ds:datastoreItem>
</file>

<file path=customXml/itemProps3.xml><?xml version="1.0" encoding="utf-8"?>
<ds:datastoreItem xmlns:ds="http://schemas.openxmlformats.org/officeDocument/2006/customXml" ds:itemID="{22B065F1-44CF-457C-8B16-0A81B4CD7F9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148</Pages>
  <Words>8426</Words>
  <Characters>10345</Characters>
  <Lines>736</Lines>
  <Paragraphs>207</Paragraphs>
  <TotalTime>4</TotalTime>
  <ScaleCrop>false</ScaleCrop>
  <LinksUpToDate>false</LinksUpToDate>
  <CharactersWithSpaces>10588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2022-05-06T07:50:00Z</dcterms:created>
  <dc:creator>Administrator</dc:creator>
  <cp:lastModifiedBy>月儿的宝贝</cp:lastModifiedBy>
  <cp:lastPrinted>2023-10-18T01:32:00Z</cp:lastPrinted>
  <dcterms:modified xsi:type="dcterms:W3CDTF">2026-09-03T09:22:08Z</dcterms:modified>
  <dc:title>安全预评价报告</dc:title>
  <cp:revision>3678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C849E37BF1EA430FACB8C96C6B350275_13</vt:lpwstr>
  </property>
  <property fmtid="{D5CDD505-2E9C-101B-9397-08002B2CF9AE}" pid="4" name="KSOTemplateDocerSaveRecord">
    <vt:lpwstr>eyJoZGlkIjoiZDllZTdkOTgzYmNkNDNlNmFlMDI3MTI0YjA5NWI5OTkiLCJ1c2VySWQiOiI2MzI3MTA0NjMifQ==</vt:lpwstr>
  </property>
</Properties>
</file>