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兴国石油分公司隆坪加油站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兴国石油分公司隆坪加油站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李子丰</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余奕梅</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余奕梅</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8</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兴国石油分公司隆坪加油站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8</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兴国石油分公司隆坪加油站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8</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兴国石油分公司隆坪加油站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兴国隆坪加油站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01</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江西省赣州市兴国县隆坪乡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兴国石油分公司隆坪加油站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兴国隆坪加油站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需要特别说明的是，根据《江西省应急管理厅办公室关于规范危险化学品经营许可工作的通知》（赣应急办字〔2025〕58号），加油站应进行安全设计诊断并进行验收后方可延期换证。因此中石化江西赣州</w:t>
      </w:r>
      <w:r>
        <w:rPr>
          <w:rFonts w:hint="eastAsia" w:ascii="Times New Roman" w:hAnsi="Times New Roman" w:cs="Times New Roman"/>
          <w:color w:val="auto"/>
          <w:sz w:val="28"/>
          <w:szCs w:val="28"/>
          <w:lang w:eastAsia="zh-CN"/>
        </w:rPr>
        <w:t>兴国石油分公司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6E9B279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_Toc3127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_Toc3127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2D24D1B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_Toc31310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_Toc31310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7F6EF00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_Toc8229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_Toc8229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551974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_Toc5367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_Toc5367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404515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_Toc8047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_Toc8047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6E07D9B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_Toc12656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_Toc12656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06A40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_Toc25252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_Toc25252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1A6C86D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_Toc26385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_Toc26385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35FCE4B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_Toc26784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_Toc26784 \h </w:instrText>
      </w:r>
      <w:r>
        <w:rPr>
          <w:color w:val="auto"/>
        </w:rPr>
        <w:fldChar w:fldCharType="separate"/>
      </w:r>
      <w:r>
        <w:rPr>
          <w:color w:val="auto"/>
        </w:rPr>
        <w:t>16</w:t>
      </w:r>
      <w:r>
        <w:rPr>
          <w:color w:val="auto"/>
        </w:rPr>
        <w:fldChar w:fldCharType="end"/>
      </w:r>
      <w:r>
        <w:rPr>
          <w:rFonts w:ascii="Times New Roman" w:hAnsi="Times New Roman" w:cs="Times New Roman"/>
          <w:bCs/>
          <w:color w:val="auto"/>
          <w:szCs w:val="24"/>
        </w:rPr>
        <w:fldChar w:fldCharType="end"/>
      </w:r>
    </w:p>
    <w:p w14:paraId="196A70E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_Toc29348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_Toc29348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7353271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_Toc14068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2.5 </w:t>
      </w:r>
      <w:r>
        <w:rPr>
          <w:rFonts w:hint="eastAsia" w:ascii="Times New Roman" w:hAnsi="Times New Roman" w:cs="宋体"/>
          <w:bCs/>
          <w:color w:val="auto"/>
          <w:szCs w:val="28"/>
        </w:rPr>
        <w:t>消防、安全设施</w:t>
      </w:r>
      <w:r>
        <w:rPr>
          <w:color w:val="auto"/>
        </w:rPr>
        <w:tab/>
      </w:r>
      <w:r>
        <w:rPr>
          <w:color w:val="auto"/>
        </w:rPr>
        <w:fldChar w:fldCharType="begin"/>
      </w:r>
      <w:r>
        <w:rPr>
          <w:color w:val="auto"/>
        </w:rPr>
        <w:instrText xml:space="preserve"> PAGEREF _Toc14068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52B4BCC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_Toc22426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_Toc22426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556732C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_Toc11986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_Toc11986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6BA2A53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_Toc14305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_Toc14305 \h </w:instrText>
      </w:r>
      <w:r>
        <w:rPr>
          <w:color w:val="auto"/>
        </w:rPr>
        <w:fldChar w:fldCharType="separate"/>
      </w:r>
      <w:r>
        <w:rPr>
          <w:color w:val="auto"/>
        </w:rPr>
        <w:t>26</w:t>
      </w:r>
      <w:r>
        <w:rPr>
          <w:color w:val="auto"/>
        </w:rPr>
        <w:fldChar w:fldCharType="end"/>
      </w:r>
      <w:r>
        <w:rPr>
          <w:rFonts w:ascii="Times New Roman" w:hAnsi="Times New Roman" w:cs="Times New Roman"/>
          <w:bCs/>
          <w:color w:val="auto"/>
          <w:szCs w:val="24"/>
        </w:rPr>
        <w:fldChar w:fldCharType="end"/>
      </w:r>
    </w:p>
    <w:p w14:paraId="0D52D81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_Toc515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_Toc515 \h </w:instrText>
      </w:r>
      <w:r>
        <w:rPr>
          <w:color w:val="auto"/>
        </w:rPr>
        <w:fldChar w:fldCharType="separate"/>
      </w:r>
      <w:r>
        <w:rPr>
          <w:color w:val="auto"/>
        </w:rPr>
        <w:t>27</w:t>
      </w:r>
      <w:r>
        <w:rPr>
          <w:color w:val="auto"/>
        </w:rPr>
        <w:fldChar w:fldCharType="end"/>
      </w:r>
      <w:r>
        <w:rPr>
          <w:rFonts w:ascii="Times New Roman" w:hAnsi="Times New Roman" w:cs="Times New Roman"/>
          <w:bCs/>
          <w:color w:val="auto"/>
          <w:szCs w:val="24"/>
        </w:rPr>
        <w:fldChar w:fldCharType="end"/>
      </w:r>
    </w:p>
    <w:p w14:paraId="3733FE0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_Toc32606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_Toc32606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32CC41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_Toc4343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_Toc4343 \h </w:instrText>
      </w:r>
      <w:r>
        <w:rPr>
          <w:color w:val="auto"/>
        </w:rPr>
        <w:fldChar w:fldCharType="separate"/>
      </w:r>
      <w:r>
        <w:rPr>
          <w:color w:val="auto"/>
        </w:rPr>
        <w:t>33</w:t>
      </w:r>
      <w:r>
        <w:rPr>
          <w:color w:val="auto"/>
        </w:rPr>
        <w:fldChar w:fldCharType="end"/>
      </w:r>
      <w:r>
        <w:rPr>
          <w:rFonts w:ascii="Times New Roman" w:hAnsi="Times New Roman" w:cs="Times New Roman"/>
          <w:bCs/>
          <w:color w:val="auto"/>
          <w:szCs w:val="24"/>
        </w:rPr>
        <w:fldChar w:fldCharType="end"/>
      </w:r>
    </w:p>
    <w:p w14:paraId="0EF4C61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_Toc10337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_Toc10337 \h </w:instrText>
      </w:r>
      <w:r>
        <w:rPr>
          <w:color w:val="auto"/>
        </w:rPr>
        <w:fldChar w:fldCharType="separate"/>
      </w:r>
      <w:r>
        <w:rPr>
          <w:color w:val="auto"/>
        </w:rPr>
        <w:t>37</w:t>
      </w:r>
      <w:r>
        <w:rPr>
          <w:color w:val="auto"/>
        </w:rPr>
        <w:fldChar w:fldCharType="end"/>
      </w:r>
      <w:r>
        <w:rPr>
          <w:rFonts w:ascii="Times New Roman" w:hAnsi="Times New Roman" w:cs="Times New Roman"/>
          <w:bCs/>
          <w:color w:val="auto"/>
          <w:szCs w:val="24"/>
        </w:rPr>
        <w:fldChar w:fldCharType="end"/>
      </w:r>
    </w:p>
    <w:p w14:paraId="3D653B6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_Toc496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_Toc496 \h </w:instrText>
      </w:r>
      <w:r>
        <w:rPr>
          <w:color w:val="auto"/>
        </w:rPr>
        <w:fldChar w:fldCharType="separate"/>
      </w:r>
      <w:r>
        <w:rPr>
          <w:color w:val="auto"/>
        </w:rPr>
        <w:t>38</w:t>
      </w:r>
      <w:r>
        <w:rPr>
          <w:color w:val="auto"/>
        </w:rPr>
        <w:fldChar w:fldCharType="end"/>
      </w:r>
      <w:r>
        <w:rPr>
          <w:rFonts w:ascii="Times New Roman" w:hAnsi="Times New Roman" w:cs="Times New Roman"/>
          <w:bCs/>
          <w:color w:val="auto"/>
          <w:szCs w:val="24"/>
        </w:rPr>
        <w:fldChar w:fldCharType="end"/>
      </w:r>
    </w:p>
    <w:p w14:paraId="54D9CD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_Toc18571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_Toc18571 \h </w:instrText>
      </w:r>
      <w:r>
        <w:rPr>
          <w:color w:val="auto"/>
        </w:rPr>
        <w:fldChar w:fldCharType="separate"/>
      </w:r>
      <w:r>
        <w:rPr>
          <w:color w:val="auto"/>
        </w:rPr>
        <w:t>38</w:t>
      </w:r>
      <w:r>
        <w:rPr>
          <w:color w:val="auto"/>
        </w:rPr>
        <w:fldChar w:fldCharType="end"/>
      </w:r>
      <w:r>
        <w:rPr>
          <w:rFonts w:ascii="Times New Roman" w:hAnsi="Times New Roman" w:cs="Times New Roman"/>
          <w:bCs/>
          <w:color w:val="auto"/>
          <w:szCs w:val="24"/>
        </w:rPr>
        <w:fldChar w:fldCharType="end"/>
      </w:r>
    </w:p>
    <w:p w14:paraId="6614351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_Toc8911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_Toc8911 \h </w:instrText>
      </w:r>
      <w:r>
        <w:rPr>
          <w:color w:val="auto"/>
        </w:rPr>
        <w:fldChar w:fldCharType="separate"/>
      </w:r>
      <w:r>
        <w:rPr>
          <w:color w:val="auto"/>
        </w:rPr>
        <w:t>38</w:t>
      </w:r>
      <w:r>
        <w:rPr>
          <w:color w:val="auto"/>
        </w:rPr>
        <w:fldChar w:fldCharType="end"/>
      </w:r>
      <w:r>
        <w:rPr>
          <w:rFonts w:ascii="Times New Roman" w:hAnsi="Times New Roman" w:cs="Times New Roman"/>
          <w:bCs/>
          <w:color w:val="auto"/>
          <w:szCs w:val="24"/>
        </w:rPr>
        <w:fldChar w:fldCharType="end"/>
      </w:r>
    </w:p>
    <w:p w14:paraId="7A1F674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_Toc20984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_Toc20984 \h </w:instrText>
      </w:r>
      <w:r>
        <w:rPr>
          <w:color w:val="auto"/>
        </w:rPr>
        <w:fldChar w:fldCharType="separate"/>
      </w:r>
      <w:r>
        <w:rPr>
          <w:color w:val="auto"/>
        </w:rPr>
        <w:t>39</w:t>
      </w:r>
      <w:r>
        <w:rPr>
          <w:color w:val="auto"/>
        </w:rPr>
        <w:fldChar w:fldCharType="end"/>
      </w:r>
      <w:r>
        <w:rPr>
          <w:rFonts w:ascii="Times New Roman" w:hAnsi="Times New Roman" w:cs="Times New Roman"/>
          <w:bCs/>
          <w:color w:val="auto"/>
          <w:szCs w:val="24"/>
        </w:rPr>
        <w:fldChar w:fldCharType="end"/>
      </w:r>
    </w:p>
    <w:p w14:paraId="355495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_Toc29203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_Toc29203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BE0C73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_Toc4782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_Toc4782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15F96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_Toc20745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_Toc20745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7E6409E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_Toc3237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_Toc3237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3C14F51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_Toc12349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_Toc12349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06CDAB5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_Toc21214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_Toc21214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6567466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_Toc15463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_Toc15463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2D69F64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_Toc18241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_Toc18241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7527DFE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_Toc1079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_Toc1079 \h </w:instrText>
      </w:r>
      <w:r>
        <w:rPr>
          <w:color w:val="auto"/>
        </w:rPr>
        <w:fldChar w:fldCharType="separate"/>
      </w:r>
      <w:r>
        <w:rPr>
          <w:color w:val="auto"/>
        </w:rPr>
        <w:t>51</w:t>
      </w:r>
      <w:r>
        <w:rPr>
          <w:color w:val="auto"/>
        </w:rPr>
        <w:fldChar w:fldCharType="end"/>
      </w:r>
      <w:r>
        <w:rPr>
          <w:rFonts w:ascii="Times New Roman" w:hAnsi="Times New Roman" w:cs="Times New Roman"/>
          <w:bCs/>
          <w:color w:val="auto"/>
          <w:szCs w:val="24"/>
        </w:rPr>
        <w:fldChar w:fldCharType="end"/>
      </w:r>
    </w:p>
    <w:p w14:paraId="5C955A0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_Toc7603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_Toc7603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1F6709E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_Toc25937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_Toc25937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250C7D0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_Toc691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_Toc691 \h </w:instrText>
      </w:r>
      <w:r>
        <w:rPr>
          <w:color w:val="auto"/>
        </w:rPr>
        <w:fldChar w:fldCharType="separate"/>
      </w:r>
      <w:r>
        <w:rPr>
          <w:color w:val="auto"/>
        </w:rPr>
        <w:t>59</w:t>
      </w:r>
      <w:r>
        <w:rPr>
          <w:color w:val="auto"/>
        </w:rPr>
        <w:fldChar w:fldCharType="end"/>
      </w:r>
      <w:r>
        <w:rPr>
          <w:rFonts w:ascii="Times New Roman" w:hAnsi="Times New Roman" w:cs="Times New Roman"/>
          <w:bCs/>
          <w:color w:val="auto"/>
          <w:szCs w:val="24"/>
        </w:rPr>
        <w:fldChar w:fldCharType="end"/>
      </w:r>
    </w:p>
    <w:p w14:paraId="0972F7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_Toc31883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_Toc31883 \h </w:instrText>
      </w:r>
      <w:r>
        <w:rPr>
          <w:color w:val="auto"/>
        </w:rPr>
        <w:fldChar w:fldCharType="separate"/>
      </w:r>
      <w:r>
        <w:rPr>
          <w:color w:val="auto"/>
        </w:rPr>
        <w:t>61</w:t>
      </w:r>
      <w:r>
        <w:rPr>
          <w:color w:val="auto"/>
        </w:rPr>
        <w:fldChar w:fldCharType="end"/>
      </w:r>
      <w:r>
        <w:rPr>
          <w:rFonts w:ascii="Times New Roman" w:hAnsi="Times New Roman" w:cs="Times New Roman"/>
          <w:bCs/>
          <w:color w:val="auto"/>
          <w:szCs w:val="24"/>
        </w:rPr>
        <w:fldChar w:fldCharType="end"/>
      </w:r>
    </w:p>
    <w:p w14:paraId="00E5C33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_Toc19710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_Toc19710 \h </w:instrText>
      </w:r>
      <w:r>
        <w:rPr>
          <w:color w:val="auto"/>
        </w:rPr>
        <w:fldChar w:fldCharType="separate"/>
      </w:r>
      <w:r>
        <w:rPr>
          <w:color w:val="auto"/>
        </w:rPr>
        <w:t>63</w:t>
      </w:r>
      <w:r>
        <w:rPr>
          <w:color w:val="auto"/>
        </w:rPr>
        <w:fldChar w:fldCharType="end"/>
      </w:r>
      <w:r>
        <w:rPr>
          <w:rFonts w:ascii="Times New Roman" w:hAnsi="Times New Roman" w:cs="Times New Roman"/>
          <w:bCs/>
          <w:color w:val="auto"/>
          <w:szCs w:val="24"/>
        </w:rPr>
        <w:fldChar w:fldCharType="end"/>
      </w:r>
    </w:p>
    <w:p w14:paraId="1B8181C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_Toc17889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_Toc17889 \h </w:instrText>
      </w:r>
      <w:r>
        <w:rPr>
          <w:color w:val="auto"/>
        </w:rPr>
        <w:fldChar w:fldCharType="separate"/>
      </w:r>
      <w:r>
        <w:rPr>
          <w:color w:val="auto"/>
        </w:rPr>
        <w:t>68</w:t>
      </w:r>
      <w:r>
        <w:rPr>
          <w:color w:val="auto"/>
        </w:rPr>
        <w:fldChar w:fldCharType="end"/>
      </w:r>
      <w:r>
        <w:rPr>
          <w:rFonts w:ascii="Times New Roman" w:hAnsi="Times New Roman" w:cs="Times New Roman"/>
          <w:bCs/>
          <w:color w:val="auto"/>
          <w:szCs w:val="24"/>
        </w:rPr>
        <w:fldChar w:fldCharType="end"/>
      </w:r>
    </w:p>
    <w:p w14:paraId="5254361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_Toc28655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_Toc28655 \h </w:instrText>
      </w:r>
      <w:r>
        <w:rPr>
          <w:color w:val="auto"/>
        </w:rPr>
        <w:fldChar w:fldCharType="separate"/>
      </w:r>
      <w:r>
        <w:rPr>
          <w:color w:val="auto"/>
        </w:rPr>
        <w:t>70</w:t>
      </w:r>
      <w:r>
        <w:rPr>
          <w:color w:val="auto"/>
        </w:rPr>
        <w:fldChar w:fldCharType="end"/>
      </w:r>
      <w:r>
        <w:rPr>
          <w:rFonts w:ascii="Times New Roman" w:hAnsi="Times New Roman" w:cs="Times New Roman"/>
          <w:bCs/>
          <w:color w:val="auto"/>
          <w:szCs w:val="24"/>
        </w:rPr>
        <w:fldChar w:fldCharType="end"/>
      </w:r>
    </w:p>
    <w:p w14:paraId="0A5B3E9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_Toc31059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_Toc31059 \h </w:instrText>
      </w:r>
      <w:r>
        <w:rPr>
          <w:color w:val="auto"/>
        </w:rPr>
        <w:fldChar w:fldCharType="separate"/>
      </w:r>
      <w:r>
        <w:rPr>
          <w:color w:val="auto"/>
        </w:rPr>
        <w:t>72</w:t>
      </w:r>
      <w:r>
        <w:rPr>
          <w:color w:val="auto"/>
        </w:rPr>
        <w:fldChar w:fldCharType="end"/>
      </w:r>
      <w:r>
        <w:rPr>
          <w:rFonts w:ascii="Times New Roman" w:hAnsi="Times New Roman" w:cs="Times New Roman"/>
          <w:bCs/>
          <w:color w:val="auto"/>
          <w:szCs w:val="24"/>
        </w:rPr>
        <w:fldChar w:fldCharType="end"/>
      </w:r>
    </w:p>
    <w:p w14:paraId="68D2C8C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_Toc13674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_Toc13674 \h </w:instrText>
      </w:r>
      <w:r>
        <w:rPr>
          <w:color w:val="auto"/>
        </w:rPr>
        <w:fldChar w:fldCharType="separate"/>
      </w:r>
      <w:r>
        <w:rPr>
          <w:color w:val="auto"/>
        </w:rPr>
        <w:t>78</w:t>
      </w:r>
      <w:r>
        <w:rPr>
          <w:color w:val="auto"/>
        </w:rPr>
        <w:fldChar w:fldCharType="end"/>
      </w:r>
      <w:r>
        <w:rPr>
          <w:rFonts w:ascii="Times New Roman" w:hAnsi="Times New Roman" w:cs="Times New Roman"/>
          <w:bCs/>
          <w:color w:val="auto"/>
          <w:szCs w:val="24"/>
        </w:rPr>
        <w:fldChar w:fldCharType="end"/>
      </w:r>
    </w:p>
    <w:p w14:paraId="7E3DE6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_Toc27534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_Toc27534 \h </w:instrText>
      </w:r>
      <w:r>
        <w:rPr>
          <w:color w:val="auto"/>
        </w:rPr>
        <w:fldChar w:fldCharType="separate"/>
      </w:r>
      <w:r>
        <w:rPr>
          <w:color w:val="auto"/>
        </w:rPr>
        <w:t>79</w:t>
      </w:r>
      <w:r>
        <w:rPr>
          <w:color w:val="auto"/>
        </w:rPr>
        <w:fldChar w:fldCharType="end"/>
      </w:r>
      <w:r>
        <w:rPr>
          <w:rFonts w:ascii="Times New Roman" w:hAnsi="Times New Roman" w:cs="Times New Roman"/>
          <w:bCs/>
          <w:color w:val="auto"/>
          <w:szCs w:val="24"/>
        </w:rPr>
        <w:fldChar w:fldCharType="end"/>
      </w:r>
    </w:p>
    <w:p w14:paraId="0AE09E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_Toc28765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_Toc28765 \h </w:instrText>
      </w:r>
      <w:r>
        <w:rPr>
          <w:color w:val="auto"/>
        </w:rPr>
        <w:fldChar w:fldCharType="separate"/>
      </w:r>
      <w:r>
        <w:rPr>
          <w:color w:val="auto"/>
        </w:rPr>
        <w:t>87</w:t>
      </w:r>
      <w:r>
        <w:rPr>
          <w:color w:val="auto"/>
        </w:rPr>
        <w:fldChar w:fldCharType="end"/>
      </w:r>
      <w:r>
        <w:rPr>
          <w:rFonts w:ascii="Times New Roman" w:hAnsi="Times New Roman" w:cs="Times New Roman"/>
          <w:bCs/>
          <w:color w:val="auto"/>
          <w:szCs w:val="24"/>
        </w:rPr>
        <w:fldChar w:fldCharType="end"/>
      </w:r>
    </w:p>
    <w:p w14:paraId="7528F482">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_Toc30956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_Toc30956 \h </w:instrText>
      </w:r>
      <w:r>
        <w:rPr>
          <w:color w:val="auto"/>
        </w:rPr>
        <w:fldChar w:fldCharType="separate"/>
      </w:r>
      <w:r>
        <w:rPr>
          <w:color w:val="auto"/>
        </w:rPr>
        <w:t>94</w:t>
      </w:r>
      <w:r>
        <w:rPr>
          <w:color w:val="auto"/>
        </w:rPr>
        <w:fldChar w:fldCharType="end"/>
      </w:r>
      <w:r>
        <w:rPr>
          <w:rFonts w:ascii="Times New Roman" w:hAnsi="Times New Roman" w:cs="Times New Roman"/>
          <w:bCs/>
          <w:color w:val="auto"/>
          <w:szCs w:val="24"/>
        </w:rPr>
        <w:fldChar w:fldCharType="end"/>
      </w:r>
    </w:p>
    <w:p w14:paraId="4E026B5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_Toc13368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_Toc13368 \h </w:instrText>
      </w:r>
      <w:r>
        <w:rPr>
          <w:color w:val="auto"/>
        </w:rPr>
        <w:fldChar w:fldCharType="separate"/>
      </w:r>
      <w:r>
        <w:rPr>
          <w:color w:val="auto"/>
        </w:rPr>
        <w:t>94</w:t>
      </w:r>
      <w:r>
        <w:rPr>
          <w:color w:val="auto"/>
        </w:rPr>
        <w:fldChar w:fldCharType="end"/>
      </w:r>
      <w:r>
        <w:rPr>
          <w:rFonts w:ascii="Times New Roman" w:hAnsi="Times New Roman" w:cs="Times New Roman"/>
          <w:bCs/>
          <w:color w:val="auto"/>
          <w:szCs w:val="24"/>
        </w:rPr>
        <w:fldChar w:fldCharType="end"/>
      </w:r>
    </w:p>
    <w:p w14:paraId="6F12EA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_Toc30112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_Toc30112 \h </w:instrText>
      </w:r>
      <w:r>
        <w:rPr>
          <w:color w:val="auto"/>
        </w:rPr>
        <w:fldChar w:fldCharType="separate"/>
      </w:r>
      <w:r>
        <w:rPr>
          <w:color w:val="auto"/>
        </w:rPr>
        <w:t>94</w:t>
      </w:r>
      <w:r>
        <w:rPr>
          <w:color w:val="auto"/>
        </w:rPr>
        <w:fldChar w:fldCharType="end"/>
      </w:r>
      <w:r>
        <w:rPr>
          <w:rFonts w:ascii="Times New Roman" w:hAnsi="Times New Roman" w:cs="Times New Roman"/>
          <w:bCs/>
          <w:color w:val="auto"/>
          <w:szCs w:val="24"/>
        </w:rPr>
        <w:fldChar w:fldCharType="end"/>
      </w:r>
    </w:p>
    <w:p w14:paraId="48015BA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_Toc16628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_Toc16628 \h </w:instrText>
      </w:r>
      <w:r>
        <w:rPr>
          <w:color w:val="auto"/>
        </w:rPr>
        <w:fldChar w:fldCharType="separate"/>
      </w:r>
      <w:r>
        <w:rPr>
          <w:color w:val="auto"/>
        </w:rPr>
        <w:t>94</w:t>
      </w:r>
      <w:r>
        <w:rPr>
          <w:color w:val="auto"/>
        </w:rPr>
        <w:fldChar w:fldCharType="end"/>
      </w:r>
      <w:r>
        <w:rPr>
          <w:rFonts w:ascii="Times New Roman" w:hAnsi="Times New Roman" w:cs="Times New Roman"/>
          <w:bCs/>
          <w:color w:val="auto"/>
          <w:szCs w:val="24"/>
        </w:rPr>
        <w:fldChar w:fldCharType="end"/>
      </w:r>
    </w:p>
    <w:p w14:paraId="2F1FCB3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_Toc13312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_Toc13312 \h </w:instrText>
      </w:r>
      <w:r>
        <w:rPr>
          <w:color w:val="auto"/>
        </w:rPr>
        <w:fldChar w:fldCharType="separate"/>
      </w:r>
      <w:r>
        <w:rPr>
          <w:color w:val="auto"/>
        </w:rPr>
        <w:t>95</w:t>
      </w:r>
      <w:r>
        <w:rPr>
          <w:color w:val="auto"/>
        </w:rPr>
        <w:fldChar w:fldCharType="end"/>
      </w:r>
      <w:r>
        <w:rPr>
          <w:rFonts w:ascii="Times New Roman" w:hAnsi="Times New Roman" w:cs="Times New Roman"/>
          <w:bCs/>
          <w:color w:val="auto"/>
          <w:szCs w:val="24"/>
        </w:rPr>
        <w:fldChar w:fldCharType="end"/>
      </w:r>
    </w:p>
    <w:p w14:paraId="3F99123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_Toc4276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_Toc4276 \h </w:instrText>
      </w:r>
      <w:r>
        <w:rPr>
          <w:color w:val="auto"/>
        </w:rPr>
        <w:fldChar w:fldCharType="separate"/>
      </w:r>
      <w:r>
        <w:rPr>
          <w:color w:val="auto"/>
        </w:rPr>
        <w:t>96</w:t>
      </w:r>
      <w:r>
        <w:rPr>
          <w:color w:val="auto"/>
        </w:rPr>
        <w:fldChar w:fldCharType="end"/>
      </w:r>
      <w:r>
        <w:rPr>
          <w:rFonts w:ascii="Times New Roman" w:hAnsi="Times New Roman" w:cs="Times New Roman"/>
          <w:bCs/>
          <w:color w:val="auto"/>
          <w:szCs w:val="24"/>
        </w:rPr>
        <w:fldChar w:fldCharType="end"/>
      </w:r>
    </w:p>
    <w:p w14:paraId="1FAAEA8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_Toc31300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_Toc31300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兴国石油分公司隆坪加油站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3127"/>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31310"/>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8229"/>
      <w:bookmarkStart w:id="8" w:name="_Toc26059"/>
      <w:bookmarkStart w:id="9" w:name="_Toc343692240"/>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生产安全事故应急预案管理办法</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318685B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68BA8C3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5367"/>
      <w:bookmarkStart w:id="14" w:name="_Toc2924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兴国隆坪加油站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8047"/>
      <w:bookmarkStart w:id="19" w:name="_Toc790"/>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3289"/>
      <w:bookmarkStart w:id="22" w:name="_Toc22287"/>
      <w:r>
        <w:rPr>
          <w:rStyle w:val="34"/>
          <w:color w:val="auto"/>
        </w:rPr>
        <w:br w:type="page"/>
      </w:r>
      <w:bookmarkStart w:id="23" w:name="_Toc12656"/>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25252"/>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7C573F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兴国石油分公司隆坪加油站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兴国隆坪加油站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01</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江西省赣州市兴国县隆坪乡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46B83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兴国石油分公司隆坪加油站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兴国隆坪加油站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兴国石油分公司隆坪加油站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江西省赣州市兴国县隆坪乡</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李子丰</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余奕梅</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江西省赣州市兴国县隆坪乡</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兴国隆坪加油站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3</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兴国石油分公司隆坪加油站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《安全设施符合性诊断及整改设计》中针对各专业提出了现场整改建议，加油站针对现场整改建议进行了整改，整改后加油站现场与设计一致，详见5.16章节。</w:t>
      </w:r>
    </w:p>
    <w:p w14:paraId="2065EC61">
      <w:pPr>
        <w:spacing w:line="360" w:lineRule="auto"/>
        <w:outlineLvl w:val="1"/>
        <w:rPr>
          <w:rStyle w:val="35"/>
          <w:color w:val="auto"/>
        </w:rPr>
      </w:pPr>
      <w:bookmarkStart w:id="28" w:name="_Toc26385"/>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17DFA19B">
      <w:pPr>
        <w:spacing w:line="360" w:lineRule="auto"/>
        <w:ind w:firstLine="560" w:firstLineChars="200"/>
        <w:jc w:val="left"/>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rPr>
        <w:t>加油站地处兴国县枫边乡</w:t>
      </w:r>
      <w:r>
        <w:rPr>
          <w:rFonts w:hint="eastAsia" w:ascii="Times New Roman" w:hAnsi="Times New Roman" w:cs="Times New Roman"/>
          <w:color w:val="auto"/>
          <w:sz w:val="28"/>
          <w:szCs w:val="28"/>
          <w:lang w:val="en-US" w:eastAsia="zh-CN"/>
        </w:rPr>
        <w:t>。</w:t>
      </w:r>
    </w:p>
    <w:p w14:paraId="10DD14ED">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lang w:eastAsia="zh-CN"/>
        </w:rPr>
        <w:t>加油站北侧临X466 道路，加油站出入口与X466 道路连接。</w:t>
      </w:r>
    </w:p>
    <w:p w14:paraId="73BA098D">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lang w:eastAsia="zh-CN"/>
        </w:rPr>
        <w:t>加油站东侧为国家电网（一类保护物），</w:t>
      </w:r>
      <w:r>
        <w:rPr>
          <w:rFonts w:hint="eastAsia" w:ascii="Times New Roman" w:hAnsi="Times New Roman" w:cs="Times New Roman"/>
          <w:color w:val="auto"/>
          <w:sz w:val="28"/>
          <w:szCs w:val="28"/>
          <w:lang w:val="en-US" w:eastAsia="zh-CN"/>
        </w:rPr>
        <w:t>充电桩</w:t>
      </w:r>
      <w:r>
        <w:rPr>
          <w:rFonts w:hint="eastAsia" w:ascii="Times New Roman" w:hAnsi="Times New Roman" w:cs="Times New Roman"/>
          <w:color w:val="auto"/>
          <w:sz w:val="28"/>
          <w:szCs w:val="28"/>
          <w:lang w:eastAsia="zh-CN"/>
        </w:rPr>
        <w:t>；</w:t>
      </w:r>
    </w:p>
    <w:p w14:paraId="244DB27E">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lang w:eastAsia="zh-CN"/>
        </w:rPr>
        <w:t>南侧为农用地及架空通讯线（H=5m）；</w:t>
      </w:r>
    </w:p>
    <w:p w14:paraId="3AECAA9B">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lang w:eastAsia="zh-CN"/>
        </w:rPr>
        <w:t>西侧为停车场（</w:t>
      </w:r>
      <w:r>
        <w:rPr>
          <w:rFonts w:hint="eastAsia" w:ascii="Times New Roman" w:hAnsi="Times New Roman" w:cs="Times New Roman"/>
          <w:color w:val="auto"/>
          <w:sz w:val="28"/>
          <w:szCs w:val="28"/>
          <w:lang w:val="en-US" w:eastAsia="zh-CN"/>
        </w:rPr>
        <w:t>三类保护物</w:t>
      </w:r>
      <w:r>
        <w:rPr>
          <w:rFonts w:hint="eastAsia" w:ascii="Times New Roman" w:hAnsi="Times New Roman" w:cs="Times New Roman"/>
          <w:color w:val="auto"/>
          <w:sz w:val="28"/>
          <w:szCs w:val="28"/>
          <w:lang w:eastAsia="zh-CN"/>
        </w:rPr>
        <w:t>），架空电力线（有绝缘层，H=7m）。</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08" w:type="dxa"/>
            <w:shd w:val="clear" w:color="auto" w:fill="auto"/>
            <w:vAlign w:val="center"/>
          </w:tcPr>
          <w:p w14:paraId="6A6C679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X466 道路</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9.7/3.0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国家电网（一类保护物）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color w:val="auto"/>
                <w:lang w:val="en-US" w:eastAsia="zh-CN"/>
              </w:rPr>
              <w:t>20.8/23.2</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充电桩</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21.3/20.4</w:t>
            </w:r>
          </w:p>
        </w:tc>
      </w:tr>
      <w:tr w14:paraId="40FAE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4EBF8D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CC0677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0C9E27C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1766" w:type="dxa"/>
            <w:vAlign w:val="center"/>
          </w:tcPr>
          <w:p w14:paraId="1C57E48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12.3/14</w:t>
            </w:r>
          </w:p>
        </w:tc>
      </w:tr>
      <w:tr w14:paraId="3B3A1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2C62094">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111899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622A7A9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停车场（三类保护物）</w:t>
            </w:r>
          </w:p>
        </w:tc>
        <w:tc>
          <w:tcPr>
            <w:tcW w:w="1766" w:type="dxa"/>
            <w:vAlign w:val="center"/>
          </w:tcPr>
          <w:p w14:paraId="5B75D02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7.2/7</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6DAF98E">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6AE9C41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6.2/6.7</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X466 道路</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5.0/5.0</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国家电网（一类保护物）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22.2/22.2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充电桩</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16.4/16.4</w:t>
            </w:r>
          </w:p>
        </w:tc>
      </w:tr>
      <w:tr w14:paraId="63E86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4558FC0D">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512A46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213136E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1766" w:type="dxa"/>
            <w:vAlign w:val="center"/>
          </w:tcPr>
          <w:p w14:paraId="23A40A4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13.4/13.4</w:t>
            </w:r>
          </w:p>
        </w:tc>
      </w:tr>
      <w:tr w14:paraId="36AA7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6FBDBD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10BA207">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1AFD1AC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停车场（三类保护物）</w:t>
            </w:r>
          </w:p>
        </w:tc>
        <w:tc>
          <w:tcPr>
            <w:tcW w:w="1766" w:type="dxa"/>
            <w:vAlign w:val="center"/>
          </w:tcPr>
          <w:p w14:paraId="54F5824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12.9/12.9</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9D25A14">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02DEE08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12.8/12.8</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08"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X466 道路</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5.1/5.1</w:t>
            </w:r>
          </w:p>
        </w:tc>
      </w:tr>
      <w:tr w14:paraId="1613E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2E9E360">
            <w:pPr>
              <w:spacing w:line="240" w:lineRule="exact"/>
              <w:jc w:val="center"/>
              <w:rPr>
                <w:rFonts w:ascii="Times New Roman" w:hAnsi="Times New Roman" w:cs="Times New Roman"/>
                <w:color w:val="auto"/>
                <w:szCs w:val="24"/>
                <w:lang w:val="zh-CN"/>
              </w:rPr>
            </w:pPr>
          </w:p>
        </w:tc>
        <w:tc>
          <w:tcPr>
            <w:tcW w:w="1331" w:type="dxa"/>
            <w:shd w:val="clear" w:color="auto" w:fill="auto"/>
            <w:vAlign w:val="center"/>
          </w:tcPr>
          <w:p w14:paraId="626A73E7">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064F0AB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国家电网（一类保护物）</w:t>
            </w:r>
          </w:p>
        </w:tc>
        <w:tc>
          <w:tcPr>
            <w:tcW w:w="1766" w:type="dxa"/>
            <w:vAlign w:val="center"/>
          </w:tcPr>
          <w:p w14:paraId="4B98A84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bCs/>
                <w:color w:val="auto"/>
                <w:szCs w:val="24"/>
                <w:lang w:val="en-US" w:eastAsia="zh-CN"/>
              </w:rPr>
              <w:t>20.8/17.9</w:t>
            </w:r>
          </w:p>
        </w:tc>
      </w:tr>
      <w:tr w14:paraId="099D6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4EA224">
            <w:pPr>
              <w:spacing w:line="240" w:lineRule="exact"/>
              <w:jc w:val="center"/>
              <w:rPr>
                <w:rFonts w:ascii="Times New Roman" w:hAnsi="Times New Roman" w:cs="Times New Roman"/>
                <w:color w:val="auto"/>
                <w:szCs w:val="24"/>
                <w:lang w:val="zh-CN"/>
              </w:rPr>
            </w:pPr>
          </w:p>
        </w:tc>
        <w:tc>
          <w:tcPr>
            <w:tcW w:w="1331" w:type="dxa"/>
            <w:shd w:val="clear" w:color="auto" w:fill="auto"/>
            <w:vAlign w:val="center"/>
          </w:tcPr>
          <w:p w14:paraId="7FF07D1D">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08B48A7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充电桩</w:t>
            </w:r>
          </w:p>
        </w:tc>
        <w:tc>
          <w:tcPr>
            <w:tcW w:w="1766" w:type="dxa"/>
            <w:vAlign w:val="center"/>
          </w:tcPr>
          <w:p w14:paraId="65307F3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14.7/10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886EF4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12.3/10.6</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停车场（三类保护物）</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15.1/20</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78F22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1766" w:type="dxa"/>
            <w:vAlign w:val="center"/>
          </w:tcPr>
          <w:p w14:paraId="0912A8B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15.1/20</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1A0E643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加油站区内地势平坦，坡向道路，地面坡度&lt;2%。站内混凝土路面与X466道路相连，进口、出口分开设置。</w:t>
      </w:r>
    </w:p>
    <w:p w14:paraId="7817511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w:t>
      </w:r>
      <w:r>
        <w:rPr>
          <w:rFonts w:hint="eastAsia" w:ascii="Times New Roman" w:hAnsi="Times New Roman" w:cs="Times New Roman"/>
          <w:color w:val="auto"/>
          <w:sz w:val="28"/>
          <w:szCs w:val="28"/>
          <w:lang w:val="en-US" w:eastAsia="zh-CN"/>
        </w:rPr>
        <w:t>76.45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、卫生间等。</w:t>
      </w:r>
    </w:p>
    <w:p w14:paraId="5AC37D3C">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位于站区西侧，罩棚高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2.0</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根现浇钢筋混凝土立柱，罩棚顶为</w:t>
      </w:r>
      <w:r>
        <w:rPr>
          <w:rFonts w:hint="eastAsia" w:ascii="Times New Roman" w:hAnsi="Times New Roman" w:cs="Times New Roman"/>
          <w:color w:val="auto"/>
          <w:sz w:val="28"/>
          <w:szCs w:val="28"/>
          <w:lang w:val="en-US" w:eastAsia="zh-CN"/>
        </w:rPr>
        <w:t>钢架结构</w:t>
      </w:r>
      <w:r>
        <w:rPr>
          <w:rFonts w:hint="eastAsia" w:ascii="Times New Roman" w:hAnsi="Times New Roman" w:cs="Times New Roman"/>
          <w:color w:val="auto"/>
          <w:sz w:val="28"/>
          <w:szCs w:val="28"/>
        </w:rPr>
        <w:t>，占地面积</w:t>
      </w:r>
      <w:r>
        <w:rPr>
          <w:rFonts w:hint="eastAsia" w:ascii="Times New Roman" w:hAnsi="Times New Roman" w:cs="Times New Roman"/>
          <w:color w:val="auto"/>
          <w:sz w:val="28"/>
          <w:szCs w:val="28"/>
          <w:lang w:val="en-US" w:eastAsia="zh-CN"/>
        </w:rPr>
        <w:t>146.3</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，内设有1座通长加油岛，加油岛上罩棚支柱距岛端部为0.6m，加油岛为1 台92#、92#</w:t>
      </w:r>
      <w:r>
        <w:rPr>
          <w:rFonts w:hint="eastAsia" w:ascii="Times New Roman" w:hAnsi="Times New Roman" w:cs="Times New Roman"/>
          <w:color w:val="auto"/>
          <w:sz w:val="28"/>
          <w:szCs w:val="28"/>
          <w:lang w:val="en-US" w:eastAsia="zh-CN"/>
        </w:rPr>
        <w:t>双</w:t>
      </w:r>
      <w:r>
        <w:rPr>
          <w:rFonts w:hint="eastAsia" w:ascii="Times New Roman" w:hAnsi="Times New Roman" w:cs="Times New Roman"/>
          <w:color w:val="auto"/>
          <w:sz w:val="28"/>
          <w:szCs w:val="28"/>
        </w:rPr>
        <w:t>枪加油机和1 台0#、0#双枪加油机。</w:t>
      </w:r>
    </w:p>
    <w:p w14:paraId="2EA354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侧，属承重罐区，</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个卧式埋地SF油罐由</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向</w:t>
      </w:r>
      <w:r>
        <w:rPr>
          <w:rFonts w:hint="eastAsia" w:ascii="Times New Roman" w:hAnsi="Times New Roman" w:cs="宋体"/>
          <w:color w:val="auto"/>
          <w:sz w:val="28"/>
          <w:szCs w:val="28"/>
          <w:lang w:val="en-US" w:eastAsia="zh-CN"/>
        </w:rPr>
        <w:t>南</w:t>
      </w:r>
      <w:r>
        <w:rPr>
          <w:rFonts w:hint="eastAsia" w:ascii="Times New Roman" w:hAnsi="Times New Roman" w:cs="宋体"/>
          <w:color w:val="auto"/>
          <w:sz w:val="28"/>
          <w:szCs w:val="28"/>
          <w:lang w:val="zh-CN"/>
        </w:rPr>
        <w:t>呈单排设置，分别为容量为30m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的0#柴油储罐1 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的92#汽油储罐1 个。柴油通气管、汽油通气管设置于罩棚立柱内，为DN50 的无缝钢管，通气管高出罩棚2m。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个消防器材箱，1个计量组合柜。</w:t>
      </w:r>
    </w:p>
    <w:p w14:paraId="67FB596C">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出</w:t>
      </w:r>
      <w:r>
        <w:rPr>
          <w:rFonts w:hint="eastAsia" w:ascii="Times New Roman" w:hAnsi="Times New Roman" w:cs="宋体"/>
          <w:color w:val="auto"/>
          <w:sz w:val="28"/>
          <w:szCs w:val="28"/>
          <w:lang w:val="zh-CN"/>
        </w:rPr>
        <w:t>口附近。</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5F8D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16BAC3D7">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7008A0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7B0FD8C4">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0B5A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97" w:type="pct"/>
            <w:shd w:val="clear" w:color="auto" w:fill="auto"/>
            <w:vAlign w:val="center"/>
          </w:tcPr>
          <w:p w14:paraId="4F267B59">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7C22D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w:t>
            </w:r>
          </w:p>
        </w:tc>
        <w:tc>
          <w:tcPr>
            <w:tcW w:w="597" w:type="pct"/>
            <w:shd w:val="clear" w:color="auto" w:fill="auto"/>
            <w:vAlign w:val="center"/>
          </w:tcPr>
          <w:p w14:paraId="72FF89A1">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60F30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2.7</w:t>
            </w:r>
          </w:p>
        </w:tc>
        <w:tc>
          <w:tcPr>
            <w:tcW w:w="597" w:type="pct"/>
            <w:shd w:val="clear" w:color="auto" w:fill="auto"/>
            <w:vAlign w:val="center"/>
          </w:tcPr>
          <w:p w14:paraId="2FC90F47">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29A60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w:t>
            </w:r>
          </w:p>
        </w:tc>
        <w:tc>
          <w:tcPr>
            <w:tcW w:w="597" w:type="pct"/>
            <w:shd w:val="clear" w:color="auto" w:fill="auto"/>
            <w:vAlign w:val="center"/>
          </w:tcPr>
          <w:p w14:paraId="7CF24039">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7B22C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c>
          <w:tcPr>
            <w:tcW w:w="597" w:type="pct"/>
            <w:shd w:val="clear" w:color="auto" w:fill="auto"/>
            <w:vAlign w:val="center"/>
          </w:tcPr>
          <w:p w14:paraId="235AFE5E">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79B4C5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c>
          <w:tcPr>
            <w:tcW w:w="597" w:type="pct"/>
            <w:shd w:val="clear" w:color="auto" w:fill="auto"/>
            <w:vAlign w:val="center"/>
          </w:tcPr>
          <w:p w14:paraId="783A29FA">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3436A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10.2</w:t>
            </w:r>
          </w:p>
        </w:tc>
        <w:tc>
          <w:tcPr>
            <w:tcW w:w="597" w:type="pct"/>
            <w:shd w:val="clear" w:color="auto" w:fill="auto"/>
            <w:vAlign w:val="center"/>
          </w:tcPr>
          <w:p w14:paraId="2C94A528">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57DD2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10.2</w:t>
            </w:r>
          </w:p>
        </w:tc>
        <w:tc>
          <w:tcPr>
            <w:tcW w:w="597" w:type="pct"/>
            <w:shd w:val="clear" w:color="auto" w:fill="auto"/>
            <w:vAlign w:val="center"/>
          </w:tcPr>
          <w:p w14:paraId="36E93F01">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2DC85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9.0</w:t>
            </w:r>
          </w:p>
        </w:tc>
        <w:tc>
          <w:tcPr>
            <w:tcW w:w="597" w:type="pct"/>
            <w:shd w:val="clear" w:color="auto" w:fill="auto"/>
            <w:vAlign w:val="center"/>
          </w:tcPr>
          <w:p w14:paraId="49DA1354">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5D32B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065BEB0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9.0</w:t>
            </w:r>
          </w:p>
        </w:tc>
        <w:tc>
          <w:tcPr>
            <w:tcW w:w="597" w:type="pct"/>
            <w:shd w:val="clear" w:color="auto" w:fill="auto"/>
            <w:vAlign w:val="center"/>
          </w:tcPr>
          <w:p w14:paraId="38C16887">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7F82D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281F9F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5.0</w:t>
            </w:r>
          </w:p>
        </w:tc>
        <w:tc>
          <w:tcPr>
            <w:tcW w:w="597" w:type="pct"/>
            <w:shd w:val="clear" w:color="auto" w:fill="auto"/>
            <w:vAlign w:val="center"/>
          </w:tcPr>
          <w:p w14:paraId="132BF1DD">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4893A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30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97" w:type="pct"/>
            <w:shd w:val="clear" w:color="auto" w:fill="auto"/>
            <w:vAlign w:val="center"/>
          </w:tcPr>
          <w:p w14:paraId="0CC2BCB3">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07273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8.9</w:t>
            </w:r>
          </w:p>
        </w:tc>
        <w:tc>
          <w:tcPr>
            <w:tcW w:w="597" w:type="pct"/>
            <w:shd w:val="clear" w:color="auto" w:fill="auto"/>
            <w:vAlign w:val="center"/>
          </w:tcPr>
          <w:p w14:paraId="039A1B0E">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60329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w:t>
            </w:r>
          </w:p>
        </w:tc>
        <w:tc>
          <w:tcPr>
            <w:tcW w:w="597" w:type="pct"/>
            <w:shd w:val="clear" w:color="auto" w:fill="auto"/>
            <w:vAlign w:val="center"/>
          </w:tcPr>
          <w:p w14:paraId="5F4B96E4">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2B0B0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14.3</w:t>
            </w:r>
          </w:p>
        </w:tc>
        <w:tc>
          <w:tcPr>
            <w:tcW w:w="597" w:type="pct"/>
            <w:shd w:val="clear" w:color="auto" w:fill="auto"/>
            <w:vAlign w:val="center"/>
          </w:tcPr>
          <w:p w14:paraId="0688B7CB">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10ABC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20.5</w:t>
            </w:r>
          </w:p>
        </w:tc>
        <w:tc>
          <w:tcPr>
            <w:tcW w:w="597" w:type="pct"/>
            <w:shd w:val="clear" w:color="auto" w:fill="auto"/>
            <w:vAlign w:val="center"/>
          </w:tcPr>
          <w:p w14:paraId="3B0DBC33">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r w14:paraId="24A9B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shd w:val="clear" w:color="auto" w:fill="auto"/>
            <w:vAlign w:val="center"/>
          </w:tcPr>
          <w:p w14:paraId="61BA39FF">
            <w:pPr>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rPr>
              <w:t>符合</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兴国县系亚热带季风湿润气候。气候温和，雨量充沛，光照充足，四季分明，无霜期长。年平均气温为18.8℃，日照1926.5小时，降雨量1560 毫米，年平均降雨量为1515.6 毫米，年平均无霜期284 天，适宜各种农作物生长。</w:t>
      </w:r>
    </w:p>
    <w:p w14:paraId="464E8AFC">
      <w:pPr>
        <w:pStyle w:val="32"/>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rPr>
        <w:t>该项目在雷电易发区，年平均地闪密度5.97，雷电活动频繁，无历史雷电害灾</w:t>
      </w:r>
      <w:r>
        <w:rPr>
          <w:rFonts w:hint="eastAsia" w:ascii="Times New Roman" w:cs="Times New Roman"/>
          <w:color w:val="auto"/>
          <w:sz w:val="28"/>
          <w:szCs w:val="28"/>
          <w:lang w:eastAsia="zh-CN"/>
        </w:rPr>
        <w:t>。</w:t>
      </w:r>
    </w:p>
    <w:p w14:paraId="1458ACC0">
      <w:pPr>
        <w:pStyle w:val="3"/>
        <w:spacing w:line="580" w:lineRule="exact"/>
        <w:rPr>
          <w:color w:val="auto"/>
        </w:rPr>
      </w:pPr>
      <w:bookmarkStart w:id="31" w:name="_Toc19009"/>
      <w:bookmarkStart w:id="32" w:name="_Toc26784"/>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22"/>
        <w:gridCol w:w="1915"/>
        <w:gridCol w:w="698"/>
        <w:gridCol w:w="698"/>
        <w:gridCol w:w="1622"/>
        <w:gridCol w:w="2031"/>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3"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3"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3"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3" w:type="pct"/>
            <w:vAlign w:val="center"/>
          </w:tcPr>
          <w:p w14:paraId="29C1063F">
            <w:pPr>
              <w:spacing w:line="260" w:lineRule="exact"/>
              <w:jc w:val="center"/>
              <w:rPr>
                <w:rFonts w:ascii="宋体" w:hAnsi="宋体"/>
                <w:bCs/>
                <w:color w:val="auto"/>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3"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3"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46B5504E">
            <w:pPr>
              <w:spacing w:line="260" w:lineRule="exact"/>
              <w:jc w:val="center"/>
              <w:rPr>
                <w:rFonts w:hint="eastAsia" w:eastAsia="宋体"/>
                <w:bCs/>
                <w:color w:val="auto"/>
                <w:lang w:val="en-US" w:eastAsia="zh-CN"/>
              </w:rPr>
            </w:pPr>
            <w:r>
              <w:rPr>
                <w:rFonts w:hint="eastAsia"/>
                <w:bCs/>
                <w:color w:val="auto"/>
              </w:rPr>
              <w:t>6</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3"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146.3</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rFonts w:hint="eastAsia" w:eastAsia="宋体"/>
                <w:bCs/>
                <w:color w:val="auto"/>
                <w:lang w:eastAsia="zh-CN"/>
              </w:rPr>
            </w:pPr>
            <w:r>
              <w:rPr>
                <w:rFonts w:hint="eastAsia"/>
                <w:bCs/>
                <w:color w:val="auto"/>
              </w:rPr>
              <w:t>螺栓球网状结构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76.45</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4.2</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29348"/>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加油站用电由市政供电电网统一供电，供电电源380V</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220V 采用铠装电缆引至配电间对站内各用电设备和场所进行供电，设独立的计量装置。通过埋地填沙电缆沟敷设到加油机，照明使用220V交流电压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8F6405">
      <w:pPr>
        <w:tabs>
          <w:tab w:val="left" w:pos="3465"/>
        </w:tabs>
        <w:spacing w:line="600" w:lineRule="exact"/>
        <w:ind w:firstLine="560" w:firstLineChars="200"/>
        <w:rPr>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的镀锌圆钢做避雷接闪带，利用柱内钢筋</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6</w:t>
      </w:r>
      <w:r>
        <w:rPr>
          <w:rFonts w:hint="eastAsia"/>
          <w:color w:val="auto"/>
          <w:sz w:val="28"/>
          <w:szCs w:val="28"/>
        </w:rPr>
        <w:t>作引下线，</w:t>
      </w:r>
      <w:r>
        <w:rPr>
          <w:rFonts w:hint="eastAsia"/>
          <w:color w:val="auto"/>
          <w:sz w:val="28"/>
          <w:szCs w:val="28"/>
          <w:lang w:val="en-US" w:eastAsia="zh-CN"/>
        </w:rPr>
        <w:t>设引下线3根</w:t>
      </w:r>
      <w:r>
        <w:rPr>
          <w:rFonts w:hint="eastAsia"/>
          <w:color w:val="auto"/>
          <w:sz w:val="28"/>
          <w:szCs w:val="28"/>
        </w:rPr>
        <w:t>。通气管与接地网焊接成可靠的电气线路。</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加油区罩棚按二类防雷建筑物，利用其金属屋面作防雷接闪器，02：彩钢瓦之间采用螺钉搭接和固定，搭接长度合格，固定牢靠</w:t>
      </w:r>
      <w:r>
        <w:rPr>
          <w:rFonts w:hint="eastAsia"/>
          <w:color w:val="auto"/>
          <w:sz w:val="28"/>
          <w:szCs w:val="28"/>
          <w:lang w:eastAsia="zh-CN"/>
        </w:rPr>
        <w:t>。</w:t>
      </w:r>
      <w:r>
        <w:rPr>
          <w:rFonts w:hint="eastAsia"/>
          <w:color w:val="auto"/>
          <w:sz w:val="28"/>
          <w:szCs w:val="28"/>
        </w:rPr>
        <w:t>利用罩棚柱内主钢筋作为引下线，经过断接卡与加油站人工接地系统可靠连接。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该站防雷设施经江西赣象防雷检测中心有限公司赣州分公司进行检测，检测结论为合格，有效期至2026年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该站防静电接地经湖北雷特防雷检测有限公司进行检测，检测结论为合格，有效期至2026年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hint="default" w:ascii="Times New Roman" w:hAnsi="Times New Roman" w:eastAsia="宋体" w:cs="Times New Roman"/>
          <w:color w:val="auto"/>
          <w:sz w:val="28"/>
          <w:szCs w:val="24"/>
          <w:lang w:val="en-US" w:eastAsia="zh-CN"/>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UPS电源，UPS电源可供系统正常工作不小于60min，UPS容量为2kVA。现场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399D75FC">
      <w:pPr>
        <w:pStyle w:val="32"/>
        <w:spacing w:line="580" w:lineRule="exact"/>
        <w:ind w:firstLine="560" w:firstLineChars="200"/>
        <w:rPr>
          <w:rFonts w:hint="eastAsia"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2AA466EF">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p>
    <w:p w14:paraId="0A4F2C32">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14068"/>
      <w:bookmarkStart w:id="42" w:name="_Toc343692248"/>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该站于200</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val="en-US" w:eastAsia="zh-CN"/>
        </w:rPr>
        <w:t>兴国县</w:t>
      </w:r>
      <w:r>
        <w:rPr>
          <w:rFonts w:hint="eastAsia" w:ascii="Times New Roman" w:hAnsi="Times New Roman" w:cs="Times New Roman"/>
          <w:color w:val="auto"/>
          <w:sz w:val="28"/>
          <w:szCs w:val="28"/>
        </w:rPr>
        <w:t>公安消防</w:t>
      </w:r>
      <w:r>
        <w:rPr>
          <w:rFonts w:hint="eastAsia" w:ascii="Times New Roman" w:hAnsi="Times New Roman" w:cs="Times New Roman"/>
          <w:color w:val="auto"/>
          <w:sz w:val="28"/>
          <w:szCs w:val="28"/>
          <w:lang w:val="en-US" w:eastAsia="zh-CN"/>
        </w:rPr>
        <w:t>大</w:t>
      </w:r>
      <w:r>
        <w:rPr>
          <w:rFonts w:hint="eastAsia" w:ascii="Times New Roman" w:hAnsi="Times New Roman" w:cs="Times New Roman"/>
          <w:color w:val="auto"/>
          <w:sz w:val="28"/>
          <w:szCs w:val="28"/>
        </w:rPr>
        <w:t>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FF0000"/>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3"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5"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3"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2"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5"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2"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7</w:t>
            </w:r>
            <w:r>
              <w:rPr>
                <w:rFonts w:hint="eastAsia" w:ascii="Times New Roman" w:hAnsi="Times New Roman" w:cs="宋体"/>
                <w:color w:val="auto"/>
              </w:rPr>
              <w:t>具</w:t>
            </w:r>
          </w:p>
        </w:tc>
        <w:tc>
          <w:tcPr>
            <w:tcW w:w="1285"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C397C2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lang w:eastAsia="zh-CN"/>
              </w:rPr>
              <w:t>、</w:t>
            </w:r>
            <w:r>
              <w:rPr>
                <w:rFonts w:hint="eastAsia" w:ascii="Times New Roman" w:hAnsi="Times New Roman" w:cs="宋体"/>
                <w:color w:val="auto"/>
                <w:lang w:val="en-US" w:eastAsia="zh-CN"/>
              </w:rPr>
              <w:t>站房</w:t>
            </w:r>
          </w:p>
        </w:tc>
      </w:tr>
      <w:tr w14:paraId="75F03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5E01C7A">
            <w:pPr>
              <w:spacing w:line="280" w:lineRule="exact"/>
              <w:jc w:val="center"/>
              <w:rPr>
                <w:rFonts w:hint="eastAsia"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34D06633">
            <w:pPr>
              <w:spacing w:line="280" w:lineRule="exact"/>
              <w:jc w:val="center"/>
              <w:rPr>
                <w:rFonts w:hint="eastAsia" w:ascii="Times New Roman" w:hAnsi="Times New Roman" w:cs="宋体"/>
                <w:color w:val="auto"/>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2" w:type="dxa"/>
            <w:vAlign w:val="center"/>
          </w:tcPr>
          <w:p w14:paraId="6E393A39">
            <w:pPr>
              <w:spacing w:line="28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5" w:type="dxa"/>
            <w:vAlign w:val="center"/>
          </w:tcPr>
          <w:p w14:paraId="590211E4">
            <w:pPr>
              <w:spacing w:line="280" w:lineRule="exact"/>
              <w:jc w:val="center"/>
              <w:rPr>
                <w:rFonts w:hint="eastAsia" w:ascii="Times New Roman" w:hAnsi="Times New Roman" w:cs="宋体"/>
                <w:color w:val="auto"/>
              </w:rPr>
            </w:pPr>
            <w:r>
              <w:rPr>
                <w:rFonts w:hint="eastAsia" w:ascii="Times New Roman" w:hAnsi="Times New Roman" w:cs="宋体"/>
                <w:color w:val="auto"/>
              </w:rPr>
              <w:t>正常</w:t>
            </w:r>
          </w:p>
        </w:tc>
        <w:tc>
          <w:tcPr>
            <w:tcW w:w="3322" w:type="dxa"/>
            <w:vAlign w:val="center"/>
          </w:tcPr>
          <w:p w14:paraId="787808B3">
            <w:pPr>
              <w:spacing w:line="280" w:lineRule="exact"/>
              <w:jc w:val="center"/>
              <w:rPr>
                <w:rFonts w:hint="eastAsia" w:ascii="Times New Roman" w:hAnsi="Times New Roman" w:cs="宋体"/>
                <w:color w:val="auto"/>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2"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5"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3" w:type="dxa"/>
            <w:vAlign w:val="center"/>
          </w:tcPr>
          <w:p w14:paraId="20320680">
            <w:pPr>
              <w:spacing w:line="280" w:lineRule="exact"/>
              <w:jc w:val="center"/>
              <w:rPr>
                <w:rFonts w:ascii="Times New Roman" w:hAnsi="Times New Roman" w:cs="宋体"/>
                <w:color w:val="auto"/>
              </w:rPr>
            </w:pPr>
          </w:p>
        </w:tc>
        <w:tc>
          <w:tcPr>
            <w:tcW w:w="892"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块</w:t>
            </w:r>
          </w:p>
        </w:tc>
        <w:tc>
          <w:tcPr>
            <w:tcW w:w="1285"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3"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2"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5"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3"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2"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5"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 的无缝钢管，通气管高出罩棚2m。通气管管口设有阻火器。汽油罐通气管及油气回收管另加装呼吸阀。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兴国石油分公司隆坪加油站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余奕梅</w:t>
      </w:r>
      <w:r>
        <w:rPr>
          <w:rFonts w:hint="eastAsia" w:ascii="Times New Roman" w:hAnsi="Times New Roman" w:cs="宋体"/>
          <w:color w:val="auto"/>
          <w:sz w:val="28"/>
          <w:szCs w:val="28"/>
        </w:rPr>
        <w:t>和罗观芳分别取得危险化学品经营单位主要负责人、安全生产管理人员考核合格证，详见附件。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bookmarkStart w:id="276" w:name="_GoBack"/>
            <w:bookmarkEnd w:id="276"/>
          </w:p>
        </w:tc>
        <w:tc>
          <w:tcPr>
            <w:tcW w:w="1293" w:type="dxa"/>
            <w:vAlign w:val="center"/>
          </w:tcPr>
          <w:p w14:paraId="16BE0585">
            <w:pPr>
              <w:spacing w:line="240" w:lineRule="exact"/>
              <w:jc w:val="center"/>
              <w:rPr>
                <w:rFonts w:ascii="Times New Roman" w:hAnsi="Times New Roman" w:cs="Times New Roman"/>
                <w:color w:val="auto"/>
              </w:rPr>
            </w:pPr>
          </w:p>
        </w:tc>
        <w:tc>
          <w:tcPr>
            <w:tcW w:w="2138" w:type="dxa"/>
            <w:vAlign w:val="center"/>
          </w:tcPr>
          <w:p w14:paraId="55C2EA68">
            <w:pPr>
              <w:spacing w:line="240" w:lineRule="exact"/>
              <w:jc w:val="center"/>
              <w:rPr>
                <w:rFonts w:ascii="Times New Roman" w:hAnsi="Times New Roman" w:cs="Times New Roman"/>
                <w:color w:val="auto"/>
              </w:rPr>
            </w:pPr>
          </w:p>
        </w:tc>
        <w:tc>
          <w:tcPr>
            <w:tcW w:w="2205" w:type="dxa"/>
            <w:vAlign w:val="center"/>
          </w:tcPr>
          <w:p w14:paraId="650F6E01">
            <w:pPr>
              <w:spacing w:line="240" w:lineRule="exact"/>
              <w:jc w:val="center"/>
              <w:rPr>
                <w:rFonts w:hint="default" w:ascii="Times New Roman" w:hAnsi="Times New Roman" w:eastAsia="宋体" w:cs="Times New Roman"/>
                <w:color w:val="auto"/>
                <w:lang w:val="en-US" w:eastAsia="zh-CN"/>
              </w:rPr>
            </w:pPr>
          </w:p>
        </w:tc>
        <w:tc>
          <w:tcPr>
            <w:tcW w:w="2163" w:type="dxa"/>
            <w:vAlign w:val="center"/>
          </w:tcPr>
          <w:p w14:paraId="35D60086">
            <w:pPr>
              <w:spacing w:line="240" w:lineRule="exact"/>
              <w:jc w:val="center"/>
              <w:rPr>
                <w:rFonts w:ascii="Times New Roman" w:hAnsi="Times New Roman" w:cs="Times New Roman"/>
                <w:color w:val="auto"/>
              </w:rPr>
            </w:pP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ascii="Times New Roman" w:hAnsi="Times New Roman" w:cs="Times New Roman"/>
                <w:color w:val="auto"/>
              </w:rPr>
            </w:pPr>
          </w:p>
        </w:tc>
        <w:tc>
          <w:tcPr>
            <w:tcW w:w="1293" w:type="dxa"/>
            <w:vAlign w:val="center"/>
          </w:tcPr>
          <w:p w14:paraId="74F4141E">
            <w:pPr>
              <w:spacing w:line="240" w:lineRule="exact"/>
              <w:jc w:val="center"/>
              <w:rPr>
                <w:rFonts w:ascii="Times New Roman" w:hAnsi="Times New Roman" w:cs="Times New Roman"/>
                <w:color w:val="auto"/>
              </w:rPr>
            </w:pPr>
          </w:p>
        </w:tc>
        <w:tc>
          <w:tcPr>
            <w:tcW w:w="2138" w:type="dxa"/>
            <w:vAlign w:val="center"/>
          </w:tcPr>
          <w:p w14:paraId="6EE6D12A">
            <w:pPr>
              <w:spacing w:line="240" w:lineRule="exact"/>
              <w:jc w:val="center"/>
              <w:rPr>
                <w:rFonts w:ascii="Times New Roman" w:hAnsi="Times New Roman" w:cs="Times New Roman"/>
                <w:color w:val="auto"/>
              </w:rPr>
            </w:pPr>
          </w:p>
        </w:tc>
        <w:tc>
          <w:tcPr>
            <w:tcW w:w="2205" w:type="dxa"/>
            <w:vAlign w:val="center"/>
          </w:tcPr>
          <w:p w14:paraId="7BA1306C">
            <w:pPr>
              <w:spacing w:line="240" w:lineRule="exact"/>
              <w:jc w:val="center"/>
              <w:rPr>
                <w:rFonts w:ascii="Times New Roman" w:hAnsi="Times New Roman" w:cs="Times New Roman"/>
                <w:color w:val="auto"/>
              </w:rPr>
            </w:pPr>
          </w:p>
        </w:tc>
        <w:tc>
          <w:tcPr>
            <w:tcW w:w="2163" w:type="dxa"/>
            <w:vAlign w:val="center"/>
          </w:tcPr>
          <w:p w14:paraId="2D86F018">
            <w:pPr>
              <w:spacing w:line="240" w:lineRule="exact"/>
              <w:jc w:val="center"/>
              <w:rPr>
                <w:rFonts w:ascii="Times New Roman" w:hAnsi="Times New Roman" w:cs="Times New Roman"/>
                <w:color w:val="auto"/>
              </w:rPr>
            </w:pP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兴国石油分公司隆坪加油站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月30日在</w:t>
      </w:r>
      <w:r>
        <w:rPr>
          <w:rFonts w:hint="eastAsia" w:ascii="Times New Roman" w:hAnsi="Times New Roman" w:cs="Times New Roman"/>
          <w:color w:val="auto"/>
          <w:spacing w:val="-6"/>
          <w:sz w:val="28"/>
          <w:szCs w:val="28"/>
          <w:lang w:val="en-US" w:eastAsia="zh-CN"/>
        </w:rPr>
        <w:t>兴国县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7BB5CC85">
      <w:pPr>
        <w:keepNext/>
        <w:keepLines/>
        <w:spacing w:line="600" w:lineRule="exact"/>
        <w:outlineLvl w:val="1"/>
        <w:rPr>
          <w:rFonts w:hint="eastAsia" w:ascii="Times New Roman" w:hAnsi="Times New Roman" w:eastAsia="宋体" w:cs="Times New Roman"/>
          <w:b/>
          <w:bCs/>
          <w:color w:val="auto"/>
          <w:sz w:val="28"/>
          <w:szCs w:val="28"/>
        </w:rPr>
      </w:pPr>
      <w:bookmarkStart w:id="44" w:name="_Toc17098"/>
      <w:r>
        <w:rPr>
          <w:rFonts w:hint="eastAsia" w:ascii="Times New Roman" w:hAnsi="Times New Roman" w:eastAsia="宋体" w:cs="Times New Roman"/>
          <w:b/>
          <w:bCs/>
          <w:color w:val="auto"/>
          <w:sz w:val="28"/>
          <w:szCs w:val="28"/>
        </w:rPr>
        <w:t>2.6加油站近三年变化情况</w:t>
      </w:r>
    </w:p>
    <w:p w14:paraId="4B6AFDDB">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中国石化销售股份有限公司江西赣州兴国石油分公司隆坪加油站自2023年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月份换证以来，未更换设备、变更用途及改造。</w:t>
      </w:r>
    </w:p>
    <w:p w14:paraId="331F22B1">
      <w:pPr>
        <w:spacing w:line="360" w:lineRule="auto"/>
        <w:ind w:firstLine="560" w:firstLineChars="200"/>
        <w:rPr>
          <w:rFonts w:ascii="Times New Roman" w:hAnsi="Times New Roman" w:cs="Times New Roman"/>
          <w:b/>
          <w:bCs/>
          <w:color w:val="auto"/>
          <w:kern w:val="36"/>
          <w:sz w:val="32"/>
          <w:szCs w:val="32"/>
        </w:rPr>
      </w:pPr>
      <w:r>
        <w:rPr>
          <w:rFonts w:hint="eastAsia" w:ascii="Times New Roman" w:hAnsi="Times New Roman" w:cs="宋体"/>
          <w:color w:val="auto"/>
          <w:sz w:val="28"/>
          <w:szCs w:val="28"/>
        </w:rPr>
        <w:t>该加油站三年内运行情况良好，未发生人员死亡、受伤及中毒事故。</w:t>
      </w:r>
      <w:r>
        <w:rPr>
          <w:rFonts w:hint="eastAsia" w:ascii="Times New Roman" w:hAnsi="Times New Roman" w:cs="宋体"/>
          <w:color w:val="auto"/>
          <w:sz w:val="28"/>
          <w:szCs w:val="28"/>
          <w:lang w:val="en-US" w:eastAsia="zh-CN"/>
        </w:rPr>
        <w:t>加油机、通气管口位置进行了调整，具体见附件总面布置图。</w:t>
      </w:r>
      <w:r>
        <w:rPr>
          <w:rFonts w:hint="eastAsia" w:ascii="Times New Roman" w:hAnsi="Times New Roman" w:cs="宋体"/>
          <w:color w:val="auto"/>
          <w:sz w:val="28"/>
          <w:szCs w:val="28"/>
        </w:rPr>
        <w:t>周边环境无重大变化。</w:t>
      </w:r>
      <w:r>
        <w:rPr>
          <w:rFonts w:ascii="Times New Roman" w:hAnsi="Times New Roman" w:cs="Times New Roman"/>
          <w:b/>
          <w:bCs/>
          <w:color w:val="FF0000"/>
          <w:kern w:val="36"/>
          <w:sz w:val="28"/>
          <w:szCs w:val="28"/>
        </w:rPr>
        <w:br w:type="page"/>
      </w:r>
      <w:bookmarkStart w:id="45" w:name="_Toc22426"/>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9"/>
      <w:bookmarkStart w:id="47" w:name="_Toc343692251"/>
      <w:bookmarkStart w:id="48" w:name="_Toc11986"/>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15326"/>
      <w:bookmarkStart w:id="50" w:name="_Toc14305"/>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515"/>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343692253"/>
      <w:bookmarkStart w:id="58"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1761"/>
      <w:bookmarkStart w:id="61" w:name="_Toc15806"/>
      <w:bookmarkStart w:id="62"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0.0051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0.0000</w:t>
            </w:r>
            <w:r>
              <w:rPr>
                <w:rFonts w:hint="eastAsia" w:ascii="Times New Roman" w:hAnsi="Times New Roman" w:cs="Times New Roman"/>
                <w:b/>
                <w:bCs/>
                <w:color w:val="auto"/>
                <w:lang w:val="en-US" w:eastAsia="zh-CN"/>
              </w:rPr>
              <w:t>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260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4343"/>
      <w:bookmarkStart w:id="66" w:name="_Toc16859"/>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8" w:name="_Toc12873"/>
      <w:bookmarkStart w:id="69" w:name="_Toc9570"/>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266F4B7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4174CEF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6E1FB10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(17)卸油车卸油时未做好静电接地，可能引起火灾爆炸事故。(18)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79DAEEE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031581A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5CA4CE6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1DB01C9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7C9006E2">
      <w:pPr>
        <w:keepNext/>
        <w:keepLines/>
        <w:spacing w:line="600" w:lineRule="exact"/>
        <w:outlineLvl w:val="1"/>
        <w:rPr>
          <w:rFonts w:ascii="Times New Roman" w:hAnsi="Times New Roman" w:cs="Times New Roman"/>
          <w:b/>
          <w:bCs/>
          <w:color w:val="auto"/>
          <w:sz w:val="28"/>
          <w:szCs w:val="28"/>
        </w:rPr>
      </w:pPr>
      <w:bookmarkStart w:id="71" w:name="_Toc258"/>
      <w:bookmarkStart w:id="72" w:name="_Toc24976"/>
      <w:bookmarkStart w:id="73" w:name="_Toc10337"/>
      <w:bookmarkStart w:id="74" w:name="_Toc3570"/>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496"/>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200"/>
      <w:bookmarkStart w:id="81"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20651"/>
      <w:bookmarkStart w:id="83" w:name="_Toc13751"/>
      <w:bookmarkStart w:id="84" w:name="_Toc19293"/>
      <w:bookmarkStart w:id="85"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8607"/>
      <w:bookmarkStart w:id="87" w:name="_Toc18812"/>
      <w:bookmarkStart w:id="88" w:name="_Toc31633"/>
      <w:bookmarkStart w:id="89" w:name="_Toc18571"/>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7354"/>
            <w:bookmarkStart w:id="93" w:name="_Toc28553"/>
            <w:bookmarkStart w:id="94" w:name="_Toc30502"/>
            <w:bookmarkStart w:id="95" w:name="_Toc1204"/>
            <w:bookmarkStart w:id="96" w:name="_Toc30431"/>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bookmarkStart w:id="97" w:name="_Toc8911"/>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341C0DC8">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F3BF0E7">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0A160671">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0984"/>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rPr>
      </w:pPr>
      <w:bookmarkStart w:id="99" w:name="_Toc19195"/>
      <w:bookmarkStart w:id="100" w:name="_Toc29203"/>
      <w:r>
        <w:rPr>
          <w:rFonts w:ascii="宋体" w:hAnsi="宋体"/>
          <w:color w:val="auto"/>
          <w:sz w:val="32"/>
          <w:szCs w:val="32"/>
        </w:rPr>
        <w:t xml:space="preserve">4 </w:t>
      </w:r>
      <w:r>
        <w:rPr>
          <w:rFonts w:hint="eastAsia" w:ascii="宋体" w:hAnsi="宋体"/>
          <w:color w:val="auto"/>
          <w:sz w:val="32"/>
          <w:szCs w:val="32"/>
        </w:rPr>
        <w:t>评价单元划分和评价方法选择</w:t>
      </w:r>
      <w:bookmarkEnd w:id="99"/>
      <w:bookmarkEnd w:id="100"/>
    </w:p>
    <w:p w14:paraId="16AFE590">
      <w:pPr>
        <w:pStyle w:val="3"/>
        <w:jc w:val="center"/>
        <w:rPr>
          <w:rFonts w:ascii="宋体" w:hAnsi="宋体"/>
          <w:color w:val="auto"/>
          <w:sz w:val="30"/>
          <w:szCs w:val="30"/>
        </w:rPr>
      </w:pPr>
      <w:bookmarkStart w:id="101" w:name="_Toc18672"/>
      <w:bookmarkStart w:id="102" w:name="_Toc23345"/>
      <w:bookmarkStart w:id="103" w:name="_Toc1174"/>
      <w:bookmarkStart w:id="104" w:name="_Toc20468418"/>
      <w:bookmarkStart w:id="105" w:name="_Toc90566109"/>
      <w:bookmarkStart w:id="106" w:name="_Toc11638"/>
      <w:bookmarkStart w:id="107" w:name="_Toc92712580"/>
      <w:bookmarkStart w:id="108" w:name="_Toc4782"/>
      <w:r>
        <w:rPr>
          <w:rFonts w:ascii="宋体" w:hAnsi="宋体"/>
          <w:color w:val="auto"/>
          <w:sz w:val="30"/>
          <w:szCs w:val="30"/>
        </w:rPr>
        <w:t xml:space="preserve">4.1 </w:t>
      </w:r>
      <w:r>
        <w:rPr>
          <w:rFonts w:hint="eastAsia" w:ascii="宋体" w:hAnsi="宋体"/>
          <w:color w:val="auto"/>
          <w:sz w:val="30"/>
          <w:szCs w:val="30"/>
        </w:rPr>
        <w:t>评价单元的</w:t>
      </w:r>
      <w:bookmarkEnd w:id="101"/>
      <w:bookmarkEnd w:id="102"/>
      <w:bookmarkEnd w:id="103"/>
      <w:bookmarkEnd w:id="104"/>
      <w:r>
        <w:rPr>
          <w:rFonts w:hint="eastAsia" w:ascii="宋体" w:hAnsi="宋体"/>
          <w:color w:val="auto"/>
          <w:sz w:val="30"/>
          <w:szCs w:val="30"/>
        </w:rPr>
        <w:t>划分</w:t>
      </w:r>
      <w:bookmarkEnd w:id="105"/>
      <w:r>
        <w:rPr>
          <w:rFonts w:hint="eastAsia" w:ascii="宋体" w:hAnsi="宋体"/>
          <w:color w:val="auto"/>
          <w:sz w:val="30"/>
          <w:szCs w:val="30"/>
        </w:rPr>
        <w:t>和评价方法选择</w:t>
      </w:r>
      <w:bookmarkEnd w:id="106"/>
      <w:bookmarkEnd w:id="107"/>
      <w:bookmarkEnd w:id="108"/>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09" w:name="_Toc90566110"/>
      <w:bookmarkStart w:id="110" w:name="_Toc20745"/>
      <w:bookmarkStart w:id="111" w:name="_Toc24868"/>
      <w:bookmarkStart w:id="112" w:name="_Toc92712581"/>
      <w:r>
        <w:rPr>
          <w:rFonts w:ascii="宋体" w:hAnsi="宋体"/>
          <w:color w:val="auto"/>
          <w:sz w:val="30"/>
          <w:szCs w:val="30"/>
        </w:rPr>
        <w:t>4.</w:t>
      </w:r>
      <w:r>
        <w:rPr>
          <w:rFonts w:hint="eastAsia" w:ascii="宋体" w:hAnsi="宋体"/>
          <w:color w:val="auto"/>
          <w:sz w:val="30"/>
          <w:szCs w:val="30"/>
        </w:rPr>
        <w:t>2</w:t>
      </w:r>
      <w:bookmarkEnd w:id="109"/>
      <w:bookmarkStart w:id="113" w:name="_Toc90566111"/>
      <w:r>
        <w:rPr>
          <w:rFonts w:hint="eastAsia" w:ascii="宋体" w:hAnsi="宋体"/>
          <w:color w:val="auto"/>
          <w:sz w:val="30"/>
          <w:szCs w:val="30"/>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rPr>
      </w:pPr>
      <w:bookmarkStart w:id="114" w:name="_Toc92712582"/>
      <w:bookmarkStart w:id="115" w:name="_Toc13417"/>
      <w:bookmarkStart w:id="116" w:name="_Toc68180459"/>
      <w:bookmarkStart w:id="117" w:name="_Toc28161"/>
      <w:bookmarkStart w:id="118" w:name="_Toc25391"/>
      <w:bookmarkStart w:id="119"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4"/>
      <w:bookmarkEnd w:id="115"/>
      <w:bookmarkEnd w:id="116"/>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0" w:name="_Toc28176"/>
      <w:bookmarkStart w:id="121"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6"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6"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6"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6"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2" w:name="_Toc92712584"/>
      <w:bookmarkStart w:id="123" w:name="_Toc22797"/>
      <w:bookmarkStart w:id="124" w:name="_Toc20468421"/>
      <w:bookmarkStart w:id="125" w:name="_Toc7145"/>
      <w:bookmarkStart w:id="126" w:name="_Toc5789"/>
      <w:r>
        <w:rPr>
          <w:rFonts w:ascii="宋体" w:hAnsi="宋体"/>
          <w:b/>
          <w:bCs/>
          <w:color w:val="auto"/>
          <w:sz w:val="28"/>
          <w:szCs w:val="28"/>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7" w:name="_Toc92712585"/>
      <w:bookmarkStart w:id="128" w:name="_Toc3237"/>
      <w:bookmarkStart w:id="129" w:name="_Toc2095"/>
      <w:bookmarkStart w:id="130" w:name="_Toc90566112"/>
      <w:bookmarkStart w:id="131" w:name="_Toc20468422"/>
      <w:bookmarkStart w:id="132" w:name="_Toc2146"/>
      <w:r>
        <w:rPr>
          <w:rFonts w:ascii="宋体" w:hAnsi="宋体"/>
          <w:color w:val="auto"/>
          <w:sz w:val="32"/>
          <w:szCs w:val="32"/>
        </w:rPr>
        <w:t xml:space="preserve">5 </w:t>
      </w:r>
      <w:r>
        <w:rPr>
          <w:rFonts w:hint="eastAsia" w:ascii="宋体" w:hAnsi="宋体"/>
          <w:color w:val="auto"/>
          <w:sz w:val="32"/>
          <w:szCs w:val="32"/>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rPr>
      </w:pPr>
      <w:bookmarkStart w:id="133" w:name="_Toc20468423"/>
      <w:bookmarkStart w:id="134" w:name="_Toc12349"/>
      <w:bookmarkStart w:id="135" w:name="_Toc21479"/>
      <w:bookmarkStart w:id="136" w:name="_Toc92712586"/>
      <w:bookmarkStart w:id="137" w:name="_Toc24115"/>
      <w:bookmarkStart w:id="138" w:name="_Toc3486"/>
      <w:bookmarkStart w:id="139" w:name="_Toc4733"/>
      <w:bookmarkStart w:id="140" w:name="_Toc343692262"/>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rPr>
      </w:pPr>
      <w:bookmarkStart w:id="141" w:name="_Toc25880"/>
      <w:bookmarkStart w:id="142" w:name="_Toc20468424"/>
      <w:bookmarkStart w:id="143" w:name="_Toc22504"/>
      <w:bookmarkStart w:id="144" w:name="_Toc92712587"/>
      <w:bookmarkStart w:id="145" w:name="_Toc4861"/>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6" w:name="_Toc20468425"/>
      <w:bookmarkStart w:id="147" w:name="_Toc32059"/>
      <w:bookmarkStart w:id="148" w:name="_Toc23097"/>
      <w:bookmarkStart w:id="149" w:name="_Toc9784"/>
      <w:bookmarkStart w:id="150" w:name="_Toc92712588"/>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1" w:name="_Toc21214"/>
      <w:bookmarkStart w:id="152" w:name="_Toc25652"/>
      <w:bookmarkStart w:id="153" w:name="_Toc92712589"/>
      <w:bookmarkStart w:id="154" w:name="_Toc2584"/>
      <w:r>
        <w:rPr>
          <w:rFonts w:ascii="宋体" w:hAnsi="宋体"/>
          <w:color w:val="auto"/>
          <w:sz w:val="30"/>
          <w:szCs w:val="30"/>
        </w:rPr>
        <w:t xml:space="preserve">5.2 </w:t>
      </w:r>
      <w:r>
        <w:rPr>
          <w:rFonts w:hint="eastAsia" w:ascii="宋体" w:hAnsi="宋体"/>
          <w:color w:val="auto"/>
          <w:sz w:val="30"/>
          <w:szCs w:val="30"/>
        </w:rPr>
        <w:t>危险度评价</w:t>
      </w:r>
      <w:bookmarkEnd w:id="151"/>
      <w:bookmarkEnd w:id="152"/>
      <w:bookmarkEnd w:id="153"/>
      <w:bookmarkEnd w:id="154"/>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5" w:name="_Toc92712590"/>
      <w:bookmarkStart w:id="156" w:name="_Toc10888"/>
      <w:bookmarkStart w:id="157" w:name="_Toc19007"/>
      <w:bookmarkStart w:id="158" w:name="_Toc4183"/>
      <w:bookmarkStart w:id="159" w:name="_Toc15463"/>
      <w:bookmarkStart w:id="160" w:name="_Toc3721"/>
      <w:bookmarkStart w:id="161" w:name="_Toc92712591"/>
      <w:bookmarkStart w:id="162" w:name="_Toc30385"/>
      <w:bookmarkStart w:id="163" w:name="_Toc92712592"/>
      <w:r>
        <w:rPr>
          <w:rFonts w:hint="eastAsia" w:ascii="宋体" w:hAnsi="宋体"/>
          <w:color w:val="auto"/>
          <w:sz w:val="30"/>
          <w:szCs w:val="30"/>
        </w:rPr>
        <w:t xml:space="preserve">5.3 </w:t>
      </w:r>
      <w:bookmarkEnd w:id="155"/>
      <w:bookmarkEnd w:id="156"/>
      <w:bookmarkEnd w:id="157"/>
      <w:bookmarkEnd w:id="158"/>
      <w:r>
        <w:rPr>
          <w:rFonts w:ascii="宋体" w:hAnsi="宋体"/>
          <w:color w:val="auto"/>
          <w:sz w:val="30"/>
          <w:szCs w:val="30"/>
        </w:rPr>
        <w:t>安全管理</w:t>
      </w:r>
      <w:bookmarkEnd w:id="159"/>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4" w:name="_Toc18241"/>
      <w:r>
        <w:rPr>
          <w:rFonts w:hint="eastAsia" w:ascii="宋体" w:hAnsi="宋体"/>
          <w:color w:val="auto"/>
          <w:sz w:val="30"/>
          <w:szCs w:val="30"/>
        </w:rPr>
        <w:t>5.4 站址选择符合性评价</w:t>
      </w:r>
      <w:bookmarkEnd w:id="160"/>
      <w:bookmarkEnd w:id="161"/>
      <w:bookmarkEnd w:id="164"/>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980"/>
        <w:gridCol w:w="2985"/>
        <w:gridCol w:w="1574"/>
        <w:gridCol w:w="1007"/>
        <w:gridCol w:w="980"/>
      </w:tblGrid>
      <w:tr w14:paraId="667F5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48" w:type="pct"/>
            <w:vAlign w:val="center"/>
          </w:tcPr>
          <w:p w14:paraId="29FCDD6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7" w:type="pct"/>
            <w:vAlign w:val="center"/>
          </w:tcPr>
          <w:p w14:paraId="0670A03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06" w:type="pct"/>
            <w:vAlign w:val="center"/>
          </w:tcPr>
          <w:p w14:paraId="1ACED6C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7" w:type="pct"/>
            <w:vAlign w:val="center"/>
          </w:tcPr>
          <w:p w14:paraId="27EAB16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2" w:type="pct"/>
            <w:shd w:val="clear" w:color="auto" w:fill="auto"/>
            <w:vAlign w:val="center"/>
          </w:tcPr>
          <w:p w14:paraId="65BD10E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7" w:type="pct"/>
            <w:shd w:val="clear" w:color="auto" w:fill="auto"/>
            <w:vAlign w:val="center"/>
          </w:tcPr>
          <w:p w14:paraId="2D57124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E96D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restart"/>
            <w:vAlign w:val="center"/>
          </w:tcPr>
          <w:p w14:paraId="1808AB3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7" w:type="pct"/>
            <w:shd w:val="clear" w:color="auto" w:fill="auto"/>
            <w:vAlign w:val="center"/>
          </w:tcPr>
          <w:p w14:paraId="7A14335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606" w:type="pct"/>
            <w:shd w:val="clear" w:color="auto" w:fill="auto"/>
            <w:vAlign w:val="center"/>
          </w:tcPr>
          <w:p w14:paraId="6134F89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X466 道路</w:t>
            </w:r>
          </w:p>
        </w:tc>
        <w:tc>
          <w:tcPr>
            <w:tcW w:w="847" w:type="pct"/>
            <w:shd w:val="clear" w:color="auto" w:fill="auto"/>
            <w:vAlign w:val="center"/>
          </w:tcPr>
          <w:p w14:paraId="2401E571">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9.7/3.0</w:t>
            </w:r>
          </w:p>
        </w:tc>
        <w:tc>
          <w:tcPr>
            <w:tcW w:w="542" w:type="pct"/>
            <w:shd w:val="clear" w:color="auto" w:fill="auto"/>
            <w:vAlign w:val="center"/>
          </w:tcPr>
          <w:p w14:paraId="1F6703AA">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7" w:type="pct"/>
            <w:shd w:val="clear" w:color="auto" w:fill="auto"/>
            <w:vAlign w:val="center"/>
          </w:tcPr>
          <w:p w14:paraId="057DD4C6">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E03E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0037F6D5">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31E7F7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1606" w:type="pct"/>
            <w:shd w:val="clear" w:color="auto" w:fill="auto"/>
            <w:vAlign w:val="center"/>
          </w:tcPr>
          <w:p w14:paraId="4D9330A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国家电网（一类保护物）</w:t>
            </w:r>
          </w:p>
        </w:tc>
        <w:tc>
          <w:tcPr>
            <w:tcW w:w="847" w:type="pct"/>
            <w:shd w:val="clear" w:color="auto" w:fill="auto"/>
            <w:vAlign w:val="center"/>
          </w:tcPr>
          <w:p w14:paraId="7EA185E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lang w:val="en-US" w:eastAsia="zh-CN"/>
              </w:rPr>
              <w:t>20.8/23.2</w:t>
            </w:r>
          </w:p>
        </w:tc>
        <w:tc>
          <w:tcPr>
            <w:tcW w:w="542" w:type="pct"/>
            <w:vAlign w:val="center"/>
          </w:tcPr>
          <w:p w14:paraId="275AE64A">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11/6</w:t>
            </w:r>
          </w:p>
        </w:tc>
        <w:tc>
          <w:tcPr>
            <w:tcW w:w="527" w:type="pct"/>
            <w:vAlign w:val="center"/>
          </w:tcPr>
          <w:p w14:paraId="77821CDA">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1BA66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646C36BF">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0004FED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1606" w:type="pct"/>
            <w:shd w:val="clear" w:color="auto" w:fill="auto"/>
            <w:vAlign w:val="center"/>
          </w:tcPr>
          <w:p w14:paraId="31F053E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充电桩</w:t>
            </w:r>
          </w:p>
        </w:tc>
        <w:tc>
          <w:tcPr>
            <w:tcW w:w="847" w:type="pct"/>
            <w:shd w:val="clear" w:color="auto" w:fill="auto"/>
            <w:vAlign w:val="center"/>
          </w:tcPr>
          <w:p w14:paraId="3768A4D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21.3/20.4</w:t>
            </w:r>
          </w:p>
        </w:tc>
        <w:tc>
          <w:tcPr>
            <w:tcW w:w="542" w:type="pct"/>
            <w:vAlign w:val="center"/>
          </w:tcPr>
          <w:p w14:paraId="25A5D18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6/6</w:t>
            </w:r>
          </w:p>
        </w:tc>
        <w:tc>
          <w:tcPr>
            <w:tcW w:w="527" w:type="pct"/>
            <w:vAlign w:val="center"/>
          </w:tcPr>
          <w:p w14:paraId="1F5185A1">
            <w:pPr>
              <w:spacing w:line="240" w:lineRule="exact"/>
              <w:jc w:val="center"/>
              <w:rPr>
                <w:rFonts w:hint="eastAsia" w:ascii="Times New Roman" w:hAnsi="宋体"/>
                <w:color w:val="auto"/>
              </w:rPr>
            </w:pPr>
            <w:r>
              <w:rPr>
                <w:rFonts w:hint="eastAsia" w:ascii="Times New Roman" w:hAnsi="宋体"/>
                <w:color w:val="auto"/>
              </w:rPr>
              <w:t>符合</w:t>
            </w:r>
          </w:p>
        </w:tc>
      </w:tr>
      <w:tr w14:paraId="423E2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3CC6CC9F">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3334AC1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1606" w:type="pct"/>
            <w:shd w:val="clear" w:color="auto" w:fill="auto"/>
            <w:vAlign w:val="center"/>
          </w:tcPr>
          <w:p w14:paraId="225DBBE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847" w:type="pct"/>
            <w:shd w:val="clear" w:color="auto" w:fill="auto"/>
            <w:vAlign w:val="center"/>
          </w:tcPr>
          <w:p w14:paraId="218FD1C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12.3/14</w:t>
            </w:r>
          </w:p>
        </w:tc>
        <w:tc>
          <w:tcPr>
            <w:tcW w:w="542" w:type="pct"/>
            <w:vAlign w:val="center"/>
          </w:tcPr>
          <w:p w14:paraId="38913FED">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27" w:type="pct"/>
            <w:vAlign w:val="center"/>
          </w:tcPr>
          <w:p w14:paraId="6678C67B">
            <w:pPr>
              <w:spacing w:line="240" w:lineRule="exact"/>
              <w:jc w:val="center"/>
              <w:rPr>
                <w:rFonts w:hint="eastAsia" w:ascii="Times New Roman" w:hAnsi="宋体"/>
                <w:color w:val="auto"/>
              </w:rPr>
            </w:pPr>
            <w:r>
              <w:rPr>
                <w:rFonts w:hint="eastAsia" w:ascii="Times New Roman" w:hAnsi="宋体"/>
                <w:color w:val="auto"/>
              </w:rPr>
              <w:t>符合</w:t>
            </w:r>
          </w:p>
        </w:tc>
      </w:tr>
      <w:tr w14:paraId="6EF58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0BEE7CC0">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6D3D63D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1606" w:type="pct"/>
            <w:shd w:val="clear" w:color="auto" w:fill="auto"/>
            <w:vAlign w:val="center"/>
          </w:tcPr>
          <w:p w14:paraId="5DB3AA2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停车场（三类保护物）</w:t>
            </w:r>
          </w:p>
        </w:tc>
        <w:tc>
          <w:tcPr>
            <w:tcW w:w="847" w:type="pct"/>
            <w:shd w:val="clear" w:color="auto" w:fill="auto"/>
            <w:vAlign w:val="center"/>
          </w:tcPr>
          <w:p w14:paraId="3A339F2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7.2/7</w:t>
            </w:r>
          </w:p>
        </w:tc>
        <w:tc>
          <w:tcPr>
            <w:tcW w:w="542" w:type="pct"/>
            <w:vAlign w:val="center"/>
          </w:tcPr>
          <w:p w14:paraId="5053ED6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7" w:type="pct"/>
            <w:vAlign w:val="center"/>
          </w:tcPr>
          <w:p w14:paraId="3446A48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400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36E677A1">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F55283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1606" w:type="pct"/>
            <w:shd w:val="clear" w:color="auto" w:fill="auto"/>
            <w:vAlign w:val="center"/>
          </w:tcPr>
          <w:p w14:paraId="59BF625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847" w:type="pct"/>
            <w:shd w:val="clear" w:color="auto" w:fill="auto"/>
            <w:vAlign w:val="center"/>
          </w:tcPr>
          <w:p w14:paraId="5C3767E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6.2/6.7</w:t>
            </w:r>
          </w:p>
        </w:tc>
        <w:tc>
          <w:tcPr>
            <w:tcW w:w="542" w:type="pct"/>
            <w:vAlign w:val="center"/>
          </w:tcPr>
          <w:p w14:paraId="0F213F6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7" w:type="pct"/>
            <w:vAlign w:val="center"/>
          </w:tcPr>
          <w:p w14:paraId="63DD595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F9A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restart"/>
            <w:vAlign w:val="center"/>
          </w:tcPr>
          <w:p w14:paraId="71409465">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7" w:type="pct"/>
            <w:shd w:val="clear" w:color="auto" w:fill="auto"/>
            <w:vAlign w:val="center"/>
          </w:tcPr>
          <w:p w14:paraId="2E065DF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606" w:type="pct"/>
            <w:shd w:val="clear" w:color="auto" w:fill="auto"/>
            <w:vAlign w:val="center"/>
          </w:tcPr>
          <w:p w14:paraId="2B41992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X466 道路</w:t>
            </w:r>
          </w:p>
        </w:tc>
        <w:tc>
          <w:tcPr>
            <w:tcW w:w="847" w:type="pct"/>
            <w:shd w:val="clear" w:color="auto" w:fill="auto"/>
            <w:vAlign w:val="center"/>
          </w:tcPr>
          <w:p w14:paraId="49EE7762">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5.0/5.0</w:t>
            </w:r>
          </w:p>
        </w:tc>
        <w:tc>
          <w:tcPr>
            <w:tcW w:w="542" w:type="pct"/>
            <w:shd w:val="clear" w:color="auto" w:fill="auto"/>
            <w:vAlign w:val="center"/>
          </w:tcPr>
          <w:p w14:paraId="50508E7D">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24292E8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0100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3AFE2DC0">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F4B5F4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1606" w:type="pct"/>
            <w:shd w:val="clear" w:color="auto" w:fill="auto"/>
            <w:vAlign w:val="center"/>
          </w:tcPr>
          <w:p w14:paraId="2F8F563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国家电网（一类保护物）</w:t>
            </w:r>
          </w:p>
        </w:tc>
        <w:tc>
          <w:tcPr>
            <w:tcW w:w="847" w:type="pct"/>
            <w:shd w:val="clear" w:color="auto" w:fill="auto"/>
            <w:vAlign w:val="center"/>
          </w:tcPr>
          <w:p w14:paraId="7EFB702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22.2/22.2</w:t>
            </w:r>
          </w:p>
        </w:tc>
        <w:tc>
          <w:tcPr>
            <w:tcW w:w="542" w:type="pct"/>
            <w:shd w:val="clear" w:color="auto" w:fill="auto"/>
            <w:vAlign w:val="center"/>
          </w:tcPr>
          <w:p w14:paraId="77C9374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11/6</w:t>
            </w:r>
          </w:p>
        </w:tc>
        <w:tc>
          <w:tcPr>
            <w:tcW w:w="527" w:type="pct"/>
            <w:vAlign w:val="center"/>
          </w:tcPr>
          <w:p w14:paraId="42CD9A1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6237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1EB25404">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44A39FC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1606" w:type="pct"/>
            <w:shd w:val="clear" w:color="auto" w:fill="auto"/>
            <w:vAlign w:val="center"/>
          </w:tcPr>
          <w:p w14:paraId="7CF3D43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充电桩</w:t>
            </w:r>
          </w:p>
        </w:tc>
        <w:tc>
          <w:tcPr>
            <w:tcW w:w="847" w:type="pct"/>
            <w:shd w:val="clear" w:color="auto" w:fill="auto"/>
            <w:vAlign w:val="center"/>
          </w:tcPr>
          <w:p w14:paraId="0C1ED25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16.4/16.4</w:t>
            </w:r>
          </w:p>
        </w:tc>
        <w:tc>
          <w:tcPr>
            <w:tcW w:w="542" w:type="pct"/>
            <w:shd w:val="clear" w:color="auto" w:fill="auto"/>
            <w:vAlign w:val="center"/>
          </w:tcPr>
          <w:p w14:paraId="129C4516">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10.5/9</w:t>
            </w:r>
          </w:p>
        </w:tc>
        <w:tc>
          <w:tcPr>
            <w:tcW w:w="527" w:type="pct"/>
            <w:vAlign w:val="center"/>
          </w:tcPr>
          <w:p w14:paraId="335553D0">
            <w:pPr>
              <w:spacing w:line="240" w:lineRule="exact"/>
              <w:jc w:val="center"/>
              <w:rPr>
                <w:rFonts w:hint="eastAsia" w:ascii="Times New Roman" w:hAnsi="宋体"/>
                <w:color w:val="auto"/>
              </w:rPr>
            </w:pPr>
            <w:r>
              <w:rPr>
                <w:rFonts w:hint="eastAsia" w:ascii="Times New Roman" w:hAnsi="宋体"/>
                <w:color w:val="auto"/>
              </w:rPr>
              <w:t>符合</w:t>
            </w:r>
          </w:p>
        </w:tc>
      </w:tr>
      <w:tr w14:paraId="3BA9F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040A79FA">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C9E3CC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1606" w:type="pct"/>
            <w:shd w:val="clear" w:color="auto" w:fill="auto"/>
            <w:vAlign w:val="center"/>
          </w:tcPr>
          <w:p w14:paraId="62EA34B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847" w:type="pct"/>
            <w:shd w:val="clear" w:color="auto" w:fill="auto"/>
            <w:vAlign w:val="center"/>
          </w:tcPr>
          <w:p w14:paraId="5F94D6A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13.4/13.4</w:t>
            </w:r>
          </w:p>
        </w:tc>
        <w:tc>
          <w:tcPr>
            <w:tcW w:w="542" w:type="pct"/>
            <w:shd w:val="clear" w:color="auto" w:fill="auto"/>
            <w:vAlign w:val="center"/>
          </w:tcPr>
          <w:p w14:paraId="4B93BD8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7" w:type="pct"/>
            <w:vAlign w:val="center"/>
          </w:tcPr>
          <w:p w14:paraId="419EB55F">
            <w:pPr>
              <w:spacing w:line="240" w:lineRule="exact"/>
              <w:jc w:val="center"/>
              <w:rPr>
                <w:rFonts w:hint="eastAsia" w:ascii="Times New Roman" w:hAnsi="宋体"/>
                <w:color w:val="auto"/>
              </w:rPr>
            </w:pPr>
            <w:r>
              <w:rPr>
                <w:rFonts w:hint="eastAsia" w:ascii="Times New Roman" w:hAnsi="宋体"/>
                <w:color w:val="auto"/>
              </w:rPr>
              <w:t>符合</w:t>
            </w:r>
          </w:p>
        </w:tc>
      </w:tr>
      <w:tr w14:paraId="2ACFDD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8" w:type="pct"/>
            <w:vMerge w:val="continue"/>
            <w:vAlign w:val="center"/>
          </w:tcPr>
          <w:p w14:paraId="6AA931CF">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4924274">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1606" w:type="pct"/>
            <w:shd w:val="clear" w:color="auto" w:fill="auto"/>
            <w:vAlign w:val="center"/>
          </w:tcPr>
          <w:p w14:paraId="6843F97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停车场（三类保护物）</w:t>
            </w:r>
          </w:p>
        </w:tc>
        <w:tc>
          <w:tcPr>
            <w:tcW w:w="847" w:type="pct"/>
            <w:shd w:val="clear" w:color="auto" w:fill="auto"/>
            <w:vAlign w:val="center"/>
          </w:tcPr>
          <w:p w14:paraId="29AF1C9E">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12.9/12.9</w:t>
            </w:r>
          </w:p>
        </w:tc>
        <w:tc>
          <w:tcPr>
            <w:tcW w:w="542" w:type="pct"/>
            <w:shd w:val="clear" w:color="auto" w:fill="auto"/>
            <w:vAlign w:val="center"/>
          </w:tcPr>
          <w:p w14:paraId="6D7653B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7" w:type="pct"/>
            <w:vAlign w:val="center"/>
          </w:tcPr>
          <w:p w14:paraId="3C3A326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041C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8" w:type="pct"/>
            <w:vMerge w:val="continue"/>
            <w:vAlign w:val="center"/>
          </w:tcPr>
          <w:p w14:paraId="14908E4D">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31A16D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1606" w:type="pct"/>
            <w:shd w:val="clear" w:color="auto" w:fill="auto"/>
            <w:vAlign w:val="center"/>
          </w:tcPr>
          <w:p w14:paraId="57DBBD7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847" w:type="pct"/>
            <w:shd w:val="clear" w:color="auto" w:fill="auto"/>
            <w:vAlign w:val="center"/>
          </w:tcPr>
          <w:p w14:paraId="2A057C6E">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12.8/12.8</w:t>
            </w:r>
          </w:p>
        </w:tc>
        <w:tc>
          <w:tcPr>
            <w:tcW w:w="542" w:type="pct"/>
            <w:shd w:val="clear" w:color="auto" w:fill="auto"/>
            <w:vAlign w:val="center"/>
          </w:tcPr>
          <w:p w14:paraId="27C592E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11D6C52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480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restart"/>
            <w:vAlign w:val="center"/>
          </w:tcPr>
          <w:p w14:paraId="7C0986D1">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7" w:type="pct"/>
            <w:shd w:val="clear" w:color="auto" w:fill="auto"/>
            <w:vAlign w:val="center"/>
          </w:tcPr>
          <w:p w14:paraId="625A01FF">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606" w:type="pct"/>
            <w:shd w:val="clear" w:color="auto" w:fill="auto"/>
            <w:vAlign w:val="center"/>
          </w:tcPr>
          <w:p w14:paraId="37909A1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X466 道路</w:t>
            </w:r>
          </w:p>
        </w:tc>
        <w:tc>
          <w:tcPr>
            <w:tcW w:w="847" w:type="pct"/>
            <w:shd w:val="clear" w:color="auto" w:fill="auto"/>
            <w:vAlign w:val="center"/>
          </w:tcPr>
          <w:p w14:paraId="25C9E0EE">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5.1/5.1</w:t>
            </w:r>
          </w:p>
        </w:tc>
        <w:tc>
          <w:tcPr>
            <w:tcW w:w="542" w:type="pct"/>
            <w:shd w:val="clear" w:color="auto" w:fill="auto"/>
            <w:vAlign w:val="center"/>
          </w:tcPr>
          <w:p w14:paraId="4F218AA2">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29553CA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F92B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2D305DC6">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955C8F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1606" w:type="pct"/>
            <w:shd w:val="clear" w:color="auto" w:fill="auto"/>
            <w:vAlign w:val="center"/>
          </w:tcPr>
          <w:p w14:paraId="3EE6B65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国家电网（一类保护物）</w:t>
            </w:r>
          </w:p>
        </w:tc>
        <w:tc>
          <w:tcPr>
            <w:tcW w:w="847" w:type="pct"/>
            <w:shd w:val="clear" w:color="auto" w:fill="auto"/>
            <w:vAlign w:val="center"/>
          </w:tcPr>
          <w:p w14:paraId="3324C2F0">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lang w:val="en-US" w:eastAsia="zh-CN"/>
              </w:rPr>
              <w:t>20.8/17.9</w:t>
            </w:r>
          </w:p>
        </w:tc>
        <w:tc>
          <w:tcPr>
            <w:tcW w:w="542" w:type="pct"/>
            <w:shd w:val="clear" w:color="auto" w:fill="auto"/>
            <w:vAlign w:val="center"/>
          </w:tcPr>
          <w:p w14:paraId="2E36D5B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11/6</w:t>
            </w:r>
          </w:p>
        </w:tc>
        <w:tc>
          <w:tcPr>
            <w:tcW w:w="527" w:type="pct"/>
            <w:vAlign w:val="center"/>
          </w:tcPr>
          <w:p w14:paraId="1A30FE4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5F1C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59E74F33">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380AB97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1606" w:type="pct"/>
            <w:shd w:val="clear" w:color="auto" w:fill="auto"/>
            <w:vAlign w:val="center"/>
          </w:tcPr>
          <w:p w14:paraId="22B2165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充电桩</w:t>
            </w:r>
          </w:p>
        </w:tc>
        <w:tc>
          <w:tcPr>
            <w:tcW w:w="847" w:type="pct"/>
            <w:shd w:val="clear" w:color="auto" w:fill="auto"/>
            <w:vAlign w:val="center"/>
          </w:tcPr>
          <w:p w14:paraId="4D952B0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14.7/10</w:t>
            </w:r>
          </w:p>
        </w:tc>
        <w:tc>
          <w:tcPr>
            <w:tcW w:w="542" w:type="pct"/>
            <w:shd w:val="clear" w:color="auto" w:fill="auto"/>
            <w:vAlign w:val="center"/>
          </w:tcPr>
          <w:p w14:paraId="4ED0D50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10.5/9</w:t>
            </w:r>
          </w:p>
        </w:tc>
        <w:tc>
          <w:tcPr>
            <w:tcW w:w="527" w:type="pct"/>
            <w:vAlign w:val="center"/>
          </w:tcPr>
          <w:p w14:paraId="0CF19521">
            <w:pPr>
              <w:spacing w:line="240" w:lineRule="exact"/>
              <w:jc w:val="center"/>
              <w:rPr>
                <w:rFonts w:hint="eastAsia" w:ascii="Times New Roman" w:hAnsi="宋体"/>
                <w:color w:val="auto"/>
              </w:rPr>
            </w:pPr>
            <w:r>
              <w:rPr>
                <w:rFonts w:hint="eastAsia" w:ascii="Times New Roman" w:hAnsi="宋体"/>
                <w:color w:val="auto"/>
              </w:rPr>
              <w:t>符合</w:t>
            </w:r>
          </w:p>
        </w:tc>
      </w:tr>
      <w:tr w14:paraId="034A5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083E8FF4">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DA9B7A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1606" w:type="pct"/>
            <w:shd w:val="clear" w:color="auto" w:fill="auto"/>
            <w:vAlign w:val="center"/>
          </w:tcPr>
          <w:p w14:paraId="128F64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847" w:type="pct"/>
            <w:shd w:val="clear" w:color="auto" w:fill="auto"/>
            <w:vAlign w:val="center"/>
          </w:tcPr>
          <w:p w14:paraId="0C09145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12.3/10.6</w:t>
            </w:r>
          </w:p>
        </w:tc>
        <w:tc>
          <w:tcPr>
            <w:tcW w:w="542" w:type="pct"/>
            <w:shd w:val="clear" w:color="auto" w:fill="auto"/>
            <w:vAlign w:val="center"/>
          </w:tcPr>
          <w:p w14:paraId="3F88805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7" w:type="pct"/>
            <w:vAlign w:val="center"/>
          </w:tcPr>
          <w:p w14:paraId="48ED75C5">
            <w:pPr>
              <w:spacing w:line="240" w:lineRule="exact"/>
              <w:jc w:val="center"/>
              <w:rPr>
                <w:rFonts w:hint="eastAsia" w:ascii="Times New Roman" w:hAnsi="宋体"/>
                <w:color w:val="auto"/>
              </w:rPr>
            </w:pPr>
            <w:r>
              <w:rPr>
                <w:rFonts w:hint="eastAsia" w:ascii="Times New Roman" w:hAnsi="宋体"/>
                <w:color w:val="auto"/>
              </w:rPr>
              <w:t>符合</w:t>
            </w:r>
          </w:p>
        </w:tc>
      </w:tr>
      <w:tr w14:paraId="467FA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46AB42A4">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6D3CCD6">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1606" w:type="pct"/>
            <w:shd w:val="clear" w:color="auto" w:fill="auto"/>
            <w:vAlign w:val="center"/>
          </w:tcPr>
          <w:p w14:paraId="0C4AB6A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停车场（三类保护物）</w:t>
            </w:r>
          </w:p>
        </w:tc>
        <w:tc>
          <w:tcPr>
            <w:tcW w:w="847" w:type="pct"/>
            <w:shd w:val="clear" w:color="auto" w:fill="auto"/>
            <w:vAlign w:val="center"/>
          </w:tcPr>
          <w:p w14:paraId="526D34E8">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15.1/20</w:t>
            </w:r>
          </w:p>
        </w:tc>
        <w:tc>
          <w:tcPr>
            <w:tcW w:w="542" w:type="pct"/>
            <w:shd w:val="clear" w:color="auto" w:fill="auto"/>
            <w:vAlign w:val="center"/>
          </w:tcPr>
          <w:p w14:paraId="114814B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7" w:type="pct"/>
            <w:vAlign w:val="center"/>
          </w:tcPr>
          <w:p w14:paraId="2BA6F53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73A3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016D9A77">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A6E6E0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1606" w:type="pct"/>
            <w:shd w:val="clear" w:color="auto" w:fill="auto"/>
            <w:vAlign w:val="center"/>
          </w:tcPr>
          <w:p w14:paraId="7590D66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847" w:type="pct"/>
            <w:shd w:val="clear" w:color="auto" w:fill="auto"/>
            <w:vAlign w:val="center"/>
          </w:tcPr>
          <w:p w14:paraId="2D2B267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15.1/20</w:t>
            </w:r>
          </w:p>
        </w:tc>
        <w:tc>
          <w:tcPr>
            <w:tcW w:w="542" w:type="pct"/>
            <w:shd w:val="clear" w:color="auto" w:fill="auto"/>
            <w:vAlign w:val="center"/>
          </w:tcPr>
          <w:p w14:paraId="5E80FFF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4FD3FE4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w:t>
      </w:r>
      <w:r>
        <w:rPr>
          <w:rFonts w:hint="eastAsia"/>
          <w:color w:val="auto"/>
          <w:sz w:val="28"/>
          <w:szCs w:val="28"/>
          <w:lang w:eastAsia="zh-CN"/>
        </w:rPr>
        <w:t>、《电动汽车充电站设计标准》（GB/T50966-2024）</w:t>
      </w:r>
      <w:r>
        <w:rPr>
          <w:rFonts w:hint="eastAsia"/>
          <w:color w:val="auto"/>
          <w:sz w:val="28"/>
          <w:szCs w:val="28"/>
          <w:lang w:val="en-US" w:eastAsia="zh-CN"/>
        </w:rPr>
        <w:t>第11.1条</w:t>
      </w:r>
      <w:r>
        <w:rPr>
          <w:color w:val="auto"/>
          <w:sz w:val="28"/>
          <w:szCs w:val="28"/>
        </w:rPr>
        <w:t>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5" w:name="_Toc6353"/>
      <w:bookmarkStart w:id="166" w:name="_Toc1079"/>
      <w:r>
        <w:rPr>
          <w:rFonts w:hint="eastAsia" w:ascii="宋体" w:hAnsi="宋体"/>
          <w:color w:val="auto"/>
          <w:sz w:val="30"/>
          <w:szCs w:val="30"/>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rPr>
              <w:t>9</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01D33295">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3F8EE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5FDE6853">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11C808F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2C72B237">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36279482">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06B5627">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14B751E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02C5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246C1A9">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ECA243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C0C5E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60FF9BC1">
            <w:pPr>
              <w:jc w:val="center"/>
              <w:rPr>
                <w:rFonts w:ascii="Times New Roman" w:hAnsi="Times New Roman" w:cs="Times New Roman"/>
                <w:color w:val="auto"/>
              </w:rPr>
            </w:pPr>
            <w:r>
              <w:rPr>
                <w:rFonts w:ascii="Times New Roman" w:hAnsi="Times New Roman" w:cs="Times New Roman"/>
                <w:color w:val="auto"/>
              </w:rPr>
              <w:t>0.5</w:t>
            </w:r>
          </w:p>
        </w:tc>
        <w:tc>
          <w:tcPr>
            <w:tcW w:w="1826" w:type="dxa"/>
            <w:vAlign w:val="center"/>
          </w:tcPr>
          <w:p w14:paraId="41E411A3">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0.5</w:t>
            </w:r>
          </w:p>
        </w:tc>
        <w:tc>
          <w:tcPr>
            <w:tcW w:w="597" w:type="pct"/>
            <w:shd w:val="clear" w:color="auto" w:fill="auto"/>
            <w:vAlign w:val="center"/>
          </w:tcPr>
          <w:p w14:paraId="6CE35A50">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0E8B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714AB2C">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83E92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031004D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4F28C2BA">
            <w:pPr>
              <w:jc w:val="center"/>
              <w:rPr>
                <w:rFonts w:ascii="Times New Roman" w:hAnsi="Times New Roman" w:cs="Times New Roman"/>
                <w:color w:val="auto"/>
              </w:rPr>
            </w:pPr>
            <w:r>
              <w:rPr>
                <w:rFonts w:ascii="Times New Roman" w:hAnsi="Times New Roman" w:cs="Times New Roman"/>
                <w:color w:val="auto"/>
              </w:rPr>
              <w:t>4</w:t>
            </w:r>
          </w:p>
        </w:tc>
        <w:tc>
          <w:tcPr>
            <w:tcW w:w="1826" w:type="dxa"/>
            <w:vAlign w:val="center"/>
          </w:tcPr>
          <w:p w14:paraId="298F3C49">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4.3</w:t>
            </w:r>
          </w:p>
        </w:tc>
        <w:tc>
          <w:tcPr>
            <w:tcW w:w="597" w:type="pct"/>
            <w:vAlign w:val="center"/>
          </w:tcPr>
          <w:p w14:paraId="66B370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07E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415EB41">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13A3F5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3425CC3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42178B0F">
            <w:pPr>
              <w:jc w:val="center"/>
              <w:rPr>
                <w:rFonts w:ascii="Times New Roman" w:hAnsi="Times New Roman" w:cs="Times New Roman"/>
                <w:color w:val="auto"/>
              </w:rPr>
            </w:pPr>
            <w:r>
              <w:rPr>
                <w:rFonts w:ascii="Times New Roman" w:hAnsi="Times New Roman" w:cs="Times New Roman"/>
                <w:color w:val="auto"/>
              </w:rPr>
              <w:t>3</w:t>
            </w:r>
          </w:p>
        </w:tc>
        <w:tc>
          <w:tcPr>
            <w:tcW w:w="1826" w:type="dxa"/>
            <w:vAlign w:val="center"/>
          </w:tcPr>
          <w:p w14:paraId="631FE3FB">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4.6</w:t>
            </w:r>
          </w:p>
        </w:tc>
        <w:tc>
          <w:tcPr>
            <w:tcW w:w="597" w:type="pct"/>
            <w:vAlign w:val="center"/>
          </w:tcPr>
          <w:p w14:paraId="0B33F16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68E1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4818ECA">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755614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3F3D3D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502DAE69">
            <w:pPr>
              <w:jc w:val="center"/>
              <w:rPr>
                <w:rFonts w:ascii="Times New Roman" w:hAnsi="Times New Roman" w:cs="Times New Roman"/>
                <w:color w:val="auto"/>
              </w:rPr>
            </w:pPr>
            <w:r>
              <w:rPr>
                <w:rFonts w:ascii="Times New Roman" w:hAnsi="Times New Roman" w:cs="Times New Roman"/>
                <w:color w:val="auto"/>
              </w:rPr>
              <w:t>2</w:t>
            </w:r>
          </w:p>
        </w:tc>
        <w:tc>
          <w:tcPr>
            <w:tcW w:w="1826" w:type="dxa"/>
            <w:vAlign w:val="center"/>
          </w:tcPr>
          <w:p w14:paraId="428CDFA4">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2.7</w:t>
            </w:r>
          </w:p>
        </w:tc>
        <w:tc>
          <w:tcPr>
            <w:tcW w:w="597" w:type="pct"/>
            <w:vAlign w:val="center"/>
          </w:tcPr>
          <w:p w14:paraId="1E3A2AC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5E81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7C2DB4A">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108ECF5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66982EE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72C53E71">
            <w:pPr>
              <w:jc w:val="center"/>
              <w:rPr>
                <w:rFonts w:ascii="Times New Roman" w:hAnsi="Times New Roman" w:cs="Times New Roman"/>
                <w:color w:val="auto"/>
              </w:rPr>
            </w:pPr>
            <w:r>
              <w:rPr>
                <w:rFonts w:ascii="Times New Roman" w:hAnsi="Times New Roman" w:cs="Times New Roman"/>
                <w:color w:val="auto"/>
              </w:rPr>
              <w:t>2</w:t>
            </w:r>
          </w:p>
        </w:tc>
        <w:tc>
          <w:tcPr>
            <w:tcW w:w="1826" w:type="dxa"/>
            <w:vAlign w:val="center"/>
          </w:tcPr>
          <w:p w14:paraId="4E5569EE">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3.1</w:t>
            </w:r>
          </w:p>
        </w:tc>
        <w:tc>
          <w:tcPr>
            <w:tcW w:w="597" w:type="pct"/>
            <w:vAlign w:val="center"/>
          </w:tcPr>
          <w:p w14:paraId="2003ED0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C88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1DE5A5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EF1330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3DD1952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557DF6A">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826" w:type="dxa"/>
            <w:vAlign w:val="center"/>
          </w:tcPr>
          <w:p w14:paraId="400B8485">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5.1</w:t>
            </w:r>
          </w:p>
        </w:tc>
        <w:tc>
          <w:tcPr>
            <w:tcW w:w="597" w:type="pct"/>
            <w:vAlign w:val="center"/>
          </w:tcPr>
          <w:p w14:paraId="76D90A8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87DBE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69AC42F">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947DA1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1A844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DA663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826" w:type="dxa"/>
            <w:vAlign w:val="center"/>
          </w:tcPr>
          <w:p w14:paraId="75F29E69">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5.1</w:t>
            </w:r>
          </w:p>
        </w:tc>
        <w:tc>
          <w:tcPr>
            <w:tcW w:w="597" w:type="pct"/>
            <w:vAlign w:val="center"/>
          </w:tcPr>
          <w:p w14:paraId="074C4D6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B373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2ABCBE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B3B502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488038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1145CC5F">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826" w:type="dxa"/>
            <w:vAlign w:val="center"/>
          </w:tcPr>
          <w:p w14:paraId="783A165D">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10.2</w:t>
            </w:r>
          </w:p>
        </w:tc>
        <w:tc>
          <w:tcPr>
            <w:tcW w:w="597" w:type="pct"/>
            <w:vAlign w:val="center"/>
          </w:tcPr>
          <w:p w14:paraId="4B04150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A497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F11036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1555E8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4BC88EC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0DDD3B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826" w:type="dxa"/>
            <w:vAlign w:val="center"/>
          </w:tcPr>
          <w:p w14:paraId="4371A1BE">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10.2</w:t>
            </w:r>
          </w:p>
        </w:tc>
        <w:tc>
          <w:tcPr>
            <w:tcW w:w="597" w:type="pct"/>
            <w:vAlign w:val="center"/>
          </w:tcPr>
          <w:p w14:paraId="2EF97D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F22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43D7199">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355B29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5713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F2FAADF">
            <w:pPr>
              <w:jc w:val="center"/>
              <w:rPr>
                <w:rFonts w:ascii="Times New Roman" w:hAnsi="Times New Roman" w:cs="Times New Roman"/>
                <w:color w:val="auto"/>
              </w:rPr>
            </w:pPr>
            <w:r>
              <w:rPr>
                <w:rFonts w:ascii="Times New Roman" w:hAnsi="Times New Roman" w:cs="Times New Roman"/>
                <w:color w:val="auto"/>
              </w:rPr>
              <w:t>2</w:t>
            </w:r>
          </w:p>
        </w:tc>
        <w:tc>
          <w:tcPr>
            <w:tcW w:w="1826" w:type="dxa"/>
            <w:vAlign w:val="center"/>
          </w:tcPr>
          <w:p w14:paraId="7822DF2B">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9.0</w:t>
            </w:r>
          </w:p>
        </w:tc>
        <w:tc>
          <w:tcPr>
            <w:tcW w:w="597" w:type="pct"/>
            <w:vAlign w:val="center"/>
          </w:tcPr>
          <w:p w14:paraId="2BBB7CB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BF0F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5ED248E">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ACC3DD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600FB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77293756">
            <w:pPr>
              <w:jc w:val="center"/>
              <w:rPr>
                <w:rFonts w:ascii="Times New Roman" w:hAnsi="Times New Roman" w:cs="Times New Roman"/>
                <w:color w:val="auto"/>
              </w:rPr>
            </w:pPr>
            <w:r>
              <w:rPr>
                <w:rFonts w:ascii="Times New Roman" w:hAnsi="Times New Roman" w:cs="Times New Roman"/>
                <w:color w:val="auto"/>
              </w:rPr>
              <w:t>2</w:t>
            </w:r>
          </w:p>
        </w:tc>
        <w:tc>
          <w:tcPr>
            <w:tcW w:w="1826" w:type="dxa"/>
            <w:vAlign w:val="center"/>
          </w:tcPr>
          <w:p w14:paraId="4ECA6008">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9.0</w:t>
            </w:r>
          </w:p>
        </w:tc>
        <w:tc>
          <w:tcPr>
            <w:tcW w:w="597" w:type="pct"/>
            <w:vAlign w:val="center"/>
          </w:tcPr>
          <w:p w14:paraId="16ACB2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52B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09965D8">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FA8D7E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79C5DD9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63F5D2">
            <w:pPr>
              <w:jc w:val="center"/>
              <w:rPr>
                <w:rFonts w:ascii="Times New Roman" w:hAnsi="Times New Roman" w:cs="Times New Roman"/>
                <w:color w:val="auto"/>
              </w:rPr>
            </w:pPr>
            <w:r>
              <w:rPr>
                <w:rFonts w:ascii="Times New Roman" w:hAnsi="Times New Roman" w:cs="Times New Roman"/>
                <w:color w:val="auto"/>
              </w:rPr>
              <w:t>5</w:t>
            </w:r>
          </w:p>
        </w:tc>
        <w:tc>
          <w:tcPr>
            <w:tcW w:w="1826" w:type="dxa"/>
            <w:vAlign w:val="center"/>
          </w:tcPr>
          <w:p w14:paraId="6A4AA986">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5.0</w:t>
            </w:r>
          </w:p>
        </w:tc>
        <w:tc>
          <w:tcPr>
            <w:tcW w:w="597" w:type="pct"/>
            <w:vAlign w:val="center"/>
          </w:tcPr>
          <w:p w14:paraId="270E5BF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6E57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305" w:type="pct"/>
            <w:vAlign w:val="center"/>
          </w:tcPr>
          <w:p w14:paraId="06DDA9CB">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82F579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62744A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6DEAAAE8">
            <w:pPr>
              <w:jc w:val="center"/>
              <w:rPr>
                <w:rFonts w:ascii="Times New Roman" w:hAnsi="Times New Roman" w:cs="Times New Roman"/>
                <w:color w:val="auto"/>
              </w:rPr>
            </w:pPr>
            <w:r>
              <w:rPr>
                <w:rFonts w:ascii="Times New Roman" w:hAnsi="Times New Roman" w:cs="Times New Roman"/>
                <w:color w:val="auto"/>
              </w:rPr>
              <w:t>4</w:t>
            </w:r>
          </w:p>
        </w:tc>
        <w:tc>
          <w:tcPr>
            <w:tcW w:w="1826" w:type="dxa"/>
            <w:vAlign w:val="center"/>
          </w:tcPr>
          <w:p w14:paraId="4F7921E8">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5.0</w:t>
            </w:r>
          </w:p>
        </w:tc>
        <w:tc>
          <w:tcPr>
            <w:tcW w:w="597" w:type="pct"/>
            <w:vAlign w:val="center"/>
          </w:tcPr>
          <w:p w14:paraId="43D0F8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3EA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4137346">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108178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35F36FC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E27F5F9">
            <w:pPr>
              <w:jc w:val="center"/>
              <w:rPr>
                <w:rFonts w:ascii="Times New Roman" w:hAnsi="Times New Roman" w:cs="Times New Roman"/>
                <w:color w:val="auto"/>
              </w:rPr>
            </w:pPr>
            <w:r>
              <w:rPr>
                <w:rFonts w:ascii="Times New Roman" w:hAnsi="Times New Roman" w:cs="Times New Roman"/>
                <w:color w:val="auto"/>
              </w:rPr>
              <w:t>5</w:t>
            </w:r>
          </w:p>
        </w:tc>
        <w:tc>
          <w:tcPr>
            <w:tcW w:w="1826" w:type="dxa"/>
            <w:vAlign w:val="center"/>
          </w:tcPr>
          <w:p w14:paraId="22A5C7B1">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8.9</w:t>
            </w:r>
          </w:p>
        </w:tc>
        <w:tc>
          <w:tcPr>
            <w:tcW w:w="597" w:type="pct"/>
            <w:vAlign w:val="center"/>
          </w:tcPr>
          <w:p w14:paraId="647C723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3E0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97D0A8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241C79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42E0A26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B23A3A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826" w:type="dxa"/>
            <w:vAlign w:val="center"/>
          </w:tcPr>
          <w:p w14:paraId="112391ED">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16</w:t>
            </w:r>
          </w:p>
        </w:tc>
        <w:tc>
          <w:tcPr>
            <w:tcW w:w="597" w:type="pct"/>
            <w:vAlign w:val="center"/>
          </w:tcPr>
          <w:p w14:paraId="5287B94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BC0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70EC4C6">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BF0914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B0D71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0F7D322">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826" w:type="dxa"/>
            <w:vAlign w:val="center"/>
          </w:tcPr>
          <w:p w14:paraId="3AFBE0FE">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14.3</w:t>
            </w:r>
          </w:p>
        </w:tc>
        <w:tc>
          <w:tcPr>
            <w:tcW w:w="597" w:type="pct"/>
            <w:vAlign w:val="center"/>
          </w:tcPr>
          <w:p w14:paraId="6888947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BBD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E69CA7E">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1B57B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5CA319D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08ECDEE4">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826" w:type="dxa"/>
            <w:vAlign w:val="center"/>
          </w:tcPr>
          <w:p w14:paraId="60E491A8">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20.5</w:t>
            </w:r>
          </w:p>
        </w:tc>
        <w:tc>
          <w:tcPr>
            <w:tcW w:w="597" w:type="pct"/>
            <w:vAlign w:val="center"/>
          </w:tcPr>
          <w:p w14:paraId="4A192E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E2B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14BBCF8A">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40A1BF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4279D1B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9007DF3">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826" w:type="dxa"/>
            <w:vAlign w:val="center"/>
          </w:tcPr>
          <w:p w14:paraId="497E18AE">
            <w:pPr>
              <w:jc w:val="center"/>
              <w:rPr>
                <w:rFonts w:hint="default" w:ascii="Times New Roman" w:hAnsi="Times New Roman" w:eastAsia="宋体" w:cs="Times New Roman"/>
                <w:b w:val="0"/>
                <w:bCs w:val="0"/>
                <w:color w:val="auto"/>
                <w:kern w:val="0"/>
                <w:lang w:val="en-US" w:eastAsia="zh-CN"/>
              </w:rPr>
            </w:pPr>
            <w:r>
              <w:rPr>
                <w:rFonts w:hint="eastAsia" w:ascii="Times New Roman" w:hAnsi="Times New Roman" w:cs="Times New Roman"/>
                <w:b w:val="0"/>
                <w:bCs w:val="0"/>
                <w:color w:val="auto"/>
                <w:kern w:val="0"/>
                <w:lang w:val="en-US" w:eastAsia="zh-CN"/>
              </w:rPr>
              <w:t>12.8</w:t>
            </w:r>
          </w:p>
        </w:tc>
        <w:tc>
          <w:tcPr>
            <w:tcW w:w="597" w:type="pct"/>
            <w:vAlign w:val="center"/>
          </w:tcPr>
          <w:p w14:paraId="79932EF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7" w:name="_Toc7603"/>
      <w:bookmarkStart w:id="168" w:name="_Toc92712593"/>
      <w:bookmarkStart w:id="169" w:name="_Toc1359"/>
      <w:bookmarkStart w:id="170" w:name="_Toc25228"/>
      <w:r>
        <w:rPr>
          <w:rFonts w:hint="eastAsia" w:ascii="宋体" w:hAnsi="宋体"/>
          <w:color w:val="auto"/>
          <w:sz w:val="30"/>
          <w:szCs w:val="30"/>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1" w:name="_Toc5653"/>
      <w:bookmarkStart w:id="172" w:name="_Toc92712594"/>
      <w:bookmarkStart w:id="173" w:name="_Toc25937"/>
      <w:bookmarkStart w:id="174" w:name="_Toc4098"/>
      <w:r>
        <w:rPr>
          <w:rFonts w:hint="eastAsia" w:ascii="宋体" w:hAnsi="宋体"/>
          <w:color w:val="auto"/>
          <w:sz w:val="30"/>
          <w:szCs w:val="30"/>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ascii="宋体" w:hAnsi="宋体"/>
                <w:color w:val="auto"/>
              </w:rPr>
              <w:t>加油机配置</w:t>
            </w:r>
            <w:r>
              <w:rPr>
                <w:rFonts w:hint="eastAsia" w:ascii="宋体" w:hAnsi="宋体"/>
                <w:color w:val="auto"/>
                <w:lang w:val="en-US" w:eastAsia="zh-CN"/>
              </w:rPr>
              <w:t>2具5</w:t>
            </w:r>
            <w:r>
              <w:rPr>
                <w:rFonts w:ascii="宋体" w:hAnsi="宋体"/>
                <w:color w:val="auto"/>
              </w:rPr>
              <w:t>kg手提式干粉灭火器</w:t>
            </w:r>
            <w:r>
              <w:rPr>
                <w:rFonts w:hint="eastAsia" w:ascii="宋体" w:hAnsi="宋体" w:cs="Times New Roman"/>
                <w:color w:val="auto"/>
              </w:rPr>
              <w:t>、灭火毯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lang w:val="en-US" w:eastAsia="zh-CN"/>
        </w:rPr>
        <w:t>均</w:t>
      </w:r>
      <w:r>
        <w:rPr>
          <w:rFonts w:hint="eastAsia" w:cs="宋体"/>
          <w:color w:val="auto"/>
          <w:spacing w:val="-11"/>
          <w:sz w:val="28"/>
          <w:szCs w:val="28"/>
        </w:rPr>
        <w:t>符合要求</w:t>
      </w:r>
      <w:r>
        <w:rPr>
          <w:rFonts w:hint="eastAsia" w:ascii="宋体" w:hAnsi="宋体"/>
          <w:color w:val="auto"/>
          <w:spacing w:val="-11"/>
          <w:sz w:val="28"/>
          <w:szCs w:val="28"/>
        </w:rPr>
        <w:t>。</w:t>
      </w:r>
      <w:bookmarkStart w:id="175" w:name="_Toc92712595"/>
      <w:bookmarkStart w:id="176" w:name="_Toc30243"/>
    </w:p>
    <w:p w14:paraId="3252F0C1">
      <w:pPr>
        <w:pStyle w:val="3"/>
        <w:jc w:val="center"/>
        <w:rPr>
          <w:rFonts w:ascii="宋体" w:hAnsi="宋体"/>
          <w:color w:val="auto"/>
          <w:sz w:val="30"/>
          <w:szCs w:val="30"/>
        </w:rPr>
      </w:pPr>
      <w:bookmarkStart w:id="177" w:name="_Toc26838"/>
      <w:bookmarkStart w:id="178" w:name="_Toc691"/>
      <w:r>
        <w:rPr>
          <w:rFonts w:hint="eastAsia" w:ascii="宋体" w:hAnsi="宋体"/>
          <w:color w:val="auto"/>
          <w:sz w:val="30"/>
          <w:szCs w:val="30"/>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79" w:name="_Toc31883"/>
      <w:bookmarkStart w:id="180" w:name="_Toc30531"/>
      <w:bookmarkStart w:id="181" w:name="_Toc92712596"/>
      <w:bookmarkStart w:id="182" w:name="_Toc1576"/>
      <w:r>
        <w:rPr>
          <w:rFonts w:hint="eastAsia" w:ascii="宋体" w:hAnsi="宋体"/>
          <w:color w:val="auto"/>
          <w:sz w:val="30"/>
          <w:szCs w:val="30"/>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2</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3" w:name="_Toc13874"/>
      <w:bookmarkStart w:id="184" w:name="_Toc32029"/>
    </w:p>
    <w:p w14:paraId="74D9B514">
      <w:pPr>
        <w:pStyle w:val="3"/>
        <w:jc w:val="center"/>
        <w:rPr>
          <w:rFonts w:ascii="宋体" w:hAnsi="宋体"/>
          <w:color w:val="auto"/>
          <w:sz w:val="30"/>
          <w:szCs w:val="30"/>
        </w:rPr>
      </w:pPr>
      <w:bookmarkStart w:id="185" w:name="_Toc19710"/>
      <w:r>
        <w:rPr>
          <w:rFonts w:hint="eastAsia" w:ascii="宋体" w:hAnsi="宋体"/>
          <w:color w:val="auto"/>
          <w:sz w:val="30"/>
          <w:szCs w:val="30"/>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6" w:name="_Toc17889"/>
      <w:bookmarkStart w:id="187" w:name="_Toc92712597"/>
      <w:bookmarkStart w:id="188" w:name="_Toc23537"/>
      <w:bookmarkStart w:id="189" w:name="_Toc9462"/>
      <w:r>
        <w:rPr>
          <w:rFonts w:hint="eastAsia" w:ascii="宋体" w:hAnsi="宋体"/>
          <w:color w:val="auto"/>
          <w:sz w:val="30"/>
          <w:szCs w:val="30"/>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0" w:name="_Toc8063"/>
      <w:bookmarkStart w:id="191" w:name="_Toc28655"/>
      <w:bookmarkStart w:id="192" w:name="_Toc92712598"/>
      <w:r>
        <w:rPr>
          <w:rFonts w:hint="eastAsia" w:ascii="宋体" w:hAnsi="宋体"/>
          <w:color w:val="auto"/>
          <w:sz w:val="30"/>
          <w:szCs w:val="30"/>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3" w:name="_Toc32166"/>
      <w:bookmarkStart w:id="194" w:name="_Toc31059"/>
      <w:bookmarkStart w:id="195" w:name="_Toc14134"/>
      <w:bookmarkStart w:id="196" w:name="_Toc92712599"/>
      <w:r>
        <w:rPr>
          <w:rFonts w:hint="eastAsia" w:ascii="宋体" w:hAnsi="宋体"/>
          <w:color w:val="auto"/>
          <w:sz w:val="30"/>
          <w:szCs w:val="30"/>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7" w:name="_Toc12089"/>
      <w:bookmarkStart w:id="198" w:name="_Toc25641"/>
      <w:bookmarkStart w:id="199" w:name="_Toc92712600"/>
    </w:p>
    <w:p w14:paraId="5392B596">
      <w:pPr>
        <w:pStyle w:val="3"/>
        <w:spacing w:line="560" w:lineRule="exact"/>
        <w:jc w:val="center"/>
        <w:rPr>
          <w:rFonts w:ascii="宋体" w:hAnsi="宋体"/>
          <w:color w:val="auto"/>
          <w:sz w:val="30"/>
          <w:szCs w:val="30"/>
        </w:rPr>
      </w:pPr>
      <w:bookmarkStart w:id="200" w:name="_Toc13674"/>
      <w:r>
        <w:rPr>
          <w:rFonts w:hint="eastAsia" w:ascii="宋体" w:hAnsi="宋体"/>
          <w:color w:val="auto"/>
          <w:sz w:val="30"/>
          <w:szCs w:val="30"/>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1" w:name="_Toc27534"/>
      <w:bookmarkStart w:id="202" w:name="_Toc15085"/>
      <w:r>
        <w:rPr>
          <w:rFonts w:hint="eastAsia" w:ascii="宋体" w:hAnsi="宋体"/>
          <w:color w:val="auto"/>
          <w:sz w:val="30"/>
          <w:szCs w:val="30"/>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兴国石油分公司隆坪加油站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05254CBF">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柴油通气管、汽油通气管分开设置，通气管管口高出罩棚2m，柴油设置阻火通气帽，汽油通气管设置机械呼吸阀（带阻火器）和阻火通气帽。</w:t>
            </w:r>
          </w:p>
          <w:p w14:paraId="43DE56D0">
            <w:pPr>
              <w:adjustRightInd w:val="0"/>
              <w:snapToGrid w:val="0"/>
              <w:spacing w:line="240" w:lineRule="exact"/>
              <w:rPr>
                <w:rFonts w:ascii="宋体" w:cs="Times New Roman"/>
                <w:color w:val="auto"/>
                <w:sz w:val="18"/>
                <w:szCs w:val="18"/>
              </w:rPr>
            </w:pP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6AE2C8C4">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w:t>
            </w:r>
          </w:p>
          <w:p w14:paraId="74CEC9FA">
            <w:pPr>
              <w:adjustRightInd w:val="0"/>
              <w:snapToGrid w:val="0"/>
              <w:spacing w:line="240" w:lineRule="exact"/>
              <w:rPr>
                <w:rFonts w:ascii="Times New Roman" w:hAnsi="Times New Roman" w:cs="Times New Roman"/>
                <w:color w:val="auto"/>
                <w:sz w:val="18"/>
                <w:szCs w:val="18"/>
              </w:rPr>
            </w:pP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西侧入口处</w:t>
            </w:r>
            <w:r>
              <w:rPr>
                <w:rFonts w:hint="eastAsia" w:ascii="宋体" w:cs="Times New Roman"/>
                <w:color w:val="auto"/>
                <w:sz w:val="18"/>
                <w:szCs w:val="18"/>
              </w:rPr>
              <w:t>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加油站安全系统（液位仪、泄漏检测仪），配备了UPS备用电源，但设备未接入UPS备用电源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3C5517C0">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w:t>
            </w:r>
          </w:p>
          <w:p w14:paraId="00AA982F">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本加油站共设置6台室外网络摄像机，现场摄像仪视频信号引至站房站长室内监控主机。视频监控系统配置UPS电源，容量为3kVA。系统中硬盘录像机储存时间大于30天。</w:t>
            </w:r>
          </w:p>
          <w:p w14:paraId="34FC7C29">
            <w:pPr>
              <w:adjustRightInd w:val="0"/>
              <w:snapToGrid w:val="0"/>
              <w:spacing w:line="240" w:lineRule="exact"/>
              <w:rPr>
                <w:rFonts w:hint="eastAsia" w:cs="Times New Roman"/>
                <w:color w:val="auto"/>
                <w:sz w:val="18"/>
                <w:szCs w:val="18"/>
              </w:rPr>
            </w:pPr>
            <w:r>
              <w:rPr>
                <w:rFonts w:hint="eastAsia" w:cs="Times New Roman"/>
                <w:color w:val="auto"/>
                <w:sz w:val="18"/>
                <w:szCs w:val="18"/>
              </w:rPr>
              <w:t>加油区罩棚安装不小于4m，防护等级不低于IP67级。</w:t>
            </w:r>
          </w:p>
          <w:p w14:paraId="1FD0F40A">
            <w:pPr>
              <w:adjustRightInd w:val="0"/>
              <w:snapToGrid w:val="0"/>
              <w:spacing w:line="240" w:lineRule="exact"/>
              <w:rPr>
                <w:rFonts w:hint="eastAsia" w:cs="Times New Roman"/>
                <w:color w:val="auto"/>
                <w:sz w:val="18"/>
                <w:szCs w:val="18"/>
              </w:rPr>
            </w:pPr>
            <w:r>
              <w:rPr>
                <w:rFonts w:hint="eastAsia" w:cs="Times New Roman"/>
                <w:color w:val="auto"/>
                <w:sz w:val="18"/>
                <w:szCs w:val="18"/>
              </w:rPr>
              <w:t>站房室内设置1台摄像机和1台监视用摄像机，设于营业厅、值班室。</w:t>
            </w:r>
          </w:p>
          <w:p w14:paraId="77DC74BA">
            <w:pPr>
              <w:adjustRightInd w:val="0"/>
              <w:snapToGrid w:val="0"/>
              <w:spacing w:line="240" w:lineRule="exact"/>
              <w:rPr>
                <w:rFonts w:hint="eastAsia" w:cs="Times New Roman"/>
                <w:color w:val="auto"/>
                <w:sz w:val="18"/>
                <w:szCs w:val="18"/>
              </w:rPr>
            </w:pPr>
            <w:r>
              <w:rPr>
                <w:rFonts w:hint="eastAsia" w:cs="Times New Roman"/>
                <w:color w:val="auto"/>
                <w:sz w:val="18"/>
                <w:szCs w:val="18"/>
              </w:rPr>
              <w:t>工作人员在值班室监视，监控器画面就可以实现对罐区、加油区、站房的</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兴国县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2"/>
    </w:tbl>
    <w:p w14:paraId="1A1C1945">
      <w:pPr>
        <w:spacing w:line="600" w:lineRule="exact"/>
        <w:ind w:firstLine="560" w:firstLineChars="200"/>
        <w:rPr>
          <w:rFonts w:ascii="Times New Roman" w:hAnsi="Times New Roman" w:cs="宋体"/>
          <w:color w:val="auto"/>
          <w:sz w:val="28"/>
          <w:szCs w:val="28"/>
        </w:rPr>
      </w:pPr>
      <w:bookmarkStart w:id="203" w:name="_Toc18913"/>
      <w:bookmarkStart w:id="204" w:name="_Toc19100"/>
      <w:bookmarkStart w:id="205" w:name="_Toc343692275"/>
      <w:bookmarkStart w:id="206" w:name="_Toc16646"/>
      <w:bookmarkStart w:id="207" w:name="_Toc9371"/>
      <w:r>
        <w:rPr>
          <w:rFonts w:hint="eastAsia" w:ascii="Times New Roman" w:hAnsi="Times New Roman" w:cs="宋体"/>
          <w:color w:val="auto"/>
          <w:sz w:val="28"/>
          <w:szCs w:val="28"/>
        </w:rPr>
        <w:t>综上所述，诊断及整改设计中的安全对策措施有1项未落实，加油站安全系统（液位仪、泄漏检测仪），配备了UPS备用电源，但设备未接入UPS备用电源。</w:t>
      </w:r>
    </w:p>
    <w:p w14:paraId="6C079258">
      <w:pPr>
        <w:pStyle w:val="3"/>
        <w:spacing w:line="560" w:lineRule="exact"/>
        <w:jc w:val="center"/>
        <w:rPr>
          <w:rFonts w:ascii="宋体" w:hAnsi="宋体"/>
          <w:color w:val="auto"/>
          <w:sz w:val="30"/>
          <w:szCs w:val="30"/>
        </w:rPr>
      </w:pPr>
      <w:bookmarkStart w:id="208" w:name="_Toc28765"/>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不涉及</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均</w:t>
      </w:r>
      <w:r>
        <w:rPr>
          <w:rFonts w:hint="eastAsia" w:ascii="Times New Roman" w:hAnsi="Times New Roman" w:cs="Times New Roman"/>
          <w:color w:val="auto"/>
          <w:sz w:val="28"/>
          <w:szCs w:val="28"/>
        </w:rPr>
        <w:t>符合要求。</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09" w:name="_Toc30956"/>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rPr>
      </w:pPr>
      <w:bookmarkStart w:id="210" w:name="_Toc13368"/>
      <w:bookmarkStart w:id="211" w:name="_Toc30200"/>
      <w:bookmarkStart w:id="212" w:name="_Toc20468434"/>
      <w:bookmarkStart w:id="213" w:name="_Toc14112"/>
      <w:bookmarkStart w:id="214" w:name="_Toc9008"/>
      <w:bookmarkStart w:id="215" w:name="_Toc427852841"/>
      <w:bookmarkStart w:id="216" w:name="_Toc471312555"/>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兴国石油分公司隆坪加油站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center"/>
          </w:tcPr>
          <w:p w14:paraId="2716D445">
            <w:pPr>
              <w:widowControl/>
              <w:textAlignment w:val="center"/>
              <w:rPr>
                <w:rFonts w:ascii="宋体" w:hAnsi="宋体" w:cs="宋体"/>
                <w:color w:val="auto"/>
              </w:rPr>
            </w:pPr>
            <w:r>
              <w:rPr>
                <w:rFonts w:hint="eastAsia" w:ascii="宋体" w:hAnsi="宋体" w:cs="宋体"/>
                <w:color w:val="auto"/>
              </w:rPr>
              <w:t>通气管管口与X466道路不满足5 米间距要求，加油机与 X466 道路不满足5米间距要求。</w:t>
            </w:r>
          </w:p>
        </w:tc>
        <w:tc>
          <w:tcPr>
            <w:tcW w:w="3783"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采取移加油机及通气管口或者调整道路，保证5 米安全距离。</w:t>
            </w:r>
          </w:p>
        </w:tc>
      </w:tr>
      <w:tr w14:paraId="1CADE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556280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center"/>
          </w:tcPr>
          <w:p w14:paraId="137DCBC7">
            <w:pPr>
              <w:numPr>
                <w:ilvl w:val="0"/>
                <w:numId w:val="0"/>
              </w:numPr>
              <w:rPr>
                <w:rFonts w:hint="eastAsia" w:ascii="宋体" w:hAnsi="宋体" w:cs="宋体"/>
                <w:color w:val="auto"/>
              </w:rPr>
            </w:pPr>
            <w:r>
              <w:rPr>
                <w:rFonts w:hint="eastAsia" w:ascii="宋体" w:hAnsi="宋体" w:cs="宋体"/>
                <w:color w:val="auto"/>
              </w:rPr>
              <w:t>加油站无实体围墙且围墙高度不足2.2 米。</w:t>
            </w:r>
          </w:p>
        </w:tc>
        <w:tc>
          <w:tcPr>
            <w:tcW w:w="3783" w:type="dxa"/>
            <w:shd w:val="clear" w:color="auto" w:fill="auto"/>
            <w:vAlign w:val="center"/>
          </w:tcPr>
          <w:p w14:paraId="298439FF">
            <w:pPr>
              <w:widowControl/>
              <w:textAlignment w:val="center"/>
              <w:rPr>
                <w:rFonts w:hint="eastAsia" w:ascii="宋体" w:hAnsi="宋体" w:cs="宋体"/>
                <w:color w:val="auto"/>
              </w:rPr>
            </w:pPr>
            <w:r>
              <w:rPr>
                <w:rFonts w:hint="eastAsia" w:ascii="宋体" w:hAnsi="宋体" w:cs="宋体"/>
                <w:color w:val="auto"/>
              </w:rPr>
              <w:t>将栏杆换成实体围墙，并增高至2.2 米</w:t>
            </w:r>
          </w:p>
        </w:tc>
      </w:tr>
      <w:tr w14:paraId="0DD66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1B510FA1">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center"/>
          </w:tcPr>
          <w:p w14:paraId="0C1BF164">
            <w:pPr>
              <w:widowControl/>
              <w:textAlignment w:val="center"/>
              <w:rPr>
                <w:rFonts w:hint="eastAsia" w:ascii="宋体" w:hAnsi="宋体" w:cs="宋体"/>
                <w:color w:val="auto"/>
              </w:rPr>
            </w:pPr>
            <w:r>
              <w:rPr>
                <w:rFonts w:hint="eastAsia" w:ascii="宋体" w:hAnsi="宋体" w:cs="宋体"/>
                <w:color w:val="auto"/>
              </w:rPr>
              <w:t>汽油罐与西南侧架空通讯线不满足5米间距要求</w:t>
            </w:r>
          </w:p>
        </w:tc>
        <w:tc>
          <w:tcPr>
            <w:tcW w:w="3783" w:type="dxa"/>
            <w:shd w:val="clear" w:color="auto" w:fill="auto"/>
            <w:vAlign w:val="center"/>
          </w:tcPr>
          <w:p w14:paraId="736B45FC">
            <w:pPr>
              <w:widowControl/>
              <w:textAlignment w:val="center"/>
              <w:rPr>
                <w:rFonts w:hint="eastAsia" w:ascii="宋体" w:hAnsi="宋体" w:cs="宋体"/>
                <w:color w:val="auto"/>
              </w:rPr>
            </w:pPr>
            <w:r>
              <w:rPr>
                <w:rFonts w:hint="eastAsia" w:ascii="宋体" w:hAnsi="宋体" w:cs="宋体"/>
                <w:color w:val="auto"/>
              </w:rPr>
              <w:t>将西南侧架空通讯线移除</w:t>
            </w:r>
          </w:p>
        </w:tc>
      </w:tr>
      <w:tr w14:paraId="75B4C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413010D5">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4594" w:type="dxa"/>
            <w:shd w:val="clear" w:color="auto" w:fill="auto"/>
            <w:vAlign w:val="center"/>
          </w:tcPr>
          <w:p w14:paraId="3F7AB8C4">
            <w:pPr>
              <w:widowControl/>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配电间未配置防火门</w:t>
            </w:r>
          </w:p>
        </w:tc>
        <w:tc>
          <w:tcPr>
            <w:tcW w:w="3783" w:type="dxa"/>
            <w:shd w:val="clear" w:color="auto" w:fill="auto"/>
            <w:vAlign w:val="center"/>
          </w:tcPr>
          <w:p w14:paraId="098F8FBC">
            <w:pPr>
              <w:widowControl/>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配电间设置对外开启的防火门。</w:t>
            </w:r>
          </w:p>
        </w:tc>
      </w:tr>
      <w:tr w14:paraId="3B1A0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9EAAFC2">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w:t>
            </w:r>
          </w:p>
        </w:tc>
        <w:tc>
          <w:tcPr>
            <w:tcW w:w="4594" w:type="dxa"/>
            <w:shd w:val="clear" w:color="auto" w:fill="auto"/>
            <w:vAlign w:val="center"/>
          </w:tcPr>
          <w:p w14:paraId="5A387F40">
            <w:pPr>
              <w:widowControl/>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卸油口处无防泄漏围堰（防止流散措施），不符合安全要求</w:t>
            </w:r>
          </w:p>
        </w:tc>
        <w:tc>
          <w:tcPr>
            <w:tcW w:w="3783" w:type="dxa"/>
            <w:shd w:val="clear" w:color="auto" w:fill="auto"/>
            <w:vAlign w:val="center"/>
          </w:tcPr>
          <w:p w14:paraId="26F78650">
            <w:pPr>
              <w:widowControl/>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卸油口处设置防泄漏围堰（或设置收集槽）</w:t>
            </w:r>
          </w:p>
        </w:tc>
      </w:tr>
      <w:tr w14:paraId="00BB9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46ACF01">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w:t>
            </w:r>
          </w:p>
        </w:tc>
        <w:tc>
          <w:tcPr>
            <w:tcW w:w="4594" w:type="dxa"/>
            <w:shd w:val="clear" w:color="auto" w:fill="auto"/>
            <w:vAlign w:val="center"/>
          </w:tcPr>
          <w:p w14:paraId="3ACB097E">
            <w:pPr>
              <w:widowControl/>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现场发现无手持式可燃气体检测仪，不符合要求</w:t>
            </w:r>
          </w:p>
        </w:tc>
        <w:tc>
          <w:tcPr>
            <w:tcW w:w="3783" w:type="dxa"/>
            <w:shd w:val="clear" w:color="auto" w:fill="auto"/>
            <w:vAlign w:val="center"/>
          </w:tcPr>
          <w:p w14:paraId="639AB626">
            <w:pPr>
              <w:widowControl/>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配置1 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兴国石油分公司隆坪加油站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7" w:name="_Toc3011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ascii="宋体" w:hAnsi="宋体" w:cs="宋体"/>
                <w:i w:val="0"/>
                <w:iCs w:val="0"/>
                <w:color w:val="auto"/>
                <w:kern w:val="2"/>
                <w:sz w:val="21"/>
                <w:szCs w:val="21"/>
                <w:u w:val="none"/>
                <w:lang w:val="en-US" w:eastAsia="zh-CN" w:bidi="ar-SA"/>
              </w:rPr>
              <w:t>加油站安全系统（液位仪、泄漏检测仪），配备了UPS备用电源，但设备未接入UPS备用电源</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安全系统（液位仪、泄漏检测仪）接入UPS备用电源输出端</w:t>
            </w:r>
          </w:p>
        </w:tc>
      </w:tr>
    </w:tbl>
    <w:p w14:paraId="4D6EC2A5">
      <w:pPr>
        <w:outlineLvl w:val="1"/>
        <w:rPr>
          <w:rFonts w:ascii="Times New Roman" w:hAnsi="Times New Roman" w:cs="Times New Roman"/>
          <w:b/>
          <w:bCs/>
          <w:color w:val="auto"/>
          <w:sz w:val="28"/>
          <w:szCs w:val="28"/>
        </w:rPr>
      </w:pPr>
      <w:bookmarkStart w:id="218" w:name="_Toc20468435"/>
      <w:bookmarkStart w:id="219" w:name="_Toc9821"/>
      <w:bookmarkStart w:id="220" w:name="_Toc16628"/>
      <w:bookmarkStart w:id="221" w:name="_Toc30063"/>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8"/>
      <w:r>
        <w:rPr>
          <w:rFonts w:hint="eastAsia" w:ascii="Times New Roman" w:hAnsi="Times New Roman" w:cs="宋体"/>
          <w:b/>
          <w:bCs/>
          <w:color w:val="auto"/>
          <w:sz w:val="28"/>
          <w:szCs w:val="28"/>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兴国石油分公司隆坪加油站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2" w:name="_Toc1331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3" w:name="_Toc59160145"/>
      <w:bookmarkStart w:id="224" w:name="_Toc59160017"/>
      <w:bookmarkStart w:id="225" w:name="_Toc59245419"/>
      <w:bookmarkStart w:id="226" w:name="_Toc59508645"/>
      <w:bookmarkStart w:id="227" w:name="_Toc59092822"/>
      <w:bookmarkStart w:id="228" w:name="_Toc59087153"/>
      <w:bookmarkStart w:id="229" w:name="_Toc59091646"/>
      <w:bookmarkStart w:id="230" w:name="_Toc59092445"/>
      <w:bookmarkStart w:id="231" w:name="_Toc59160081"/>
      <w:bookmarkStart w:id="232" w:name="_Toc59091927"/>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FF0000"/>
          <w:kern w:val="36"/>
          <w:sz w:val="28"/>
          <w:szCs w:val="28"/>
        </w:rPr>
        <w:br w:type="page"/>
      </w:r>
      <w:bookmarkEnd w:id="205"/>
      <w:bookmarkEnd w:id="206"/>
      <w:bookmarkEnd w:id="207"/>
      <w:bookmarkStart w:id="233" w:name="_Toc343692278"/>
      <w:bookmarkStart w:id="234" w:name="_Toc7092"/>
      <w:bookmarkStart w:id="235" w:name="_Toc4276"/>
      <w:bookmarkStart w:id="236" w:name="_Toc20557"/>
      <w:r>
        <w:rPr>
          <w:rStyle w:val="34"/>
          <w:rFonts w:hint="eastAsia"/>
          <w:color w:val="auto"/>
        </w:rPr>
        <w:t>7</w:t>
      </w:r>
      <w:r>
        <w:rPr>
          <w:rStyle w:val="34"/>
          <w:color w:val="auto"/>
        </w:rPr>
        <w:t xml:space="preserve"> </w:t>
      </w:r>
      <w:r>
        <w:rPr>
          <w:rStyle w:val="34"/>
          <w:rFonts w:hint="eastAsia"/>
          <w:color w:val="auto"/>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rPr>
      </w:pPr>
      <w:bookmarkStart w:id="237" w:name="_Toc389504461"/>
      <w:bookmarkStart w:id="238" w:name="_Toc355248938"/>
      <w:bookmarkStart w:id="239" w:name="_Toc238875914"/>
      <w:bookmarkStart w:id="240" w:name="_Toc393417783"/>
      <w:bookmarkStart w:id="241" w:name="_Toc380625464"/>
      <w:bookmarkStart w:id="242" w:name="_Toc355257336"/>
      <w:bookmarkStart w:id="243" w:name="_Toc387237701"/>
      <w:bookmarkStart w:id="244" w:name="_Toc355737798"/>
      <w:bookmarkStart w:id="245" w:name="_Toc354428873"/>
      <w:bookmarkStart w:id="246" w:name="_Toc366836358"/>
      <w:bookmarkStart w:id="247" w:name="_Toc389504581"/>
      <w:bookmarkStart w:id="248" w:name="_Toc29915"/>
      <w:bookmarkStart w:id="249" w:name="_Toc388623391"/>
      <w:bookmarkStart w:id="250" w:name="_Toc281404722"/>
      <w:bookmarkStart w:id="251" w:name="_Toc355257333"/>
      <w:bookmarkStart w:id="252" w:name="_Toc357981665"/>
      <w:bookmarkStart w:id="253" w:name="_Toc239869791"/>
      <w:bookmarkStart w:id="254" w:name="_Toc355247532"/>
      <w:bookmarkStart w:id="255" w:name="_Toc355247596"/>
      <w:bookmarkStart w:id="256" w:name="_Toc357981459"/>
      <w:bookmarkStart w:id="257" w:name="_Toc357981462"/>
      <w:bookmarkStart w:id="258" w:name="_Toc355247535"/>
      <w:bookmarkStart w:id="259" w:name="_Toc281404720"/>
      <w:bookmarkStart w:id="260" w:name="_Toc389504183"/>
      <w:bookmarkStart w:id="261" w:name="_Toc355247593"/>
      <w:bookmarkStart w:id="262" w:name="_Toc393417644"/>
      <w:bookmarkStart w:id="263" w:name="_Toc380626557"/>
      <w:bookmarkStart w:id="264" w:name="_Toc271270917"/>
      <w:bookmarkStart w:id="265" w:name="_Toc389437342"/>
      <w:bookmarkStart w:id="266" w:name="_Toc355738333"/>
      <w:bookmarkStart w:id="267" w:name="_Toc226003735"/>
      <w:bookmarkStart w:id="268" w:name="_Toc354428876"/>
      <w:bookmarkStart w:id="269" w:name="_Toc355738330"/>
      <w:bookmarkStart w:id="270" w:name="_Toc380626618"/>
      <w:bookmarkStart w:id="271" w:name="_Toc355737801"/>
      <w:bookmarkStart w:id="272" w:name="_Toc5214"/>
      <w:bookmarkStart w:id="273" w:name="_Toc355248941"/>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兴国石油分公司隆坪加油站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兴国石油分公司隆坪加油站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兴国石油分公司隆坪加油站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兴国石油分公司隆坪加油站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4" w:name="_Toc31300"/>
      <w:bookmarkStart w:id="275" w:name="_Toc5675"/>
      <w:r>
        <w:rPr>
          <w:rFonts w:hint="eastAsia" w:ascii="宋体" w:hAnsi="宋体"/>
          <w:color w:val="auto"/>
          <w:sz w:val="32"/>
          <w:szCs w:val="32"/>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192FECB6">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47939065">
        <w:tblPrEx>
          <w:tblCellMar>
            <w:top w:w="0" w:type="dxa"/>
            <w:left w:w="108" w:type="dxa"/>
            <w:bottom w:w="0" w:type="dxa"/>
            <w:right w:w="108" w:type="dxa"/>
          </w:tblCellMar>
        </w:tblPrEx>
        <w:trPr>
          <w:jc w:val="center"/>
        </w:trPr>
        <w:tc>
          <w:tcPr>
            <w:tcW w:w="351" w:type="pct"/>
            <w:vAlign w:val="center"/>
          </w:tcPr>
          <w:p w14:paraId="28B8C2D2">
            <w:pPr>
              <w:numPr>
                <w:ilvl w:val="0"/>
                <w:numId w:val="16"/>
              </w:numPr>
              <w:rPr>
                <w:rFonts w:ascii="宋体" w:hAnsi="宋体"/>
                <w:color w:val="auto"/>
                <w:sz w:val="28"/>
                <w:szCs w:val="28"/>
              </w:rPr>
            </w:pPr>
          </w:p>
        </w:tc>
        <w:tc>
          <w:tcPr>
            <w:tcW w:w="4648" w:type="pct"/>
            <w:vAlign w:val="center"/>
          </w:tcPr>
          <w:p w14:paraId="67D5CF19">
            <w:pPr>
              <w:rPr>
                <w:rFonts w:hint="default" w:eastAsia="宋体"/>
                <w:color w:val="auto"/>
                <w:sz w:val="28"/>
                <w:szCs w:val="28"/>
                <w:lang w:val="en-US" w:eastAsia="zh-CN"/>
              </w:rPr>
            </w:pPr>
            <w:r>
              <w:rPr>
                <w:rFonts w:hint="eastAsia"/>
                <w:color w:val="auto"/>
                <w:sz w:val="28"/>
                <w:szCs w:val="28"/>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0FEE3C9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6227C55">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6A47E27">
      <w:pPr>
        <w:rPr>
          <w:rFonts w:hint="eastAsia" w:eastAsiaTheme="minorEastAsia"/>
          <w:color w:val="auto"/>
          <w:lang w:eastAsia="zh-CN"/>
        </w:rPr>
      </w:pPr>
    </w:p>
    <w:p w14:paraId="425A38A9">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6" name="图片 76" descr="wx_camera_177863728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wx_camera_1778637286764"/>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sectPr>
      <w:headerReference r:id="rId6" w:type="default"/>
      <w:footerReference r:id="rId7"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5DC45">
    <w:pPr>
      <w:pStyle w:val="14"/>
      <w:pBdr>
        <w:top w:val="single" w:color="auto" w:sz="4" w:space="1"/>
      </w:pBdr>
      <w:rPr>
        <w:rFonts w:ascii="宋体" w:hAnsi="宋体" w:cs="宋体"/>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E8E2E">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ij4t8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F3TVTqPjpx/fT&#10;z4fTr28EZxCotX6GuHuLyNC9Mx3aZjj3OIy8u8qp+AUjAj/kPV7kFV0gPF6aTqbTHC4O37ABfvZ4&#10;3Tof3gujSDQK6lC/JCs7bHzoQ4eQmE2bdSNlqqHUpC3o1es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Pi3ywCAABXBAAADgAAAAAAAAABACAAAAAfAQAAZHJzL2Uyb0RvYy54bWxQSwUGAAAAAAYA&#10;BgBZAQAAvQUAAAAA&#10;">
              <v:fill on="f" focussize="0,0"/>
              <v:stroke on="f" weight="0.5pt"/>
              <v:imagedata o:title=""/>
              <o:lock v:ext="edit" aspectratio="f"/>
              <v:textbox inset="0mm,0mm,0mm,0mm" style="mso-fit-shape-to-text:t;">
                <w:txbxContent>
                  <w:p w14:paraId="3DAE8E2E">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兴国隆坪加油站</w:t>
    </w:r>
    <w:r>
      <w:rPr>
        <w:rFonts w:hint="eastAsia" w:cs="宋体"/>
      </w:rPr>
      <w:t xml:space="preserve">安全设施符合性诊断及整改设计安全设施竣工验收评价报告   </w:t>
    </w:r>
    <w:r>
      <w:rPr>
        <w:rFonts w:hint="eastAsia" w:ascii="Times New Roman" w:hAnsi="Times New Roman" w:cs="Times New Roman"/>
        <w:lang w:eastAsia="zh-CN"/>
      </w:rPr>
      <w:t>GAAP</w:t>
    </w:r>
    <w:r>
      <w:rPr>
        <w:rFonts w:ascii="Times New Roman" w:hAnsi="Times New Roman" w:cs="Times New Roman"/>
      </w:rPr>
      <w:t>[202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0164</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E658">
    <w:pPr>
      <w:pStyle w:val="15"/>
      <w:jc w:val="left"/>
      <w:rPr>
        <w:rFonts w:cs="Times New Roman"/>
      </w:rPr>
    </w:pPr>
    <w:r>
      <w:rPr>
        <w:rFonts w:hint="eastAsia" w:cs="宋体"/>
      </w:rPr>
      <w:t>中石化江西赣州</w:t>
    </w:r>
    <w:r>
      <w:rPr>
        <w:rFonts w:hint="eastAsia" w:cs="宋体"/>
        <w:lang w:eastAsia="zh-CN"/>
      </w:rPr>
      <w:t>兴国隆坪加油站</w:t>
    </w:r>
    <w:r>
      <w:rPr>
        <w:rFonts w:hint="eastAsia" w:cs="宋体"/>
      </w:rPr>
      <w:t xml:space="preserve">安全设施符合性诊断及整改设计安全设施竣工验收评价报告   </w:t>
    </w:r>
    <w:r>
      <w:rPr>
        <w:rFonts w:hint="eastAsia" w:ascii="Times New Roman" w:hAnsi="Times New Roman" w:cs="Times New Roman"/>
        <w:lang w:eastAsia="zh-CN"/>
      </w:rPr>
      <w:t>GAAP</w:t>
    </w:r>
    <w:r>
      <w:rPr>
        <w:rFonts w:ascii="Times New Roman" w:hAnsi="Times New Roman" w:cs="Times New Roman"/>
      </w:rPr>
      <w:t>[202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0164</w:t>
    </w:r>
    <w:r>
      <w:rPr>
        <w:rFonts w:hint="eastAsia" w:cs="宋体"/>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46B4A4"/>
    <w:multiLevelType w:val="singleLevel"/>
    <w:tmpl w:val="A746B4A4"/>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
  </w:num>
  <w:num w:numId="4">
    <w:abstractNumId w:val="2"/>
  </w:num>
  <w:num w:numId="5">
    <w:abstractNumId w:val="14"/>
  </w:num>
  <w:num w:numId="6">
    <w:abstractNumId w:val="0"/>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0F363A"/>
    <w:rsid w:val="031158C7"/>
    <w:rsid w:val="035060C8"/>
    <w:rsid w:val="03B10EED"/>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7257D8"/>
    <w:rsid w:val="10E16B8A"/>
    <w:rsid w:val="11356CD5"/>
    <w:rsid w:val="115D26B4"/>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7CE31C3"/>
    <w:rsid w:val="18482C3A"/>
    <w:rsid w:val="18894028"/>
    <w:rsid w:val="18DD6D07"/>
    <w:rsid w:val="192D03A2"/>
    <w:rsid w:val="19DD52EC"/>
    <w:rsid w:val="1A063956"/>
    <w:rsid w:val="1A5B5714"/>
    <w:rsid w:val="1AC76DF0"/>
    <w:rsid w:val="1AD02A29"/>
    <w:rsid w:val="1AFC6A9A"/>
    <w:rsid w:val="1B19291E"/>
    <w:rsid w:val="1BA123B0"/>
    <w:rsid w:val="1BA43F54"/>
    <w:rsid w:val="1C1C1428"/>
    <w:rsid w:val="1C4346C6"/>
    <w:rsid w:val="1CDD12C2"/>
    <w:rsid w:val="1D906252"/>
    <w:rsid w:val="1DB10597"/>
    <w:rsid w:val="1E543774"/>
    <w:rsid w:val="1E6F1361"/>
    <w:rsid w:val="1EEC5F1F"/>
    <w:rsid w:val="1FB5426C"/>
    <w:rsid w:val="204721E4"/>
    <w:rsid w:val="20476A09"/>
    <w:rsid w:val="204A02A8"/>
    <w:rsid w:val="224C25C1"/>
    <w:rsid w:val="22F31550"/>
    <w:rsid w:val="234B4A63"/>
    <w:rsid w:val="23554D03"/>
    <w:rsid w:val="23DD3E1D"/>
    <w:rsid w:val="244A3F2C"/>
    <w:rsid w:val="24D863E2"/>
    <w:rsid w:val="24DE36B4"/>
    <w:rsid w:val="25665B84"/>
    <w:rsid w:val="25D42860"/>
    <w:rsid w:val="26366DDC"/>
    <w:rsid w:val="26414662"/>
    <w:rsid w:val="26F76F94"/>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B944D1"/>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81C345B"/>
    <w:rsid w:val="38677946"/>
    <w:rsid w:val="38B92091"/>
    <w:rsid w:val="390053EE"/>
    <w:rsid w:val="39070333"/>
    <w:rsid w:val="3913381F"/>
    <w:rsid w:val="39316051"/>
    <w:rsid w:val="39CF6DF4"/>
    <w:rsid w:val="3A0F1908"/>
    <w:rsid w:val="3A845288"/>
    <w:rsid w:val="3A874DFA"/>
    <w:rsid w:val="3AAE0EEB"/>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2079BC"/>
    <w:rsid w:val="483A0D83"/>
    <w:rsid w:val="48650A8D"/>
    <w:rsid w:val="48AB7403"/>
    <w:rsid w:val="48EA4432"/>
    <w:rsid w:val="48EB4379"/>
    <w:rsid w:val="49367F99"/>
    <w:rsid w:val="49BC705C"/>
    <w:rsid w:val="4A257073"/>
    <w:rsid w:val="4A7E5E83"/>
    <w:rsid w:val="4B096BFE"/>
    <w:rsid w:val="4B3814C1"/>
    <w:rsid w:val="4B506195"/>
    <w:rsid w:val="4C037D94"/>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5FC087E"/>
    <w:rsid w:val="56DC1833"/>
    <w:rsid w:val="57775044"/>
    <w:rsid w:val="57A0738E"/>
    <w:rsid w:val="57D936E4"/>
    <w:rsid w:val="57FF5F11"/>
    <w:rsid w:val="580753FD"/>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6E2768"/>
    <w:rsid w:val="5FA3754E"/>
    <w:rsid w:val="5FA94BFF"/>
    <w:rsid w:val="60D93EF7"/>
    <w:rsid w:val="61C815F8"/>
    <w:rsid w:val="621C0D9D"/>
    <w:rsid w:val="62380E16"/>
    <w:rsid w:val="62F16AC3"/>
    <w:rsid w:val="63F83144"/>
    <w:rsid w:val="64373C6C"/>
    <w:rsid w:val="644B5969"/>
    <w:rsid w:val="64E83A14"/>
    <w:rsid w:val="650521AA"/>
    <w:rsid w:val="651A4726"/>
    <w:rsid w:val="66665840"/>
    <w:rsid w:val="670D2DDD"/>
    <w:rsid w:val="686F6D95"/>
    <w:rsid w:val="68A40B37"/>
    <w:rsid w:val="68B82CC6"/>
    <w:rsid w:val="68BC085A"/>
    <w:rsid w:val="69141461"/>
    <w:rsid w:val="69C6749B"/>
    <w:rsid w:val="6A1F0A75"/>
    <w:rsid w:val="6A5E56C2"/>
    <w:rsid w:val="6ACE4BFE"/>
    <w:rsid w:val="6ADB330F"/>
    <w:rsid w:val="6AF331DF"/>
    <w:rsid w:val="6B5E5F7B"/>
    <w:rsid w:val="6BAE6F0A"/>
    <w:rsid w:val="6BF9414D"/>
    <w:rsid w:val="6CB23185"/>
    <w:rsid w:val="6D8D0DA1"/>
    <w:rsid w:val="6D940955"/>
    <w:rsid w:val="6DA947E3"/>
    <w:rsid w:val="6DEC6D14"/>
    <w:rsid w:val="6E6E06F7"/>
    <w:rsid w:val="6E9F6FDD"/>
    <w:rsid w:val="6EE76E86"/>
    <w:rsid w:val="6F651FD5"/>
    <w:rsid w:val="6F7F0E86"/>
    <w:rsid w:val="6FAC1AE5"/>
    <w:rsid w:val="708A757C"/>
    <w:rsid w:val="7151758B"/>
    <w:rsid w:val="71700044"/>
    <w:rsid w:val="71F10209"/>
    <w:rsid w:val="72F642DA"/>
    <w:rsid w:val="733323D9"/>
    <w:rsid w:val="73506D16"/>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5685</Words>
  <Characters>6749</Characters>
  <Lines>655</Lines>
  <Paragraphs>184</Paragraphs>
  <TotalTime>3</TotalTime>
  <ScaleCrop>false</ScaleCrop>
  <LinksUpToDate>false</LinksUpToDate>
  <CharactersWithSpaces>6939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2026-08-17T03:49:26Z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90C89C9A79F243BA9E99A1153FFE91B1_13</vt:lpwstr>
  </property>
  <property fmtid="{D5CDD505-2E9C-101B-9397-08002B2CF9AE}" pid="4" name="KSOTemplateDocerSaveRecord">
    <vt:lpwstr>eyJoZGlkIjoiY2UwNTVkYjdhMjkwMjZhNjhmMzMzNjMzMzk2ZjFhMWIiLCJ1c2VySWQiOiIyNzY5OTQ2MDUifQ==</vt:lpwstr>
  </property>
</Properties>
</file>