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612B7A">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eastAsia" w:ascii="宋体" w:hAnsi="宋体"/>
          <w:bCs/>
          <w:color w:val="auto"/>
          <w:sz w:val="44"/>
          <w:szCs w:val="44"/>
        </w:rPr>
      </w:pPr>
    </w:p>
    <w:p w14:paraId="39CE70DB">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eastAsia" w:ascii="宋体" w:hAnsi="宋体"/>
          <w:bCs/>
          <w:color w:val="auto"/>
          <w:sz w:val="44"/>
          <w:szCs w:val="44"/>
        </w:rPr>
      </w:pPr>
    </w:p>
    <w:p w14:paraId="56BB08C3">
      <w:pPr>
        <w:keepNext w:val="0"/>
        <w:keepLines w:val="0"/>
        <w:pageBreakBefore w:val="0"/>
        <w:widowControl w:val="0"/>
        <w:kinsoku/>
        <w:wordWrap/>
        <w:overflowPunct/>
        <w:topLinePunct w:val="0"/>
        <w:autoSpaceDE/>
        <w:autoSpaceDN/>
        <w:bidi w:val="0"/>
        <w:adjustRightInd/>
        <w:snapToGrid/>
        <w:spacing w:line="800" w:lineRule="exact"/>
        <w:ind w:firstLine="0" w:firstLineChars="0"/>
        <w:jc w:val="center"/>
        <w:textAlignment w:val="auto"/>
        <w:rPr>
          <w:rFonts w:hint="default" w:ascii="Times New Roman" w:hAnsi="Times New Roman" w:cs="Times New Roman"/>
          <w:b/>
          <w:bCs/>
          <w:color w:val="auto"/>
          <w:sz w:val="44"/>
          <w:szCs w:val="44"/>
        </w:rPr>
      </w:pPr>
      <w:r>
        <w:rPr>
          <w:rFonts w:hint="default" w:ascii="Times New Roman" w:hAnsi="Times New Roman" w:cs="Times New Roman"/>
          <w:b/>
          <w:bCs/>
          <w:color w:val="auto"/>
          <w:sz w:val="44"/>
          <w:szCs w:val="44"/>
        </w:rPr>
        <w:t>江西岿美山钨业有限公司</w:t>
      </w:r>
    </w:p>
    <w:p w14:paraId="3F4A4436">
      <w:pPr>
        <w:keepNext w:val="0"/>
        <w:keepLines w:val="0"/>
        <w:pageBreakBefore w:val="0"/>
        <w:widowControl w:val="0"/>
        <w:kinsoku/>
        <w:wordWrap/>
        <w:overflowPunct/>
        <w:topLinePunct w:val="0"/>
        <w:autoSpaceDE/>
        <w:autoSpaceDN/>
        <w:bidi w:val="0"/>
        <w:adjustRightInd/>
        <w:snapToGrid/>
        <w:spacing w:line="800" w:lineRule="exact"/>
        <w:ind w:firstLine="0" w:firstLineChars="0"/>
        <w:jc w:val="center"/>
        <w:textAlignment w:val="auto"/>
        <w:rPr>
          <w:rFonts w:hint="default" w:ascii="Times New Roman" w:hAnsi="Times New Roman" w:eastAsia="宋体" w:cs="Times New Roman"/>
          <w:b/>
          <w:bCs/>
          <w:color w:val="auto"/>
          <w:sz w:val="44"/>
          <w:szCs w:val="44"/>
          <w:lang w:val="en-US" w:eastAsia="zh-CN"/>
        </w:rPr>
      </w:pPr>
      <w:r>
        <w:rPr>
          <w:rFonts w:hint="default" w:ascii="Times New Roman" w:hAnsi="Times New Roman" w:eastAsia="宋体" w:cs="Times New Roman"/>
          <w:b/>
          <w:bCs/>
          <w:color w:val="auto"/>
          <w:sz w:val="44"/>
          <w:szCs w:val="44"/>
          <w:lang w:val="en-US" w:eastAsia="zh-CN"/>
        </w:rPr>
        <w:t>尾矿库闭库前</w:t>
      </w:r>
    </w:p>
    <w:p w14:paraId="1347AFBA">
      <w:pPr>
        <w:keepNext w:val="0"/>
        <w:keepLines w:val="0"/>
        <w:pageBreakBefore w:val="0"/>
        <w:widowControl w:val="0"/>
        <w:kinsoku/>
        <w:wordWrap/>
        <w:overflowPunct/>
        <w:topLinePunct w:val="0"/>
        <w:autoSpaceDE/>
        <w:autoSpaceDN/>
        <w:bidi w:val="0"/>
        <w:adjustRightInd/>
        <w:snapToGrid/>
        <w:spacing w:line="800" w:lineRule="exact"/>
        <w:ind w:firstLine="0" w:firstLineChars="0"/>
        <w:jc w:val="center"/>
        <w:textAlignment w:val="auto"/>
        <w:rPr>
          <w:rFonts w:hint="default" w:ascii="Times New Roman" w:hAnsi="Times New Roman" w:eastAsia="黑体" w:cs="Times New Roman"/>
          <w:b/>
          <w:color w:val="auto"/>
          <w:sz w:val="52"/>
          <w:szCs w:val="52"/>
        </w:rPr>
      </w:pPr>
      <w:r>
        <w:rPr>
          <w:rFonts w:hint="default" w:ascii="Times New Roman" w:hAnsi="Times New Roman" w:eastAsia="黑体" w:cs="Times New Roman"/>
          <w:b/>
          <w:color w:val="auto"/>
          <w:sz w:val="52"/>
          <w:szCs w:val="52"/>
        </w:rPr>
        <w:t>安全现状评价报告</w:t>
      </w:r>
    </w:p>
    <w:p w14:paraId="7270E97C">
      <w:pPr>
        <w:keepNext w:val="0"/>
        <w:keepLines w:val="0"/>
        <w:pageBreakBefore w:val="0"/>
        <w:widowControl w:val="0"/>
        <w:kinsoku/>
        <w:wordWrap/>
        <w:overflowPunct/>
        <w:topLinePunct w:val="0"/>
        <w:autoSpaceDE/>
        <w:autoSpaceDN/>
        <w:bidi w:val="0"/>
        <w:adjustRightInd/>
        <w:snapToGrid/>
        <w:spacing w:line="800" w:lineRule="exact"/>
        <w:ind w:firstLine="0" w:firstLineChars="0"/>
        <w:jc w:val="center"/>
        <w:textAlignment w:val="auto"/>
        <w:rPr>
          <w:rFonts w:hint="eastAsia" w:ascii="Times New Roman" w:hAnsi="Times New Roman" w:eastAsia="宋体" w:cs="Times New Roman"/>
          <w:b/>
          <w:bCs/>
          <w:color w:val="auto"/>
          <w:sz w:val="44"/>
          <w:szCs w:val="44"/>
          <w:lang w:eastAsia="zh-CN"/>
        </w:rPr>
      </w:pPr>
      <w:r>
        <w:rPr>
          <w:rFonts w:hint="eastAsia" w:ascii="Times New Roman" w:hAnsi="Times New Roman" w:eastAsia="宋体" w:cs="Times New Roman"/>
          <w:b/>
          <w:bCs/>
          <w:color w:val="auto"/>
          <w:sz w:val="44"/>
          <w:szCs w:val="44"/>
          <w:lang w:val="en-US" w:eastAsia="zh-CN"/>
        </w:rPr>
        <w:t>（</w:t>
      </w:r>
      <w:r>
        <w:rPr>
          <w:rFonts w:hint="eastAsia" w:cs="Times New Roman"/>
          <w:b/>
          <w:bCs/>
          <w:color w:val="auto"/>
          <w:sz w:val="44"/>
          <w:szCs w:val="44"/>
          <w:lang w:val="en-US" w:eastAsia="zh-CN"/>
        </w:rPr>
        <w:t>终</w:t>
      </w:r>
      <w:r>
        <w:rPr>
          <w:rFonts w:hint="eastAsia" w:ascii="Times New Roman" w:hAnsi="Times New Roman" w:eastAsia="宋体" w:cs="Times New Roman"/>
          <w:b/>
          <w:bCs/>
          <w:color w:val="auto"/>
          <w:sz w:val="44"/>
          <w:szCs w:val="44"/>
          <w:lang w:val="en-US" w:eastAsia="zh-CN"/>
        </w:rPr>
        <w:t>稿</w:t>
      </w:r>
      <w:r>
        <w:rPr>
          <w:rFonts w:hint="eastAsia" w:ascii="Times New Roman" w:hAnsi="Times New Roman" w:eastAsia="宋体" w:cs="Times New Roman"/>
          <w:b/>
          <w:bCs/>
          <w:color w:val="auto"/>
          <w:sz w:val="44"/>
          <w:szCs w:val="44"/>
          <w:lang w:val="en-US" w:eastAsia="zh-CN"/>
        </w:rPr>
        <w:t>）</w:t>
      </w:r>
    </w:p>
    <w:p w14:paraId="3EC5145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color w:val="auto"/>
          <w:sz w:val="44"/>
          <w:szCs w:val="44"/>
        </w:rPr>
      </w:pPr>
    </w:p>
    <w:p w14:paraId="3A35736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color w:val="auto"/>
          <w:sz w:val="32"/>
          <w:szCs w:val="32"/>
        </w:rPr>
      </w:pPr>
    </w:p>
    <w:p w14:paraId="3F0ECA7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color w:val="auto"/>
          <w:sz w:val="32"/>
          <w:szCs w:val="32"/>
        </w:rPr>
      </w:pPr>
    </w:p>
    <w:p w14:paraId="5EF0395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color w:val="auto"/>
          <w:sz w:val="32"/>
          <w:szCs w:val="32"/>
        </w:rPr>
      </w:pPr>
    </w:p>
    <w:p w14:paraId="2CC9338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color w:val="auto"/>
          <w:sz w:val="32"/>
          <w:szCs w:val="32"/>
        </w:rPr>
      </w:pPr>
    </w:p>
    <w:p w14:paraId="242BB8F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color w:val="auto"/>
          <w:sz w:val="32"/>
          <w:szCs w:val="32"/>
        </w:rPr>
      </w:pPr>
    </w:p>
    <w:p w14:paraId="594A6DE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color w:val="auto"/>
          <w:sz w:val="32"/>
          <w:szCs w:val="32"/>
        </w:rPr>
      </w:pPr>
    </w:p>
    <w:p w14:paraId="1864513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bCs/>
          <w:color w:val="auto"/>
          <w:sz w:val="32"/>
          <w:szCs w:val="32"/>
        </w:rPr>
      </w:pPr>
    </w:p>
    <w:p w14:paraId="65428B0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bCs/>
          <w:color w:val="auto"/>
          <w:sz w:val="32"/>
          <w:szCs w:val="32"/>
        </w:rPr>
      </w:pPr>
    </w:p>
    <w:p w14:paraId="3C73D3C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bCs/>
          <w:color w:val="auto"/>
          <w:sz w:val="32"/>
          <w:szCs w:val="32"/>
        </w:rPr>
      </w:pPr>
    </w:p>
    <w:p w14:paraId="0D50469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bCs/>
          <w:color w:val="auto"/>
          <w:sz w:val="44"/>
          <w:szCs w:val="44"/>
        </w:rPr>
      </w:pPr>
      <w:r>
        <w:rPr>
          <w:rFonts w:hint="default" w:ascii="Times New Roman" w:hAnsi="Times New Roman" w:cs="Times New Roman"/>
          <w:b/>
          <w:bCs/>
          <w:color w:val="auto"/>
          <w:sz w:val="44"/>
          <w:szCs w:val="44"/>
        </w:rPr>
        <w:t>江西赣安安全生产科学技术咨询服务中心</w:t>
      </w:r>
    </w:p>
    <w:p w14:paraId="1C52E7B7">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b/>
          <w:bCs/>
          <w:color w:val="auto"/>
          <w:sz w:val="32"/>
        </w:rPr>
      </w:pPr>
      <w:r>
        <w:rPr>
          <w:rFonts w:hint="eastAsia" w:ascii="Times New Roman" w:hAnsi="Times New Roman" w:eastAsia="宋体" w:cs="Times New Roman"/>
          <w:b/>
          <w:bCs/>
          <w:color w:val="auto"/>
          <w:sz w:val="32"/>
        </w:rPr>
        <w:t>资质证书编号：</w:t>
      </w:r>
      <w:r>
        <w:rPr>
          <w:rFonts w:ascii="Times New Roman" w:hAnsi="Times New Roman" w:eastAsia="宋体" w:cs="Times New Roman"/>
          <w:b/>
          <w:bCs/>
          <w:color w:val="auto"/>
          <w:sz w:val="32"/>
        </w:rPr>
        <w:t>APJ</w:t>
      </w:r>
      <w:r>
        <w:rPr>
          <w:rFonts w:hint="eastAsia" w:ascii="Times New Roman" w:hAnsi="Times New Roman" w:eastAsia="宋体" w:cs="Times New Roman"/>
          <w:b/>
          <w:bCs/>
          <w:color w:val="auto"/>
          <w:sz w:val="32"/>
        </w:rPr>
        <w:t>-（赣）-002</w:t>
      </w:r>
    </w:p>
    <w:p w14:paraId="4572515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Times New Roman"/>
          <w:b/>
          <w:bCs/>
          <w:color w:val="FF0000"/>
          <w:sz w:val="32"/>
          <w:szCs w:val="32"/>
          <w:lang w:val="en-US" w:eastAsia="zh-CN"/>
        </w:rPr>
      </w:pPr>
      <w:r>
        <w:rPr>
          <w:rFonts w:hint="default" w:ascii="Times New Roman" w:hAnsi="Times New Roman" w:cs="Times New Roman"/>
          <w:b/>
          <w:bCs/>
          <w:color w:val="FF0000"/>
          <w:sz w:val="32"/>
          <w:szCs w:val="32"/>
        </w:rPr>
        <w:t>202</w:t>
      </w:r>
      <w:r>
        <w:rPr>
          <w:rFonts w:hint="eastAsia" w:cs="Times New Roman"/>
          <w:b/>
          <w:bCs/>
          <w:color w:val="FF0000"/>
          <w:sz w:val="32"/>
          <w:szCs w:val="32"/>
          <w:lang w:val="en-US" w:eastAsia="zh-CN"/>
        </w:rPr>
        <w:t>6</w:t>
      </w:r>
      <w:r>
        <w:rPr>
          <w:rFonts w:hint="default" w:ascii="Times New Roman" w:hAnsi="Times New Roman" w:cs="Times New Roman"/>
          <w:b/>
          <w:bCs/>
          <w:color w:val="FF0000"/>
          <w:sz w:val="32"/>
          <w:szCs w:val="32"/>
        </w:rPr>
        <w:t>年</w:t>
      </w:r>
      <w:r>
        <w:rPr>
          <w:rFonts w:hint="eastAsia" w:cs="Times New Roman"/>
          <w:b/>
          <w:bCs/>
          <w:color w:val="FF0000"/>
          <w:sz w:val="32"/>
          <w:szCs w:val="32"/>
          <w:lang w:val="en-US" w:eastAsia="zh-CN"/>
        </w:rPr>
        <w:t>08</w:t>
      </w:r>
      <w:r>
        <w:rPr>
          <w:rFonts w:hint="default" w:ascii="Times New Roman" w:hAnsi="Times New Roman" w:cs="Times New Roman"/>
          <w:b/>
          <w:bCs/>
          <w:color w:val="FF0000"/>
          <w:sz w:val="32"/>
          <w:szCs w:val="32"/>
        </w:rPr>
        <w:t>月</w:t>
      </w:r>
      <w:r>
        <w:rPr>
          <w:rFonts w:hint="eastAsia" w:cs="Times New Roman"/>
          <w:b/>
          <w:bCs/>
          <w:color w:val="FF0000"/>
          <w:sz w:val="32"/>
          <w:szCs w:val="32"/>
          <w:lang w:val="en-US" w:eastAsia="zh-CN"/>
        </w:rPr>
        <w:t>20日</w:t>
      </w:r>
    </w:p>
    <w:p w14:paraId="22CB7C3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Times New Roman"/>
          <w:b/>
          <w:bCs/>
          <w:color w:val="auto"/>
          <w:sz w:val="32"/>
          <w:szCs w:val="32"/>
          <w:lang w:val="en-US" w:eastAsia="zh-CN"/>
        </w:rPr>
      </w:pPr>
    </w:p>
    <w:p w14:paraId="252DAF3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s="Times New Roman"/>
          <w:b/>
          <w:bCs/>
          <w:color w:val="auto"/>
          <w:sz w:val="32"/>
          <w:szCs w:val="32"/>
          <w:lang w:val="en-US" w:eastAsia="zh-CN"/>
        </w:rPr>
      </w:pPr>
    </w:p>
    <w:p w14:paraId="2479FDA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s="Times New Roman"/>
          <w:b/>
          <w:bCs/>
          <w:color w:val="auto"/>
          <w:sz w:val="32"/>
          <w:szCs w:val="32"/>
          <w:lang w:val="en-US" w:eastAsia="zh-CN"/>
        </w:rPr>
        <w:sectPr>
          <w:headerReference r:id="rId6" w:type="first"/>
          <w:headerReference r:id="rId5" w:type="default"/>
          <w:footerReference r:id="rId7" w:type="default"/>
          <w:pgSz w:w="11906" w:h="16838"/>
          <w:pgMar w:top="1418" w:right="1418" w:bottom="1418" w:left="1418" w:header="851" w:footer="992" w:gutter="0"/>
          <w:pgBorders>
            <w:top w:val="none" w:sz="0" w:space="0"/>
            <w:left w:val="none" w:sz="0" w:space="0"/>
            <w:bottom w:val="none" w:sz="0" w:space="0"/>
            <w:right w:val="none" w:sz="0" w:space="0"/>
          </w:pgBorders>
          <w:pgNumType w:fmt="upperRoman"/>
          <w:cols w:space="720" w:num="1"/>
          <w:titlePg/>
          <w:docGrid w:type="lines" w:linePitch="312" w:charSpace="0"/>
        </w:sectPr>
      </w:pPr>
    </w:p>
    <w:p w14:paraId="00FB85C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bCs/>
          <w:color w:val="auto"/>
          <w:sz w:val="32"/>
        </w:rPr>
      </w:pPr>
    </w:p>
    <w:p w14:paraId="575D4571">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cs="Times New Roman"/>
          <w:b/>
          <w:bCs/>
          <w:color w:val="auto"/>
          <w:sz w:val="32"/>
        </w:rPr>
      </w:pPr>
    </w:p>
    <w:p w14:paraId="0B34ACE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江西岿美山钨业有限公司</w:t>
      </w:r>
    </w:p>
    <w:p w14:paraId="136871F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b/>
          <w:bCs/>
          <w:color w:val="auto"/>
          <w:sz w:val="32"/>
          <w:szCs w:val="32"/>
        </w:rPr>
      </w:pPr>
      <w:r>
        <w:rPr>
          <w:rFonts w:hint="default" w:ascii="Times New Roman" w:hAnsi="Times New Roman" w:eastAsia="宋体" w:cs="Times New Roman"/>
          <w:b/>
          <w:bCs/>
          <w:color w:val="auto"/>
          <w:sz w:val="32"/>
          <w:szCs w:val="32"/>
        </w:rPr>
        <w:t>尾矿库闭库前</w:t>
      </w:r>
    </w:p>
    <w:p w14:paraId="35DEE9D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bCs/>
          <w:color w:val="auto"/>
          <w:sz w:val="44"/>
          <w:szCs w:val="44"/>
        </w:rPr>
      </w:pPr>
      <w:r>
        <w:rPr>
          <w:rFonts w:hint="default" w:ascii="Times New Roman" w:hAnsi="Times New Roman" w:cs="Times New Roman"/>
          <w:b/>
          <w:bCs/>
          <w:color w:val="auto"/>
          <w:sz w:val="44"/>
          <w:szCs w:val="44"/>
        </w:rPr>
        <w:t>安全现状评价报告</w:t>
      </w:r>
    </w:p>
    <w:p w14:paraId="1E3C640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color w:val="auto"/>
          <w:sz w:val="32"/>
          <w:szCs w:val="32"/>
        </w:rPr>
      </w:pPr>
      <w:r>
        <w:rPr>
          <w:rFonts w:hint="default" w:ascii="Times New Roman" w:hAnsi="Times New Roman" w:cs="Times New Roman"/>
          <w:b/>
          <w:color w:val="auto"/>
          <w:sz w:val="32"/>
          <w:szCs w:val="32"/>
        </w:rPr>
        <w:t>（</w:t>
      </w:r>
      <w:r>
        <w:rPr>
          <w:rFonts w:hint="default" w:ascii="Times New Roman" w:hAnsi="Times New Roman" w:cs="Times New Roman"/>
          <w:b/>
          <w:color w:val="auto"/>
          <w:sz w:val="32"/>
          <w:szCs w:val="32"/>
        </w:rPr>
        <w:t>终稿</w:t>
      </w:r>
      <w:r>
        <w:rPr>
          <w:rFonts w:hint="default" w:ascii="Times New Roman" w:hAnsi="Times New Roman" w:cs="Times New Roman"/>
          <w:b/>
          <w:color w:val="auto"/>
          <w:sz w:val="32"/>
          <w:szCs w:val="32"/>
        </w:rPr>
        <w:t>）</w:t>
      </w:r>
    </w:p>
    <w:p w14:paraId="412CD56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color w:val="auto"/>
          <w:sz w:val="32"/>
          <w:szCs w:val="32"/>
        </w:rPr>
      </w:pPr>
    </w:p>
    <w:p w14:paraId="066270F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color w:val="auto"/>
          <w:sz w:val="32"/>
          <w:szCs w:val="32"/>
        </w:rPr>
      </w:pPr>
    </w:p>
    <w:p w14:paraId="78D8DBF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color w:val="auto"/>
          <w:sz w:val="32"/>
          <w:szCs w:val="32"/>
        </w:rPr>
      </w:pPr>
    </w:p>
    <w:p w14:paraId="6C05AB3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color w:val="auto"/>
          <w:sz w:val="32"/>
          <w:szCs w:val="32"/>
        </w:rPr>
      </w:pPr>
    </w:p>
    <w:p w14:paraId="5277D48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color w:val="auto"/>
          <w:sz w:val="32"/>
          <w:szCs w:val="32"/>
        </w:rPr>
      </w:pPr>
    </w:p>
    <w:p w14:paraId="2282593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color w:val="auto"/>
          <w:sz w:val="32"/>
          <w:szCs w:val="32"/>
        </w:rPr>
      </w:pPr>
    </w:p>
    <w:p w14:paraId="53037EE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color w:val="auto"/>
          <w:sz w:val="32"/>
          <w:szCs w:val="32"/>
        </w:rPr>
      </w:pPr>
    </w:p>
    <w:p w14:paraId="2FAFF7C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color w:val="auto"/>
          <w:sz w:val="32"/>
          <w:szCs w:val="32"/>
        </w:rPr>
      </w:pPr>
    </w:p>
    <w:p w14:paraId="7C74B3C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color w:val="auto"/>
          <w:sz w:val="32"/>
          <w:szCs w:val="32"/>
        </w:rPr>
      </w:pPr>
    </w:p>
    <w:p w14:paraId="5C73C26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cs="Times New Roman"/>
          <w:color w:val="auto"/>
          <w:sz w:val="28"/>
          <w:szCs w:val="28"/>
        </w:rPr>
        <w:t>法 定 代 表 人：</w:t>
      </w:r>
      <w:r>
        <w:rPr>
          <w:rFonts w:hint="default" w:ascii="Times New Roman" w:hAnsi="Times New Roman" w:cs="Times New Roman"/>
          <w:color w:val="auto"/>
          <w:sz w:val="28"/>
          <w:szCs w:val="28"/>
          <w:lang w:val="en-US" w:eastAsia="zh-CN"/>
        </w:rPr>
        <w:t>应  宏</w:t>
      </w:r>
    </w:p>
    <w:p w14:paraId="450201E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cs="Times New Roman"/>
          <w:color w:val="auto"/>
          <w:sz w:val="28"/>
          <w:szCs w:val="28"/>
        </w:rPr>
        <w:t>技 术 负 责 人：</w:t>
      </w:r>
      <w:r>
        <w:rPr>
          <w:rFonts w:hint="eastAsia" w:cs="Times New Roman"/>
          <w:color w:val="auto"/>
          <w:sz w:val="28"/>
          <w:szCs w:val="28"/>
          <w:lang w:val="en-US" w:eastAsia="zh-CN"/>
        </w:rPr>
        <w:t>黄伯扬</w:t>
      </w:r>
    </w:p>
    <w:p w14:paraId="5C65D68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宋体" w:cs="Times New Roman"/>
          <w:color w:val="auto"/>
          <w:sz w:val="28"/>
          <w:szCs w:val="28"/>
          <w:lang w:val="en-US" w:eastAsia="zh-CN"/>
        </w:rPr>
      </w:pPr>
      <w:r>
        <w:rPr>
          <w:rFonts w:hint="default" w:ascii="Times New Roman" w:hAnsi="Times New Roman" w:cs="Times New Roman"/>
          <w:color w:val="auto"/>
          <w:sz w:val="28"/>
          <w:szCs w:val="28"/>
        </w:rPr>
        <w:t>评价项目负责人：</w:t>
      </w:r>
      <w:r>
        <w:rPr>
          <w:rFonts w:hint="eastAsia" w:cs="Times New Roman"/>
          <w:color w:val="auto"/>
          <w:sz w:val="28"/>
          <w:szCs w:val="28"/>
          <w:lang w:val="en-US" w:eastAsia="zh-CN"/>
        </w:rPr>
        <w:t>管自强</w:t>
      </w:r>
    </w:p>
    <w:p w14:paraId="2A55745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color w:val="auto"/>
        </w:rPr>
      </w:pPr>
    </w:p>
    <w:p w14:paraId="1FC3E08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bCs/>
          <w:color w:val="auto"/>
          <w:spacing w:val="20"/>
          <w:sz w:val="24"/>
        </w:rPr>
      </w:pPr>
      <w:r>
        <w:rPr>
          <w:rFonts w:hint="default" w:ascii="Times New Roman" w:hAnsi="Times New Roman" w:cs="Times New Roman"/>
          <w:b/>
          <w:bCs/>
          <w:color w:val="auto"/>
          <w:sz w:val="24"/>
        </w:rPr>
        <w:t>评价报告完成日期：</w:t>
      </w:r>
      <w:bookmarkStart w:id="645" w:name="_GoBack"/>
      <w:r>
        <w:rPr>
          <w:rFonts w:hint="default" w:ascii="Times New Roman" w:hAnsi="Times New Roman" w:cs="Times New Roman"/>
          <w:b/>
          <w:bCs/>
          <w:color w:val="FF0000"/>
          <w:spacing w:val="20"/>
          <w:sz w:val="24"/>
        </w:rPr>
        <w:t>2026年0</w:t>
      </w:r>
      <w:r>
        <w:rPr>
          <w:rFonts w:hint="eastAsia" w:cs="Times New Roman"/>
          <w:b/>
          <w:bCs/>
          <w:color w:val="FF0000"/>
          <w:spacing w:val="20"/>
          <w:sz w:val="24"/>
          <w:lang w:val="en-US" w:eastAsia="zh-CN"/>
        </w:rPr>
        <w:t>8</w:t>
      </w:r>
      <w:r>
        <w:rPr>
          <w:rFonts w:hint="default" w:ascii="Times New Roman" w:hAnsi="Times New Roman" w:cs="Times New Roman"/>
          <w:b/>
          <w:bCs/>
          <w:color w:val="FF0000"/>
          <w:spacing w:val="20"/>
          <w:sz w:val="24"/>
        </w:rPr>
        <w:t>月</w:t>
      </w:r>
      <w:r>
        <w:rPr>
          <w:rFonts w:hint="eastAsia" w:cs="Times New Roman"/>
          <w:b/>
          <w:bCs/>
          <w:color w:val="FF0000"/>
          <w:spacing w:val="20"/>
          <w:sz w:val="24"/>
          <w:lang w:val="en-US" w:eastAsia="zh-CN"/>
        </w:rPr>
        <w:t>20</w:t>
      </w:r>
      <w:r>
        <w:rPr>
          <w:rFonts w:hint="default" w:ascii="Times New Roman" w:hAnsi="Times New Roman" w:cs="Times New Roman"/>
          <w:b/>
          <w:bCs/>
          <w:color w:val="FF0000"/>
          <w:spacing w:val="20"/>
          <w:sz w:val="24"/>
        </w:rPr>
        <w:t>日</w:t>
      </w:r>
      <w:bookmarkEnd w:id="645"/>
    </w:p>
    <w:p w14:paraId="7E3BB305">
      <w:pPr>
        <w:ind w:left="0" w:leftChars="0" w:firstLine="0" w:firstLineChars="0"/>
        <w:jc w:val="center"/>
        <w:rPr>
          <w:rFonts w:hint="eastAsia" w:eastAsia="黑体"/>
          <w:b/>
          <w:color w:val="auto"/>
          <w:sz w:val="44"/>
          <w:szCs w:val="44"/>
        </w:rPr>
      </w:pPr>
    </w:p>
    <w:p w14:paraId="367094A2">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0" w:firstLineChars="0"/>
        <w:jc w:val="center"/>
        <w:textAlignment w:val="auto"/>
        <w:rPr>
          <w:rFonts w:hAnsi="宋体"/>
          <w:b/>
          <w:color w:val="auto"/>
          <w:sz w:val="32"/>
          <w:szCs w:val="32"/>
        </w:rPr>
      </w:pPr>
      <w:r>
        <w:rPr>
          <w:rFonts w:hAnsi="宋体"/>
          <w:b/>
          <w:color w:val="auto"/>
          <w:sz w:val="32"/>
          <w:szCs w:val="32"/>
        </w:rPr>
        <w:br w:type="page"/>
      </w:r>
    </w:p>
    <w:p w14:paraId="6C6C5378">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0" w:firstLineChars="0"/>
        <w:jc w:val="center"/>
        <w:textAlignment w:val="auto"/>
        <w:rPr>
          <w:rFonts w:hint="default" w:ascii="Times New Roman" w:hAnsi="Times New Roman" w:cs="Times New Roman"/>
          <w:b/>
          <w:bCs/>
          <w:color w:val="auto"/>
          <w:sz w:val="36"/>
          <w:szCs w:val="36"/>
        </w:rPr>
      </w:pPr>
      <w:r>
        <w:rPr>
          <w:rFonts w:hint="default" w:ascii="Times New Roman" w:hAnsi="Times New Roman" w:cs="Times New Roman"/>
          <w:b/>
          <w:bCs/>
          <w:color w:val="auto"/>
          <w:sz w:val="36"/>
          <w:szCs w:val="36"/>
        </w:rPr>
        <w:t>江西岿美山钨业有限公司</w:t>
      </w:r>
    </w:p>
    <w:p w14:paraId="158FCCB2">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0" w:firstLineChars="0"/>
        <w:jc w:val="center"/>
        <w:textAlignment w:val="auto"/>
        <w:rPr>
          <w:rFonts w:hint="default" w:ascii="Times New Roman" w:hAnsi="Times New Roman" w:eastAsia="宋体" w:cs="Times New Roman"/>
          <w:b/>
          <w:bCs/>
          <w:color w:val="auto"/>
          <w:sz w:val="36"/>
          <w:szCs w:val="36"/>
          <w:lang w:val="en-US" w:eastAsia="zh-CN"/>
        </w:rPr>
      </w:pPr>
      <w:r>
        <w:rPr>
          <w:rFonts w:hint="default" w:ascii="Times New Roman" w:hAnsi="Times New Roman" w:eastAsia="宋体" w:cs="Times New Roman"/>
          <w:b/>
          <w:bCs/>
          <w:color w:val="auto"/>
          <w:sz w:val="36"/>
          <w:szCs w:val="36"/>
          <w:lang w:val="en-US" w:eastAsia="zh-CN"/>
        </w:rPr>
        <w:t>尾矿库闭库前</w:t>
      </w:r>
    </w:p>
    <w:p w14:paraId="3D064A79">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0" w:firstLineChars="0"/>
        <w:jc w:val="center"/>
        <w:textAlignment w:val="auto"/>
        <w:rPr>
          <w:rFonts w:hint="default" w:ascii="Times New Roman" w:hAnsi="Times New Roman" w:cs="Times New Roman"/>
          <w:b/>
          <w:bCs/>
          <w:color w:val="auto"/>
          <w:kern w:val="0"/>
          <w:sz w:val="36"/>
          <w:szCs w:val="36"/>
        </w:rPr>
      </w:pPr>
      <w:r>
        <w:rPr>
          <w:rFonts w:hint="default" w:ascii="Times New Roman" w:hAnsi="Times New Roman" w:cs="Times New Roman"/>
          <w:b/>
          <w:bCs/>
          <w:color w:val="auto"/>
          <w:kern w:val="0"/>
          <w:sz w:val="36"/>
          <w:szCs w:val="36"/>
        </w:rPr>
        <w:t>安全现状评价技术服务承诺书</w:t>
      </w:r>
    </w:p>
    <w:p w14:paraId="0760036A">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0" w:firstLineChars="0"/>
        <w:jc w:val="center"/>
        <w:textAlignment w:val="auto"/>
        <w:rPr>
          <w:rFonts w:hint="default" w:ascii="Times New Roman" w:hAnsi="Times New Roman" w:cs="Times New Roman"/>
          <w:color w:val="auto"/>
          <w:kern w:val="0"/>
          <w:sz w:val="36"/>
          <w:szCs w:val="36"/>
        </w:rPr>
      </w:pPr>
    </w:p>
    <w:p w14:paraId="414E01D0">
      <w:pPr>
        <w:keepNext w:val="0"/>
        <w:keepLines w:val="0"/>
        <w:pageBreakBefore w:val="0"/>
        <w:widowControl/>
        <w:kinsoku/>
        <w:wordWrap/>
        <w:overflowPunct/>
        <w:topLinePunct w:val="0"/>
        <w:autoSpaceDE/>
        <w:autoSpaceDN/>
        <w:bidi w:val="0"/>
        <w:adjustRightInd w:val="0"/>
        <w:snapToGrid w:val="0"/>
        <w:spacing w:line="480" w:lineRule="auto"/>
        <w:ind w:firstLine="640" w:firstLineChars="200"/>
        <w:textAlignment w:val="auto"/>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一、在本项目安全</w:t>
      </w:r>
      <w:r>
        <w:rPr>
          <w:rFonts w:hint="eastAsia" w:ascii="仿宋" w:hAnsi="仿宋" w:eastAsia="仿宋" w:cs="宋体"/>
          <w:color w:val="auto"/>
          <w:kern w:val="0"/>
          <w:sz w:val="32"/>
          <w:szCs w:val="32"/>
          <w:lang w:eastAsia="zh-CN"/>
        </w:rPr>
        <w:t>评</w:t>
      </w:r>
      <w:r>
        <w:rPr>
          <w:rFonts w:hint="eastAsia" w:ascii="仿宋" w:hAnsi="仿宋" w:eastAsia="仿宋" w:cs="宋体"/>
          <w:color w:val="auto"/>
          <w:kern w:val="0"/>
          <w:sz w:val="32"/>
          <w:szCs w:val="32"/>
          <w:lang w:val="en-US" w:eastAsia="zh-CN"/>
        </w:rPr>
        <w:t>价</w:t>
      </w:r>
      <w:r>
        <w:rPr>
          <w:rFonts w:hint="eastAsia" w:ascii="仿宋" w:hAnsi="仿宋" w:eastAsia="仿宋" w:cs="宋体"/>
          <w:color w:val="auto"/>
          <w:kern w:val="0"/>
          <w:sz w:val="32"/>
          <w:szCs w:val="32"/>
        </w:rPr>
        <w:t>活动过程中，我单位严格遵守《安全生产法》及相关法律、法规和标准的要求。</w:t>
      </w:r>
    </w:p>
    <w:p w14:paraId="7834A0FF">
      <w:pPr>
        <w:keepNext w:val="0"/>
        <w:keepLines w:val="0"/>
        <w:pageBreakBefore w:val="0"/>
        <w:widowControl/>
        <w:kinsoku/>
        <w:wordWrap/>
        <w:overflowPunct/>
        <w:topLinePunct w:val="0"/>
        <w:autoSpaceDE/>
        <w:autoSpaceDN/>
        <w:bidi w:val="0"/>
        <w:adjustRightInd w:val="0"/>
        <w:snapToGrid w:val="0"/>
        <w:spacing w:line="480" w:lineRule="auto"/>
        <w:ind w:firstLine="640" w:firstLineChars="200"/>
        <w:textAlignment w:val="auto"/>
        <w:rPr>
          <w:rFonts w:hint="eastAsia" w:ascii="宋体" w:hAnsi="宋体" w:eastAsia="宋体" w:cs="宋体"/>
          <w:color w:val="auto"/>
          <w:kern w:val="0"/>
          <w:sz w:val="36"/>
          <w:szCs w:val="36"/>
        </w:rPr>
      </w:pPr>
      <w:r>
        <w:rPr>
          <w:rFonts w:hint="eastAsia" w:ascii="仿宋" w:hAnsi="仿宋" w:eastAsia="仿宋" w:cs="宋体"/>
          <w:color w:val="auto"/>
          <w:kern w:val="0"/>
          <w:sz w:val="32"/>
          <w:szCs w:val="32"/>
        </w:rPr>
        <w:t>二、在本项目安全</w:t>
      </w:r>
      <w:r>
        <w:rPr>
          <w:rFonts w:hint="eastAsia" w:ascii="仿宋" w:hAnsi="仿宋" w:eastAsia="仿宋" w:cs="宋体"/>
          <w:color w:val="auto"/>
          <w:kern w:val="0"/>
          <w:sz w:val="32"/>
          <w:szCs w:val="32"/>
          <w:lang w:eastAsia="zh-CN"/>
        </w:rPr>
        <w:t>评</w:t>
      </w:r>
      <w:r>
        <w:rPr>
          <w:rFonts w:hint="eastAsia" w:ascii="仿宋" w:hAnsi="仿宋" w:eastAsia="仿宋" w:cs="宋体"/>
          <w:color w:val="auto"/>
          <w:kern w:val="0"/>
          <w:sz w:val="32"/>
          <w:szCs w:val="32"/>
          <w:lang w:val="en-US" w:eastAsia="zh-CN"/>
        </w:rPr>
        <w:t>价</w:t>
      </w:r>
      <w:r>
        <w:rPr>
          <w:rFonts w:hint="eastAsia" w:ascii="仿宋" w:hAnsi="仿宋" w:eastAsia="仿宋" w:cs="宋体"/>
          <w:color w:val="auto"/>
          <w:kern w:val="0"/>
          <w:sz w:val="32"/>
          <w:szCs w:val="32"/>
        </w:rPr>
        <w:t>活动过程中，我单位作为第三方，未受到任何组织和个人的干预和影响，依法独立开展工作，保证了技术服务活动的客观公正性。</w:t>
      </w:r>
    </w:p>
    <w:p w14:paraId="291F2D4A">
      <w:pPr>
        <w:keepNext w:val="0"/>
        <w:keepLines w:val="0"/>
        <w:pageBreakBefore w:val="0"/>
        <w:widowControl/>
        <w:kinsoku/>
        <w:wordWrap/>
        <w:overflowPunct/>
        <w:topLinePunct w:val="0"/>
        <w:autoSpaceDE/>
        <w:autoSpaceDN/>
        <w:bidi w:val="0"/>
        <w:adjustRightInd w:val="0"/>
        <w:snapToGrid w:val="0"/>
        <w:spacing w:line="480" w:lineRule="auto"/>
        <w:ind w:firstLine="640" w:firstLineChars="200"/>
        <w:jc w:val="left"/>
        <w:textAlignment w:val="auto"/>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三、我单位按照实事求是的原则，对本项目进行安全</w:t>
      </w:r>
      <w:r>
        <w:rPr>
          <w:rFonts w:hint="eastAsia" w:ascii="仿宋" w:hAnsi="仿宋" w:eastAsia="仿宋" w:cs="宋体"/>
          <w:color w:val="auto"/>
          <w:kern w:val="0"/>
          <w:sz w:val="32"/>
          <w:szCs w:val="32"/>
          <w:lang w:val="en-US" w:eastAsia="zh-CN"/>
        </w:rPr>
        <w:t>评价</w:t>
      </w:r>
      <w:r>
        <w:rPr>
          <w:rFonts w:hint="eastAsia" w:ascii="仿宋" w:hAnsi="仿宋" w:eastAsia="仿宋" w:cs="宋体"/>
          <w:color w:val="auto"/>
          <w:kern w:val="0"/>
          <w:sz w:val="32"/>
          <w:szCs w:val="32"/>
        </w:rPr>
        <w:t>，确保出具的报告均真实有效，报告所提出的措施具有针对性、有效性和可行性。</w:t>
      </w:r>
    </w:p>
    <w:p w14:paraId="67BAE0F4">
      <w:pPr>
        <w:keepNext w:val="0"/>
        <w:keepLines w:val="0"/>
        <w:pageBreakBefore w:val="0"/>
        <w:widowControl/>
        <w:kinsoku/>
        <w:wordWrap/>
        <w:overflowPunct/>
        <w:topLinePunct w:val="0"/>
        <w:autoSpaceDE/>
        <w:autoSpaceDN/>
        <w:bidi w:val="0"/>
        <w:adjustRightInd w:val="0"/>
        <w:snapToGrid w:val="0"/>
        <w:spacing w:line="480" w:lineRule="auto"/>
        <w:ind w:firstLine="640" w:firstLineChars="200"/>
        <w:jc w:val="left"/>
        <w:textAlignment w:val="auto"/>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四、我单位对本项目安全</w:t>
      </w:r>
      <w:r>
        <w:rPr>
          <w:rFonts w:hint="eastAsia" w:ascii="仿宋" w:hAnsi="仿宋" w:eastAsia="仿宋" w:cs="宋体"/>
          <w:color w:val="auto"/>
          <w:kern w:val="0"/>
          <w:sz w:val="32"/>
          <w:szCs w:val="32"/>
          <w:lang w:eastAsia="zh-CN"/>
        </w:rPr>
        <w:t>评</w:t>
      </w:r>
      <w:r>
        <w:rPr>
          <w:rFonts w:hint="eastAsia" w:ascii="仿宋" w:hAnsi="仿宋" w:eastAsia="仿宋" w:cs="宋体"/>
          <w:color w:val="auto"/>
          <w:kern w:val="0"/>
          <w:sz w:val="32"/>
          <w:szCs w:val="32"/>
          <w:lang w:val="en-US" w:eastAsia="zh-CN"/>
        </w:rPr>
        <w:t>价</w:t>
      </w:r>
      <w:r>
        <w:rPr>
          <w:rFonts w:hint="eastAsia" w:ascii="仿宋" w:hAnsi="仿宋" w:eastAsia="仿宋" w:cs="宋体"/>
          <w:color w:val="auto"/>
          <w:kern w:val="0"/>
          <w:sz w:val="32"/>
          <w:szCs w:val="32"/>
        </w:rPr>
        <w:t>报告中结论性内容承担法律责任。</w:t>
      </w:r>
    </w:p>
    <w:p w14:paraId="45124403">
      <w:pPr>
        <w:widowControl/>
        <w:wordWrap w:val="0"/>
        <w:spacing w:before="100" w:beforeAutospacing="1" w:after="100" w:afterAutospacing="1" w:line="425" w:lineRule="auto"/>
        <w:ind w:left="5918" w:leftChars="228" w:hanging="5280" w:hangingChars="1650"/>
        <w:jc w:val="left"/>
        <w:rPr>
          <w:rFonts w:hint="default" w:ascii="Times New Roman" w:hAnsi="Times New Roman" w:cs="Times New Roman"/>
          <w:color w:val="auto"/>
          <w:kern w:val="0"/>
          <w:sz w:val="32"/>
          <w:szCs w:val="32"/>
        </w:rPr>
      </w:pPr>
      <w:r>
        <w:rPr>
          <w:rFonts w:hint="default" w:ascii="Times New Roman" w:hAnsi="Times New Roman" w:cs="Times New Roman"/>
          <w:color w:val="auto"/>
          <w:kern w:val="0"/>
          <w:sz w:val="32"/>
          <w:szCs w:val="32"/>
        </w:rPr>
        <w:t xml:space="preserve">                </w:t>
      </w:r>
      <w:r>
        <w:rPr>
          <w:rFonts w:hint="default" w:ascii="Times New Roman" w:hAnsi="Times New Roman" w:cs="Times New Roman"/>
          <w:color w:val="auto"/>
          <w:sz w:val="28"/>
          <w:szCs w:val="28"/>
        </w:rPr>
        <w:t>江西赣安安全生产科学技术咨询服务中心</w:t>
      </w:r>
    </w:p>
    <w:p w14:paraId="0EA18BF2">
      <w:pPr>
        <w:keepNext w:val="0"/>
        <w:keepLines w:val="0"/>
        <w:pageBreakBefore w:val="0"/>
        <w:widowControl/>
        <w:kinsoku/>
        <w:wordWrap/>
        <w:overflowPunct/>
        <w:topLinePunct w:val="0"/>
        <w:autoSpaceDE/>
        <w:autoSpaceDN/>
        <w:bidi w:val="0"/>
        <w:adjustRightInd/>
        <w:snapToGrid/>
        <w:spacing w:before="100" w:beforeAutospacing="1" w:after="100" w:afterAutospacing="1" w:line="425" w:lineRule="auto"/>
        <w:ind w:firstLine="0" w:firstLineChars="0"/>
        <w:jc w:val="center"/>
        <w:textAlignment w:val="auto"/>
        <w:rPr>
          <w:rFonts w:hint="default" w:ascii="Times New Roman" w:hAnsi="Times New Roman" w:cs="Times New Roman"/>
          <w:color w:val="auto"/>
          <w:kern w:val="0"/>
          <w:sz w:val="32"/>
          <w:szCs w:val="32"/>
        </w:rPr>
      </w:pPr>
      <w:r>
        <w:rPr>
          <w:rFonts w:hint="default" w:ascii="Times New Roman" w:hAnsi="Times New Roman" w:cs="Times New Roman"/>
          <w:color w:val="auto"/>
          <w:kern w:val="0"/>
          <w:sz w:val="32"/>
          <w:szCs w:val="32"/>
        </w:rPr>
        <w:t xml:space="preserve">              </w:t>
      </w:r>
      <w:r>
        <w:rPr>
          <w:rFonts w:hint="default" w:ascii="Times New Roman" w:hAnsi="Times New Roman" w:cs="Times New Roman"/>
          <w:color w:val="FF0000"/>
          <w:kern w:val="0"/>
          <w:sz w:val="32"/>
          <w:szCs w:val="32"/>
        </w:rPr>
        <w:t>2026年0</w:t>
      </w:r>
      <w:r>
        <w:rPr>
          <w:rFonts w:hint="eastAsia" w:cs="Times New Roman"/>
          <w:color w:val="FF0000"/>
          <w:kern w:val="0"/>
          <w:sz w:val="32"/>
          <w:szCs w:val="32"/>
          <w:lang w:val="en-US" w:eastAsia="zh-CN"/>
        </w:rPr>
        <w:t>8</w:t>
      </w:r>
      <w:r>
        <w:rPr>
          <w:rFonts w:hint="default" w:ascii="Times New Roman" w:hAnsi="Times New Roman" w:cs="Times New Roman"/>
          <w:color w:val="FF0000"/>
          <w:kern w:val="0"/>
          <w:sz w:val="32"/>
          <w:szCs w:val="32"/>
        </w:rPr>
        <w:t>月</w:t>
      </w:r>
      <w:r>
        <w:rPr>
          <w:rFonts w:hint="eastAsia" w:cs="Times New Roman"/>
          <w:color w:val="FF0000"/>
          <w:kern w:val="0"/>
          <w:sz w:val="32"/>
          <w:szCs w:val="32"/>
          <w:lang w:val="en-US" w:eastAsia="zh-CN"/>
        </w:rPr>
        <w:t>20</w:t>
      </w:r>
      <w:r>
        <w:rPr>
          <w:rFonts w:hint="default" w:ascii="Times New Roman" w:hAnsi="Times New Roman" w:cs="Times New Roman"/>
          <w:color w:val="FF0000"/>
          <w:kern w:val="0"/>
          <w:sz w:val="32"/>
          <w:szCs w:val="32"/>
        </w:rPr>
        <w:t>日</w:t>
      </w:r>
    </w:p>
    <w:p w14:paraId="217212DD">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Ansi="宋体"/>
          <w:b/>
          <w:color w:val="auto"/>
          <w:sz w:val="32"/>
          <w:szCs w:val="32"/>
        </w:rPr>
      </w:pPr>
      <w:r>
        <w:rPr>
          <w:rFonts w:hAnsi="宋体"/>
          <w:b/>
          <w:color w:val="auto"/>
          <w:sz w:val="32"/>
          <w:szCs w:val="32"/>
        </w:rPr>
        <w:br w:type="page"/>
      </w:r>
    </w:p>
    <w:p w14:paraId="4BB485C8">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ascii="Times New Roman" w:hAnsi="Times New Roman" w:eastAsia="黑体" w:cs="Times New Roman"/>
          <w:b/>
          <w:color w:val="auto"/>
          <w:sz w:val="32"/>
          <w:szCs w:val="32"/>
        </w:rPr>
      </w:pPr>
      <w:r>
        <w:rPr>
          <w:rFonts w:ascii="Times New Roman" w:hAnsi="Times New Roman" w:eastAsia="黑体" w:cs="Times New Roman"/>
          <w:b/>
          <w:color w:val="auto"/>
          <w:sz w:val="32"/>
          <w:szCs w:val="32"/>
        </w:rPr>
        <w:t>评 价 人 员</w:t>
      </w:r>
    </w:p>
    <w:p w14:paraId="28E95664">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ascii="Times New Roman" w:hAnsi="Times New Roman" w:eastAsia="黑体" w:cs="Times New Roman"/>
          <w:b/>
          <w:color w:val="auto"/>
          <w:sz w:val="32"/>
          <w:szCs w:val="32"/>
        </w:rPr>
      </w:pP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7"/>
        <w:gridCol w:w="1290"/>
        <w:gridCol w:w="3018"/>
        <w:gridCol w:w="1564"/>
        <w:gridCol w:w="1301"/>
      </w:tblGrid>
      <w:tr w14:paraId="06664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jc w:val="center"/>
        </w:trPr>
        <w:tc>
          <w:tcPr>
            <w:tcW w:w="1947" w:type="dxa"/>
            <w:tcBorders>
              <w:top w:val="single" w:color="auto" w:sz="4" w:space="0"/>
              <w:left w:val="single" w:color="auto" w:sz="4" w:space="0"/>
              <w:bottom w:val="single" w:color="auto" w:sz="4" w:space="0"/>
              <w:right w:val="single" w:color="auto" w:sz="4" w:space="0"/>
            </w:tcBorders>
            <w:noWrap w:val="0"/>
            <w:vAlign w:val="center"/>
          </w:tcPr>
          <w:p w14:paraId="6927C7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c>
          <w:tcPr>
            <w:tcW w:w="1290" w:type="dxa"/>
            <w:tcBorders>
              <w:top w:val="single" w:color="auto" w:sz="4" w:space="0"/>
              <w:left w:val="single" w:color="auto" w:sz="4" w:space="0"/>
              <w:bottom w:val="single" w:color="auto" w:sz="4" w:space="0"/>
              <w:right w:val="single" w:color="auto" w:sz="4" w:space="0"/>
            </w:tcBorders>
            <w:noWrap w:val="0"/>
            <w:vAlign w:val="center"/>
          </w:tcPr>
          <w:p w14:paraId="2C4C7C3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姓  名</w:t>
            </w:r>
          </w:p>
        </w:tc>
        <w:tc>
          <w:tcPr>
            <w:tcW w:w="3018" w:type="dxa"/>
            <w:tcBorders>
              <w:top w:val="single" w:color="auto" w:sz="4" w:space="0"/>
              <w:left w:val="single" w:color="auto" w:sz="4" w:space="0"/>
              <w:bottom w:val="single" w:color="auto" w:sz="4" w:space="0"/>
              <w:right w:val="single" w:color="auto" w:sz="4" w:space="0"/>
            </w:tcBorders>
            <w:noWrap w:val="0"/>
            <w:vAlign w:val="center"/>
          </w:tcPr>
          <w:p w14:paraId="244DBD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证书编号</w:t>
            </w:r>
          </w:p>
        </w:tc>
        <w:tc>
          <w:tcPr>
            <w:tcW w:w="1564" w:type="dxa"/>
            <w:tcBorders>
              <w:top w:val="single" w:color="auto" w:sz="4" w:space="0"/>
              <w:left w:val="single" w:color="auto" w:sz="4" w:space="0"/>
              <w:bottom w:val="single" w:color="auto" w:sz="4" w:space="0"/>
              <w:right w:val="single" w:color="auto" w:sz="4" w:space="0"/>
            </w:tcBorders>
            <w:noWrap w:val="0"/>
            <w:vAlign w:val="center"/>
          </w:tcPr>
          <w:p w14:paraId="636C41C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从业登记号</w:t>
            </w:r>
          </w:p>
        </w:tc>
        <w:tc>
          <w:tcPr>
            <w:tcW w:w="1301" w:type="dxa"/>
            <w:tcBorders>
              <w:top w:val="single" w:color="auto" w:sz="4" w:space="0"/>
              <w:left w:val="single" w:color="auto" w:sz="4" w:space="0"/>
              <w:bottom w:val="single" w:color="auto" w:sz="4" w:space="0"/>
              <w:right w:val="single" w:color="auto" w:sz="4" w:space="0"/>
            </w:tcBorders>
            <w:noWrap w:val="0"/>
            <w:vAlign w:val="center"/>
          </w:tcPr>
          <w:p w14:paraId="2B1EBA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签</w:t>
            </w:r>
            <w:r>
              <w:rPr>
                <w:rFonts w:hint="eastAsia" w:cs="Times New Roman"/>
                <w:color w:val="auto"/>
                <w:sz w:val="24"/>
                <w:lang w:val="en-US" w:eastAsia="zh-CN"/>
              </w:rPr>
              <w:t xml:space="preserve">  </w:t>
            </w:r>
            <w:r>
              <w:rPr>
                <w:rFonts w:hint="default" w:ascii="Times New Roman" w:hAnsi="Times New Roman" w:eastAsia="宋体" w:cs="Times New Roman"/>
                <w:color w:val="auto"/>
                <w:sz w:val="24"/>
              </w:rPr>
              <w:t>字</w:t>
            </w:r>
          </w:p>
        </w:tc>
      </w:tr>
      <w:tr w14:paraId="590F5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jc w:val="center"/>
        </w:trPr>
        <w:tc>
          <w:tcPr>
            <w:tcW w:w="1947" w:type="dxa"/>
            <w:tcBorders>
              <w:top w:val="single" w:color="auto" w:sz="4" w:space="0"/>
              <w:left w:val="single" w:color="auto" w:sz="4" w:space="0"/>
              <w:bottom w:val="single" w:color="auto" w:sz="4" w:space="0"/>
              <w:right w:val="single" w:color="auto" w:sz="4" w:space="0"/>
            </w:tcBorders>
            <w:noWrap w:val="0"/>
            <w:vAlign w:val="center"/>
          </w:tcPr>
          <w:p w14:paraId="0B673A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项目负责人</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6081EA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管自强</w:t>
            </w:r>
          </w:p>
        </w:tc>
        <w:tc>
          <w:tcPr>
            <w:tcW w:w="3018" w:type="dxa"/>
            <w:tcBorders>
              <w:top w:val="single" w:color="auto" w:sz="4" w:space="0"/>
              <w:left w:val="single" w:color="auto" w:sz="4" w:space="0"/>
              <w:bottom w:val="single" w:color="auto" w:sz="4" w:space="0"/>
              <w:right w:val="single" w:color="auto" w:sz="4" w:space="0"/>
            </w:tcBorders>
            <w:noWrap w:val="0"/>
            <w:vAlign w:val="center"/>
          </w:tcPr>
          <w:p w14:paraId="138606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0016177</w:t>
            </w:r>
          </w:p>
        </w:tc>
        <w:tc>
          <w:tcPr>
            <w:tcW w:w="1564" w:type="dxa"/>
            <w:tcBorders>
              <w:top w:val="single" w:color="auto" w:sz="4" w:space="0"/>
              <w:left w:val="single" w:color="auto" w:sz="4" w:space="0"/>
              <w:bottom w:val="single" w:color="auto" w:sz="4" w:space="0"/>
              <w:right w:val="single" w:color="auto" w:sz="4" w:space="0"/>
            </w:tcBorders>
            <w:noWrap w:val="0"/>
            <w:vAlign w:val="center"/>
          </w:tcPr>
          <w:p w14:paraId="2C283C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36060019627</w:t>
            </w:r>
          </w:p>
        </w:tc>
        <w:tc>
          <w:tcPr>
            <w:tcW w:w="1301" w:type="dxa"/>
            <w:tcBorders>
              <w:top w:val="single" w:color="auto" w:sz="4" w:space="0"/>
              <w:left w:val="single" w:color="auto" w:sz="4" w:space="0"/>
              <w:bottom w:val="single" w:color="auto" w:sz="4" w:space="0"/>
              <w:right w:val="single" w:color="auto" w:sz="4" w:space="0"/>
            </w:tcBorders>
            <w:noWrap w:val="0"/>
            <w:vAlign w:val="center"/>
          </w:tcPr>
          <w:p w14:paraId="4D750CA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r>
      <w:tr w14:paraId="0E495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exact"/>
          <w:jc w:val="center"/>
        </w:trPr>
        <w:tc>
          <w:tcPr>
            <w:tcW w:w="1947" w:type="dxa"/>
            <w:vMerge w:val="restart"/>
            <w:tcBorders>
              <w:top w:val="single" w:color="auto" w:sz="4" w:space="0"/>
              <w:left w:val="single" w:color="auto" w:sz="4" w:space="0"/>
              <w:right w:val="single" w:color="auto" w:sz="4" w:space="0"/>
            </w:tcBorders>
            <w:noWrap w:val="0"/>
            <w:vAlign w:val="center"/>
          </w:tcPr>
          <w:p w14:paraId="627119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项目组成员</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31DB3D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eastAsia" w:cs="Times New Roman"/>
                <w:color w:val="auto"/>
                <w:sz w:val="24"/>
                <w:lang w:val="en-US" w:eastAsia="zh-CN"/>
              </w:rPr>
              <w:t>黄香港</w:t>
            </w:r>
          </w:p>
        </w:tc>
        <w:tc>
          <w:tcPr>
            <w:tcW w:w="3018" w:type="dxa"/>
            <w:tcBorders>
              <w:top w:val="single" w:color="auto" w:sz="4" w:space="0"/>
              <w:left w:val="single" w:color="auto" w:sz="4" w:space="0"/>
              <w:bottom w:val="single" w:color="auto" w:sz="4" w:space="0"/>
              <w:right w:val="single" w:color="auto" w:sz="4" w:space="0"/>
            </w:tcBorders>
            <w:noWrap w:val="0"/>
            <w:vAlign w:val="center"/>
          </w:tcPr>
          <w:p w14:paraId="0CD898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b w:val="0"/>
                <w:bCs w:val="0"/>
                <w:color w:val="auto"/>
                <w:sz w:val="24"/>
              </w:rPr>
              <w:t>20181003336000032</w:t>
            </w:r>
          </w:p>
        </w:tc>
        <w:tc>
          <w:tcPr>
            <w:tcW w:w="1564" w:type="dxa"/>
            <w:tcBorders>
              <w:top w:val="single" w:color="auto" w:sz="4" w:space="0"/>
              <w:left w:val="single" w:color="auto" w:sz="4" w:space="0"/>
              <w:bottom w:val="single" w:color="auto" w:sz="4" w:space="0"/>
              <w:right w:val="single" w:color="auto" w:sz="4" w:space="0"/>
            </w:tcBorders>
            <w:noWrap w:val="0"/>
            <w:vAlign w:val="center"/>
          </w:tcPr>
          <w:p w14:paraId="19FE36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b w:val="0"/>
                <w:bCs w:val="0"/>
                <w:color w:val="auto"/>
                <w:sz w:val="24"/>
              </w:rPr>
              <w:t>19210262067</w:t>
            </w:r>
          </w:p>
        </w:tc>
        <w:tc>
          <w:tcPr>
            <w:tcW w:w="1301" w:type="dxa"/>
            <w:tcBorders>
              <w:top w:val="single" w:color="auto" w:sz="4" w:space="0"/>
              <w:left w:val="single" w:color="auto" w:sz="4" w:space="0"/>
              <w:bottom w:val="single" w:color="auto" w:sz="4" w:space="0"/>
              <w:right w:val="single" w:color="auto" w:sz="4" w:space="0"/>
            </w:tcBorders>
            <w:noWrap w:val="0"/>
            <w:vAlign w:val="center"/>
          </w:tcPr>
          <w:p w14:paraId="1E420D3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r>
      <w:tr w14:paraId="2AF8D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jc w:val="center"/>
        </w:trPr>
        <w:tc>
          <w:tcPr>
            <w:tcW w:w="1947" w:type="dxa"/>
            <w:vMerge w:val="continue"/>
            <w:tcBorders>
              <w:left w:val="single" w:color="auto" w:sz="4" w:space="0"/>
              <w:right w:val="single" w:color="auto" w:sz="4" w:space="0"/>
            </w:tcBorders>
            <w:noWrap w:val="0"/>
            <w:vAlign w:val="center"/>
          </w:tcPr>
          <w:p w14:paraId="67E477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c>
          <w:tcPr>
            <w:tcW w:w="1290" w:type="dxa"/>
            <w:tcBorders>
              <w:top w:val="single" w:color="auto" w:sz="4" w:space="0"/>
              <w:left w:val="single" w:color="auto" w:sz="4" w:space="0"/>
              <w:bottom w:val="single" w:color="auto" w:sz="4" w:space="0"/>
              <w:right w:val="single" w:color="auto" w:sz="4" w:space="0"/>
            </w:tcBorders>
            <w:noWrap w:val="0"/>
            <w:vAlign w:val="center"/>
          </w:tcPr>
          <w:p w14:paraId="03DF3F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eastAsia" w:cs="Times New Roman"/>
                <w:color w:val="auto"/>
                <w:sz w:val="24"/>
                <w:lang w:val="en-US" w:eastAsia="zh-CN"/>
              </w:rPr>
              <w:t>陆鸿</w:t>
            </w:r>
          </w:p>
        </w:tc>
        <w:tc>
          <w:tcPr>
            <w:tcW w:w="3018" w:type="dxa"/>
            <w:tcBorders>
              <w:top w:val="single" w:color="auto" w:sz="4" w:space="0"/>
              <w:left w:val="single" w:color="auto" w:sz="4" w:space="0"/>
              <w:bottom w:val="single" w:color="auto" w:sz="4" w:space="0"/>
              <w:right w:val="single" w:color="auto" w:sz="4" w:space="0"/>
            </w:tcBorders>
            <w:noWrap w:val="0"/>
            <w:vAlign w:val="center"/>
          </w:tcPr>
          <w:p w14:paraId="40EC31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03320251036000000215</w:t>
            </w:r>
          </w:p>
        </w:tc>
        <w:tc>
          <w:tcPr>
            <w:tcW w:w="1564" w:type="dxa"/>
            <w:tcBorders>
              <w:top w:val="single" w:color="auto" w:sz="4" w:space="0"/>
              <w:left w:val="single" w:color="auto" w:sz="4" w:space="0"/>
              <w:bottom w:val="single" w:color="auto" w:sz="4" w:space="0"/>
              <w:right w:val="single" w:color="auto" w:sz="4" w:space="0"/>
            </w:tcBorders>
            <w:noWrap w:val="0"/>
            <w:vAlign w:val="center"/>
          </w:tcPr>
          <w:p w14:paraId="7EC889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36260456621</w:t>
            </w:r>
          </w:p>
        </w:tc>
        <w:tc>
          <w:tcPr>
            <w:tcW w:w="1301" w:type="dxa"/>
            <w:tcBorders>
              <w:top w:val="single" w:color="auto" w:sz="4" w:space="0"/>
              <w:left w:val="single" w:color="auto" w:sz="4" w:space="0"/>
              <w:bottom w:val="single" w:color="auto" w:sz="4" w:space="0"/>
              <w:right w:val="single" w:color="auto" w:sz="4" w:space="0"/>
            </w:tcBorders>
            <w:noWrap w:val="0"/>
            <w:vAlign w:val="center"/>
          </w:tcPr>
          <w:p w14:paraId="55C12F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r>
      <w:tr w14:paraId="05303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jc w:val="center"/>
        </w:trPr>
        <w:tc>
          <w:tcPr>
            <w:tcW w:w="1947" w:type="dxa"/>
            <w:vMerge w:val="continue"/>
            <w:tcBorders>
              <w:left w:val="single" w:color="auto" w:sz="4" w:space="0"/>
              <w:right w:val="single" w:color="auto" w:sz="4" w:space="0"/>
            </w:tcBorders>
            <w:noWrap w:val="0"/>
            <w:vAlign w:val="center"/>
          </w:tcPr>
          <w:p w14:paraId="1806C3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c>
          <w:tcPr>
            <w:tcW w:w="1290" w:type="dxa"/>
            <w:tcBorders>
              <w:top w:val="single" w:color="auto" w:sz="4" w:space="0"/>
              <w:left w:val="single" w:color="auto" w:sz="4" w:space="0"/>
              <w:bottom w:val="single" w:color="auto" w:sz="4" w:space="0"/>
              <w:right w:val="single" w:color="auto" w:sz="4" w:space="0"/>
            </w:tcBorders>
            <w:noWrap w:val="0"/>
            <w:vAlign w:val="center"/>
          </w:tcPr>
          <w:p w14:paraId="28E0B3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管自强</w:t>
            </w:r>
          </w:p>
        </w:tc>
        <w:tc>
          <w:tcPr>
            <w:tcW w:w="3018" w:type="dxa"/>
            <w:tcBorders>
              <w:top w:val="single" w:color="auto" w:sz="4" w:space="0"/>
              <w:left w:val="single" w:color="auto" w:sz="4" w:space="0"/>
              <w:bottom w:val="single" w:color="auto" w:sz="4" w:space="0"/>
              <w:right w:val="single" w:color="auto" w:sz="4" w:space="0"/>
            </w:tcBorders>
            <w:noWrap w:val="0"/>
            <w:vAlign w:val="center"/>
          </w:tcPr>
          <w:p w14:paraId="1F4E27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0016177</w:t>
            </w:r>
          </w:p>
        </w:tc>
        <w:tc>
          <w:tcPr>
            <w:tcW w:w="1564" w:type="dxa"/>
            <w:tcBorders>
              <w:top w:val="single" w:color="auto" w:sz="4" w:space="0"/>
              <w:left w:val="single" w:color="auto" w:sz="4" w:space="0"/>
              <w:bottom w:val="single" w:color="auto" w:sz="4" w:space="0"/>
              <w:right w:val="single" w:color="auto" w:sz="4" w:space="0"/>
            </w:tcBorders>
            <w:noWrap w:val="0"/>
            <w:vAlign w:val="center"/>
          </w:tcPr>
          <w:p w14:paraId="40C7BF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36060019627</w:t>
            </w:r>
          </w:p>
        </w:tc>
        <w:tc>
          <w:tcPr>
            <w:tcW w:w="1301" w:type="dxa"/>
            <w:tcBorders>
              <w:top w:val="single" w:color="auto" w:sz="4" w:space="0"/>
              <w:left w:val="single" w:color="auto" w:sz="4" w:space="0"/>
              <w:bottom w:val="single" w:color="auto" w:sz="4" w:space="0"/>
              <w:right w:val="single" w:color="auto" w:sz="4" w:space="0"/>
            </w:tcBorders>
            <w:noWrap w:val="0"/>
            <w:vAlign w:val="center"/>
          </w:tcPr>
          <w:p w14:paraId="4EF1EF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r>
      <w:tr w14:paraId="23095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jc w:val="center"/>
        </w:trPr>
        <w:tc>
          <w:tcPr>
            <w:tcW w:w="1947" w:type="dxa"/>
            <w:vMerge w:val="continue"/>
            <w:tcBorders>
              <w:left w:val="single" w:color="auto" w:sz="4" w:space="0"/>
              <w:right w:val="single" w:color="auto" w:sz="4" w:space="0"/>
            </w:tcBorders>
            <w:noWrap w:val="0"/>
            <w:vAlign w:val="center"/>
          </w:tcPr>
          <w:p w14:paraId="23E6ED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c>
          <w:tcPr>
            <w:tcW w:w="1290" w:type="dxa"/>
            <w:tcBorders>
              <w:top w:val="single" w:color="auto" w:sz="4" w:space="0"/>
              <w:left w:val="single" w:color="auto" w:sz="4" w:space="0"/>
              <w:bottom w:val="single" w:color="auto" w:sz="4" w:space="0"/>
              <w:right w:val="single" w:color="auto" w:sz="4" w:space="0"/>
            </w:tcBorders>
            <w:noWrap w:val="0"/>
            <w:vAlign w:val="center"/>
          </w:tcPr>
          <w:p w14:paraId="6E1547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钟志宏</w:t>
            </w:r>
          </w:p>
        </w:tc>
        <w:tc>
          <w:tcPr>
            <w:tcW w:w="3018" w:type="dxa"/>
            <w:tcBorders>
              <w:top w:val="single" w:color="auto" w:sz="4" w:space="0"/>
              <w:left w:val="single" w:color="auto" w:sz="4" w:space="0"/>
              <w:bottom w:val="single" w:color="auto" w:sz="4" w:space="0"/>
              <w:right w:val="single" w:color="auto" w:sz="4" w:space="0"/>
            </w:tcBorders>
            <w:noWrap w:val="0"/>
            <w:vAlign w:val="center"/>
          </w:tcPr>
          <w:p w14:paraId="0A6644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0002944</w:t>
            </w:r>
          </w:p>
        </w:tc>
        <w:tc>
          <w:tcPr>
            <w:tcW w:w="1564" w:type="dxa"/>
            <w:tcBorders>
              <w:top w:val="single" w:color="auto" w:sz="4" w:space="0"/>
              <w:left w:val="single" w:color="auto" w:sz="4" w:space="0"/>
              <w:bottom w:val="single" w:color="auto" w:sz="4" w:space="0"/>
              <w:right w:val="single" w:color="auto" w:sz="4" w:space="0"/>
            </w:tcBorders>
            <w:noWrap w:val="0"/>
            <w:vAlign w:val="center"/>
          </w:tcPr>
          <w:p w14:paraId="244F6E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36050002981</w:t>
            </w:r>
          </w:p>
        </w:tc>
        <w:tc>
          <w:tcPr>
            <w:tcW w:w="1301" w:type="dxa"/>
            <w:tcBorders>
              <w:top w:val="single" w:color="auto" w:sz="4" w:space="0"/>
              <w:left w:val="single" w:color="auto" w:sz="4" w:space="0"/>
              <w:bottom w:val="single" w:color="auto" w:sz="4" w:space="0"/>
              <w:right w:val="single" w:color="auto" w:sz="4" w:space="0"/>
            </w:tcBorders>
            <w:noWrap w:val="0"/>
            <w:vAlign w:val="center"/>
          </w:tcPr>
          <w:p w14:paraId="6F6F4A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r>
      <w:tr w14:paraId="2B2C6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jc w:val="center"/>
        </w:trPr>
        <w:tc>
          <w:tcPr>
            <w:tcW w:w="1947" w:type="dxa"/>
            <w:vMerge w:val="continue"/>
            <w:tcBorders>
              <w:left w:val="single" w:color="auto" w:sz="4" w:space="0"/>
              <w:right w:val="single" w:color="auto" w:sz="4" w:space="0"/>
            </w:tcBorders>
            <w:noWrap w:val="0"/>
            <w:vAlign w:val="center"/>
          </w:tcPr>
          <w:p w14:paraId="6E1F7F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c>
          <w:tcPr>
            <w:tcW w:w="1290" w:type="dxa"/>
            <w:tcBorders>
              <w:top w:val="single" w:color="auto" w:sz="4" w:space="0"/>
              <w:left w:val="single" w:color="auto" w:sz="4" w:space="0"/>
              <w:bottom w:val="single" w:color="auto" w:sz="4" w:space="0"/>
              <w:right w:val="single" w:color="auto" w:sz="4" w:space="0"/>
            </w:tcBorders>
            <w:noWrap w:val="0"/>
            <w:vAlign w:val="center"/>
          </w:tcPr>
          <w:p w14:paraId="17E625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rPr>
              <w:t>李景龙</w:t>
            </w:r>
          </w:p>
        </w:tc>
        <w:tc>
          <w:tcPr>
            <w:tcW w:w="3018" w:type="dxa"/>
            <w:tcBorders>
              <w:top w:val="single" w:color="auto" w:sz="4" w:space="0"/>
              <w:left w:val="single" w:color="auto" w:sz="4" w:space="0"/>
              <w:bottom w:val="single" w:color="auto" w:sz="4" w:space="0"/>
              <w:right w:val="single" w:color="auto" w:sz="4" w:space="0"/>
            </w:tcBorders>
            <w:noWrap w:val="0"/>
            <w:vAlign w:val="center"/>
          </w:tcPr>
          <w:p w14:paraId="18CD99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rPr>
              <w:t>20231004636000000141</w:t>
            </w:r>
          </w:p>
        </w:tc>
        <w:tc>
          <w:tcPr>
            <w:tcW w:w="1564" w:type="dxa"/>
            <w:tcBorders>
              <w:top w:val="single" w:color="auto" w:sz="4" w:space="0"/>
              <w:left w:val="single" w:color="auto" w:sz="4" w:space="0"/>
              <w:bottom w:val="single" w:color="auto" w:sz="4" w:space="0"/>
              <w:right w:val="single" w:color="auto" w:sz="4" w:space="0"/>
            </w:tcBorders>
            <w:noWrap w:val="0"/>
            <w:vAlign w:val="center"/>
          </w:tcPr>
          <w:p w14:paraId="38DB8F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rPr>
              <w:t>36250406364</w:t>
            </w:r>
          </w:p>
        </w:tc>
        <w:tc>
          <w:tcPr>
            <w:tcW w:w="1301" w:type="dxa"/>
            <w:tcBorders>
              <w:top w:val="single" w:color="auto" w:sz="4" w:space="0"/>
              <w:left w:val="single" w:color="auto" w:sz="4" w:space="0"/>
              <w:bottom w:val="single" w:color="auto" w:sz="4" w:space="0"/>
              <w:right w:val="single" w:color="auto" w:sz="4" w:space="0"/>
            </w:tcBorders>
            <w:noWrap w:val="0"/>
            <w:vAlign w:val="center"/>
          </w:tcPr>
          <w:p w14:paraId="4EAE92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r>
      <w:tr w14:paraId="08B41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exact"/>
          <w:jc w:val="center"/>
        </w:trPr>
        <w:tc>
          <w:tcPr>
            <w:tcW w:w="1947" w:type="dxa"/>
            <w:vMerge w:val="restart"/>
            <w:tcBorders>
              <w:top w:val="single" w:color="auto" w:sz="4" w:space="0"/>
              <w:left w:val="single" w:color="auto" w:sz="4" w:space="0"/>
              <w:right w:val="single" w:color="auto" w:sz="4" w:space="0"/>
            </w:tcBorders>
            <w:noWrap w:val="0"/>
            <w:vAlign w:val="center"/>
          </w:tcPr>
          <w:p w14:paraId="65E115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报告编制人</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5308EB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管自强</w:t>
            </w:r>
          </w:p>
        </w:tc>
        <w:tc>
          <w:tcPr>
            <w:tcW w:w="3018" w:type="dxa"/>
            <w:tcBorders>
              <w:top w:val="single" w:color="auto" w:sz="4" w:space="0"/>
              <w:left w:val="single" w:color="auto" w:sz="4" w:space="0"/>
              <w:bottom w:val="single" w:color="auto" w:sz="4" w:space="0"/>
              <w:right w:val="single" w:color="auto" w:sz="4" w:space="0"/>
            </w:tcBorders>
            <w:noWrap w:val="0"/>
            <w:vAlign w:val="center"/>
          </w:tcPr>
          <w:p w14:paraId="36C839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0016177</w:t>
            </w:r>
          </w:p>
        </w:tc>
        <w:tc>
          <w:tcPr>
            <w:tcW w:w="1564" w:type="dxa"/>
            <w:tcBorders>
              <w:top w:val="single" w:color="auto" w:sz="4" w:space="0"/>
              <w:left w:val="single" w:color="auto" w:sz="4" w:space="0"/>
              <w:bottom w:val="single" w:color="auto" w:sz="4" w:space="0"/>
              <w:right w:val="single" w:color="auto" w:sz="4" w:space="0"/>
            </w:tcBorders>
            <w:noWrap w:val="0"/>
            <w:vAlign w:val="center"/>
          </w:tcPr>
          <w:p w14:paraId="4430AE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36060019627</w:t>
            </w:r>
          </w:p>
        </w:tc>
        <w:tc>
          <w:tcPr>
            <w:tcW w:w="1301" w:type="dxa"/>
            <w:tcBorders>
              <w:top w:val="single" w:color="auto" w:sz="4" w:space="0"/>
              <w:left w:val="single" w:color="auto" w:sz="4" w:space="0"/>
              <w:bottom w:val="single" w:color="auto" w:sz="4" w:space="0"/>
              <w:right w:val="single" w:color="auto" w:sz="4" w:space="0"/>
            </w:tcBorders>
            <w:noWrap w:val="0"/>
            <w:vAlign w:val="center"/>
          </w:tcPr>
          <w:p w14:paraId="08368E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r>
      <w:tr w14:paraId="229CA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exact"/>
          <w:jc w:val="center"/>
        </w:trPr>
        <w:tc>
          <w:tcPr>
            <w:tcW w:w="1947" w:type="dxa"/>
            <w:vMerge w:val="continue"/>
            <w:tcBorders>
              <w:left w:val="single" w:color="auto" w:sz="4" w:space="0"/>
              <w:right w:val="single" w:color="auto" w:sz="4" w:space="0"/>
            </w:tcBorders>
            <w:noWrap w:val="0"/>
            <w:vAlign w:val="center"/>
          </w:tcPr>
          <w:p w14:paraId="38C348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c>
          <w:tcPr>
            <w:tcW w:w="1290" w:type="dxa"/>
            <w:tcBorders>
              <w:top w:val="single" w:color="auto" w:sz="4" w:space="0"/>
              <w:left w:val="single" w:color="auto" w:sz="4" w:space="0"/>
              <w:bottom w:val="single" w:color="auto" w:sz="4" w:space="0"/>
              <w:right w:val="single" w:color="auto" w:sz="4" w:space="0"/>
            </w:tcBorders>
            <w:noWrap w:val="0"/>
            <w:vAlign w:val="center"/>
          </w:tcPr>
          <w:p w14:paraId="730749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eastAsia" w:cs="Times New Roman"/>
                <w:color w:val="auto"/>
                <w:sz w:val="24"/>
                <w:lang w:val="en-US" w:eastAsia="zh-CN"/>
              </w:rPr>
              <w:t>陆鸿</w:t>
            </w:r>
          </w:p>
        </w:tc>
        <w:tc>
          <w:tcPr>
            <w:tcW w:w="3018" w:type="dxa"/>
            <w:tcBorders>
              <w:top w:val="single" w:color="auto" w:sz="4" w:space="0"/>
              <w:left w:val="single" w:color="auto" w:sz="4" w:space="0"/>
              <w:bottom w:val="single" w:color="auto" w:sz="4" w:space="0"/>
              <w:right w:val="single" w:color="auto" w:sz="4" w:space="0"/>
            </w:tcBorders>
            <w:noWrap w:val="0"/>
            <w:vAlign w:val="center"/>
          </w:tcPr>
          <w:p w14:paraId="70A3D0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03320251036000000215</w:t>
            </w:r>
          </w:p>
        </w:tc>
        <w:tc>
          <w:tcPr>
            <w:tcW w:w="1564" w:type="dxa"/>
            <w:tcBorders>
              <w:top w:val="single" w:color="auto" w:sz="4" w:space="0"/>
              <w:left w:val="single" w:color="auto" w:sz="4" w:space="0"/>
              <w:bottom w:val="single" w:color="auto" w:sz="4" w:space="0"/>
              <w:right w:val="single" w:color="auto" w:sz="4" w:space="0"/>
            </w:tcBorders>
            <w:noWrap w:val="0"/>
            <w:vAlign w:val="center"/>
          </w:tcPr>
          <w:p w14:paraId="363A34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36260456621</w:t>
            </w:r>
          </w:p>
        </w:tc>
        <w:tc>
          <w:tcPr>
            <w:tcW w:w="1301" w:type="dxa"/>
            <w:tcBorders>
              <w:top w:val="single" w:color="auto" w:sz="4" w:space="0"/>
              <w:left w:val="single" w:color="auto" w:sz="4" w:space="0"/>
              <w:bottom w:val="single" w:color="auto" w:sz="4" w:space="0"/>
              <w:right w:val="single" w:color="auto" w:sz="4" w:space="0"/>
            </w:tcBorders>
            <w:noWrap w:val="0"/>
            <w:vAlign w:val="center"/>
          </w:tcPr>
          <w:p w14:paraId="126470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r>
      <w:tr w14:paraId="597DB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jc w:val="center"/>
        </w:trPr>
        <w:tc>
          <w:tcPr>
            <w:tcW w:w="1947" w:type="dxa"/>
            <w:tcBorders>
              <w:top w:val="single" w:color="auto" w:sz="4" w:space="0"/>
              <w:left w:val="single" w:color="auto" w:sz="4" w:space="0"/>
              <w:bottom w:val="single" w:color="auto" w:sz="4" w:space="0"/>
              <w:right w:val="single" w:color="auto" w:sz="4" w:space="0"/>
            </w:tcBorders>
            <w:noWrap w:val="0"/>
            <w:vAlign w:val="center"/>
          </w:tcPr>
          <w:p w14:paraId="3DE6FA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报告审核人</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608828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郑  强</w:t>
            </w:r>
          </w:p>
        </w:tc>
        <w:tc>
          <w:tcPr>
            <w:tcW w:w="3018" w:type="dxa"/>
            <w:tcBorders>
              <w:top w:val="single" w:color="auto" w:sz="4" w:space="0"/>
              <w:left w:val="single" w:color="auto" w:sz="4" w:space="0"/>
              <w:bottom w:val="single" w:color="auto" w:sz="4" w:space="0"/>
              <w:right w:val="single" w:color="auto" w:sz="4" w:space="0"/>
            </w:tcBorders>
            <w:noWrap w:val="0"/>
            <w:vAlign w:val="center"/>
          </w:tcPr>
          <w:p w14:paraId="5A1233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0138957</w:t>
            </w:r>
          </w:p>
        </w:tc>
        <w:tc>
          <w:tcPr>
            <w:tcW w:w="1564" w:type="dxa"/>
            <w:tcBorders>
              <w:top w:val="single" w:color="auto" w:sz="4" w:space="0"/>
              <w:left w:val="single" w:color="auto" w:sz="4" w:space="0"/>
              <w:bottom w:val="single" w:color="auto" w:sz="4" w:space="0"/>
              <w:right w:val="single" w:color="auto" w:sz="4" w:space="0"/>
            </w:tcBorders>
            <w:noWrap w:val="0"/>
            <w:vAlign w:val="center"/>
          </w:tcPr>
          <w:p w14:paraId="29AE26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36110112733</w:t>
            </w:r>
          </w:p>
        </w:tc>
        <w:tc>
          <w:tcPr>
            <w:tcW w:w="1301" w:type="dxa"/>
            <w:tcBorders>
              <w:top w:val="single" w:color="auto" w:sz="4" w:space="0"/>
              <w:left w:val="single" w:color="auto" w:sz="4" w:space="0"/>
              <w:bottom w:val="single" w:color="auto" w:sz="4" w:space="0"/>
              <w:right w:val="single" w:color="auto" w:sz="4" w:space="0"/>
            </w:tcBorders>
            <w:noWrap w:val="0"/>
            <w:vAlign w:val="center"/>
          </w:tcPr>
          <w:p w14:paraId="439CF3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r>
      <w:tr w14:paraId="65A05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jc w:val="center"/>
        </w:trPr>
        <w:tc>
          <w:tcPr>
            <w:tcW w:w="1947" w:type="dxa"/>
            <w:tcBorders>
              <w:top w:val="single" w:color="auto" w:sz="4" w:space="0"/>
              <w:left w:val="single" w:color="auto" w:sz="4" w:space="0"/>
              <w:bottom w:val="single" w:color="auto" w:sz="4" w:space="0"/>
              <w:right w:val="single" w:color="auto" w:sz="4" w:space="0"/>
            </w:tcBorders>
            <w:noWrap w:val="0"/>
            <w:vAlign w:val="center"/>
          </w:tcPr>
          <w:p w14:paraId="0536FC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过程控制负责</w:t>
            </w:r>
            <w:r>
              <w:rPr>
                <w:rFonts w:hint="eastAsia" w:ascii="Times New Roman" w:hAnsi="Times New Roman" w:cs="Times New Roman"/>
                <w:color w:val="auto"/>
                <w:sz w:val="24"/>
                <w:lang w:val="en-US" w:eastAsia="zh-CN"/>
              </w:rPr>
              <w:t>人</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299AFF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eastAsia" w:cs="Times New Roman"/>
                <w:color w:val="auto"/>
                <w:sz w:val="24"/>
                <w:lang w:val="en-US" w:eastAsia="zh-CN"/>
              </w:rPr>
              <w:t>王冠</w:t>
            </w:r>
          </w:p>
        </w:tc>
        <w:tc>
          <w:tcPr>
            <w:tcW w:w="3018" w:type="dxa"/>
            <w:tcBorders>
              <w:top w:val="single" w:color="auto" w:sz="4" w:space="0"/>
              <w:left w:val="single" w:color="auto" w:sz="4" w:space="0"/>
              <w:bottom w:val="single" w:color="auto" w:sz="4" w:space="0"/>
              <w:right w:val="single" w:color="auto" w:sz="4" w:space="0"/>
            </w:tcBorders>
            <w:noWrap w:val="0"/>
            <w:vAlign w:val="center"/>
          </w:tcPr>
          <w:p w14:paraId="3CBD5D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2014033360332014360734000408</w:t>
            </w:r>
          </w:p>
        </w:tc>
        <w:tc>
          <w:tcPr>
            <w:tcW w:w="1564" w:type="dxa"/>
            <w:tcBorders>
              <w:top w:val="single" w:color="auto" w:sz="4" w:space="0"/>
              <w:left w:val="single" w:color="auto" w:sz="4" w:space="0"/>
              <w:bottom w:val="single" w:color="auto" w:sz="4" w:space="0"/>
              <w:right w:val="single" w:color="auto" w:sz="4" w:space="0"/>
            </w:tcBorders>
            <w:noWrap w:val="0"/>
            <w:vAlign w:val="center"/>
          </w:tcPr>
          <w:p w14:paraId="51F23EA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36190212636</w:t>
            </w:r>
          </w:p>
        </w:tc>
        <w:tc>
          <w:tcPr>
            <w:tcW w:w="1301" w:type="dxa"/>
            <w:tcBorders>
              <w:top w:val="single" w:color="auto" w:sz="4" w:space="0"/>
              <w:left w:val="single" w:color="auto" w:sz="4" w:space="0"/>
              <w:bottom w:val="single" w:color="auto" w:sz="4" w:space="0"/>
              <w:right w:val="single" w:color="auto" w:sz="4" w:space="0"/>
            </w:tcBorders>
            <w:noWrap w:val="0"/>
            <w:vAlign w:val="center"/>
          </w:tcPr>
          <w:p w14:paraId="4CD606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r>
      <w:tr w14:paraId="76054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exact"/>
          <w:jc w:val="center"/>
        </w:trPr>
        <w:tc>
          <w:tcPr>
            <w:tcW w:w="1947" w:type="dxa"/>
            <w:tcBorders>
              <w:top w:val="single" w:color="auto" w:sz="4" w:space="0"/>
              <w:left w:val="single" w:color="auto" w:sz="4" w:space="0"/>
              <w:bottom w:val="single" w:color="auto" w:sz="4" w:space="0"/>
              <w:right w:val="single" w:color="auto" w:sz="4" w:space="0"/>
            </w:tcBorders>
            <w:noWrap w:val="0"/>
            <w:vAlign w:val="center"/>
          </w:tcPr>
          <w:p w14:paraId="78A508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技术负责人</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21F760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lang w:val="en-US" w:eastAsia="zh-CN"/>
              </w:rPr>
              <w:t>黄伯扬</w:t>
            </w:r>
          </w:p>
        </w:tc>
        <w:tc>
          <w:tcPr>
            <w:tcW w:w="3018" w:type="dxa"/>
            <w:tcBorders>
              <w:top w:val="single" w:color="auto" w:sz="4" w:space="0"/>
              <w:left w:val="single" w:color="auto" w:sz="4" w:space="0"/>
              <w:bottom w:val="single" w:color="auto" w:sz="4" w:space="0"/>
              <w:right w:val="single" w:color="auto" w:sz="4" w:space="0"/>
            </w:tcBorders>
            <w:noWrap w:val="0"/>
            <w:vAlign w:val="center"/>
          </w:tcPr>
          <w:p w14:paraId="022C59E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lang w:val="en-US" w:eastAsia="zh-CN"/>
              </w:rPr>
              <w:t>2017033360332017360733000088</w:t>
            </w:r>
          </w:p>
        </w:tc>
        <w:tc>
          <w:tcPr>
            <w:tcW w:w="1564" w:type="dxa"/>
            <w:tcBorders>
              <w:top w:val="single" w:color="auto" w:sz="4" w:space="0"/>
              <w:left w:val="single" w:color="auto" w:sz="4" w:space="0"/>
              <w:bottom w:val="single" w:color="auto" w:sz="4" w:space="0"/>
              <w:right w:val="single" w:color="auto" w:sz="4" w:space="0"/>
            </w:tcBorders>
            <w:noWrap w:val="0"/>
            <w:vAlign w:val="center"/>
          </w:tcPr>
          <w:p w14:paraId="43F697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lang w:val="en-US" w:eastAsia="zh-CN"/>
              </w:rPr>
              <w:t>36190212639</w:t>
            </w:r>
          </w:p>
        </w:tc>
        <w:tc>
          <w:tcPr>
            <w:tcW w:w="1301" w:type="dxa"/>
            <w:tcBorders>
              <w:top w:val="single" w:color="auto" w:sz="4" w:space="0"/>
              <w:left w:val="single" w:color="auto" w:sz="4" w:space="0"/>
              <w:bottom w:val="single" w:color="auto" w:sz="4" w:space="0"/>
              <w:right w:val="single" w:color="auto" w:sz="4" w:space="0"/>
            </w:tcBorders>
            <w:noWrap w:val="0"/>
            <w:vAlign w:val="center"/>
          </w:tcPr>
          <w:p w14:paraId="54CBDD1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r>
    </w:tbl>
    <w:p w14:paraId="197A346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color w:val="auto"/>
        </w:rPr>
      </w:pPr>
    </w:p>
    <w:p w14:paraId="09AC8032">
      <w:pPr>
        <w:pStyle w:val="3"/>
        <w:bidi w:val="0"/>
        <w:ind w:left="0" w:leftChars="0" w:firstLine="0" w:firstLineChars="0"/>
        <w:jc w:val="center"/>
        <w:rPr>
          <w:rFonts w:hint="eastAsia"/>
          <w:b w:val="0"/>
          <w:bCs w:val="0"/>
          <w:color w:val="auto"/>
          <w:sz w:val="32"/>
        </w:rPr>
      </w:pPr>
      <w:r>
        <w:rPr>
          <w:rFonts w:ascii="宋体" w:hAnsi="宋体"/>
          <w:color w:val="auto"/>
          <w:sz w:val="28"/>
          <w:szCs w:val="28"/>
        </w:rPr>
        <w:br w:type="page"/>
      </w:r>
      <w:bookmarkStart w:id="0" w:name="_Toc21430"/>
      <w:bookmarkStart w:id="1" w:name="_Toc28011"/>
      <w:r>
        <w:rPr>
          <w:rFonts w:hint="eastAsia" w:ascii="黑体" w:hAnsi="黑体" w:eastAsia="黑体" w:cs="黑体"/>
          <w:b/>
          <w:bCs/>
          <w:color w:val="auto"/>
          <w:sz w:val="30"/>
          <w:szCs w:val="30"/>
          <w:lang w:val="en-US" w:eastAsia="zh-CN"/>
        </w:rPr>
        <w:t>前    言</w:t>
      </w:r>
      <w:bookmarkEnd w:id="0"/>
      <w:bookmarkEnd w:id="1"/>
    </w:p>
    <w:p w14:paraId="302CA7D5">
      <w:pPr>
        <w:bidi w:val="0"/>
        <w:rPr>
          <w:rFonts w:hint="eastAsia" w:eastAsia="宋体"/>
          <w:color w:val="auto"/>
          <w:lang w:eastAsia="zh-CN"/>
        </w:rPr>
      </w:pPr>
      <w:r>
        <w:rPr>
          <w:rFonts w:hint="eastAsia" w:eastAsia="宋体"/>
          <w:color w:val="auto"/>
          <w:lang w:eastAsia="zh-CN"/>
        </w:rPr>
        <w:t>江西岿美山钨业有限公司是一家以从事有色金属矿采选业为主的企业，注册资本为310万人民币，法定代表人为申昌健，企业类型为有限责任公司（非自然人投资或控股的法人独资），注册地址为江西省赣州市定南县岿美山镇岿美山矿区工人村，经营范围为钨矿开采（凭有效许可证经营）；钨精矿及制品、钨细泥精选、收购、加工、销售；金属材料、建材、五金交电销售；机械加工；饮食、住宿服务（凭有效许可证经营）；租赁服务；技术服务。</w:t>
      </w:r>
    </w:p>
    <w:p w14:paraId="29B5E231">
      <w:pPr>
        <w:bidi w:val="0"/>
        <w:rPr>
          <w:rFonts w:hint="default" w:eastAsia="宋体"/>
          <w:color w:val="auto"/>
          <w:lang w:val="en-US" w:eastAsia="zh-CN"/>
        </w:rPr>
      </w:pPr>
      <w:r>
        <w:rPr>
          <w:color w:val="auto"/>
        </w:rPr>
        <w:t>本次</w:t>
      </w:r>
      <w:r>
        <w:rPr>
          <w:rFonts w:hint="eastAsia"/>
          <w:color w:val="auto"/>
          <w:lang w:val="en-US" w:eastAsia="zh-CN"/>
        </w:rPr>
        <w:t>企业提供的</w:t>
      </w:r>
      <w:r>
        <w:rPr>
          <w:color w:val="auto"/>
        </w:rPr>
        <w:t>现状</w:t>
      </w:r>
      <w:r>
        <w:rPr>
          <w:rFonts w:hint="eastAsia"/>
          <w:color w:val="auto"/>
          <w:lang w:val="en-US" w:eastAsia="zh-CN"/>
        </w:rPr>
        <w:t>图纸</w:t>
      </w:r>
      <w:r>
        <w:rPr>
          <w:rFonts w:hint="eastAsia"/>
          <w:color w:val="auto"/>
        </w:rPr>
        <w:t>采用1985年国家高程基准和2000国家坐标系，因原设计采用高程系统不明，坝体实测高程与原设计高程不一致</w:t>
      </w:r>
      <w:r>
        <w:rPr>
          <w:rFonts w:hint="eastAsia"/>
          <w:color w:val="auto"/>
          <w:lang w:eastAsia="zh-CN"/>
        </w:rPr>
        <w:t>。</w:t>
      </w:r>
      <w:r>
        <w:rPr>
          <w:rFonts w:hint="eastAsia"/>
          <w:color w:val="auto"/>
          <w:lang w:val="en-US" w:eastAsia="zh-CN"/>
        </w:rPr>
        <w:t>根据现有图纸与以往图纸进行比对，</w:t>
      </w:r>
      <w:r>
        <w:rPr>
          <w:rFonts w:hint="eastAsia"/>
          <w:color w:val="auto"/>
        </w:rPr>
        <w:t>认定原设计高程系统</w:t>
      </w:r>
      <w:r>
        <w:rPr>
          <w:rFonts w:hint="eastAsia"/>
          <w:color w:val="auto"/>
          <w:lang w:val="en-US" w:eastAsia="zh-CN"/>
        </w:rPr>
        <w:t>比</w:t>
      </w:r>
      <w:r>
        <w:rPr>
          <w:rFonts w:hint="eastAsia"/>
          <w:color w:val="auto"/>
        </w:rPr>
        <w:t>1985国家高程基准</w:t>
      </w:r>
      <w:r>
        <w:rPr>
          <w:rFonts w:hint="eastAsia"/>
          <w:color w:val="auto"/>
          <w:lang w:val="en-US" w:eastAsia="zh-CN"/>
        </w:rPr>
        <w:t>高</w:t>
      </w:r>
      <w:r>
        <w:rPr>
          <w:rFonts w:hint="eastAsia"/>
          <w:color w:val="auto"/>
        </w:rPr>
        <w:t>8.7m。</w:t>
      </w:r>
    </w:p>
    <w:p w14:paraId="501E2180">
      <w:pPr>
        <w:bidi w:val="0"/>
        <w:rPr>
          <w:rFonts w:hint="default"/>
          <w:color w:val="auto"/>
          <w:lang w:val="en-US"/>
        </w:rPr>
      </w:pPr>
      <w:r>
        <w:rPr>
          <w:rFonts w:hint="eastAsia"/>
          <w:color w:val="auto"/>
        </w:rPr>
        <w:t>江西岿美山钨业有限公司尾矿库</w:t>
      </w:r>
      <w:r>
        <w:rPr>
          <w:rFonts w:hint="eastAsia"/>
          <w:color w:val="auto"/>
          <w:lang w:eastAsia="zh-CN"/>
        </w:rPr>
        <w:t>（以下简称“岿美山尾矿库”）</w:t>
      </w:r>
      <w:r>
        <w:rPr>
          <w:rFonts w:hint="eastAsia" w:ascii="Times New Roman" w:hAnsi="Times New Roman" w:cs="Times New Roman"/>
          <w:color w:val="auto"/>
          <w:lang w:val="en-US" w:eastAsia="zh-CN"/>
        </w:rPr>
        <w:t>目前主坝</w:t>
      </w:r>
      <w:r>
        <w:rPr>
          <w:rFonts w:hint="eastAsia"/>
          <w:color w:val="auto"/>
        </w:rPr>
        <w:t>堆积坝</w:t>
      </w:r>
      <w:r>
        <w:rPr>
          <w:rFonts w:hint="default" w:ascii="Times New Roman" w:hAnsi="Times New Roman" w:cs="Times New Roman"/>
          <w:color w:val="auto"/>
          <w:lang w:val="en-US" w:eastAsia="zh-CN"/>
        </w:rPr>
        <w:t>坝顶高程为</w:t>
      </w:r>
      <w:r>
        <w:rPr>
          <w:rFonts w:hint="eastAsia" w:ascii="Times New Roman" w:hAnsi="Times New Roman" w:cs="Times New Roman"/>
          <w:color w:val="auto"/>
          <w:lang w:val="en-US" w:eastAsia="zh-CN"/>
        </w:rPr>
        <w:t>+3</w:t>
      </w:r>
      <w:r>
        <w:rPr>
          <w:rFonts w:hint="eastAsia" w:cs="Times New Roman"/>
          <w:color w:val="auto"/>
          <w:lang w:val="en-US" w:eastAsia="zh-CN"/>
        </w:rPr>
        <w:t>35.6</w:t>
      </w:r>
      <w:r>
        <w:rPr>
          <w:rFonts w:hint="default" w:ascii="Times New Roman" w:hAnsi="Times New Roman" w:cs="Times New Roman"/>
          <w:color w:val="auto"/>
          <w:lang w:val="en-US" w:eastAsia="zh-CN"/>
        </w:rPr>
        <w:t>m，</w:t>
      </w:r>
      <w:r>
        <w:rPr>
          <w:rFonts w:hint="eastAsia" w:cs="Times New Roman"/>
          <w:color w:val="auto"/>
          <w:lang w:val="en-US" w:eastAsia="zh-CN"/>
        </w:rPr>
        <w:t>主坝</w:t>
      </w:r>
      <w:r>
        <w:rPr>
          <w:rFonts w:hint="default" w:ascii="Times New Roman" w:hAnsi="Times New Roman" w:cs="Times New Roman"/>
          <w:color w:val="auto"/>
          <w:lang w:val="en-US" w:eastAsia="zh-CN"/>
        </w:rPr>
        <w:t>总坝高为</w:t>
      </w:r>
      <w:r>
        <w:rPr>
          <w:rFonts w:hint="eastAsia" w:ascii="Times New Roman" w:hAnsi="Times New Roman" w:cs="Times New Roman"/>
          <w:color w:val="auto"/>
          <w:lang w:val="en-US" w:eastAsia="zh-CN"/>
        </w:rPr>
        <w:t>4</w:t>
      </w:r>
      <w:r>
        <w:rPr>
          <w:rFonts w:hint="eastAsia" w:cs="Times New Roman"/>
          <w:color w:val="auto"/>
          <w:lang w:val="en-US" w:eastAsia="zh-CN"/>
        </w:rPr>
        <w:t>5</w:t>
      </w:r>
      <w:r>
        <w:rPr>
          <w:rFonts w:hint="eastAsia" w:ascii="Times New Roman" w:hAnsi="Times New Roman" w:cs="Times New Roman"/>
          <w:color w:val="auto"/>
          <w:lang w:val="en-US" w:eastAsia="zh-CN"/>
        </w:rPr>
        <w:t>.3</w:t>
      </w:r>
      <w:r>
        <w:rPr>
          <w:rFonts w:hint="default" w:ascii="Times New Roman" w:hAnsi="Times New Roman" w:cs="Times New Roman"/>
          <w:color w:val="auto"/>
          <w:lang w:val="en-US" w:eastAsia="zh-CN"/>
        </w:rPr>
        <w:t>m，</w:t>
      </w:r>
      <w:r>
        <w:rPr>
          <w:rFonts w:hint="eastAsia" w:ascii="Times New Roman" w:hAnsi="Times New Roman" w:cs="Times New Roman"/>
          <w:color w:val="auto"/>
          <w:lang w:val="en-US" w:eastAsia="zh-CN"/>
        </w:rPr>
        <w:t>已排尾砂量251.8×1</w:t>
      </w:r>
      <w:r>
        <w:rPr>
          <w:rFonts w:hint="eastAsia"/>
          <w:color w:val="auto"/>
        </w:rPr>
        <w:t>0</w:t>
      </w:r>
      <w:r>
        <w:rPr>
          <w:rFonts w:hint="eastAsia"/>
          <w:color w:val="auto"/>
          <w:vertAlign w:val="superscript"/>
          <w:lang w:val="en-US" w:eastAsia="zh-CN"/>
        </w:rPr>
        <w:t>4</w:t>
      </w:r>
      <w:r>
        <w:rPr>
          <w:rFonts w:hint="eastAsia"/>
          <w:color w:val="auto"/>
        </w:rPr>
        <w:t>m</w:t>
      </w:r>
      <w:r>
        <w:rPr>
          <w:rFonts w:hint="eastAsia"/>
          <w:color w:val="auto"/>
          <w:vertAlign w:val="superscript"/>
          <w:lang w:val="en-US" w:eastAsia="zh-CN"/>
        </w:rPr>
        <w:t>3</w:t>
      </w:r>
      <w:r>
        <w:rPr>
          <w:rFonts w:hint="eastAsia"/>
          <w:b w:val="0"/>
          <w:bCs w:val="0"/>
          <w:color w:val="auto"/>
          <w:lang w:val="en-US" w:eastAsia="zh-CN"/>
        </w:rPr>
        <w:t>，</w:t>
      </w:r>
      <w:r>
        <w:rPr>
          <w:rFonts w:hint="default"/>
          <w:color w:val="auto"/>
          <w:lang w:val="en-US" w:eastAsia="zh-CN"/>
        </w:rPr>
        <w:t>按照《尾矿设施设计规范》（GB50863-2013）</w:t>
      </w:r>
      <w:r>
        <w:rPr>
          <w:rFonts w:hint="eastAsia"/>
          <w:color w:val="auto"/>
          <w:lang w:val="en-US" w:eastAsia="zh-CN"/>
        </w:rPr>
        <w:t>和《尾矿库安全规程》</w:t>
      </w:r>
      <w:r>
        <w:rPr>
          <w:rFonts w:hint="default"/>
          <w:color w:val="auto"/>
          <w:lang w:val="en-US" w:eastAsia="zh-CN"/>
        </w:rPr>
        <w:t>（GB</w:t>
      </w:r>
      <w:r>
        <w:rPr>
          <w:rFonts w:hint="eastAsia"/>
          <w:color w:val="auto"/>
          <w:lang w:val="en-US" w:eastAsia="zh-CN"/>
        </w:rPr>
        <w:t>39496</w:t>
      </w:r>
      <w:r>
        <w:rPr>
          <w:rFonts w:hint="default"/>
          <w:color w:val="auto"/>
          <w:lang w:val="en-US" w:eastAsia="zh-CN"/>
        </w:rPr>
        <w:t>-20</w:t>
      </w:r>
      <w:r>
        <w:rPr>
          <w:rFonts w:hint="eastAsia"/>
          <w:color w:val="auto"/>
          <w:lang w:val="en-US" w:eastAsia="zh-CN"/>
        </w:rPr>
        <w:t>20</w:t>
      </w:r>
      <w:r>
        <w:rPr>
          <w:rFonts w:hint="default"/>
          <w:color w:val="auto"/>
          <w:lang w:val="en-US" w:eastAsia="zh-CN"/>
        </w:rPr>
        <w:t>）</w:t>
      </w:r>
      <w:r>
        <w:rPr>
          <w:rFonts w:hint="eastAsia"/>
          <w:color w:val="auto"/>
          <w:lang w:val="en-US" w:eastAsia="zh-CN"/>
        </w:rPr>
        <w:t>中</w:t>
      </w:r>
      <w:r>
        <w:rPr>
          <w:rFonts w:hint="default"/>
          <w:color w:val="auto"/>
          <w:lang w:val="en-US" w:eastAsia="zh-CN"/>
        </w:rPr>
        <w:t>尾矿库等级划分的规定，</w:t>
      </w:r>
      <w:r>
        <w:rPr>
          <w:rFonts w:hint="eastAsia"/>
          <w:color w:val="auto"/>
          <w:lang w:val="en-US" w:eastAsia="zh-CN"/>
        </w:rPr>
        <w:t>岿美山尾矿库</w:t>
      </w:r>
      <w:r>
        <w:rPr>
          <w:rFonts w:hint="default"/>
          <w:color w:val="auto"/>
          <w:lang w:val="en-US" w:eastAsia="zh-CN"/>
        </w:rPr>
        <w:t>为</w:t>
      </w:r>
      <w:r>
        <w:rPr>
          <w:rFonts w:hint="eastAsia"/>
          <w:color w:val="auto"/>
          <w:lang w:val="en-US" w:eastAsia="zh-CN"/>
        </w:rPr>
        <w:t>四</w:t>
      </w:r>
      <w:r>
        <w:rPr>
          <w:rFonts w:hint="default"/>
          <w:color w:val="auto"/>
          <w:lang w:val="en-US" w:eastAsia="zh-CN"/>
        </w:rPr>
        <w:t>等</w:t>
      </w:r>
      <w:r>
        <w:rPr>
          <w:rFonts w:hint="eastAsia"/>
          <w:color w:val="auto"/>
          <w:lang w:val="en-US" w:eastAsia="zh-CN"/>
        </w:rPr>
        <w:t>库，因下游1公里范围内有居民，提等至三等库管理。</w:t>
      </w:r>
    </w:p>
    <w:p w14:paraId="25AEC321">
      <w:pPr>
        <w:bidi w:val="0"/>
        <w:rPr>
          <w:rFonts w:hint="default" w:eastAsia="宋体"/>
          <w:color w:val="auto"/>
          <w:lang w:val="en-US" w:eastAsia="zh-CN"/>
        </w:rPr>
      </w:pPr>
      <w:r>
        <w:rPr>
          <w:rFonts w:hint="eastAsia"/>
          <w:color w:val="auto"/>
        </w:rPr>
        <w:t>由于岿美山钨矿已于2018年初停产，岿美山尾矿库亦已停止</w:t>
      </w:r>
      <w:r>
        <w:rPr>
          <w:rFonts w:hint="eastAsia"/>
          <w:color w:val="auto"/>
          <w:lang w:val="en-US" w:eastAsia="zh-CN"/>
        </w:rPr>
        <w:t>排放尾矿</w:t>
      </w:r>
      <w:r>
        <w:rPr>
          <w:rFonts w:hint="eastAsia"/>
          <w:color w:val="auto"/>
        </w:rPr>
        <w:t>，</w:t>
      </w:r>
      <w:r>
        <w:rPr>
          <w:rFonts w:hint="eastAsia"/>
          <w:color w:val="auto"/>
          <w:lang w:val="en-US" w:eastAsia="zh-CN"/>
        </w:rPr>
        <w:t>其</w:t>
      </w:r>
      <w:r>
        <w:rPr>
          <w:rFonts w:hint="eastAsia"/>
          <w:color w:val="auto"/>
        </w:rPr>
        <w:t>安全生产许可证于2019年12月20日到期。</w:t>
      </w:r>
    </w:p>
    <w:p w14:paraId="36A390DE">
      <w:pPr>
        <w:bidi w:val="0"/>
        <w:rPr>
          <w:rFonts w:hint="eastAsia"/>
          <w:color w:val="auto"/>
        </w:rPr>
      </w:pPr>
      <w:r>
        <w:rPr>
          <w:rFonts w:hint="eastAsia"/>
          <w:color w:val="auto"/>
        </w:rPr>
        <w:t>根据《尾矿库安全监督管理规定》、《江西省尾矿库销号管理办法》、《国家矿山安全监察局关于印发</w:t>
      </w:r>
      <w:r>
        <w:rPr>
          <w:rFonts w:hint="eastAsia" w:ascii="宋体" w:hAnsi="宋体" w:eastAsia="宋体" w:cs="宋体"/>
          <w:color w:val="auto"/>
        </w:rPr>
        <w:t>&lt;</w:t>
      </w:r>
      <w:r>
        <w:rPr>
          <w:rFonts w:hint="eastAsia"/>
          <w:color w:val="auto"/>
        </w:rPr>
        <w:t>关于加强非煤矿山安全生产工作的指导意见</w:t>
      </w:r>
      <w:r>
        <w:rPr>
          <w:rFonts w:hint="eastAsia" w:ascii="宋体" w:hAnsi="宋体" w:eastAsia="宋体" w:cs="宋体"/>
          <w:color w:val="auto"/>
        </w:rPr>
        <w:t>&gt;</w:t>
      </w:r>
      <w:r>
        <w:rPr>
          <w:rFonts w:hint="eastAsia"/>
          <w:color w:val="auto"/>
        </w:rPr>
        <w:t>的通知》（矿安综〔2022〕4号）、《尾矿设施设计规范》（GB50863-2013）、等规定，停用时间超过3年且未报备的尾矿库，必须完成闭库治理并销号。</w:t>
      </w:r>
    </w:p>
    <w:p w14:paraId="0611645C">
      <w:pPr>
        <w:bidi w:val="0"/>
        <w:rPr>
          <w:rFonts w:hint="eastAsia" w:ascii="Times New Roman" w:hAnsi="Times New Roman" w:eastAsia="宋体" w:cs="Times New Roman"/>
          <w:color w:val="auto"/>
        </w:rPr>
      </w:pPr>
      <w:r>
        <w:rPr>
          <w:rFonts w:hint="default" w:ascii="Times New Roman" w:hAnsi="Times New Roman" w:cs="Times New Roman"/>
          <w:color w:val="auto"/>
          <w:lang w:val="en-US" w:eastAsia="zh-CN"/>
        </w:rPr>
        <w:t>我中心</w:t>
      </w:r>
      <w:r>
        <w:rPr>
          <w:rFonts w:hint="eastAsia" w:ascii="宋体" w:hAnsi="宋体"/>
          <w:color w:val="auto"/>
          <w:sz w:val="28"/>
          <w:szCs w:val="28"/>
        </w:rPr>
        <w:t>受</w:t>
      </w:r>
      <w:r>
        <w:rPr>
          <w:rFonts w:hint="eastAsia"/>
          <w:color w:val="auto"/>
        </w:rPr>
        <w:t>江西岿美山钨业有限公司</w:t>
      </w:r>
      <w:r>
        <w:rPr>
          <w:rFonts w:hint="eastAsia" w:ascii="宋体" w:hAnsi="宋体"/>
          <w:color w:val="auto"/>
          <w:sz w:val="28"/>
          <w:szCs w:val="28"/>
        </w:rPr>
        <w:t>的委托</w:t>
      </w:r>
      <w:r>
        <w:rPr>
          <w:rFonts w:hint="eastAsia" w:ascii="宋体" w:hAnsi="宋体"/>
          <w:color w:val="auto"/>
          <w:sz w:val="28"/>
          <w:szCs w:val="28"/>
          <w:lang w:eastAsia="zh-CN"/>
        </w:rPr>
        <w:t>，</w:t>
      </w:r>
      <w:r>
        <w:rPr>
          <w:rFonts w:hint="eastAsia" w:ascii="宋体" w:hAnsi="宋体"/>
          <w:color w:val="auto"/>
          <w:sz w:val="28"/>
          <w:szCs w:val="28"/>
        </w:rPr>
        <w:t>对</w:t>
      </w:r>
      <w:r>
        <w:rPr>
          <w:rFonts w:hint="eastAsia"/>
          <w:color w:val="auto"/>
          <w:lang w:eastAsia="zh-CN"/>
        </w:rPr>
        <w:t>岿美山尾矿库</w:t>
      </w:r>
      <w:r>
        <w:rPr>
          <w:rFonts w:hint="eastAsia" w:ascii="宋体" w:hAnsi="宋体"/>
          <w:color w:val="auto"/>
          <w:sz w:val="28"/>
          <w:szCs w:val="28"/>
        </w:rPr>
        <w:t>进行闭库前安全现状评价。按照《安全评价通则》的要求，成立了安全评价组，</w:t>
      </w:r>
      <w:r>
        <w:rPr>
          <w:rFonts w:hint="eastAsia"/>
          <w:color w:val="auto"/>
        </w:rPr>
        <w:t>收集</w:t>
      </w:r>
      <w:r>
        <w:rPr>
          <w:rFonts w:hint="default" w:ascii="Times New Roman" w:hAnsi="Times New Roman" w:cs="Times New Roman"/>
          <w:color w:val="auto"/>
          <w:lang w:val="en-US" w:eastAsia="zh-CN"/>
        </w:rPr>
        <w:t>有关证照、</w:t>
      </w:r>
      <w:r>
        <w:rPr>
          <w:rFonts w:hint="eastAsia"/>
          <w:color w:val="auto"/>
        </w:rPr>
        <w:t>法律法规、技术标准、尾矿库设计资料</w:t>
      </w:r>
      <w:r>
        <w:rPr>
          <w:rFonts w:hint="default" w:ascii="Times New Roman" w:hAnsi="Times New Roman" w:cs="Times New Roman"/>
          <w:color w:val="auto"/>
          <w:lang w:val="en-US" w:eastAsia="zh-CN"/>
        </w:rPr>
        <w:t>、勘察报告</w:t>
      </w:r>
      <w:r>
        <w:rPr>
          <w:rFonts w:hint="eastAsia"/>
          <w:color w:val="auto"/>
        </w:rPr>
        <w:t>和尾矿库现状资料。根据该尾矿库的筑坝方式、防排洪</w:t>
      </w:r>
      <w:r>
        <w:rPr>
          <w:rFonts w:hint="eastAsia"/>
          <w:color w:val="auto"/>
          <w:lang w:eastAsia="zh-CN"/>
        </w:rPr>
        <w:t>（</w:t>
      </w:r>
      <w:r>
        <w:rPr>
          <w:rFonts w:hint="eastAsia"/>
          <w:color w:val="auto"/>
          <w:lang w:val="en-US" w:eastAsia="zh-CN"/>
        </w:rPr>
        <w:t>水</w:t>
      </w:r>
      <w:r>
        <w:rPr>
          <w:rFonts w:hint="eastAsia"/>
          <w:color w:val="auto"/>
          <w:lang w:eastAsia="zh-CN"/>
        </w:rPr>
        <w:t>）</w:t>
      </w:r>
      <w:r>
        <w:rPr>
          <w:rFonts w:hint="eastAsia"/>
          <w:color w:val="auto"/>
        </w:rPr>
        <w:t>构筑物的特点和尾矿库的地理环境条件，</w:t>
      </w:r>
      <w:r>
        <w:rPr>
          <w:rFonts w:hint="eastAsia"/>
          <w:color w:val="auto"/>
          <w:lang w:val="en-US" w:eastAsia="zh-CN"/>
        </w:rPr>
        <w:t>调查</w:t>
      </w:r>
      <w:r>
        <w:rPr>
          <w:rFonts w:hint="eastAsia"/>
          <w:color w:val="auto"/>
        </w:rPr>
        <w:t>尾矿库</w:t>
      </w:r>
      <w:r>
        <w:rPr>
          <w:rFonts w:hint="eastAsia"/>
          <w:color w:val="auto"/>
          <w:lang w:val="en-US" w:eastAsia="zh-CN"/>
        </w:rPr>
        <w:t>安全状况</w:t>
      </w:r>
      <w:r>
        <w:rPr>
          <w:rFonts w:hint="eastAsia"/>
          <w:color w:val="auto"/>
        </w:rPr>
        <w:t>，定性、定量地分析尾矿库运行过程中存在的危险、有害因素</w:t>
      </w:r>
      <w:r>
        <w:rPr>
          <w:rFonts w:hint="eastAsia"/>
          <w:color w:val="auto"/>
          <w:lang w:eastAsia="zh-CN"/>
        </w:rPr>
        <w:t>，</w:t>
      </w:r>
      <w:r>
        <w:rPr>
          <w:rFonts w:hint="eastAsia"/>
          <w:color w:val="auto"/>
        </w:rPr>
        <w:t>对该尾矿库闭库前现状及安全管理状况给予客观的评价，对存在的问题提出合理可行的安全对策措施及建议</w:t>
      </w:r>
      <w:r>
        <w:rPr>
          <w:rFonts w:hint="eastAsia" w:ascii="宋体" w:hAnsi="宋体"/>
          <w:color w:val="auto"/>
          <w:sz w:val="28"/>
          <w:szCs w:val="28"/>
        </w:rPr>
        <w:t>，以作为尾矿库进行闭库安全设施</w:t>
      </w:r>
      <w:r>
        <w:rPr>
          <w:rFonts w:hint="eastAsia" w:ascii="Times New Roman" w:hAnsi="Times New Roman" w:eastAsia="宋体" w:cs="Times New Roman"/>
          <w:color w:val="auto"/>
        </w:rPr>
        <w:t>设计依据之一。</w:t>
      </w:r>
    </w:p>
    <w:p w14:paraId="4FC437F8">
      <w:pPr>
        <w:bidi w:val="0"/>
        <w:rPr>
          <w:rFonts w:hint="eastAsia" w:ascii="Times New Roman" w:hAnsi="Times New Roman" w:eastAsia="宋体" w:cs="Times New Roman"/>
          <w:color w:val="auto"/>
        </w:rPr>
      </w:pPr>
      <w:r>
        <w:rPr>
          <w:rFonts w:hint="eastAsia" w:ascii="Times New Roman" w:hAnsi="Times New Roman" w:eastAsia="宋体" w:cs="Times New Roman"/>
          <w:color w:val="auto"/>
          <w:lang w:val="zh-CN"/>
        </w:rPr>
        <w:t>在此次评价过程中得到</w:t>
      </w:r>
      <w:r>
        <w:rPr>
          <w:rFonts w:hint="eastAsia"/>
          <w:color w:val="auto"/>
        </w:rPr>
        <w:t>江西岿美山钨业有限公司</w:t>
      </w:r>
      <w:r>
        <w:rPr>
          <w:rFonts w:hint="eastAsia" w:ascii="Times New Roman" w:hAnsi="Times New Roman" w:eastAsia="宋体" w:cs="Times New Roman"/>
          <w:color w:val="auto"/>
          <w:lang w:val="en-US" w:eastAsia="zh-CN"/>
        </w:rPr>
        <w:t>相关</w:t>
      </w:r>
      <w:r>
        <w:rPr>
          <w:rFonts w:hint="eastAsia" w:ascii="Times New Roman" w:hAnsi="Times New Roman" w:eastAsia="宋体" w:cs="Times New Roman"/>
          <w:color w:val="auto"/>
          <w:lang w:val="zh-CN"/>
        </w:rPr>
        <w:t>人员的大力支持、协作，在此表示感谢！</w:t>
      </w:r>
    </w:p>
    <w:p w14:paraId="16EC60F9">
      <w:pPr>
        <w:bidi w:val="0"/>
        <w:rPr>
          <w:rFonts w:hint="eastAsia" w:ascii="宋体" w:hAnsi="宋体"/>
          <w:color w:val="auto"/>
          <w:sz w:val="28"/>
          <w:szCs w:val="28"/>
        </w:rPr>
      </w:pPr>
    </w:p>
    <w:p w14:paraId="3A0559FE">
      <w:pPr>
        <w:pStyle w:val="3"/>
        <w:bidi w:val="0"/>
        <w:ind w:left="0" w:leftChars="0" w:firstLine="0" w:firstLineChars="0"/>
        <w:jc w:val="center"/>
        <w:rPr>
          <w:color w:val="auto"/>
        </w:rPr>
      </w:pPr>
      <w:r>
        <w:rPr>
          <w:color w:val="auto"/>
        </w:rPr>
        <w:br w:type="page"/>
      </w:r>
      <w:bookmarkStart w:id="2" w:name="_Toc6722"/>
      <w:r>
        <w:rPr>
          <w:rFonts w:hint="eastAsia" w:ascii="黑体" w:hAnsi="黑体" w:eastAsia="黑体" w:cs="黑体"/>
          <w:b/>
          <w:bCs/>
          <w:color w:val="auto"/>
          <w:sz w:val="30"/>
          <w:szCs w:val="30"/>
          <w:lang w:val="en-US" w:eastAsia="zh-CN"/>
        </w:rPr>
        <w:t>目    录</w:t>
      </w:r>
      <w:bookmarkEnd w:id="2"/>
      <w:r>
        <w:rPr>
          <w:rFonts w:hint="eastAsia" w:ascii="黑体" w:hAnsi="黑体" w:eastAsia="黑体" w:cs="黑体"/>
          <w:b/>
          <w:bCs/>
          <w:color w:val="auto"/>
          <w:sz w:val="30"/>
          <w:szCs w:val="30"/>
          <w:lang w:val="en-US" w:eastAsia="zh-CN"/>
        </w:rPr>
        <w:fldChar w:fldCharType="begin"/>
      </w:r>
      <w:r>
        <w:rPr>
          <w:rFonts w:hint="eastAsia" w:ascii="黑体" w:hAnsi="黑体" w:eastAsia="黑体" w:cs="黑体"/>
          <w:b/>
          <w:bCs/>
          <w:color w:val="auto"/>
          <w:sz w:val="30"/>
          <w:szCs w:val="30"/>
          <w:lang w:val="en-US" w:eastAsia="zh-CN"/>
        </w:rPr>
        <w:instrText xml:space="preserve">TOC \o "1-3" \h \u </w:instrText>
      </w:r>
      <w:r>
        <w:rPr>
          <w:rFonts w:hint="eastAsia" w:ascii="黑体" w:hAnsi="黑体" w:eastAsia="黑体" w:cs="黑体"/>
          <w:b/>
          <w:bCs/>
          <w:color w:val="auto"/>
          <w:sz w:val="30"/>
          <w:szCs w:val="30"/>
          <w:lang w:val="en-US" w:eastAsia="zh-CN"/>
        </w:rPr>
        <w:fldChar w:fldCharType="separate"/>
      </w:r>
    </w:p>
    <w:p w14:paraId="1591B973">
      <w:pPr>
        <w:pStyle w:val="23"/>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_Toc16217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rPr>
        <w:t xml:space="preserve">1. </w:t>
      </w:r>
      <w:r>
        <w:rPr>
          <w:rFonts w:hint="default" w:ascii="Times New Roman" w:hAnsi="Times New Roman" w:eastAsia="宋体" w:cs="Times New Roman"/>
          <w:color w:val="auto"/>
          <w:lang w:val="en-US" w:eastAsia="zh-CN"/>
        </w:rPr>
        <w:t>概述</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_Toc16217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1</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1D21234F">
      <w:pPr>
        <w:pStyle w:val="27"/>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_Toc24757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bCs/>
          <w:color w:val="auto"/>
          <w:kern w:val="2"/>
          <w:szCs w:val="32"/>
          <w:lang w:val="en-US" w:eastAsia="zh-CN" w:bidi="ar-SA"/>
        </w:rPr>
        <w:t>1.1 评价目的</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_Toc24757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1</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3396C621">
      <w:pPr>
        <w:pStyle w:val="27"/>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_Toc18270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rPr>
        <w:t>1.</w:t>
      </w:r>
      <w:r>
        <w:rPr>
          <w:rFonts w:hint="default" w:ascii="Times New Roman" w:hAnsi="Times New Roman" w:eastAsia="宋体" w:cs="Times New Roman"/>
          <w:color w:val="auto"/>
          <w:lang w:val="en-US" w:eastAsia="zh-CN"/>
        </w:rPr>
        <w:t xml:space="preserve">2 </w:t>
      </w:r>
      <w:r>
        <w:rPr>
          <w:rFonts w:hint="default" w:ascii="Times New Roman" w:hAnsi="Times New Roman" w:eastAsia="宋体" w:cs="Times New Roman"/>
          <w:bCs/>
          <w:color w:val="auto"/>
        </w:rPr>
        <w:t>评价对象和范围</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_Toc18270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1</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315DFA4C">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_Toc17051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rPr>
        <w:t>1.</w:t>
      </w:r>
      <w:r>
        <w:rPr>
          <w:rFonts w:hint="default" w:ascii="Times New Roman" w:hAnsi="Times New Roman" w:eastAsia="宋体" w:cs="Times New Roman"/>
          <w:color w:val="auto"/>
          <w:lang w:val="en-US" w:eastAsia="zh-CN"/>
        </w:rPr>
        <w:t>2</w:t>
      </w:r>
      <w:r>
        <w:rPr>
          <w:rFonts w:hint="default" w:ascii="Times New Roman" w:hAnsi="Times New Roman" w:eastAsia="宋体" w:cs="Times New Roman"/>
          <w:color w:val="auto"/>
        </w:rPr>
        <w:t>.1</w:t>
      </w:r>
      <w:r>
        <w:rPr>
          <w:rFonts w:hint="default" w:ascii="Times New Roman" w:hAnsi="Times New Roman" w:eastAsia="宋体" w:cs="Times New Roman"/>
          <w:color w:val="auto"/>
          <w:lang w:val="en-US" w:eastAsia="zh-CN"/>
        </w:rPr>
        <w:t xml:space="preserve"> </w:t>
      </w:r>
      <w:r>
        <w:rPr>
          <w:rFonts w:hint="default" w:ascii="Times New Roman" w:hAnsi="Times New Roman" w:eastAsia="宋体" w:cs="Times New Roman"/>
          <w:color w:val="auto"/>
          <w:szCs w:val="28"/>
        </w:rPr>
        <w:t>评价对象</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_Toc17051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1</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75A466FF">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_Toc21738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rPr>
        <w:t>1.</w:t>
      </w:r>
      <w:r>
        <w:rPr>
          <w:rFonts w:hint="default" w:ascii="Times New Roman" w:hAnsi="Times New Roman" w:eastAsia="宋体" w:cs="Times New Roman"/>
          <w:color w:val="auto"/>
          <w:lang w:val="en-US" w:eastAsia="zh-CN"/>
        </w:rPr>
        <w:t>2</w:t>
      </w:r>
      <w:r>
        <w:rPr>
          <w:rFonts w:hint="default" w:ascii="Times New Roman" w:hAnsi="Times New Roman" w:eastAsia="宋体" w:cs="Times New Roman"/>
          <w:color w:val="auto"/>
        </w:rPr>
        <w:t>.2</w:t>
      </w:r>
      <w:r>
        <w:rPr>
          <w:rFonts w:hint="default" w:ascii="Times New Roman" w:hAnsi="Times New Roman" w:eastAsia="宋体" w:cs="Times New Roman"/>
          <w:color w:val="auto"/>
          <w:lang w:val="en-US" w:eastAsia="zh-CN"/>
        </w:rPr>
        <w:t xml:space="preserve"> </w:t>
      </w:r>
      <w:r>
        <w:rPr>
          <w:rFonts w:hint="default" w:ascii="Times New Roman" w:hAnsi="Times New Roman" w:eastAsia="宋体" w:cs="Times New Roman"/>
          <w:color w:val="auto"/>
        </w:rPr>
        <w:t>评价范围</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_Toc21738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1</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61D14944">
      <w:pPr>
        <w:pStyle w:val="27"/>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_Toc7387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1.3 评价内容</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_Toc7387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2</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1E93597C">
      <w:pPr>
        <w:pStyle w:val="27"/>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_Toc26527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rPr>
        <w:t>1.</w:t>
      </w:r>
      <w:r>
        <w:rPr>
          <w:rFonts w:hint="default" w:ascii="Times New Roman" w:hAnsi="Times New Roman" w:eastAsia="宋体" w:cs="Times New Roman"/>
          <w:color w:val="auto"/>
          <w:lang w:val="en-US" w:eastAsia="zh-CN"/>
        </w:rPr>
        <w:t xml:space="preserve">4 </w:t>
      </w:r>
      <w:r>
        <w:rPr>
          <w:rFonts w:hint="default" w:ascii="Times New Roman" w:hAnsi="Times New Roman" w:eastAsia="宋体" w:cs="Times New Roman"/>
          <w:color w:val="auto"/>
        </w:rPr>
        <w:t>评价依据</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_Toc26527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2</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5005E18C">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_Toc513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rPr>
        <w:t>1.4.1 法律、法规</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_Toc513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2</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12BA4D8E">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_Toc19205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1.4.2 规章、规定</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_Toc19205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5</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773236D4">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_Toc26270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1.4.3 规范性文件</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_Toc26270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6</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7C8E7082">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_Toc31428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1.4.4 标准、规范</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_Toc31428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9</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6C75D0F5">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_Toc22834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1.4.5 建设项目技术资料</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_Toc22834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10</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0B32641C">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_Toc15930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1.4.6 其他评价依据</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_Toc15930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11</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287A746F">
      <w:pPr>
        <w:pStyle w:val="27"/>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_Toc23390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1.5 评价程序</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_Toc23390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11</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71E3C496">
      <w:pPr>
        <w:pStyle w:val="23"/>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_Toc30639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bCs/>
          <w:color w:val="auto"/>
          <w:lang w:val="en-US" w:eastAsia="zh-CN"/>
        </w:rPr>
        <w:t>2. 尾矿库概况</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_Toc30639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14</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54FC4103">
      <w:pPr>
        <w:pStyle w:val="27"/>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_Toc29753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rPr>
        <w:t>2.1</w:t>
      </w:r>
      <w:r>
        <w:rPr>
          <w:rFonts w:hint="default" w:ascii="Times New Roman" w:hAnsi="Times New Roman" w:eastAsia="宋体" w:cs="Times New Roman"/>
          <w:color w:val="auto"/>
          <w:lang w:val="en-US" w:eastAsia="zh-CN"/>
        </w:rPr>
        <w:t xml:space="preserve"> 建设单位概况</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_Toc29753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14</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2869A2FD">
      <w:pPr>
        <w:pStyle w:val="27"/>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_Toc25000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2.2 交通位置、自然地理概况</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_Toc25000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15</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45DFBA97">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_Toc9781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2.2.1 交通位置</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_Toc9781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15</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3A337475">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_Toc32694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2.2.2 自然地理概况</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_Toc32694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16</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7F40FD4E">
      <w:pPr>
        <w:pStyle w:val="27"/>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_Toc21672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2.3 尾矿库基本情况</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_Toc21672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17</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12CFB6F1">
      <w:pPr>
        <w:pStyle w:val="27"/>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_Toc27810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2.4 地质概况</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_Toc27810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19</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1EE6E5B6">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_Toc28338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2.4.1 区域地质</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_Toc28338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19</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03BA31DB">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_Toc7993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2.4.2 工程地质条件</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_Toc7993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19</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4E4316C5">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_Toc27502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2.4.3 水文地质条件</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_Toc27502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24</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66352B0E">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_Toc10147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2.4.4 不良地质作用</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_Toc10147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25</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7A6673CD">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_Toc8692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2.4.5 工程（水文）地质勘察建议</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_Toc8692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25</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3493DC1B">
      <w:pPr>
        <w:pStyle w:val="27"/>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_Toc12772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2.5 尾矿库现状</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_Toc12772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27</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41F6938D">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_Toc8798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2.5.1 库容、等别及防洪标准</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_Toc8798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27</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3775C328">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_Toc22854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 xml:space="preserve">2.5.2 </w:t>
      </w:r>
      <w:r>
        <w:rPr>
          <w:rFonts w:hint="default" w:ascii="Times New Roman" w:hAnsi="Times New Roman" w:eastAsia="宋体" w:cs="Times New Roman"/>
          <w:bCs/>
          <w:color w:val="auto"/>
          <w:szCs w:val="28"/>
        </w:rPr>
        <w:t>尾矿坝</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_Toc22854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27</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01429674">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_Toc8186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2.5.3 排洪（水）设施</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_Toc8186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31</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186DAC99">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_Toc15431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2.5.4 上游废石、废砂治理</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_Toc15431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33</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66BDCA17">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_Toc15893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2.5.5 安全监测设施</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_Toc15893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35</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68E772D7">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_Toc31933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2.5.6 辅助设施</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_Toc31933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36</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08F058EF">
      <w:pPr>
        <w:pStyle w:val="27"/>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_Toc23547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2.6 尾矿库安全管理</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_Toc23547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36</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6BDD45D7">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_Toc30285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2.6.1 安全机构设置</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_Toc30285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36</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1BD97EC1">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_Toc8741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2.6.2 安全生产管理规章制度</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_Toc8741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36</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09D7815A">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_Toc1384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2.6.3 安全生产应急救援与措施</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_Toc1384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37</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0B1341C5">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_Toc25003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2.6.4 安全教育培训</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_Toc25003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37</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4A87B4CF">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_Toc19310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2.6.5 安全措施费用</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_Toc19310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37</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5FE330B5">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_Toc8307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2.6.6 安全检查</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_Toc8307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38</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1D4611E2">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_Toc166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2.6.7 事故情况</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_Toc166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38</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61C9B33D">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_Toc16313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2.6.8 安全生产责任保险</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_Toc16313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38</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0AC07FAC">
      <w:pPr>
        <w:pStyle w:val="27"/>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_Toc11047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2</w:t>
      </w:r>
      <w:r>
        <w:rPr>
          <w:rFonts w:hint="default" w:ascii="Times New Roman" w:hAnsi="Times New Roman" w:eastAsia="宋体" w:cs="Times New Roman"/>
          <w:bCs/>
          <w:color w:val="auto"/>
          <w:lang w:val="en-US" w:eastAsia="zh-CN"/>
        </w:rPr>
        <w:t>.7 隐蔽致灾因素普查</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_Toc11047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38</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3F79EBAA">
      <w:pPr>
        <w:pStyle w:val="27"/>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_Toc22493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2.8 周边环境</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_Toc22493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40</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686CD5D2">
      <w:pPr>
        <w:pStyle w:val="27"/>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_Toc2540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2.9 可研方案简介</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_Toc2540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42</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5CB0C622">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_Toc31644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2.9.1 滩面整治</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_Toc31644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42</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00B5DE08">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_Toc15783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2.9.2 滩面排水设施</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_Toc15783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43</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35B01993">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_Toc26144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2.9.3 尾矿坝闭库工程措施</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_Toc26144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44</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2E640C3C">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_Toc17684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2.9.4 坝面及坝肩排水</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_Toc17684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44</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5F184DA2">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_Toc29327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2.9.5 地质灾害防护设施</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_Toc29327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45</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0A9D2175">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_Toc20684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2.9.6 安全监测设施</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_Toc20684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45</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7865FAF7">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_Toc28921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2.9.7 辅助设施</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_Toc28921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45</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2A6D141F">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_Toc21239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2.9.8 个人安全防护</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_Toc21239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46</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2EED97FB">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_Toc19418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2.9.9 安全标志</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_Toc19418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46</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69FA042E">
      <w:pPr>
        <w:pStyle w:val="23"/>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_Toc4429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 xml:space="preserve">3. </w:t>
      </w:r>
      <w:r>
        <w:rPr>
          <w:rFonts w:hint="default" w:ascii="Times New Roman" w:hAnsi="Times New Roman" w:eastAsia="宋体" w:cs="Times New Roman"/>
          <w:bCs/>
          <w:color w:val="auto"/>
          <w:lang w:val="en-US" w:eastAsia="zh-CN"/>
        </w:rPr>
        <w:t>辩识与分析危险、有害因素</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_Toc4429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47</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46511532">
      <w:pPr>
        <w:pStyle w:val="27"/>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_Toc19083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kern w:val="2"/>
          <w:szCs w:val="24"/>
          <w:lang w:val="en-US" w:eastAsia="zh-CN" w:bidi="ar-SA"/>
        </w:rPr>
        <w:t xml:space="preserve">3.1 </w:t>
      </w:r>
      <w:r>
        <w:rPr>
          <w:rFonts w:hint="default" w:ascii="Times New Roman" w:hAnsi="Times New Roman" w:eastAsia="宋体" w:cs="Times New Roman"/>
          <w:color w:val="auto"/>
          <w:lang w:eastAsia="zh-CN"/>
        </w:rPr>
        <w:t>尾矿库病害的产生原因</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_Toc19083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47</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38322A41">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_Toc29757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eastAsia="zh-CN"/>
        </w:rPr>
        <w:t>3.1.1</w:t>
      </w:r>
      <w:r>
        <w:rPr>
          <w:rFonts w:hint="default" w:ascii="Times New Roman" w:hAnsi="Times New Roman" w:eastAsia="宋体" w:cs="Times New Roman"/>
          <w:color w:val="auto"/>
          <w:lang w:val="en-US" w:eastAsia="zh-CN"/>
        </w:rPr>
        <w:t xml:space="preserve"> </w:t>
      </w:r>
      <w:r>
        <w:rPr>
          <w:rFonts w:hint="default" w:ascii="Times New Roman" w:hAnsi="Times New Roman" w:eastAsia="宋体" w:cs="Times New Roman"/>
          <w:color w:val="auto"/>
          <w:lang w:eastAsia="zh-CN"/>
        </w:rPr>
        <w:t>勘察因素造成的病害</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_Toc29757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47</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04CEAED8">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_Toc24660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eastAsia="zh-CN"/>
        </w:rPr>
        <w:t>3.1.2</w:t>
      </w:r>
      <w:r>
        <w:rPr>
          <w:rFonts w:hint="default" w:ascii="Times New Roman" w:hAnsi="Times New Roman" w:eastAsia="宋体" w:cs="Times New Roman"/>
          <w:color w:val="auto"/>
          <w:lang w:val="en-US" w:eastAsia="zh-CN"/>
        </w:rPr>
        <w:t xml:space="preserve"> </w:t>
      </w:r>
      <w:r>
        <w:rPr>
          <w:rFonts w:hint="default" w:ascii="Times New Roman" w:hAnsi="Times New Roman" w:eastAsia="宋体" w:cs="Times New Roman"/>
          <w:color w:val="auto"/>
          <w:lang w:eastAsia="zh-CN"/>
        </w:rPr>
        <w:t>设计因素造成的病害</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_Toc24660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47</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7DB2EAD7">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_Toc25657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eastAsia="zh-CN"/>
        </w:rPr>
        <w:t>3.1.3</w:t>
      </w:r>
      <w:r>
        <w:rPr>
          <w:rFonts w:hint="default" w:ascii="Times New Roman" w:hAnsi="Times New Roman" w:eastAsia="宋体" w:cs="Times New Roman"/>
          <w:color w:val="auto"/>
          <w:lang w:val="en-US" w:eastAsia="zh-CN"/>
        </w:rPr>
        <w:t xml:space="preserve"> </w:t>
      </w:r>
      <w:r>
        <w:rPr>
          <w:rFonts w:hint="default" w:ascii="Times New Roman" w:hAnsi="Times New Roman" w:eastAsia="宋体" w:cs="Times New Roman"/>
          <w:color w:val="auto"/>
          <w:lang w:eastAsia="zh-CN"/>
        </w:rPr>
        <w:t>施工因素造成的病害</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_Toc25657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48</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1A6D4DA8">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_Toc13569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eastAsia="zh-CN"/>
        </w:rPr>
        <w:t>3.1.4</w:t>
      </w:r>
      <w:r>
        <w:rPr>
          <w:rFonts w:hint="default" w:ascii="Times New Roman" w:hAnsi="Times New Roman" w:eastAsia="宋体" w:cs="Times New Roman"/>
          <w:color w:val="auto"/>
          <w:lang w:val="en-US" w:eastAsia="zh-CN"/>
        </w:rPr>
        <w:t xml:space="preserve"> </w:t>
      </w:r>
      <w:r>
        <w:rPr>
          <w:rFonts w:hint="default" w:ascii="Times New Roman" w:hAnsi="Times New Roman" w:eastAsia="宋体" w:cs="Times New Roman"/>
          <w:color w:val="auto"/>
          <w:lang w:eastAsia="zh-CN"/>
        </w:rPr>
        <w:t>操作管理不当造成的病害</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_Toc13569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48</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0F8F93A2">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_Toc20084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eastAsia="zh-CN"/>
        </w:rPr>
        <w:t>3.1.5</w:t>
      </w:r>
      <w:r>
        <w:rPr>
          <w:rFonts w:hint="default" w:ascii="Times New Roman" w:hAnsi="Times New Roman" w:eastAsia="宋体" w:cs="Times New Roman"/>
          <w:color w:val="auto"/>
          <w:lang w:val="en-US" w:eastAsia="zh-CN"/>
        </w:rPr>
        <w:t xml:space="preserve"> </w:t>
      </w:r>
      <w:r>
        <w:rPr>
          <w:rFonts w:hint="default" w:ascii="Times New Roman" w:hAnsi="Times New Roman" w:eastAsia="宋体" w:cs="Times New Roman"/>
          <w:color w:val="auto"/>
          <w:lang w:eastAsia="zh-CN"/>
        </w:rPr>
        <w:t>其他因素造成的病害</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_Toc20084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49</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2760C6DB">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_Toc15142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eastAsia="zh-CN"/>
        </w:rPr>
        <w:t>3.1.6</w:t>
      </w:r>
      <w:r>
        <w:rPr>
          <w:rFonts w:hint="default" w:ascii="Times New Roman" w:hAnsi="Times New Roman" w:eastAsia="宋体" w:cs="Times New Roman"/>
          <w:color w:val="auto"/>
          <w:lang w:val="en-US" w:eastAsia="zh-CN"/>
        </w:rPr>
        <w:t xml:space="preserve"> </w:t>
      </w:r>
      <w:r>
        <w:rPr>
          <w:rFonts w:hint="default" w:ascii="Times New Roman" w:hAnsi="Times New Roman" w:eastAsia="宋体" w:cs="Times New Roman"/>
          <w:color w:val="auto"/>
          <w:lang w:eastAsia="zh-CN"/>
        </w:rPr>
        <w:t>尾矿库失事实例</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_Toc15142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50</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7AD0D3E6">
      <w:pPr>
        <w:pStyle w:val="27"/>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_Toc29856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bCs/>
          <w:color w:val="auto"/>
          <w:kern w:val="2"/>
          <w:szCs w:val="32"/>
          <w:lang w:val="en-US" w:eastAsia="zh-CN" w:bidi="ar-SA"/>
        </w:rPr>
        <w:t xml:space="preserve">3.2 </w:t>
      </w:r>
      <w:r>
        <w:rPr>
          <w:rFonts w:hint="default" w:ascii="Times New Roman" w:hAnsi="Times New Roman" w:eastAsia="宋体" w:cs="Times New Roman"/>
          <w:color w:val="auto"/>
          <w:lang w:val="en-US" w:eastAsia="zh-CN"/>
        </w:rPr>
        <w:t>尾矿库危险、有害因素分析</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_Toc29856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51</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17DE220A">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_Toc2420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kern w:val="2"/>
          <w:szCs w:val="24"/>
          <w:lang w:val="en-US" w:eastAsia="zh-CN" w:bidi="ar-SA"/>
        </w:rPr>
        <w:t>3.2.1 滑坡（坝坡失稳）</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_Toc2420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51</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480D77D7">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_Toc1888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kern w:val="2"/>
          <w:szCs w:val="24"/>
          <w:lang w:val="en-US" w:eastAsia="zh-CN" w:bidi="ar-SA"/>
        </w:rPr>
        <w:t>3.2.2 洪水漫顶</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_Toc1888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52</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68E48252">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_Toc6097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kern w:val="2"/>
          <w:szCs w:val="24"/>
          <w:lang w:val="en-US" w:eastAsia="zh-CN" w:bidi="ar-SA"/>
        </w:rPr>
        <w:t>3.2.3 渗漏</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_Toc6097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52</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7FA3B50A">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_Toc18831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kern w:val="2"/>
          <w:szCs w:val="24"/>
          <w:lang w:val="en-US" w:eastAsia="zh-CN" w:bidi="ar-SA"/>
        </w:rPr>
        <w:t>3.2.4 排水、泄洪构筑物破坏</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_Toc18831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53</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61B5A6F7">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_Toc17935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kern w:val="2"/>
          <w:szCs w:val="24"/>
          <w:lang w:val="en-US" w:eastAsia="zh-CN" w:bidi="ar-SA"/>
        </w:rPr>
        <w:t>3.2.5 调洪库容不足</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_Toc17935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54</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4224CC17">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_Toc10898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kern w:val="2"/>
          <w:szCs w:val="24"/>
          <w:lang w:val="en-US" w:eastAsia="zh-CN" w:bidi="ar-SA"/>
        </w:rPr>
        <w:t>3.2.6 裂缝</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_Toc10898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54</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1F37CF07">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_Toc371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kern w:val="2"/>
          <w:szCs w:val="24"/>
          <w:lang w:val="en-US" w:eastAsia="zh-CN" w:bidi="ar-SA"/>
        </w:rPr>
        <w:t>3.2.7 淹溺</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_Toc371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54</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0176E3A2">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_Toc30786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kern w:val="2"/>
          <w:szCs w:val="24"/>
          <w:lang w:val="en-US" w:eastAsia="zh-CN" w:bidi="ar-SA"/>
        </w:rPr>
        <w:t>3.2.8 高处坠落、跌落</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_Toc30786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55</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008D2DD1">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_Toc18289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3.2.9 雷击</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_Toc18289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55</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4ECB9CD9">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_Toc3388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kern w:val="2"/>
          <w:szCs w:val="24"/>
          <w:lang w:val="en-US" w:eastAsia="zh-CN" w:bidi="ar-SA"/>
        </w:rPr>
        <w:t>3.2.10 库区山体滑坡、塌方和泥石流</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_Toc3388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55</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77A1DB2C">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_Toc30534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kern w:val="2"/>
          <w:szCs w:val="24"/>
          <w:lang w:val="en-US" w:eastAsia="zh-CN" w:bidi="ar-SA"/>
        </w:rPr>
        <w:t>3.2.11 不良环境因素</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_Toc30534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55</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180177DC">
      <w:pPr>
        <w:pStyle w:val="27"/>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_Toc18070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bCs/>
          <w:color w:val="auto"/>
          <w:kern w:val="2"/>
          <w:szCs w:val="32"/>
          <w:lang w:val="en-US" w:eastAsia="zh-CN" w:bidi="ar-SA"/>
        </w:rPr>
        <w:t>3.3 重大生产安全事故隐患识别</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_Toc18070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55</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4CA187A8">
      <w:pPr>
        <w:pStyle w:val="27"/>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_Toc12626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3.4 危险、有害因素分析结果</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_Toc12626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57</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170E7247">
      <w:pPr>
        <w:pStyle w:val="23"/>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_Toc9284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eastAsia="zh-CN"/>
        </w:rPr>
        <w:t xml:space="preserve">4. </w:t>
      </w:r>
      <w:r>
        <w:rPr>
          <w:rFonts w:hint="default" w:ascii="Times New Roman" w:hAnsi="Times New Roman" w:eastAsia="宋体" w:cs="Times New Roman"/>
          <w:bCs/>
          <w:color w:val="auto"/>
          <w:lang w:val="en-US" w:eastAsia="zh-CN"/>
        </w:rPr>
        <w:t>安全评价单元划分和选择</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_Toc9284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59</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643CB265">
      <w:pPr>
        <w:pStyle w:val="27"/>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_Toc14953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eastAsia="zh-CN"/>
        </w:rPr>
        <w:t>4.1</w:t>
      </w:r>
      <w:r>
        <w:rPr>
          <w:rFonts w:hint="default" w:ascii="Times New Roman" w:hAnsi="Times New Roman" w:eastAsia="宋体" w:cs="Times New Roman"/>
          <w:color w:val="auto"/>
          <w:lang w:val="en-US" w:eastAsia="zh-CN"/>
        </w:rPr>
        <w:t xml:space="preserve"> </w:t>
      </w:r>
      <w:r>
        <w:rPr>
          <w:rFonts w:hint="default" w:ascii="Times New Roman" w:hAnsi="Times New Roman" w:eastAsia="宋体" w:cs="Times New Roman"/>
          <w:color w:val="auto"/>
          <w:lang w:eastAsia="zh-CN"/>
        </w:rPr>
        <w:t>评价单元划分</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_Toc14953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59</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68623793">
      <w:pPr>
        <w:pStyle w:val="27"/>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_Toc20925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eastAsia="zh-CN"/>
        </w:rPr>
        <w:t>4.2</w:t>
      </w:r>
      <w:r>
        <w:rPr>
          <w:rFonts w:hint="default" w:ascii="Times New Roman" w:hAnsi="Times New Roman" w:eastAsia="宋体" w:cs="Times New Roman"/>
          <w:color w:val="auto"/>
          <w:lang w:val="en-US" w:eastAsia="zh-CN"/>
        </w:rPr>
        <w:t xml:space="preserve"> </w:t>
      </w:r>
      <w:r>
        <w:rPr>
          <w:rFonts w:hint="default" w:ascii="Times New Roman" w:hAnsi="Times New Roman" w:eastAsia="宋体" w:cs="Times New Roman"/>
          <w:color w:val="auto"/>
          <w:lang w:eastAsia="zh-CN"/>
        </w:rPr>
        <w:t>评价方法选择</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_Toc20925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59</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79D9E91F">
      <w:pPr>
        <w:pStyle w:val="23"/>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_Toc19050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eastAsia="zh-CN"/>
        </w:rPr>
        <w:t xml:space="preserve">5. </w:t>
      </w:r>
      <w:r>
        <w:rPr>
          <w:rFonts w:hint="default" w:ascii="Times New Roman" w:hAnsi="Times New Roman" w:eastAsia="宋体" w:cs="Times New Roman"/>
          <w:bCs/>
          <w:color w:val="auto"/>
          <w:lang w:val="en-US" w:eastAsia="zh-CN"/>
        </w:rPr>
        <w:t>安全评价</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_Toc19050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60</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75B4D492">
      <w:pPr>
        <w:pStyle w:val="27"/>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_Toc151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eastAsia="zh-CN"/>
        </w:rPr>
        <w:t>5.1</w:t>
      </w:r>
      <w:r>
        <w:rPr>
          <w:rFonts w:hint="default" w:ascii="Times New Roman" w:hAnsi="Times New Roman" w:eastAsia="宋体" w:cs="Times New Roman"/>
          <w:color w:val="auto"/>
          <w:lang w:val="en-US" w:eastAsia="zh-CN"/>
        </w:rPr>
        <w:t xml:space="preserve"> </w:t>
      </w:r>
      <w:r>
        <w:rPr>
          <w:rFonts w:hint="default" w:ascii="Times New Roman" w:hAnsi="Times New Roman" w:eastAsia="宋体" w:cs="Times New Roman"/>
          <w:color w:val="auto"/>
          <w:lang w:eastAsia="zh-CN"/>
        </w:rPr>
        <w:t>综合安全管理单元</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_Toc151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60</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428493C2">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_Toc10467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eastAsia="zh-CN"/>
        </w:rPr>
        <w:t>5.1.1</w:t>
      </w:r>
      <w:r>
        <w:rPr>
          <w:rFonts w:hint="default" w:ascii="Times New Roman" w:hAnsi="Times New Roman" w:eastAsia="宋体" w:cs="Times New Roman"/>
          <w:color w:val="auto"/>
          <w:lang w:val="en-US" w:eastAsia="zh-CN"/>
        </w:rPr>
        <w:t xml:space="preserve"> </w:t>
      </w:r>
      <w:r>
        <w:rPr>
          <w:rFonts w:hint="default" w:ascii="Times New Roman" w:hAnsi="Times New Roman" w:eastAsia="宋体" w:cs="Times New Roman"/>
          <w:color w:val="auto"/>
          <w:lang w:eastAsia="zh-CN"/>
        </w:rPr>
        <w:t>安全检查表评价</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_Toc10467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60</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7706FCC3">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_Toc3381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5.1.2 评价小结</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_Toc3381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62</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173D770A">
      <w:pPr>
        <w:pStyle w:val="27"/>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_Toc20366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kern w:val="2"/>
          <w:szCs w:val="24"/>
          <w:lang w:val="en-US" w:eastAsia="zh-CN" w:bidi="ar-SA"/>
        </w:rPr>
        <w:t>5.2 尾矿坝体单元</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_Toc20366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62</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5AEC7CA9">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_Toc26048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kern w:val="2"/>
          <w:szCs w:val="24"/>
          <w:lang w:val="en-US" w:eastAsia="zh-CN" w:bidi="ar-SA"/>
        </w:rPr>
        <w:t>5.2.1 安全检查表评价</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_Toc26048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62</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42577836">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_Toc18917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bCs/>
          <w:color w:val="auto"/>
          <w:kern w:val="2"/>
          <w:szCs w:val="32"/>
          <w:lang w:val="en-US" w:eastAsia="zh-CN" w:bidi="ar-SA"/>
        </w:rPr>
        <w:t>5.2.2 尾矿坝稳定分析计算</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_Toc18917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65</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52BA1AD6">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_Toc11771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kern w:val="2"/>
          <w:szCs w:val="24"/>
          <w:lang w:val="en-US" w:eastAsia="zh-CN" w:bidi="ar-SA"/>
        </w:rPr>
        <w:t>5.2.3 评价单元小结</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_Toc11771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72</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7ECF4AD8">
      <w:pPr>
        <w:pStyle w:val="27"/>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_Toc541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kern w:val="2"/>
          <w:szCs w:val="24"/>
          <w:lang w:val="en-US" w:eastAsia="zh-CN" w:bidi="ar-SA"/>
        </w:rPr>
        <w:t>5.3 防排洪系统单元</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_Toc541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72</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52C60C72">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_Toc11961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kern w:val="2"/>
          <w:szCs w:val="24"/>
          <w:lang w:val="en-US" w:eastAsia="zh-CN" w:bidi="ar-SA"/>
        </w:rPr>
        <w:t>5.3.1 安全检查表评价</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_Toc11961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72</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77A14636">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_Toc28495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5.3.2 尾矿库调洪演算</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_Toc28495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74</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07A34E1A">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_Toc22012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rPr>
        <w:t>5.</w:t>
      </w:r>
      <w:r>
        <w:rPr>
          <w:rFonts w:hint="default" w:ascii="Times New Roman" w:hAnsi="Times New Roman" w:eastAsia="宋体" w:cs="Times New Roman"/>
          <w:color w:val="auto"/>
          <w:lang w:val="en-US" w:eastAsia="zh-CN"/>
        </w:rPr>
        <w:t>3</w:t>
      </w:r>
      <w:r>
        <w:rPr>
          <w:rFonts w:hint="default" w:ascii="Times New Roman" w:hAnsi="Times New Roman" w:eastAsia="宋体" w:cs="Times New Roman"/>
          <w:color w:val="auto"/>
        </w:rPr>
        <w:t>.2</w:t>
      </w:r>
      <w:r>
        <w:rPr>
          <w:rFonts w:hint="default" w:ascii="Times New Roman" w:hAnsi="Times New Roman" w:eastAsia="宋体" w:cs="Times New Roman"/>
          <w:color w:val="auto"/>
          <w:lang w:val="en-US" w:eastAsia="zh-CN"/>
        </w:rPr>
        <w:t xml:space="preserve"> 评价小结</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_Toc22012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79</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75500CA2">
      <w:pPr>
        <w:pStyle w:val="27"/>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_Toc30106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5.4 尾矿库监测设施单元</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_Toc30106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79</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131D898D">
      <w:pPr>
        <w:pStyle w:val="27"/>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_Toc29953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5.5 辅助设施单元</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_Toc29953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80</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6B309B29">
      <w:pPr>
        <w:pStyle w:val="27"/>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_Toc4214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5.6 库区环境单元</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_Toc4214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80</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55F5302C">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_Toc5068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5.6.1 安全检查表评价</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_Toc5068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80</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47341022">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_Toc24730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5.6.3 评价小结</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_Toc24730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80</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3A128115">
      <w:pPr>
        <w:pStyle w:val="27"/>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_Toc11758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kern w:val="2"/>
          <w:szCs w:val="24"/>
          <w:lang w:val="en-US" w:eastAsia="zh-CN" w:bidi="ar-SA"/>
        </w:rPr>
        <w:t>5.7 综合安全评价</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_Toc11758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81</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7E10BA4C">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_Toc16932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kern w:val="2"/>
          <w:szCs w:val="24"/>
          <w:lang w:val="en-US" w:eastAsia="zh-CN" w:bidi="ar-SA"/>
        </w:rPr>
        <w:t>5.7.1 概述</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_Toc16932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81</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0C629E43">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_Toc2714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kern w:val="2"/>
          <w:szCs w:val="24"/>
          <w:lang w:val="en-US" w:eastAsia="zh-CN" w:bidi="ar-SA"/>
        </w:rPr>
        <w:t>5.7.2 评价标准说明</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_Toc2714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81</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052DF0BB">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_Toc29921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kern w:val="2"/>
          <w:szCs w:val="24"/>
          <w:lang w:val="en-US" w:eastAsia="zh-CN" w:bidi="ar-SA"/>
        </w:rPr>
        <w:t>5.7.3 尾矿库综合评分表</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_Toc29921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81</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42E4D190">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_Toc12869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kern w:val="2"/>
          <w:szCs w:val="24"/>
          <w:lang w:val="en-US" w:eastAsia="zh-CN" w:bidi="ar-SA"/>
        </w:rPr>
        <w:t>5.7.4 评价结论</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_Toc12869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82</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16BF3BA3">
      <w:pPr>
        <w:pStyle w:val="23"/>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_Toc28641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6. 安全对策措施建议</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_Toc28641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83</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4D09DCF1">
      <w:pPr>
        <w:pStyle w:val="27"/>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_Toc22116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6.1 尾矿库闭库一般规定</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_Toc22116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83</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0658E4BA">
      <w:pPr>
        <w:pStyle w:val="27"/>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_Toc712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6.2 尾矿库闭库前汛期安全对策措施建议</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_Toc712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84</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74BC3324">
      <w:pPr>
        <w:pStyle w:val="27"/>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_Toc25608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6.3 尾矿库闭库可行性研究方案安全对策措施</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_Toc25608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85</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15CA5647">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_Toc14961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6.3.1 滩面整治</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_Toc14961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85</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7145FB7A">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_Toc103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6.3.2 滩面排水设施</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_Toc103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86</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54E8DD94">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_Toc27618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6.3.3 尾矿坝闭库工程措施</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_Toc27618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88</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5F0F58DC">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_Toc26255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6.3.4 安全监测设施</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_Toc26255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89</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2F9B5595">
      <w:pPr>
        <w:pStyle w:val="16"/>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_Toc8094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6.3.5 辅助设施</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_Toc8094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89</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74CD822D">
      <w:pPr>
        <w:pStyle w:val="27"/>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_Toc6106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6.4 尾矿库闭库后安全对策措施建议</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_Toc6106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90</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5F81B600">
      <w:pPr>
        <w:pStyle w:val="23"/>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_Toc10462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7. 评价结论</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_Toc10462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92</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3DEB963B">
      <w:pPr>
        <w:pStyle w:val="27"/>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_Toc7386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7.1 危险有害因素分析辨识结果</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_Toc7386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92</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22803B69">
      <w:pPr>
        <w:pStyle w:val="27"/>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_Toc20280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7.2 各单元评价结论</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_Toc20280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92</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00223EDF">
      <w:pPr>
        <w:pStyle w:val="27"/>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_Toc17115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7.3 综合评价结论</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_Toc17115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94</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7CFCAAAF">
      <w:pPr>
        <w:pStyle w:val="23"/>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_Toc26287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 xml:space="preserve">8. </w:t>
      </w:r>
      <w:r>
        <w:rPr>
          <w:rFonts w:hint="default" w:ascii="Times New Roman" w:hAnsi="Times New Roman" w:eastAsia="宋体" w:cs="Times New Roman"/>
          <w:color w:val="auto"/>
          <w:kern w:val="44"/>
          <w:szCs w:val="24"/>
          <w:lang w:val="en-US" w:eastAsia="zh-CN" w:bidi="ar-SA"/>
        </w:rPr>
        <w:t>附图附件</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_Toc26287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95</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33DB64EE">
      <w:pPr>
        <w:pStyle w:val="27"/>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_Toc25126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8.1 尾矿库现状图</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_Toc25126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95</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71E39C77">
      <w:pPr>
        <w:pStyle w:val="27"/>
        <w:keepNext w:val="0"/>
        <w:keepLines w:val="0"/>
        <w:pageBreakBefore w:val="0"/>
        <w:widowControl w:val="0"/>
        <w:tabs>
          <w:tab w:val="right" w:leader="dot" w:pos="9070"/>
        </w:tabs>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szCs w:val="30"/>
          <w:lang w:val="en-US" w:eastAsia="zh-CN"/>
        </w:rPr>
        <w:fldChar w:fldCharType="begin"/>
      </w:r>
      <w:r>
        <w:rPr>
          <w:rFonts w:hint="default" w:ascii="Times New Roman" w:hAnsi="Times New Roman" w:eastAsia="宋体" w:cs="Times New Roman"/>
          <w:bCs/>
          <w:color w:val="auto"/>
          <w:szCs w:val="30"/>
          <w:lang w:val="en-US" w:eastAsia="zh-CN"/>
        </w:rPr>
        <w:instrText xml:space="preserve"> HYPERLINK \l _Toc20825 </w:instrText>
      </w:r>
      <w:r>
        <w:rPr>
          <w:rFonts w:hint="default" w:ascii="Times New Roman" w:hAnsi="Times New Roman" w:eastAsia="宋体" w:cs="Times New Roman"/>
          <w:bCs/>
          <w:color w:val="auto"/>
          <w:szCs w:val="30"/>
          <w:lang w:val="en-US" w:eastAsia="zh-CN"/>
        </w:rPr>
        <w:fldChar w:fldCharType="separate"/>
      </w:r>
      <w:r>
        <w:rPr>
          <w:rFonts w:hint="default" w:ascii="Times New Roman" w:hAnsi="Times New Roman" w:eastAsia="宋体" w:cs="Times New Roman"/>
          <w:color w:val="auto"/>
          <w:lang w:val="en-US" w:eastAsia="zh-CN"/>
        </w:rPr>
        <w:t>8.2 附件</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_Toc20825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95</w:t>
      </w:r>
      <w:r>
        <w:rPr>
          <w:rFonts w:hint="default" w:ascii="Times New Roman" w:hAnsi="Times New Roman" w:eastAsia="宋体" w:cs="Times New Roman"/>
          <w:color w:val="auto"/>
        </w:rPr>
        <w:fldChar w:fldCharType="end"/>
      </w:r>
      <w:r>
        <w:rPr>
          <w:rFonts w:hint="default" w:ascii="Times New Roman" w:hAnsi="Times New Roman" w:eastAsia="宋体" w:cs="Times New Roman"/>
          <w:bCs/>
          <w:color w:val="auto"/>
          <w:szCs w:val="30"/>
          <w:lang w:val="en-US" w:eastAsia="zh-CN"/>
        </w:rPr>
        <w:fldChar w:fldCharType="end"/>
      </w:r>
    </w:p>
    <w:p w14:paraId="4DEDEFD9">
      <w:pPr>
        <w:bidi w:val="0"/>
        <w:rPr>
          <w:rFonts w:hint="eastAsia" w:ascii="黑体" w:hAnsi="黑体" w:eastAsia="黑体" w:cs="黑体"/>
          <w:b/>
          <w:bCs/>
          <w:color w:val="auto"/>
          <w:sz w:val="30"/>
          <w:szCs w:val="30"/>
          <w:lang w:val="en-US" w:eastAsia="zh-CN"/>
        </w:rPr>
      </w:pPr>
      <w:r>
        <w:rPr>
          <w:rFonts w:hint="eastAsia" w:ascii="黑体" w:hAnsi="黑体" w:eastAsia="黑体" w:cs="黑体"/>
          <w:bCs/>
          <w:color w:val="auto"/>
          <w:szCs w:val="30"/>
          <w:lang w:val="en-US" w:eastAsia="zh-CN"/>
        </w:rPr>
        <w:fldChar w:fldCharType="end"/>
      </w:r>
    </w:p>
    <w:p w14:paraId="2B4C4F2B">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color w:val="auto"/>
          <w:sz w:val="24"/>
          <w:szCs w:val="24"/>
        </w:rPr>
      </w:pPr>
    </w:p>
    <w:p w14:paraId="0929D6A9">
      <w:pPr>
        <w:bidi w:val="0"/>
        <w:jc w:val="center"/>
        <w:rPr>
          <w:color w:val="auto"/>
        </w:rPr>
        <w:sectPr>
          <w:headerReference r:id="rId9" w:type="first"/>
          <w:footerReference r:id="rId11" w:type="first"/>
          <w:headerReference r:id="rId8" w:type="default"/>
          <w:footerReference r:id="rId10" w:type="default"/>
          <w:pgSz w:w="11906" w:h="16838"/>
          <w:pgMar w:top="1418" w:right="1418" w:bottom="1418" w:left="1418" w:header="851" w:footer="992" w:gutter="0"/>
          <w:pgBorders>
            <w:top w:val="none" w:sz="0" w:space="0"/>
            <w:left w:val="none" w:sz="0" w:space="0"/>
            <w:bottom w:val="none" w:sz="0" w:space="0"/>
            <w:right w:val="none" w:sz="0" w:space="0"/>
          </w:pgBorders>
          <w:pgNumType w:fmt="upperRoman" w:start="1"/>
          <w:cols w:space="720" w:num="1"/>
          <w:titlePg/>
          <w:docGrid w:type="lines" w:linePitch="312" w:charSpace="0"/>
        </w:sectPr>
      </w:pPr>
    </w:p>
    <w:p w14:paraId="5C93C91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auto"/>
          <w:sz w:val="32"/>
          <w:szCs w:val="32"/>
        </w:rPr>
      </w:pPr>
      <w:r>
        <w:rPr>
          <w:rFonts w:hint="eastAsia"/>
          <w:b/>
          <w:bCs/>
          <w:color w:val="auto"/>
          <w:sz w:val="32"/>
          <w:szCs w:val="32"/>
        </w:rPr>
        <w:t>江西岿美山钨业有限公司</w:t>
      </w:r>
    </w:p>
    <w:p w14:paraId="1F9ACA2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auto"/>
          <w:sz w:val="32"/>
          <w:szCs w:val="32"/>
        </w:rPr>
      </w:pPr>
      <w:r>
        <w:rPr>
          <w:rFonts w:hint="eastAsia"/>
          <w:b/>
          <w:bCs/>
          <w:color w:val="auto"/>
          <w:sz w:val="32"/>
          <w:szCs w:val="32"/>
        </w:rPr>
        <w:t>尾矿库闭库前</w:t>
      </w:r>
    </w:p>
    <w:p w14:paraId="48E1DEA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b/>
          <w:bCs/>
          <w:color w:val="auto"/>
          <w:sz w:val="32"/>
          <w:szCs w:val="32"/>
        </w:rPr>
      </w:pPr>
      <w:r>
        <w:rPr>
          <w:rFonts w:hint="eastAsia"/>
          <w:b/>
          <w:bCs/>
          <w:color w:val="auto"/>
          <w:sz w:val="32"/>
          <w:szCs w:val="32"/>
        </w:rPr>
        <w:t>安全现状评价报告</w:t>
      </w:r>
    </w:p>
    <w:p w14:paraId="695D3643">
      <w:pPr>
        <w:pStyle w:val="2"/>
        <w:numPr>
          <w:ilvl w:val="0"/>
          <w:numId w:val="1"/>
        </w:numPr>
        <w:bidi w:val="0"/>
        <w:ind w:firstLine="0" w:firstLineChars="0"/>
        <w:rPr>
          <w:color w:val="auto"/>
        </w:rPr>
      </w:pPr>
      <w:bookmarkStart w:id="3" w:name="_Toc16217"/>
      <w:bookmarkStart w:id="4" w:name="_Toc9475"/>
      <w:bookmarkStart w:id="5" w:name="_Toc15145"/>
      <w:r>
        <w:rPr>
          <w:rFonts w:hint="eastAsia"/>
          <w:color w:val="auto"/>
          <w:lang w:val="en-US" w:eastAsia="zh-CN"/>
        </w:rPr>
        <w:t>概述</w:t>
      </w:r>
      <w:bookmarkEnd w:id="3"/>
      <w:bookmarkEnd w:id="4"/>
    </w:p>
    <w:p w14:paraId="0176095E">
      <w:pPr>
        <w:keepNext/>
        <w:keepLines/>
        <w:widowControl w:val="0"/>
        <w:bidi w:val="0"/>
        <w:spacing w:line="360" w:lineRule="auto"/>
        <w:ind w:left="280" w:leftChars="100" w:firstLine="0" w:firstLineChars="0"/>
        <w:jc w:val="both"/>
        <w:outlineLvl w:val="1"/>
        <w:rPr>
          <w:rFonts w:hint="default" w:ascii="Times New Roman" w:hAnsi="Times New Roman" w:eastAsia="黑体" w:cs="Times New Roman"/>
          <w:b/>
          <w:bCs/>
          <w:color w:val="auto"/>
          <w:kern w:val="2"/>
          <w:sz w:val="30"/>
          <w:szCs w:val="32"/>
          <w:lang w:val="en-US" w:eastAsia="zh-CN" w:bidi="ar-SA"/>
        </w:rPr>
      </w:pPr>
      <w:bookmarkStart w:id="6" w:name="_Toc24757"/>
      <w:bookmarkStart w:id="7" w:name="_Toc16390"/>
      <w:bookmarkStart w:id="8" w:name="_Toc14281"/>
      <w:bookmarkStart w:id="9" w:name="_Toc18592"/>
      <w:bookmarkStart w:id="10" w:name="_Toc22936"/>
      <w:r>
        <w:rPr>
          <w:rFonts w:hint="eastAsia" w:ascii="Times New Roman" w:hAnsi="Times New Roman" w:eastAsia="黑体" w:cs="Times New Roman"/>
          <w:b/>
          <w:bCs/>
          <w:color w:val="auto"/>
          <w:kern w:val="2"/>
          <w:sz w:val="30"/>
          <w:szCs w:val="32"/>
          <w:lang w:val="en-US" w:eastAsia="zh-CN" w:bidi="ar-SA"/>
        </w:rPr>
        <w:t>1.1 评价目的</w:t>
      </w:r>
      <w:bookmarkEnd w:id="6"/>
      <w:bookmarkEnd w:id="7"/>
    </w:p>
    <w:p w14:paraId="27D3E169">
      <w:pPr>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安全现状评价是在系统生命周期内的生产运行期，通过对生产经营单位的生产设施、设备、装置实际运行状况及管理状况的调查、分析，运用安全系统工程的方法，进行危险、有害因素的识别及其危险度的评价，查找该系统生产运行中存在的事故隐患并判定其危险程度，提出合理可行的安全对策措施及建议，使系统在生产运行期内的安全风险控制在安全、合理的程度内。</w:t>
      </w:r>
    </w:p>
    <w:p w14:paraId="583A6A4D">
      <w:pPr>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通过对闭库前的江西岿美山钨业有限公司尾矿库进行安全现状评价，分析尾矿库闭库前存在的危险、有害因素，确定其危险度，对尾矿库各系统、安全设施和管理状况给予客观评价，确定其危险程度，为闭库设计提出合理可行的安全对策措施及建议，为尾矿库闭库和闭库后的安全管理提供依据，以利于提高闭库后尾矿库本质安全程度。</w:t>
      </w:r>
    </w:p>
    <w:p w14:paraId="52141E6C">
      <w:pPr>
        <w:pStyle w:val="3"/>
        <w:bidi w:val="0"/>
        <w:rPr>
          <w:color w:val="auto"/>
        </w:rPr>
      </w:pPr>
      <w:bookmarkStart w:id="11" w:name="_Toc18270"/>
      <w:bookmarkStart w:id="12" w:name="_Toc31191"/>
      <w:r>
        <w:rPr>
          <w:color w:val="auto"/>
        </w:rPr>
        <w:t>1.</w:t>
      </w:r>
      <w:r>
        <w:rPr>
          <w:rFonts w:hint="eastAsia"/>
          <w:color w:val="auto"/>
          <w:lang w:val="en-US" w:eastAsia="zh-CN"/>
        </w:rPr>
        <w:t xml:space="preserve">2 </w:t>
      </w:r>
      <w:bookmarkEnd w:id="5"/>
      <w:r>
        <w:rPr>
          <w:rStyle w:val="38"/>
          <w:b/>
          <w:bCs/>
          <w:color w:val="auto"/>
        </w:rPr>
        <w:t>评价对象和范围</w:t>
      </w:r>
      <w:bookmarkEnd w:id="8"/>
      <w:bookmarkEnd w:id="9"/>
      <w:bookmarkEnd w:id="10"/>
      <w:bookmarkEnd w:id="11"/>
      <w:bookmarkEnd w:id="12"/>
    </w:p>
    <w:p w14:paraId="356FEAE8">
      <w:pPr>
        <w:pStyle w:val="4"/>
        <w:bidi w:val="0"/>
        <w:rPr>
          <w:color w:val="auto"/>
        </w:rPr>
      </w:pPr>
      <w:bookmarkStart w:id="13" w:name="_Toc32632"/>
      <w:bookmarkStart w:id="14" w:name="_Toc17051"/>
      <w:bookmarkStart w:id="15" w:name="_Toc15704"/>
      <w:bookmarkStart w:id="16" w:name="_Toc20760"/>
      <w:bookmarkStart w:id="17" w:name="_Toc29754"/>
      <w:bookmarkStart w:id="18" w:name="_Toc13768"/>
      <w:r>
        <w:rPr>
          <w:color w:val="auto"/>
        </w:rPr>
        <w:t>1.</w:t>
      </w:r>
      <w:r>
        <w:rPr>
          <w:rFonts w:hint="eastAsia"/>
          <w:color w:val="auto"/>
          <w:lang w:val="en-US" w:eastAsia="zh-CN"/>
        </w:rPr>
        <w:t>2</w:t>
      </w:r>
      <w:r>
        <w:rPr>
          <w:color w:val="auto"/>
        </w:rPr>
        <w:t>.1</w:t>
      </w:r>
      <w:r>
        <w:rPr>
          <w:rFonts w:hint="eastAsia"/>
          <w:color w:val="auto"/>
          <w:lang w:val="en-US" w:eastAsia="zh-CN"/>
        </w:rPr>
        <w:t xml:space="preserve"> </w:t>
      </w:r>
      <w:bookmarkEnd w:id="13"/>
      <w:r>
        <w:rPr>
          <w:b/>
          <w:color w:val="auto"/>
          <w:sz w:val="28"/>
          <w:szCs w:val="28"/>
        </w:rPr>
        <w:t>评价对象</w:t>
      </w:r>
      <w:bookmarkEnd w:id="14"/>
      <w:bookmarkEnd w:id="15"/>
      <w:bookmarkEnd w:id="16"/>
      <w:bookmarkEnd w:id="17"/>
      <w:bookmarkEnd w:id="18"/>
    </w:p>
    <w:p w14:paraId="072E724C">
      <w:pPr>
        <w:bidi w:val="0"/>
        <w:rPr>
          <w:rFonts w:hint="default" w:eastAsia="宋体"/>
          <w:color w:val="auto"/>
          <w:lang w:val="en-US" w:eastAsia="zh-CN"/>
        </w:rPr>
      </w:pPr>
      <w:bookmarkStart w:id="19" w:name="_Toc7846"/>
      <w:r>
        <w:rPr>
          <w:rFonts w:hint="eastAsia"/>
          <w:color w:val="auto"/>
        </w:rPr>
        <w:t>闭库前的江西岿美山钨业有限公司尾矿库</w:t>
      </w:r>
      <w:r>
        <w:rPr>
          <w:rFonts w:hint="eastAsia"/>
          <w:color w:val="auto"/>
          <w:lang w:val="en-US" w:eastAsia="zh-CN"/>
        </w:rPr>
        <w:t>（以下简称“岿美山尾矿库”）。</w:t>
      </w:r>
    </w:p>
    <w:p w14:paraId="3BADE749">
      <w:pPr>
        <w:pStyle w:val="4"/>
        <w:bidi w:val="0"/>
        <w:rPr>
          <w:rFonts w:hint="eastAsia"/>
          <w:color w:val="auto"/>
        </w:rPr>
      </w:pPr>
      <w:bookmarkStart w:id="20" w:name="_Toc21738"/>
      <w:bookmarkStart w:id="21" w:name="_Toc26620"/>
      <w:bookmarkStart w:id="22" w:name="_Toc32130"/>
      <w:bookmarkStart w:id="23" w:name="_Toc86"/>
      <w:bookmarkStart w:id="24" w:name="_Toc24915"/>
      <w:r>
        <w:rPr>
          <w:rFonts w:hint="eastAsia"/>
          <w:color w:val="auto"/>
        </w:rPr>
        <w:t>1.</w:t>
      </w:r>
      <w:r>
        <w:rPr>
          <w:rFonts w:hint="eastAsia"/>
          <w:color w:val="auto"/>
          <w:lang w:val="en-US" w:eastAsia="zh-CN"/>
        </w:rPr>
        <w:t>2</w:t>
      </w:r>
      <w:r>
        <w:rPr>
          <w:rFonts w:hint="eastAsia"/>
          <w:color w:val="auto"/>
        </w:rPr>
        <w:t>.2</w:t>
      </w:r>
      <w:r>
        <w:rPr>
          <w:rFonts w:hint="eastAsia"/>
          <w:color w:val="auto"/>
          <w:lang w:val="en-US" w:eastAsia="zh-CN"/>
        </w:rPr>
        <w:t xml:space="preserve"> </w:t>
      </w:r>
      <w:r>
        <w:rPr>
          <w:rFonts w:hint="eastAsia"/>
          <w:color w:val="auto"/>
        </w:rPr>
        <w:t>评价范围</w:t>
      </w:r>
      <w:bookmarkEnd w:id="20"/>
      <w:bookmarkEnd w:id="21"/>
      <w:bookmarkEnd w:id="22"/>
      <w:bookmarkEnd w:id="23"/>
      <w:bookmarkEnd w:id="24"/>
    </w:p>
    <w:bookmarkEnd w:id="19"/>
    <w:p w14:paraId="6AD1A3DE">
      <w:pPr>
        <w:bidi w:val="0"/>
        <w:rPr>
          <w:rFonts w:hint="eastAsia" w:ascii="Times New Roman" w:hAnsi="Times New Roman" w:eastAsia="宋体" w:cs="Times New Roman"/>
          <w:color w:val="auto"/>
          <w:lang w:val="en-US" w:eastAsia="zh-CN"/>
        </w:rPr>
      </w:pPr>
      <w:r>
        <w:rPr>
          <w:rFonts w:hint="eastAsia"/>
          <w:color w:val="auto"/>
          <w:lang w:val="en-US" w:eastAsia="zh-CN"/>
        </w:rPr>
        <w:t>岿美山尾矿库</w:t>
      </w:r>
      <w:r>
        <w:rPr>
          <w:rFonts w:hint="eastAsia" w:ascii="Times New Roman" w:hAnsi="Times New Roman" w:eastAsia="宋体" w:cs="Times New Roman"/>
          <w:color w:val="auto"/>
          <w:lang w:val="en-US" w:eastAsia="zh-CN"/>
        </w:rPr>
        <w:t>的尾矿坝</w:t>
      </w:r>
      <w:r>
        <w:rPr>
          <w:rFonts w:hint="eastAsia" w:cs="Times New Roman"/>
          <w:color w:val="auto"/>
          <w:lang w:val="en-US" w:eastAsia="zh-CN"/>
        </w:rPr>
        <w:t>（初期坝、尾矿堆积坝、副坝）</w:t>
      </w:r>
      <w:r>
        <w:rPr>
          <w:rFonts w:hint="eastAsia" w:ascii="Times New Roman" w:hAnsi="Times New Roman" w:eastAsia="宋体" w:cs="Times New Roman"/>
          <w:color w:val="auto"/>
          <w:lang w:val="en-US" w:eastAsia="zh-CN"/>
        </w:rPr>
        <w:t>、排洪</w:t>
      </w:r>
      <w:r>
        <w:rPr>
          <w:rFonts w:hint="eastAsia" w:cs="Times New Roman"/>
          <w:color w:val="auto"/>
          <w:lang w:val="en-US" w:eastAsia="zh-CN"/>
        </w:rPr>
        <w:t>（水）</w:t>
      </w:r>
      <w:r>
        <w:rPr>
          <w:rFonts w:hint="eastAsia" w:ascii="Times New Roman" w:hAnsi="Times New Roman" w:eastAsia="宋体" w:cs="Times New Roman"/>
          <w:color w:val="auto"/>
          <w:lang w:val="en-US" w:eastAsia="zh-CN"/>
        </w:rPr>
        <w:t>设施、安全监测设施、辅助设施、库区周边环境和安全管理现状（不包括尾矿输送系统、尾矿回水系统、职业卫生等）。</w:t>
      </w:r>
    </w:p>
    <w:p w14:paraId="6C9325DD">
      <w:pPr>
        <w:pStyle w:val="3"/>
        <w:bidi w:val="0"/>
        <w:rPr>
          <w:rFonts w:hint="eastAsia"/>
          <w:color w:val="auto"/>
          <w:lang w:val="en-US" w:eastAsia="zh-CN"/>
        </w:rPr>
      </w:pPr>
      <w:bookmarkStart w:id="25" w:name="_Toc30906"/>
      <w:bookmarkStart w:id="26" w:name="_Toc7387"/>
      <w:r>
        <w:rPr>
          <w:rFonts w:hint="eastAsia"/>
          <w:color w:val="auto"/>
          <w:lang w:val="en-US" w:eastAsia="zh-CN"/>
        </w:rPr>
        <w:t>1.3 评价内容</w:t>
      </w:r>
      <w:bookmarkEnd w:id="25"/>
      <w:bookmarkEnd w:id="26"/>
    </w:p>
    <w:p w14:paraId="4AF09F42">
      <w:pPr>
        <w:bidi w:val="0"/>
        <w:rPr>
          <w:rFonts w:hint="default"/>
          <w:color w:val="auto"/>
          <w:lang w:val="en-US" w:eastAsia="zh-CN"/>
        </w:rPr>
      </w:pPr>
      <w:r>
        <w:rPr>
          <w:rFonts w:hint="default"/>
          <w:color w:val="auto"/>
          <w:lang w:val="en-US" w:eastAsia="zh-CN"/>
        </w:rPr>
        <w:t>1.</w:t>
      </w:r>
      <w:r>
        <w:rPr>
          <w:rFonts w:hint="eastAsia"/>
          <w:color w:val="auto"/>
          <w:lang w:val="en-US" w:eastAsia="zh-CN"/>
        </w:rPr>
        <w:t xml:space="preserve"> </w:t>
      </w:r>
      <w:r>
        <w:rPr>
          <w:rFonts w:hint="default"/>
          <w:color w:val="auto"/>
          <w:lang w:val="en-US" w:eastAsia="zh-CN"/>
        </w:rPr>
        <w:t>检查企业的相应资质证书、营业执照的有效性及范围；</w:t>
      </w:r>
    </w:p>
    <w:p w14:paraId="23CE9892">
      <w:pPr>
        <w:bidi w:val="0"/>
        <w:rPr>
          <w:rFonts w:hint="default"/>
          <w:color w:val="auto"/>
          <w:lang w:val="en-US" w:eastAsia="zh-CN"/>
        </w:rPr>
      </w:pPr>
      <w:r>
        <w:rPr>
          <w:rFonts w:hint="default"/>
          <w:color w:val="auto"/>
          <w:lang w:val="en-US" w:eastAsia="zh-CN"/>
        </w:rPr>
        <w:t>2.</w:t>
      </w:r>
      <w:r>
        <w:rPr>
          <w:rFonts w:hint="eastAsia"/>
          <w:color w:val="auto"/>
          <w:lang w:val="en-US" w:eastAsia="zh-CN"/>
        </w:rPr>
        <w:t xml:space="preserve"> </w:t>
      </w:r>
      <w:r>
        <w:rPr>
          <w:rFonts w:hint="default"/>
          <w:color w:val="auto"/>
          <w:lang w:val="en-US" w:eastAsia="zh-CN"/>
        </w:rPr>
        <w:t>检查安全机构的设置及人员的配备，安全生产管理</w:t>
      </w:r>
      <w:r>
        <w:rPr>
          <w:rFonts w:hint="default"/>
          <w:color w:val="auto"/>
          <w:lang w:val="en-US" w:eastAsia="zh-CN"/>
        </w:rPr>
        <w:t>制度、操作规程等的制定</w:t>
      </w:r>
      <w:r>
        <w:rPr>
          <w:rFonts w:hint="eastAsia"/>
          <w:color w:val="auto"/>
          <w:lang w:val="en-US" w:eastAsia="zh-CN"/>
        </w:rPr>
        <w:t>、</w:t>
      </w:r>
      <w:r>
        <w:rPr>
          <w:rFonts w:hint="default"/>
          <w:color w:val="auto"/>
          <w:lang w:val="en-US" w:eastAsia="zh-CN"/>
        </w:rPr>
        <w:t>执行情况；</w:t>
      </w:r>
    </w:p>
    <w:p w14:paraId="60A7F45E">
      <w:pPr>
        <w:bidi w:val="0"/>
        <w:rPr>
          <w:rFonts w:hint="default"/>
          <w:color w:val="auto"/>
          <w:lang w:val="en-US" w:eastAsia="zh-CN"/>
        </w:rPr>
      </w:pPr>
      <w:r>
        <w:rPr>
          <w:rFonts w:hint="default"/>
          <w:color w:val="auto"/>
          <w:lang w:val="en-US" w:eastAsia="zh-CN"/>
        </w:rPr>
        <w:t>3.</w:t>
      </w:r>
      <w:r>
        <w:rPr>
          <w:rFonts w:hint="eastAsia"/>
          <w:color w:val="auto"/>
          <w:lang w:val="en-US" w:eastAsia="zh-CN"/>
        </w:rPr>
        <w:t xml:space="preserve"> </w:t>
      </w:r>
      <w:r>
        <w:rPr>
          <w:rFonts w:hint="default"/>
          <w:color w:val="auto"/>
          <w:lang w:val="en-US" w:eastAsia="zh-CN"/>
        </w:rPr>
        <w:t>检查主要负责人、</w:t>
      </w:r>
      <w:r>
        <w:rPr>
          <w:rFonts w:hint="eastAsia"/>
          <w:color w:val="auto"/>
          <w:lang w:val="en-US" w:eastAsia="zh-CN"/>
        </w:rPr>
        <w:t>安全管理人员</w:t>
      </w:r>
      <w:r>
        <w:rPr>
          <w:rFonts w:hint="default"/>
          <w:color w:val="auto"/>
          <w:lang w:val="en-US" w:eastAsia="zh-CN"/>
        </w:rPr>
        <w:t>的培训考核，检查审核特种作业人员的培训、取证情况及一般作业人员的安全教育、培训情况；</w:t>
      </w:r>
    </w:p>
    <w:p w14:paraId="1A2D51F9">
      <w:pPr>
        <w:bidi w:val="0"/>
        <w:rPr>
          <w:rFonts w:hint="default"/>
          <w:color w:val="auto"/>
          <w:lang w:val="en-US" w:eastAsia="zh-CN"/>
        </w:rPr>
      </w:pPr>
      <w:r>
        <w:rPr>
          <w:rFonts w:hint="default"/>
          <w:color w:val="auto"/>
          <w:lang w:val="en-US" w:eastAsia="zh-CN"/>
        </w:rPr>
        <w:t>4.</w:t>
      </w:r>
      <w:r>
        <w:rPr>
          <w:rFonts w:hint="eastAsia"/>
          <w:color w:val="auto"/>
          <w:lang w:val="en-US" w:eastAsia="zh-CN"/>
        </w:rPr>
        <w:t xml:space="preserve"> </w:t>
      </w:r>
      <w:r>
        <w:rPr>
          <w:rFonts w:hint="default"/>
          <w:color w:val="auto"/>
          <w:lang w:val="en-US" w:eastAsia="zh-CN"/>
        </w:rPr>
        <w:t>评价尾矿库闭库前各系统是否</w:t>
      </w:r>
      <w:r>
        <w:rPr>
          <w:rFonts w:hint="eastAsia"/>
          <w:color w:val="auto"/>
          <w:lang w:val="en-US" w:eastAsia="zh-CN"/>
        </w:rPr>
        <w:t>符合设计</w:t>
      </w:r>
      <w:r>
        <w:rPr>
          <w:rFonts w:hint="default"/>
          <w:color w:val="auto"/>
          <w:lang w:val="en-US" w:eastAsia="zh-CN"/>
        </w:rPr>
        <w:t>满足安全生产法律、法规和标准</w:t>
      </w:r>
      <w:r>
        <w:rPr>
          <w:rFonts w:hint="eastAsia"/>
          <w:color w:val="auto"/>
          <w:lang w:val="en-US" w:eastAsia="zh-CN"/>
        </w:rPr>
        <w:t>规范</w:t>
      </w:r>
      <w:r>
        <w:rPr>
          <w:rFonts w:hint="default"/>
          <w:color w:val="auto"/>
          <w:lang w:val="en-US" w:eastAsia="zh-CN"/>
        </w:rPr>
        <w:t>的要求；</w:t>
      </w:r>
    </w:p>
    <w:p w14:paraId="7FBD58E9">
      <w:pPr>
        <w:bidi w:val="0"/>
        <w:rPr>
          <w:rFonts w:hint="default"/>
          <w:color w:val="auto"/>
          <w:lang w:val="en-US" w:eastAsia="zh-CN"/>
        </w:rPr>
      </w:pPr>
      <w:r>
        <w:rPr>
          <w:rFonts w:hint="default"/>
          <w:color w:val="auto"/>
          <w:lang w:val="en-US" w:eastAsia="zh-CN"/>
        </w:rPr>
        <w:t>5.</w:t>
      </w:r>
      <w:r>
        <w:rPr>
          <w:rFonts w:hint="eastAsia"/>
          <w:color w:val="auto"/>
          <w:lang w:val="en-US" w:eastAsia="zh-CN"/>
        </w:rPr>
        <w:t xml:space="preserve"> </w:t>
      </w:r>
      <w:r>
        <w:rPr>
          <w:rFonts w:hint="default"/>
          <w:color w:val="auto"/>
          <w:lang w:val="en-US" w:eastAsia="zh-CN"/>
        </w:rPr>
        <w:t>评价尾矿库安全生产保障体系总体状况，明确其是否满足闭库的安全生产要求。</w:t>
      </w:r>
    </w:p>
    <w:p w14:paraId="608ADDDF">
      <w:pPr>
        <w:bidi w:val="0"/>
        <w:rPr>
          <w:rFonts w:hint="default"/>
          <w:color w:val="auto"/>
          <w:lang w:val="en-US" w:eastAsia="zh-CN"/>
        </w:rPr>
      </w:pPr>
      <w:r>
        <w:rPr>
          <w:rFonts w:hint="default"/>
          <w:color w:val="auto"/>
          <w:lang w:val="en-US" w:eastAsia="zh-CN"/>
        </w:rPr>
        <w:t>6.</w:t>
      </w:r>
      <w:r>
        <w:rPr>
          <w:rFonts w:hint="eastAsia"/>
          <w:color w:val="auto"/>
          <w:lang w:val="en-US" w:eastAsia="zh-CN"/>
        </w:rPr>
        <w:t xml:space="preserve"> </w:t>
      </w:r>
      <w:r>
        <w:rPr>
          <w:rFonts w:hint="default"/>
          <w:color w:val="auto"/>
          <w:lang w:val="en-US" w:eastAsia="zh-CN"/>
        </w:rPr>
        <w:t>针对闭库前尾矿库状况，提出下一步闭库安全设施设计应采取的安全对策措施以及闭库后安全管理措施。</w:t>
      </w:r>
    </w:p>
    <w:p w14:paraId="6EBC6B77">
      <w:pPr>
        <w:pStyle w:val="3"/>
        <w:bidi w:val="0"/>
        <w:rPr>
          <w:rFonts w:hint="eastAsia"/>
          <w:color w:val="auto"/>
        </w:rPr>
      </w:pPr>
      <w:bookmarkStart w:id="27" w:name="_Toc1601"/>
      <w:bookmarkStart w:id="28" w:name="_Toc24541"/>
      <w:bookmarkStart w:id="29" w:name="_Toc26527"/>
      <w:bookmarkStart w:id="30" w:name="_Toc1061"/>
      <w:bookmarkStart w:id="31" w:name="_Toc11816"/>
      <w:r>
        <w:rPr>
          <w:rFonts w:hint="eastAsia"/>
          <w:color w:val="auto"/>
        </w:rPr>
        <w:t>1.</w:t>
      </w:r>
      <w:r>
        <w:rPr>
          <w:rFonts w:hint="eastAsia"/>
          <w:color w:val="auto"/>
          <w:lang w:val="en-US" w:eastAsia="zh-CN"/>
        </w:rPr>
        <w:t xml:space="preserve">4 </w:t>
      </w:r>
      <w:r>
        <w:rPr>
          <w:rFonts w:hint="eastAsia"/>
          <w:color w:val="auto"/>
        </w:rPr>
        <w:t>评价依据</w:t>
      </w:r>
      <w:bookmarkEnd w:id="27"/>
      <w:bookmarkEnd w:id="28"/>
      <w:bookmarkEnd w:id="29"/>
      <w:bookmarkEnd w:id="30"/>
      <w:bookmarkEnd w:id="31"/>
    </w:p>
    <w:p w14:paraId="6D89DD7B">
      <w:pPr>
        <w:pStyle w:val="4"/>
        <w:bidi w:val="0"/>
        <w:rPr>
          <w:rFonts w:hint="eastAsia"/>
          <w:color w:val="auto"/>
        </w:rPr>
      </w:pPr>
      <w:bookmarkStart w:id="32" w:name="_Toc19942"/>
      <w:bookmarkStart w:id="33" w:name="_Toc513"/>
      <w:r>
        <w:rPr>
          <w:rFonts w:hint="eastAsia"/>
          <w:color w:val="auto"/>
        </w:rPr>
        <w:t>1.4.1 法律、法规</w:t>
      </w:r>
      <w:bookmarkEnd w:id="32"/>
      <w:bookmarkEnd w:id="33"/>
    </w:p>
    <w:p w14:paraId="56813C65">
      <w:pPr>
        <w:rPr>
          <w:rFonts w:hint="default" w:eastAsia="宋体"/>
          <w:b/>
          <w:bCs/>
          <w:color w:val="auto"/>
          <w:lang w:val="en-US" w:eastAsia="zh-CN"/>
        </w:rPr>
      </w:pPr>
      <w:r>
        <w:rPr>
          <w:rFonts w:hint="eastAsia"/>
          <w:b/>
          <w:bCs/>
          <w:color w:val="auto"/>
          <w:lang w:val="en-US" w:eastAsia="zh-CN"/>
        </w:rPr>
        <w:t>1. 法律</w:t>
      </w:r>
    </w:p>
    <w:p w14:paraId="4D0C6C8D">
      <w:pPr>
        <w:bidi w:val="0"/>
        <w:ind w:firstLine="88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《中华人民共和国矿产资源法》</w:t>
      </w:r>
      <w:r>
        <w:rPr>
          <w:color w:val="auto"/>
          <w:sz w:val="28"/>
        </w:rPr>
        <w:t>（主席令〔1986〕36号发布，依次经主席令〔1996〕74号、主席令〔2009〕18号、主席令〔2024〕36号修正，自</w:t>
      </w:r>
      <w:r>
        <w:rPr>
          <w:rFonts w:hint="eastAsia"/>
          <w:color w:val="auto"/>
          <w:sz w:val="28"/>
        </w:rPr>
        <w:t>2025</w:t>
      </w:r>
      <w:r>
        <w:rPr>
          <w:color w:val="auto"/>
          <w:sz w:val="28"/>
        </w:rPr>
        <w:t>年</w:t>
      </w:r>
      <w:r>
        <w:rPr>
          <w:rFonts w:hint="eastAsia"/>
          <w:color w:val="auto"/>
          <w:sz w:val="28"/>
        </w:rPr>
        <w:t>7</w:t>
      </w:r>
      <w:r>
        <w:rPr>
          <w:color w:val="auto"/>
          <w:sz w:val="28"/>
        </w:rPr>
        <w:t>月</w:t>
      </w:r>
      <w:r>
        <w:rPr>
          <w:rFonts w:hint="eastAsia"/>
          <w:color w:val="auto"/>
          <w:sz w:val="28"/>
        </w:rPr>
        <w:t>1</w:t>
      </w:r>
      <w:r>
        <w:rPr>
          <w:color w:val="auto"/>
          <w:sz w:val="28"/>
        </w:rPr>
        <w:t>日起施行）</w:t>
      </w:r>
    </w:p>
    <w:p w14:paraId="130C13CA">
      <w:pPr>
        <w:bidi w:val="0"/>
        <w:ind w:firstLine="88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《中华人民共和国矿山安全法》</w:t>
      </w:r>
      <w:r>
        <w:rPr>
          <w:color w:val="auto"/>
          <w:sz w:val="28"/>
        </w:rPr>
        <w:t>（主席令〔1992〕65号发布，经主席令〔2009〕18号修正，自</w:t>
      </w:r>
      <w:r>
        <w:rPr>
          <w:rFonts w:hint="eastAsia"/>
          <w:color w:val="auto"/>
          <w:sz w:val="28"/>
        </w:rPr>
        <w:t>2009</w:t>
      </w:r>
      <w:r>
        <w:rPr>
          <w:color w:val="auto"/>
          <w:sz w:val="28"/>
        </w:rPr>
        <w:t>年</w:t>
      </w:r>
      <w:r>
        <w:rPr>
          <w:rFonts w:hint="eastAsia"/>
          <w:color w:val="auto"/>
          <w:sz w:val="28"/>
        </w:rPr>
        <w:t>8</w:t>
      </w:r>
      <w:r>
        <w:rPr>
          <w:color w:val="auto"/>
          <w:sz w:val="28"/>
        </w:rPr>
        <w:t>月</w:t>
      </w:r>
      <w:r>
        <w:rPr>
          <w:rFonts w:hint="eastAsia"/>
          <w:color w:val="auto"/>
          <w:sz w:val="28"/>
        </w:rPr>
        <w:t>27</w:t>
      </w:r>
      <w:r>
        <w:rPr>
          <w:color w:val="auto"/>
          <w:sz w:val="28"/>
        </w:rPr>
        <w:t>日起施行）</w:t>
      </w:r>
    </w:p>
    <w:p w14:paraId="280FE1E0">
      <w:pPr>
        <w:bidi w:val="0"/>
        <w:ind w:firstLine="880"/>
        <w:rPr>
          <w:color w:val="auto"/>
          <w:spacing w:val="-6"/>
          <w:sz w:val="28"/>
        </w:rPr>
      </w:pPr>
      <w:r>
        <w:rPr>
          <w:rFonts w:hint="eastAsia" w:ascii="Times New Roman" w:hAnsi="Times New Roman" w:eastAsia="宋体" w:cs="Times New Roman"/>
          <w:color w:val="auto"/>
          <w:lang w:val="en-US" w:eastAsia="zh-CN"/>
        </w:rPr>
        <w:t>《中华人民共和国劳动法》</w:t>
      </w:r>
      <w:r>
        <w:rPr>
          <w:color w:val="auto"/>
          <w:spacing w:val="-6"/>
          <w:sz w:val="28"/>
        </w:rPr>
        <w:t>（主席令〔1994〕28号发布，依次经主席令〔2009〕18号、主席令〔2018〕24号修正，自</w:t>
      </w:r>
      <w:r>
        <w:rPr>
          <w:rFonts w:hint="eastAsia"/>
          <w:color w:val="auto"/>
          <w:spacing w:val="-6"/>
          <w:sz w:val="28"/>
        </w:rPr>
        <w:t>2018</w:t>
      </w:r>
      <w:r>
        <w:rPr>
          <w:color w:val="auto"/>
          <w:spacing w:val="-6"/>
          <w:sz w:val="28"/>
        </w:rPr>
        <w:t>年1</w:t>
      </w:r>
      <w:r>
        <w:rPr>
          <w:rFonts w:hint="eastAsia"/>
          <w:color w:val="auto"/>
          <w:spacing w:val="-6"/>
          <w:sz w:val="28"/>
        </w:rPr>
        <w:t>2</w:t>
      </w:r>
      <w:r>
        <w:rPr>
          <w:color w:val="auto"/>
          <w:spacing w:val="-6"/>
          <w:sz w:val="28"/>
        </w:rPr>
        <w:t>月</w:t>
      </w:r>
      <w:r>
        <w:rPr>
          <w:rFonts w:hint="eastAsia"/>
          <w:color w:val="auto"/>
          <w:spacing w:val="-6"/>
          <w:sz w:val="28"/>
        </w:rPr>
        <w:t>29</w:t>
      </w:r>
      <w:r>
        <w:rPr>
          <w:color w:val="auto"/>
          <w:spacing w:val="-6"/>
          <w:sz w:val="28"/>
        </w:rPr>
        <w:t>日起施行）</w:t>
      </w:r>
    </w:p>
    <w:p w14:paraId="17A4DA83">
      <w:pPr>
        <w:pageBreakBefore w:val="0"/>
        <w:widowControl w:val="0"/>
        <w:numPr>
          <w:ilvl w:val="0"/>
          <w:numId w:val="0"/>
        </w:numPr>
        <w:kinsoku/>
        <w:wordWrap/>
        <w:overflowPunct/>
        <w:topLinePunct w:val="0"/>
        <w:autoSpaceDE/>
        <w:autoSpaceDN/>
        <w:bidi w:val="0"/>
        <w:ind w:left="0" w:leftChars="0" w:firstLine="560" w:firstLineChars="200"/>
        <w:textAlignment w:val="auto"/>
        <w:rPr>
          <w:color w:val="auto"/>
          <w:sz w:val="28"/>
        </w:rPr>
      </w:pPr>
      <w:r>
        <w:rPr>
          <w:color w:val="auto"/>
          <w:sz w:val="28"/>
        </w:rPr>
        <w:t>《中华人民共和国防洪法》（主席令〔1997〕第88号发布，依次经主席令〔2009〕第18号、主席令〔2015〕第23号、主席令〔2016〕第48号修正，自</w:t>
      </w:r>
      <w:r>
        <w:rPr>
          <w:rFonts w:hint="eastAsia"/>
          <w:color w:val="auto"/>
          <w:sz w:val="28"/>
        </w:rPr>
        <w:t>2016</w:t>
      </w:r>
      <w:r>
        <w:rPr>
          <w:color w:val="auto"/>
          <w:sz w:val="28"/>
        </w:rPr>
        <w:t>年</w:t>
      </w:r>
      <w:r>
        <w:rPr>
          <w:rFonts w:hint="eastAsia"/>
          <w:color w:val="auto"/>
          <w:sz w:val="28"/>
        </w:rPr>
        <w:t>7</w:t>
      </w:r>
      <w:r>
        <w:rPr>
          <w:color w:val="auto"/>
          <w:sz w:val="28"/>
        </w:rPr>
        <w:t>月</w:t>
      </w:r>
      <w:r>
        <w:rPr>
          <w:rFonts w:hint="eastAsia"/>
          <w:color w:val="auto"/>
          <w:sz w:val="28"/>
        </w:rPr>
        <w:t>2</w:t>
      </w:r>
      <w:r>
        <w:rPr>
          <w:color w:val="auto"/>
          <w:sz w:val="28"/>
        </w:rPr>
        <w:t>日起施行）</w:t>
      </w:r>
    </w:p>
    <w:p w14:paraId="36792D81">
      <w:pPr>
        <w:pageBreakBefore w:val="0"/>
        <w:widowControl w:val="0"/>
        <w:numPr>
          <w:ilvl w:val="0"/>
          <w:numId w:val="0"/>
        </w:numPr>
        <w:kinsoku/>
        <w:wordWrap/>
        <w:overflowPunct/>
        <w:topLinePunct w:val="0"/>
        <w:autoSpaceDE/>
        <w:autoSpaceDN/>
        <w:bidi w:val="0"/>
        <w:ind w:left="0" w:leftChars="0" w:firstLine="560" w:firstLineChars="200"/>
        <w:textAlignment w:val="auto"/>
        <w:rPr>
          <w:color w:val="auto"/>
          <w:sz w:val="28"/>
        </w:rPr>
      </w:pPr>
      <w:r>
        <w:rPr>
          <w:color w:val="auto"/>
          <w:sz w:val="28"/>
        </w:rPr>
        <w:t>《中华人民共和国防震减灾法》（主席令〔1997〕94号发布，经主席令〔2008〕7号修正，自</w:t>
      </w:r>
      <w:r>
        <w:rPr>
          <w:rFonts w:hint="eastAsia"/>
          <w:color w:val="auto"/>
          <w:sz w:val="28"/>
        </w:rPr>
        <w:t>2009</w:t>
      </w:r>
      <w:r>
        <w:rPr>
          <w:color w:val="auto"/>
          <w:sz w:val="28"/>
        </w:rPr>
        <w:t>年</w:t>
      </w:r>
      <w:r>
        <w:rPr>
          <w:rFonts w:hint="eastAsia"/>
          <w:color w:val="auto"/>
          <w:sz w:val="28"/>
        </w:rPr>
        <w:t>5</w:t>
      </w:r>
      <w:r>
        <w:rPr>
          <w:color w:val="auto"/>
          <w:sz w:val="28"/>
        </w:rPr>
        <w:t>月</w:t>
      </w:r>
      <w:r>
        <w:rPr>
          <w:rFonts w:hint="eastAsia"/>
          <w:color w:val="auto"/>
          <w:sz w:val="28"/>
        </w:rPr>
        <w:t>1</w:t>
      </w:r>
      <w:r>
        <w:rPr>
          <w:color w:val="auto"/>
          <w:sz w:val="28"/>
        </w:rPr>
        <w:t>日起施行）</w:t>
      </w:r>
    </w:p>
    <w:p w14:paraId="7DB8D2A6">
      <w:pPr>
        <w:bidi w:val="0"/>
        <w:ind w:firstLine="88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《中华人民共和国消防法》</w:t>
      </w:r>
      <w:r>
        <w:rPr>
          <w:color w:val="auto"/>
          <w:sz w:val="28"/>
        </w:rPr>
        <w:t>（主席令〔1998〕4号发布，依次经主席令〔2008〕6号、主席令〔2019〕29号、主席令〔2021〕81号修正，自</w:t>
      </w:r>
      <w:r>
        <w:rPr>
          <w:rFonts w:hint="eastAsia"/>
          <w:color w:val="auto"/>
          <w:sz w:val="28"/>
        </w:rPr>
        <w:t>2021</w:t>
      </w:r>
      <w:r>
        <w:rPr>
          <w:color w:val="auto"/>
          <w:sz w:val="28"/>
        </w:rPr>
        <w:t>年</w:t>
      </w:r>
      <w:r>
        <w:rPr>
          <w:rFonts w:hint="eastAsia"/>
          <w:color w:val="auto"/>
          <w:sz w:val="28"/>
        </w:rPr>
        <w:t>4</w:t>
      </w:r>
      <w:r>
        <w:rPr>
          <w:color w:val="auto"/>
          <w:sz w:val="28"/>
        </w:rPr>
        <w:t>月</w:t>
      </w:r>
      <w:r>
        <w:rPr>
          <w:rFonts w:hint="eastAsia"/>
          <w:color w:val="auto"/>
          <w:sz w:val="28"/>
        </w:rPr>
        <w:t>29</w:t>
      </w:r>
      <w:r>
        <w:rPr>
          <w:color w:val="auto"/>
          <w:sz w:val="28"/>
        </w:rPr>
        <w:t>日起施行）</w:t>
      </w:r>
    </w:p>
    <w:p w14:paraId="68E90E10">
      <w:pPr>
        <w:pageBreakBefore w:val="0"/>
        <w:widowControl w:val="0"/>
        <w:numPr>
          <w:ilvl w:val="0"/>
          <w:numId w:val="0"/>
        </w:numPr>
        <w:kinsoku/>
        <w:wordWrap/>
        <w:overflowPunct/>
        <w:topLinePunct w:val="0"/>
        <w:autoSpaceDE/>
        <w:autoSpaceDN/>
        <w:bidi w:val="0"/>
        <w:ind w:left="0" w:leftChars="0" w:firstLine="560" w:firstLineChars="200"/>
        <w:textAlignment w:val="auto"/>
        <w:rPr>
          <w:color w:val="auto"/>
          <w:sz w:val="28"/>
        </w:rPr>
      </w:pPr>
      <w:r>
        <w:rPr>
          <w:color w:val="auto"/>
          <w:sz w:val="28"/>
        </w:rPr>
        <w:t>《中华人民共和国气象法》（主席令〔1999〕23号发布，依次经主席令〔2009〕18号、主席令〔2014〕14号、主席令〔2016〕57号修正，自20</w:t>
      </w:r>
      <w:r>
        <w:rPr>
          <w:rFonts w:hint="eastAsia"/>
          <w:color w:val="auto"/>
          <w:sz w:val="28"/>
        </w:rPr>
        <w:t>16</w:t>
      </w:r>
      <w:r>
        <w:rPr>
          <w:color w:val="auto"/>
          <w:sz w:val="28"/>
        </w:rPr>
        <w:t>年1</w:t>
      </w:r>
      <w:r>
        <w:rPr>
          <w:rFonts w:hint="eastAsia"/>
          <w:color w:val="auto"/>
          <w:sz w:val="28"/>
        </w:rPr>
        <w:t>1</w:t>
      </w:r>
      <w:r>
        <w:rPr>
          <w:color w:val="auto"/>
          <w:sz w:val="28"/>
        </w:rPr>
        <w:t>月</w:t>
      </w:r>
      <w:r>
        <w:rPr>
          <w:rFonts w:hint="eastAsia"/>
          <w:color w:val="auto"/>
          <w:sz w:val="28"/>
        </w:rPr>
        <w:t>7</w:t>
      </w:r>
      <w:r>
        <w:rPr>
          <w:color w:val="auto"/>
          <w:sz w:val="28"/>
        </w:rPr>
        <w:t>日起实施）</w:t>
      </w:r>
    </w:p>
    <w:p w14:paraId="28ED7A8C">
      <w:pPr>
        <w:bidi w:val="0"/>
        <w:ind w:firstLine="88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《中华人民共和国职业病防治法》</w:t>
      </w:r>
      <w:r>
        <w:rPr>
          <w:color w:val="auto"/>
          <w:sz w:val="28"/>
        </w:rPr>
        <w:t>（主席令〔2001〕60号发布，依次经主席令〔2011〕52号、主席令〔2016〕48号、主席令〔2017〕81号、主席令〔2018〕24号修正，自20</w:t>
      </w:r>
      <w:r>
        <w:rPr>
          <w:rFonts w:hint="eastAsia"/>
          <w:color w:val="auto"/>
          <w:sz w:val="28"/>
        </w:rPr>
        <w:t>18</w:t>
      </w:r>
      <w:r>
        <w:rPr>
          <w:color w:val="auto"/>
          <w:sz w:val="28"/>
        </w:rPr>
        <w:t>年</w:t>
      </w:r>
      <w:r>
        <w:rPr>
          <w:rFonts w:hint="eastAsia"/>
          <w:color w:val="auto"/>
          <w:sz w:val="28"/>
        </w:rPr>
        <w:t>12</w:t>
      </w:r>
      <w:r>
        <w:rPr>
          <w:color w:val="auto"/>
          <w:sz w:val="28"/>
        </w:rPr>
        <w:t>月</w:t>
      </w:r>
      <w:r>
        <w:rPr>
          <w:rFonts w:hint="eastAsia"/>
          <w:color w:val="auto"/>
          <w:sz w:val="28"/>
        </w:rPr>
        <w:t>29</w:t>
      </w:r>
      <w:r>
        <w:rPr>
          <w:color w:val="auto"/>
          <w:sz w:val="28"/>
        </w:rPr>
        <w:t>日起施行）</w:t>
      </w:r>
    </w:p>
    <w:p w14:paraId="2940D0B4">
      <w:pPr>
        <w:bidi w:val="0"/>
        <w:ind w:firstLine="88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《中华人民共和国安全生产法》</w:t>
      </w:r>
      <w:r>
        <w:rPr>
          <w:color w:val="auto"/>
          <w:sz w:val="28"/>
        </w:rPr>
        <w:t>（主席令〔2002〕70号发布，依次经主席令〔2009〕18号、主席令〔2014〕13号、主席令〔2021〕88号修正，自20</w:t>
      </w:r>
      <w:r>
        <w:rPr>
          <w:rFonts w:hint="eastAsia"/>
          <w:color w:val="auto"/>
          <w:sz w:val="28"/>
        </w:rPr>
        <w:t>21</w:t>
      </w:r>
      <w:r>
        <w:rPr>
          <w:color w:val="auto"/>
          <w:sz w:val="28"/>
        </w:rPr>
        <w:t>年</w:t>
      </w:r>
      <w:r>
        <w:rPr>
          <w:rFonts w:hint="eastAsia"/>
          <w:color w:val="auto"/>
          <w:sz w:val="28"/>
        </w:rPr>
        <w:t>9</w:t>
      </w:r>
      <w:r>
        <w:rPr>
          <w:color w:val="auto"/>
          <w:sz w:val="28"/>
        </w:rPr>
        <w:t>月1日起施行）</w:t>
      </w:r>
    </w:p>
    <w:p w14:paraId="72ABC2CD">
      <w:pPr>
        <w:bidi w:val="0"/>
        <w:ind w:firstLine="880"/>
        <w:rPr>
          <w:color w:val="auto"/>
          <w:sz w:val="28"/>
        </w:rPr>
      </w:pPr>
      <w:r>
        <w:rPr>
          <w:rFonts w:hint="eastAsia" w:ascii="Times New Roman" w:hAnsi="Times New Roman" w:eastAsia="宋体" w:cs="Times New Roman"/>
          <w:color w:val="auto"/>
          <w:lang w:val="en-US" w:eastAsia="zh-CN"/>
        </w:rPr>
        <w:t>《中华人民共和国突发事件应对法》</w:t>
      </w:r>
      <w:r>
        <w:rPr>
          <w:color w:val="auto"/>
          <w:sz w:val="28"/>
        </w:rPr>
        <w:t>（主席令〔2007〕69号发布，经主席令〔2024〕25号修正，自20</w:t>
      </w:r>
      <w:r>
        <w:rPr>
          <w:rFonts w:hint="eastAsia"/>
          <w:color w:val="auto"/>
          <w:sz w:val="28"/>
        </w:rPr>
        <w:t>24</w:t>
      </w:r>
      <w:r>
        <w:rPr>
          <w:color w:val="auto"/>
          <w:sz w:val="28"/>
        </w:rPr>
        <w:t>年11月1日起施行）</w:t>
      </w:r>
    </w:p>
    <w:p w14:paraId="04CB6B77">
      <w:pPr>
        <w:bidi w:val="0"/>
        <w:ind w:firstLine="880"/>
        <w:rPr>
          <w:rFonts w:hint="eastAsia" w:eastAsia="宋体"/>
          <w:color w:val="auto"/>
          <w:sz w:val="28"/>
          <w:lang w:eastAsia="zh-CN"/>
        </w:rPr>
      </w:pPr>
      <w:r>
        <w:rPr>
          <w:rFonts w:hint="eastAsia"/>
          <w:color w:val="auto"/>
          <w:sz w:val="28"/>
          <w:lang w:eastAsia="zh-CN"/>
        </w:rPr>
        <w:t>《</w:t>
      </w:r>
      <w:r>
        <w:rPr>
          <w:rFonts w:hint="eastAsia"/>
          <w:color w:val="auto"/>
          <w:sz w:val="28"/>
        </w:rPr>
        <w:t>中华人民共和国生态环境法典</w:t>
      </w:r>
      <w:r>
        <w:rPr>
          <w:rFonts w:hint="eastAsia"/>
          <w:color w:val="auto"/>
          <w:sz w:val="28"/>
          <w:lang w:eastAsia="zh-CN"/>
        </w:rPr>
        <w:t>》（</w:t>
      </w:r>
      <w:r>
        <w:rPr>
          <w:color w:val="auto"/>
          <w:sz w:val="28"/>
        </w:rPr>
        <w:t>主席令〔20</w:t>
      </w:r>
      <w:r>
        <w:rPr>
          <w:rFonts w:hint="eastAsia"/>
          <w:color w:val="auto"/>
          <w:sz w:val="28"/>
          <w:lang w:val="en-US" w:eastAsia="zh-CN"/>
        </w:rPr>
        <w:t>26</w:t>
      </w:r>
      <w:r>
        <w:rPr>
          <w:color w:val="auto"/>
          <w:sz w:val="28"/>
        </w:rPr>
        <w:t>〕70号发布，</w:t>
      </w:r>
      <w:r>
        <w:rPr>
          <w:rFonts w:hint="eastAsia"/>
          <w:color w:val="auto"/>
          <w:sz w:val="28"/>
        </w:rPr>
        <w:t>自2026年8月15日起施行</w:t>
      </w:r>
      <w:r>
        <w:rPr>
          <w:rFonts w:hint="eastAsia"/>
          <w:color w:val="auto"/>
          <w:sz w:val="28"/>
          <w:lang w:eastAsia="zh-CN"/>
        </w:rPr>
        <w:t>）</w:t>
      </w:r>
    </w:p>
    <w:p w14:paraId="32FA3023">
      <w:pPr>
        <w:bidi w:val="0"/>
        <w:rPr>
          <w:rFonts w:hint="default"/>
          <w:b/>
          <w:bCs/>
          <w:color w:val="auto"/>
          <w:lang w:val="en-US" w:eastAsia="zh-CN"/>
        </w:rPr>
      </w:pPr>
      <w:r>
        <w:rPr>
          <w:rFonts w:hint="eastAsia"/>
          <w:b/>
          <w:bCs/>
          <w:color w:val="auto"/>
          <w:lang w:val="en-US" w:eastAsia="zh-CN"/>
        </w:rPr>
        <w:t>2. 行政法规</w:t>
      </w:r>
    </w:p>
    <w:p w14:paraId="67F15813">
      <w:pPr>
        <w:bidi w:val="0"/>
        <w:ind w:firstLine="880"/>
        <w:rPr>
          <w:rFonts w:hint="default" w:ascii="Times New Roman" w:hAnsi="Times New Roman" w:eastAsia="宋体"/>
          <w:color w:val="auto"/>
          <w:lang w:val="en-US" w:eastAsia="zh-CN"/>
        </w:rPr>
      </w:pPr>
      <w:r>
        <w:rPr>
          <w:rFonts w:hint="eastAsia" w:ascii="Times New Roman" w:hAnsi="Times New Roman" w:eastAsia="宋体" w:cs="Times New Roman"/>
          <w:color w:val="auto"/>
          <w:lang w:val="en-US" w:eastAsia="zh-CN"/>
        </w:rPr>
        <w:t>《建设工程质量管理条例》</w:t>
      </w:r>
      <w:r>
        <w:rPr>
          <w:rFonts w:hint="default" w:ascii="Times New Roman" w:hAnsi="Times New Roman" w:eastAsia="宋体"/>
          <w:color w:val="auto"/>
          <w:lang w:val="en-US" w:eastAsia="zh-CN"/>
        </w:rPr>
        <w:t>（国务院令〔2000〕279号发布，依次经国务院令〔2017〕687号、国务院令〔2019〕714号修正，自2000年1月30日起施行）</w:t>
      </w:r>
    </w:p>
    <w:p w14:paraId="33836863">
      <w:pPr>
        <w:bidi w:val="0"/>
        <w:ind w:firstLine="88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《建设工程勘察设计管理条例》（国务院令</w:t>
      </w:r>
      <w:r>
        <w:rPr>
          <w:rFonts w:hint="default" w:ascii="Times New Roman" w:hAnsi="Times New Roman" w:eastAsia="宋体"/>
          <w:color w:val="auto"/>
          <w:lang w:val="en-US" w:eastAsia="zh-CN"/>
        </w:rPr>
        <w:t>〔2000〕</w:t>
      </w:r>
      <w:r>
        <w:rPr>
          <w:rFonts w:hint="eastAsia" w:ascii="Times New Roman" w:hAnsi="Times New Roman" w:eastAsia="宋体" w:cs="Times New Roman"/>
          <w:color w:val="auto"/>
          <w:lang w:val="en-US" w:eastAsia="zh-CN"/>
        </w:rPr>
        <w:t>第293号</w:t>
      </w:r>
      <w:r>
        <w:rPr>
          <w:rFonts w:hint="default" w:ascii="Times New Roman" w:hAnsi="Times New Roman" w:eastAsia="宋体"/>
          <w:color w:val="auto"/>
          <w:lang w:val="en-US" w:eastAsia="zh-CN"/>
        </w:rPr>
        <w:t>发布，依次经国务院令〔201</w:t>
      </w:r>
      <w:r>
        <w:rPr>
          <w:rFonts w:hint="eastAsia" w:ascii="Times New Roman" w:hAnsi="Times New Roman" w:eastAsia="宋体"/>
          <w:color w:val="auto"/>
          <w:lang w:val="en-US" w:eastAsia="zh-CN"/>
        </w:rPr>
        <w:t>5</w:t>
      </w:r>
      <w:r>
        <w:rPr>
          <w:rFonts w:hint="default" w:ascii="Times New Roman" w:hAnsi="Times New Roman" w:eastAsia="宋体"/>
          <w:color w:val="auto"/>
          <w:lang w:val="en-US" w:eastAsia="zh-CN"/>
        </w:rPr>
        <w:t>〕6</w:t>
      </w:r>
      <w:r>
        <w:rPr>
          <w:rFonts w:hint="eastAsia" w:ascii="Times New Roman" w:hAnsi="Times New Roman" w:eastAsia="宋体"/>
          <w:color w:val="auto"/>
          <w:lang w:val="en-US" w:eastAsia="zh-CN"/>
        </w:rPr>
        <w:t>62</w:t>
      </w:r>
      <w:r>
        <w:rPr>
          <w:rFonts w:hint="default" w:ascii="Times New Roman" w:hAnsi="Times New Roman" w:eastAsia="宋体"/>
          <w:color w:val="auto"/>
          <w:lang w:val="en-US" w:eastAsia="zh-CN"/>
        </w:rPr>
        <w:t>号、国务院令〔201</w:t>
      </w:r>
      <w:r>
        <w:rPr>
          <w:rFonts w:hint="eastAsia" w:ascii="Times New Roman" w:hAnsi="Times New Roman" w:eastAsia="宋体"/>
          <w:color w:val="auto"/>
          <w:lang w:val="en-US" w:eastAsia="zh-CN"/>
        </w:rPr>
        <w:t>7</w:t>
      </w:r>
      <w:r>
        <w:rPr>
          <w:rFonts w:hint="default" w:ascii="Times New Roman" w:hAnsi="Times New Roman" w:eastAsia="宋体"/>
          <w:color w:val="auto"/>
          <w:lang w:val="en-US" w:eastAsia="zh-CN"/>
        </w:rPr>
        <w:t>〕</w:t>
      </w:r>
      <w:r>
        <w:rPr>
          <w:rFonts w:hint="eastAsia" w:ascii="Times New Roman" w:hAnsi="Times New Roman" w:eastAsia="宋体"/>
          <w:color w:val="auto"/>
          <w:lang w:val="en-US" w:eastAsia="zh-CN"/>
        </w:rPr>
        <w:t>687</w:t>
      </w:r>
      <w:r>
        <w:rPr>
          <w:rFonts w:hint="default" w:ascii="Times New Roman" w:hAnsi="Times New Roman" w:eastAsia="宋体"/>
          <w:color w:val="auto"/>
          <w:lang w:val="en-US" w:eastAsia="zh-CN"/>
        </w:rPr>
        <w:t>号修正，</w:t>
      </w:r>
      <w:r>
        <w:rPr>
          <w:rFonts w:hint="eastAsia" w:ascii="Times New Roman" w:hAnsi="Times New Roman" w:eastAsia="宋体" w:cs="Times New Roman"/>
          <w:color w:val="auto"/>
          <w:lang w:val="en-US" w:eastAsia="zh-CN"/>
        </w:rPr>
        <w:t>2017年10月23日修订生效）</w:t>
      </w:r>
    </w:p>
    <w:p w14:paraId="00B4C460">
      <w:pPr>
        <w:bidi w:val="0"/>
        <w:ind w:firstLine="88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《工伤保险条例》</w:t>
      </w:r>
      <w:r>
        <w:rPr>
          <w:rFonts w:hint="default" w:ascii="Times New Roman" w:hAnsi="Times New Roman" w:eastAsia="宋体"/>
          <w:color w:val="auto"/>
          <w:lang w:val="en-US" w:eastAsia="zh-CN"/>
        </w:rPr>
        <w:t>（国务院令〔2003〕375号发布，经国务院令〔2010〕586号修正，自2004年1月1日起施行）</w:t>
      </w:r>
    </w:p>
    <w:p w14:paraId="12F8D7DC">
      <w:pPr>
        <w:bidi w:val="0"/>
        <w:ind w:firstLine="88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《建设工程安全生产管理条例》</w:t>
      </w:r>
      <w:r>
        <w:rPr>
          <w:rFonts w:hint="default" w:ascii="Times New Roman" w:hAnsi="Times New Roman" w:eastAsia="宋体"/>
          <w:color w:val="auto"/>
          <w:lang w:val="en-US" w:eastAsia="zh-CN"/>
        </w:rPr>
        <w:t>（国务院令〔2003〕393号发布，自2004年2月1日起施行）</w:t>
      </w:r>
    </w:p>
    <w:p w14:paraId="45296760">
      <w:pPr>
        <w:bidi w:val="0"/>
        <w:ind w:firstLine="88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《地质灾害防治条例》</w:t>
      </w:r>
      <w:r>
        <w:rPr>
          <w:rFonts w:hint="default" w:ascii="Times New Roman" w:hAnsi="Times New Roman" w:eastAsia="宋体"/>
          <w:color w:val="auto"/>
          <w:lang w:val="en-US" w:eastAsia="zh-CN"/>
        </w:rPr>
        <w:t>（国务院令〔2003〕394号发布，自2004年3月1日起施行）</w:t>
      </w:r>
    </w:p>
    <w:p w14:paraId="179DF314">
      <w:pPr>
        <w:bidi w:val="0"/>
        <w:ind w:firstLine="88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《生产安全事故报告和调查处理条例》</w:t>
      </w:r>
      <w:r>
        <w:rPr>
          <w:rFonts w:hint="default" w:ascii="Times New Roman" w:hAnsi="Times New Roman" w:eastAsia="宋体"/>
          <w:color w:val="auto"/>
          <w:lang w:val="en-US" w:eastAsia="zh-CN"/>
        </w:rPr>
        <w:t>（国务院令〔2007〕493号发布，自2007年6月1日起施行）</w:t>
      </w:r>
    </w:p>
    <w:p w14:paraId="5E116917">
      <w:pPr>
        <w:rPr>
          <w:rFonts w:hint="eastAsia"/>
          <w:color w:val="auto"/>
        </w:rPr>
      </w:pPr>
      <w:r>
        <w:rPr>
          <w:rFonts w:hint="eastAsia"/>
          <w:color w:val="auto"/>
        </w:rPr>
        <w:t>《安全生产许可证条例》（国务院令〔2014〕653号，2014年7月29日</w:t>
      </w:r>
      <w:r>
        <w:rPr>
          <w:rFonts w:hint="eastAsia"/>
          <w:color w:val="auto"/>
          <w:lang w:val="en-US" w:eastAsia="zh-CN"/>
        </w:rPr>
        <w:t>修订生效</w:t>
      </w:r>
      <w:r>
        <w:rPr>
          <w:rFonts w:hint="eastAsia"/>
          <w:color w:val="auto"/>
        </w:rPr>
        <w:t>）</w:t>
      </w:r>
    </w:p>
    <w:p w14:paraId="7A4F5ED5">
      <w:pPr>
        <w:bidi w:val="0"/>
        <w:ind w:firstLine="88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《建设项目环境保护管理条例》（国务院令</w:t>
      </w:r>
      <w:r>
        <w:rPr>
          <w:rFonts w:hint="eastAsia"/>
          <w:color w:val="auto"/>
        </w:rPr>
        <w:t>〔201</w:t>
      </w:r>
      <w:r>
        <w:rPr>
          <w:rFonts w:hint="eastAsia"/>
          <w:color w:val="auto"/>
          <w:lang w:val="en-US" w:eastAsia="zh-CN"/>
        </w:rPr>
        <w:t>7</w:t>
      </w:r>
      <w:r>
        <w:rPr>
          <w:rFonts w:hint="eastAsia"/>
          <w:color w:val="auto"/>
        </w:rPr>
        <w:t>〕</w:t>
      </w:r>
      <w:r>
        <w:rPr>
          <w:rFonts w:hint="eastAsia" w:ascii="Times New Roman" w:hAnsi="Times New Roman" w:eastAsia="宋体" w:cs="Times New Roman"/>
          <w:color w:val="auto"/>
          <w:lang w:val="en-US" w:eastAsia="zh-CN"/>
        </w:rPr>
        <w:t>第253号，2017年7月16日修订生效）</w:t>
      </w:r>
    </w:p>
    <w:p w14:paraId="013E9FD2">
      <w:pPr>
        <w:bidi w:val="0"/>
        <w:ind w:firstLine="88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《生产安全事故应急条例》</w:t>
      </w:r>
      <w:r>
        <w:rPr>
          <w:rFonts w:hint="default" w:ascii="Times New Roman" w:hAnsi="Times New Roman" w:eastAsia="宋体"/>
          <w:color w:val="auto"/>
          <w:lang w:val="en-US" w:eastAsia="zh-CN"/>
        </w:rPr>
        <w:t>（国务院令〔2019〕708号发布，自2019年4月1日起施行）</w:t>
      </w:r>
    </w:p>
    <w:p w14:paraId="2CBD96C1">
      <w:pPr>
        <w:rPr>
          <w:rFonts w:hint="default" w:eastAsia="宋体"/>
          <w:b/>
          <w:bCs/>
          <w:color w:val="auto"/>
          <w:lang w:val="en-US" w:eastAsia="zh-CN"/>
        </w:rPr>
      </w:pPr>
      <w:r>
        <w:rPr>
          <w:rFonts w:hint="eastAsia"/>
          <w:b/>
          <w:bCs/>
          <w:color w:val="auto"/>
          <w:lang w:val="en-US" w:eastAsia="zh-CN"/>
        </w:rPr>
        <w:t>3. 地方性法规</w:t>
      </w:r>
    </w:p>
    <w:p w14:paraId="4A0E8506">
      <w:pPr>
        <w:bidi w:val="0"/>
        <w:ind w:firstLine="880"/>
        <w:rPr>
          <w:rFonts w:hint="eastAsia" w:ascii="Times New Roman" w:hAnsi="Times New Roman" w:eastAsia="宋体" w:cs="Times New Roman"/>
          <w:color w:val="auto"/>
          <w:lang w:val="en-US" w:eastAsia="zh-CN"/>
        </w:rPr>
      </w:pPr>
      <w:bookmarkStart w:id="34" w:name="_Toc13280"/>
      <w:bookmarkStart w:id="35" w:name="_Toc24335"/>
      <w:bookmarkStart w:id="36" w:name="_Toc6468"/>
      <w:bookmarkStart w:id="37" w:name="_Toc22098"/>
      <w:r>
        <w:rPr>
          <w:rFonts w:hint="eastAsia" w:ascii="Times New Roman" w:hAnsi="Times New Roman" w:eastAsia="宋体" w:cs="Times New Roman"/>
          <w:color w:val="auto"/>
          <w:lang w:val="en-US" w:eastAsia="zh-CN"/>
        </w:rPr>
        <w:t>《江西省消防条例》（2020年11月25日江西省第十三届人民代表大会常务委员会第二十五次会议第六次修正，自2010年11月9日起施行）</w:t>
      </w:r>
    </w:p>
    <w:p w14:paraId="7A993F74">
      <w:pPr>
        <w:bidi w:val="0"/>
        <w:ind w:firstLine="88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《江西省安全生产条例》（江西省第十届人民代表大会常务委员会公告第95号，2023年7月26日江西省第十四届人民代表大会常务委员会第三次会议第二次修订，自2023年9月1日施行）</w:t>
      </w:r>
    </w:p>
    <w:p w14:paraId="472EB561">
      <w:pPr>
        <w:pStyle w:val="4"/>
        <w:bidi w:val="0"/>
        <w:rPr>
          <w:rFonts w:hint="eastAsia"/>
          <w:color w:val="auto"/>
          <w:lang w:val="en-US" w:eastAsia="zh-CN"/>
        </w:rPr>
      </w:pPr>
      <w:bookmarkStart w:id="38" w:name="_Toc32203"/>
      <w:bookmarkStart w:id="39" w:name="_Toc19205"/>
      <w:r>
        <w:rPr>
          <w:rFonts w:hint="default"/>
          <w:color w:val="auto"/>
          <w:lang w:val="en-US" w:eastAsia="zh-CN"/>
        </w:rPr>
        <w:t>1.</w:t>
      </w:r>
      <w:r>
        <w:rPr>
          <w:rFonts w:hint="eastAsia"/>
          <w:color w:val="auto"/>
          <w:lang w:val="en-US" w:eastAsia="zh-CN"/>
        </w:rPr>
        <w:t>4</w:t>
      </w:r>
      <w:r>
        <w:rPr>
          <w:rFonts w:hint="default"/>
          <w:color w:val="auto"/>
          <w:lang w:val="en-US" w:eastAsia="zh-CN"/>
        </w:rPr>
        <w:t>.2 规章、</w:t>
      </w:r>
      <w:bookmarkEnd w:id="34"/>
      <w:bookmarkEnd w:id="35"/>
      <w:bookmarkEnd w:id="36"/>
      <w:bookmarkEnd w:id="37"/>
      <w:r>
        <w:rPr>
          <w:rFonts w:hint="eastAsia"/>
          <w:color w:val="auto"/>
          <w:lang w:val="en-US" w:eastAsia="zh-CN"/>
        </w:rPr>
        <w:t>规定</w:t>
      </w:r>
      <w:bookmarkEnd w:id="38"/>
      <w:bookmarkEnd w:id="39"/>
    </w:p>
    <w:p w14:paraId="64ECC1A5">
      <w:pPr>
        <w:bidi w:val="0"/>
        <w:rPr>
          <w:rFonts w:hint="eastAsia"/>
          <w:b/>
          <w:bCs/>
          <w:color w:val="auto"/>
          <w:lang w:val="en-US" w:eastAsia="zh-CN"/>
        </w:rPr>
      </w:pPr>
      <w:r>
        <w:rPr>
          <w:rFonts w:hint="eastAsia"/>
          <w:b/>
          <w:bCs/>
          <w:color w:val="auto"/>
          <w:lang w:val="en-US" w:eastAsia="zh-CN"/>
        </w:rPr>
        <w:t>1. 部门规章、规定</w:t>
      </w:r>
    </w:p>
    <w:p w14:paraId="1028053E">
      <w:pPr>
        <w:bidi w:val="0"/>
        <w:rPr>
          <w:rFonts w:hint="eastAsia"/>
          <w:color w:val="auto"/>
          <w:lang w:val="en-US" w:eastAsia="zh-CN"/>
        </w:rPr>
      </w:pPr>
      <w:r>
        <w:rPr>
          <w:rFonts w:hint="eastAsia"/>
          <w:color w:val="auto"/>
          <w:lang w:val="en-US" w:eastAsia="zh-CN"/>
        </w:rPr>
        <w:t>《安全生产事故隐患排查治理暂行规定》（总局令第16号，2008年2月1日实施）</w:t>
      </w:r>
    </w:p>
    <w:p w14:paraId="41AE2DF1">
      <w:pPr>
        <w:bidi w:val="0"/>
        <w:rPr>
          <w:rFonts w:hint="eastAsia"/>
          <w:color w:val="auto"/>
          <w:lang w:val="en-US" w:eastAsia="zh-CN"/>
        </w:rPr>
      </w:pPr>
      <w:r>
        <w:rPr>
          <w:rFonts w:hint="eastAsia"/>
          <w:color w:val="auto"/>
          <w:lang w:val="en-US" w:eastAsia="zh-CN"/>
        </w:rPr>
        <w:t>《生产安全事故信息报告和处置办法》（总局令第21号，2009年7月1日生效）</w:t>
      </w:r>
    </w:p>
    <w:p w14:paraId="332C1FD5">
      <w:pPr>
        <w:rPr>
          <w:rFonts w:hint="default"/>
          <w:color w:val="auto"/>
          <w:lang w:val="en-US" w:eastAsia="zh-CN"/>
        </w:rPr>
      </w:pPr>
      <w:r>
        <w:rPr>
          <w:rFonts w:hint="default"/>
          <w:color w:val="auto"/>
          <w:lang w:val="en-US" w:eastAsia="zh-CN"/>
        </w:rPr>
        <w:t>《非煤矿矿山企业安全生产许可证实施办法》（总局令〔2015〕78号，2015年5月26日）</w:t>
      </w:r>
    </w:p>
    <w:p w14:paraId="082313B7">
      <w:pPr>
        <w:bidi w:val="0"/>
        <w:rPr>
          <w:rFonts w:hint="eastAsia"/>
          <w:color w:val="auto"/>
          <w:lang w:val="en-US" w:eastAsia="zh-CN"/>
        </w:rPr>
      </w:pPr>
      <w:r>
        <w:rPr>
          <w:rFonts w:hint="eastAsia"/>
          <w:color w:val="auto"/>
          <w:lang w:val="en-US" w:eastAsia="zh-CN"/>
        </w:rPr>
        <w:t>《安全生产培训管理办法》（总局令第80号，2015年5月29日修改生效）</w:t>
      </w:r>
    </w:p>
    <w:p w14:paraId="3FCC31DC">
      <w:pPr>
        <w:bidi w:val="0"/>
        <w:rPr>
          <w:rFonts w:hint="eastAsia"/>
          <w:color w:val="auto"/>
          <w:lang w:val="en-US" w:eastAsia="zh-CN"/>
        </w:rPr>
      </w:pPr>
      <w:r>
        <w:rPr>
          <w:rFonts w:hint="eastAsia"/>
          <w:color w:val="auto"/>
          <w:lang w:val="en-US" w:eastAsia="zh-CN"/>
        </w:rPr>
        <w:t>《尾矿库安全监督管理规定》（总局令第78号，2015年7月1日修改生效）</w:t>
      </w:r>
    </w:p>
    <w:p w14:paraId="07299A53">
      <w:pPr>
        <w:bidi w:val="0"/>
        <w:rPr>
          <w:rFonts w:hint="eastAsia"/>
          <w:color w:val="auto"/>
          <w:lang w:val="en-US" w:eastAsia="zh-CN"/>
        </w:rPr>
      </w:pPr>
      <w:r>
        <w:rPr>
          <w:rFonts w:hint="eastAsia"/>
          <w:color w:val="auto"/>
          <w:lang w:val="en-US" w:eastAsia="zh-CN"/>
        </w:rPr>
        <w:t>《金属非金属矿山建设项目安全设施目录（试行）》（总局令第75号，2015年7月1日起施行）</w:t>
      </w:r>
    </w:p>
    <w:p w14:paraId="72014247">
      <w:pPr>
        <w:bidi w:val="0"/>
        <w:rPr>
          <w:rFonts w:hint="eastAsia"/>
          <w:color w:val="auto"/>
          <w:lang w:val="en-US" w:eastAsia="zh-CN"/>
        </w:rPr>
      </w:pPr>
      <w:r>
        <w:rPr>
          <w:rFonts w:hint="eastAsia"/>
          <w:color w:val="auto"/>
          <w:lang w:val="en-US" w:eastAsia="zh-CN"/>
        </w:rPr>
        <w:t>《生产安全事故应急预案管理办法》（应急部2号令，2019年9月1日施行）</w:t>
      </w:r>
    </w:p>
    <w:p w14:paraId="58A3EB71">
      <w:pPr>
        <w:bidi w:val="0"/>
        <w:rPr>
          <w:rFonts w:hint="eastAsia"/>
          <w:color w:val="auto"/>
          <w:lang w:val="en-US" w:eastAsia="zh-CN"/>
        </w:rPr>
      </w:pPr>
      <w:r>
        <w:rPr>
          <w:rFonts w:hint="eastAsia"/>
          <w:color w:val="auto"/>
          <w:lang w:val="en-US" w:eastAsia="zh-CN"/>
        </w:rPr>
        <w:t>《矿山救援规程》（应急部16号令，自2024年7月1日起施行）</w:t>
      </w:r>
    </w:p>
    <w:p w14:paraId="15FD4B87">
      <w:pPr>
        <w:bidi w:val="0"/>
        <w:rPr>
          <w:rFonts w:hint="eastAsia"/>
          <w:color w:val="auto"/>
          <w:lang w:val="en-US" w:eastAsia="zh-CN"/>
        </w:rPr>
      </w:pPr>
      <w:r>
        <w:rPr>
          <w:rFonts w:hint="eastAsia"/>
          <w:color w:val="auto"/>
          <w:lang w:val="en-US" w:eastAsia="zh-CN"/>
        </w:rPr>
        <w:t>《特种作业人员安全技术培训考核管理规定》（应急部19号令，2026年6月1日起施行）</w:t>
      </w:r>
    </w:p>
    <w:p w14:paraId="5CB553A3">
      <w:pPr>
        <w:rPr>
          <w:rFonts w:hint="eastAsia"/>
          <w:b/>
          <w:bCs/>
          <w:color w:val="auto"/>
          <w:lang w:val="en-US" w:eastAsia="zh-CN"/>
        </w:rPr>
      </w:pPr>
      <w:r>
        <w:rPr>
          <w:rFonts w:hint="eastAsia"/>
          <w:b/>
          <w:bCs/>
          <w:color w:val="auto"/>
          <w:lang w:val="en-US" w:eastAsia="zh-CN"/>
        </w:rPr>
        <w:t>2. 地方政府规章、规定</w:t>
      </w:r>
    </w:p>
    <w:p w14:paraId="4837A8BA">
      <w:pPr>
        <w:bidi w:val="0"/>
        <w:rPr>
          <w:rFonts w:hint="eastAsia"/>
          <w:color w:val="auto"/>
          <w:lang w:val="en-US" w:eastAsia="zh-CN"/>
        </w:rPr>
      </w:pPr>
      <w:r>
        <w:rPr>
          <w:rFonts w:hint="eastAsia"/>
          <w:color w:val="auto"/>
          <w:lang w:val="en-US" w:eastAsia="zh-CN"/>
        </w:rPr>
        <w:t>《江西省尾矿库销号管理办法》（赣安〔2020〕13号，江西省安全生产委员会，2020年11月9日起施行）</w:t>
      </w:r>
    </w:p>
    <w:p w14:paraId="5813264F">
      <w:pPr>
        <w:bidi w:val="0"/>
        <w:rPr>
          <w:rFonts w:hint="eastAsia"/>
          <w:color w:val="auto"/>
          <w:lang w:val="en-US" w:eastAsia="zh-CN"/>
        </w:rPr>
      </w:pPr>
      <w:r>
        <w:rPr>
          <w:rFonts w:hint="eastAsia"/>
          <w:color w:val="auto"/>
          <w:lang w:val="en-US" w:eastAsia="zh-CN"/>
        </w:rPr>
        <w:t>《江西省生产安全事故隐患排查治理办法》（江西省人民政府令第238号发布，2021年6月9日省人民政府令第250号第一次修正）</w:t>
      </w:r>
    </w:p>
    <w:p w14:paraId="6EB220CB">
      <w:pPr>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《江西省非煤矿矿山企业安全生产许可证实施办法》（赣政令〔20</w:t>
      </w:r>
      <w:r>
        <w:rPr>
          <w:rFonts w:hint="eastAsia"/>
          <w:color w:val="auto"/>
          <w:lang w:val="en-US" w:eastAsia="zh-CN"/>
        </w:rPr>
        <w:t>25</w:t>
      </w:r>
      <w:r>
        <w:rPr>
          <w:rFonts w:hint="default" w:ascii="Times New Roman" w:hAnsi="Times New Roman" w:eastAsia="宋体"/>
          <w:color w:val="auto"/>
          <w:lang w:val="en-US" w:eastAsia="zh-CN"/>
        </w:rPr>
        <w:t>〕2</w:t>
      </w:r>
      <w:r>
        <w:rPr>
          <w:rFonts w:hint="eastAsia"/>
          <w:color w:val="auto"/>
          <w:lang w:val="en-US" w:eastAsia="zh-CN"/>
        </w:rPr>
        <w:t>73</w:t>
      </w:r>
      <w:r>
        <w:rPr>
          <w:rFonts w:hint="default" w:ascii="Times New Roman" w:hAnsi="Times New Roman" w:eastAsia="宋体"/>
          <w:color w:val="auto"/>
          <w:lang w:val="en-US" w:eastAsia="zh-CN"/>
        </w:rPr>
        <w:t>号，</w:t>
      </w:r>
      <w:r>
        <w:rPr>
          <w:rFonts w:hint="eastAsia" w:ascii="Times New Roman" w:hAnsi="Times New Roman" w:eastAsia="宋体"/>
          <w:color w:val="auto"/>
          <w:lang w:val="en-US" w:eastAsia="zh-CN"/>
        </w:rPr>
        <w:t>2025年11月6日修正生效</w:t>
      </w:r>
      <w:r>
        <w:rPr>
          <w:rFonts w:hint="default" w:ascii="Times New Roman" w:hAnsi="Times New Roman" w:eastAsia="宋体"/>
          <w:color w:val="auto"/>
          <w:lang w:val="en-US" w:eastAsia="zh-CN"/>
        </w:rPr>
        <w:t>）</w:t>
      </w:r>
    </w:p>
    <w:p w14:paraId="74D373F9">
      <w:pPr>
        <w:pStyle w:val="4"/>
        <w:bidi w:val="0"/>
        <w:rPr>
          <w:rFonts w:hint="eastAsia"/>
          <w:color w:val="auto"/>
          <w:lang w:val="en-US" w:eastAsia="zh-CN"/>
        </w:rPr>
      </w:pPr>
      <w:bookmarkStart w:id="40" w:name="_Toc16058"/>
      <w:bookmarkStart w:id="41" w:name="_Toc16852"/>
      <w:bookmarkStart w:id="42" w:name="_Toc4882"/>
      <w:bookmarkStart w:id="43" w:name="_Toc19088"/>
      <w:bookmarkStart w:id="44" w:name="_Toc26270"/>
      <w:bookmarkStart w:id="45" w:name="_Toc24429"/>
      <w:r>
        <w:rPr>
          <w:rFonts w:hint="eastAsia"/>
          <w:color w:val="auto"/>
          <w:lang w:val="en-US" w:eastAsia="zh-CN"/>
        </w:rPr>
        <w:t>1.4.3 规范性文件</w:t>
      </w:r>
      <w:bookmarkEnd w:id="40"/>
      <w:bookmarkEnd w:id="41"/>
      <w:bookmarkEnd w:id="42"/>
      <w:bookmarkEnd w:id="43"/>
      <w:bookmarkEnd w:id="44"/>
      <w:bookmarkEnd w:id="45"/>
    </w:p>
    <w:p w14:paraId="2EF8DC22">
      <w:pPr>
        <w:rPr>
          <w:rFonts w:hint="eastAsia"/>
          <w:b/>
          <w:bCs/>
          <w:color w:val="auto"/>
          <w:lang w:val="en-US" w:eastAsia="zh-CN"/>
        </w:rPr>
      </w:pPr>
      <w:r>
        <w:rPr>
          <w:rFonts w:hint="eastAsia"/>
          <w:b/>
          <w:bCs/>
          <w:color w:val="auto"/>
          <w:lang w:val="en-US" w:eastAsia="zh-CN"/>
        </w:rPr>
        <w:t>1. 国家规范性文件</w:t>
      </w:r>
    </w:p>
    <w:p w14:paraId="15986691">
      <w:pPr>
        <w:rPr>
          <w:rFonts w:hint="default"/>
          <w:color w:val="auto"/>
          <w:lang w:val="en-US" w:eastAsia="zh-CN"/>
        </w:rPr>
      </w:pPr>
      <w:r>
        <w:rPr>
          <w:rFonts w:hint="default"/>
          <w:color w:val="auto"/>
          <w:lang w:val="en-US" w:eastAsia="zh-CN"/>
        </w:rPr>
        <w:t>《国务院关于进一步加强安全生产工作的决定》（国发〔2004〕2号，2004年1月9日施行）</w:t>
      </w:r>
    </w:p>
    <w:p w14:paraId="2C66CC02">
      <w:pPr>
        <w:rPr>
          <w:rFonts w:hint="default"/>
          <w:color w:val="auto"/>
          <w:lang w:val="en-US" w:eastAsia="zh-CN"/>
        </w:rPr>
      </w:pPr>
      <w:r>
        <w:rPr>
          <w:rFonts w:hint="default"/>
          <w:color w:val="auto"/>
          <w:lang w:val="en-US" w:eastAsia="zh-CN"/>
        </w:rPr>
        <w:t>《国家安全监管总局关于加强金属非金属矿山建设项目安全工作的通知》（安监总管一〔2010〕110号，2010年7月14日）</w:t>
      </w:r>
    </w:p>
    <w:p w14:paraId="14DA1031">
      <w:pPr>
        <w:rPr>
          <w:rFonts w:hint="default"/>
          <w:color w:val="auto"/>
          <w:lang w:val="en-US" w:eastAsia="zh-CN"/>
        </w:rPr>
      </w:pPr>
      <w:r>
        <w:rPr>
          <w:rFonts w:hint="default"/>
          <w:color w:val="auto"/>
          <w:lang w:val="en-US" w:eastAsia="zh-CN"/>
        </w:rPr>
        <w:t>《国务院关于加强地质灾害防治工作的决定》（国发〔2011〕20号，2011年6月13日）</w:t>
      </w:r>
    </w:p>
    <w:p w14:paraId="599E3CEE">
      <w:pPr>
        <w:rPr>
          <w:rFonts w:hint="default"/>
          <w:color w:val="auto"/>
          <w:lang w:val="en-US" w:eastAsia="zh-CN"/>
        </w:rPr>
      </w:pPr>
      <w:r>
        <w:rPr>
          <w:rFonts w:hint="default"/>
          <w:color w:val="auto"/>
          <w:lang w:val="en-US" w:eastAsia="zh-CN"/>
        </w:rPr>
        <w:t>《国务院安委办关于建立安全隐患排查治理体系的通知》（安委办〔2012〕一号，2012年1月5日）</w:t>
      </w:r>
    </w:p>
    <w:p w14:paraId="63628A95">
      <w:pPr>
        <w:rPr>
          <w:rFonts w:hint="default"/>
          <w:color w:val="auto"/>
          <w:lang w:val="en-US" w:eastAsia="zh-CN"/>
        </w:rPr>
      </w:pPr>
      <w:r>
        <w:rPr>
          <w:rFonts w:hint="default"/>
          <w:color w:val="auto"/>
          <w:lang w:val="en-US" w:eastAsia="zh-CN"/>
        </w:rPr>
        <w:t>《国家安全监管总局关于宣布失效一批安全生产文件的通知》（安监总办〔2016〕13号，2016年2月4日）</w:t>
      </w:r>
    </w:p>
    <w:p w14:paraId="7208A41B">
      <w:pPr>
        <w:rPr>
          <w:rFonts w:hint="default"/>
          <w:color w:val="auto"/>
          <w:lang w:val="en-US" w:eastAsia="zh-CN"/>
        </w:rPr>
      </w:pPr>
      <w:r>
        <w:rPr>
          <w:rFonts w:hint="default"/>
          <w:color w:val="auto"/>
          <w:lang w:val="en-US" w:eastAsia="zh-CN"/>
        </w:rPr>
        <w:t>《国家安全监管总局办公厅关于修改用人单位劳动防护用品管理规范的通知》（安监总厅安健〔2018〕3号，2018年1月15日）</w:t>
      </w:r>
    </w:p>
    <w:p w14:paraId="77013DC7">
      <w:pPr>
        <w:rPr>
          <w:rFonts w:hint="default"/>
          <w:color w:val="auto"/>
          <w:lang w:val="en-US" w:eastAsia="zh-CN"/>
        </w:rPr>
      </w:pPr>
      <w:r>
        <w:rPr>
          <w:rFonts w:hint="default"/>
          <w:color w:val="auto"/>
          <w:lang w:val="en-US" w:eastAsia="zh-CN"/>
        </w:rPr>
        <w:t>《关于印发防范化解尾矿库安全风险工作方案的通知》（应急〔2020〕15号，2020年2月21日）</w:t>
      </w:r>
    </w:p>
    <w:p w14:paraId="3116C956">
      <w:pPr>
        <w:rPr>
          <w:rFonts w:hint="default"/>
          <w:color w:val="auto"/>
          <w:lang w:val="en-US" w:eastAsia="zh-CN"/>
        </w:rPr>
      </w:pPr>
      <w:r>
        <w:rPr>
          <w:rFonts w:hint="eastAsia"/>
          <w:color w:val="auto"/>
          <w:lang w:val="en-US" w:eastAsia="zh-CN"/>
        </w:rPr>
        <w:t>《</w:t>
      </w:r>
      <w:r>
        <w:rPr>
          <w:rFonts w:hint="default"/>
          <w:color w:val="auto"/>
          <w:lang w:val="en-US" w:eastAsia="zh-CN"/>
        </w:rPr>
        <w:t>国家矿山安全监察局关于印发</w:t>
      </w:r>
      <w:r>
        <w:rPr>
          <w:rFonts w:hint="eastAsia" w:ascii="宋体" w:hAnsi="宋体" w:eastAsia="宋体" w:cs="宋体"/>
          <w:color w:val="auto"/>
          <w:lang w:val="en-US" w:eastAsia="zh-CN"/>
        </w:rPr>
        <w:t>&lt;</w:t>
      </w:r>
      <w:r>
        <w:rPr>
          <w:rFonts w:hint="default"/>
          <w:color w:val="auto"/>
          <w:lang w:val="en-US" w:eastAsia="zh-CN"/>
        </w:rPr>
        <w:t>关于加强非煤矿山安全生产工作的指导意见</w:t>
      </w:r>
      <w:r>
        <w:rPr>
          <w:rFonts w:hint="eastAsia" w:ascii="宋体" w:hAnsi="宋体" w:eastAsia="宋体" w:cs="宋体"/>
          <w:color w:val="auto"/>
          <w:lang w:val="en-US" w:eastAsia="zh-CN"/>
        </w:rPr>
        <w:t>&gt;</w:t>
      </w:r>
      <w:r>
        <w:rPr>
          <w:rFonts w:hint="default"/>
          <w:color w:val="auto"/>
          <w:lang w:val="en-US" w:eastAsia="zh-CN"/>
        </w:rPr>
        <w:t>的通知</w:t>
      </w:r>
      <w:r>
        <w:rPr>
          <w:rFonts w:hint="eastAsia"/>
          <w:color w:val="auto"/>
          <w:lang w:val="en-US" w:eastAsia="zh-CN"/>
        </w:rPr>
        <w:t>》（</w:t>
      </w:r>
      <w:r>
        <w:rPr>
          <w:rFonts w:hint="default"/>
          <w:color w:val="auto"/>
          <w:lang w:val="en-US" w:eastAsia="zh-CN"/>
        </w:rPr>
        <w:t>矿安综〔2022〕</w:t>
      </w:r>
      <w:r>
        <w:rPr>
          <w:rFonts w:hint="eastAsia"/>
          <w:color w:val="auto"/>
          <w:lang w:val="en-US" w:eastAsia="zh-CN"/>
        </w:rPr>
        <w:t>4</w:t>
      </w:r>
      <w:r>
        <w:rPr>
          <w:rFonts w:hint="default"/>
          <w:color w:val="auto"/>
          <w:lang w:val="en-US" w:eastAsia="zh-CN"/>
        </w:rPr>
        <w:t>号</w:t>
      </w:r>
      <w:r>
        <w:rPr>
          <w:rFonts w:hint="eastAsia"/>
          <w:color w:val="auto"/>
          <w:lang w:val="en-US" w:eastAsia="zh-CN"/>
        </w:rPr>
        <w:t>，2022年2月8日）</w:t>
      </w:r>
    </w:p>
    <w:p w14:paraId="0E61C790">
      <w:pPr>
        <w:rPr>
          <w:rFonts w:hint="default"/>
          <w:color w:val="auto"/>
          <w:lang w:val="en-US" w:eastAsia="zh-CN"/>
        </w:rPr>
      </w:pPr>
      <w:r>
        <w:rPr>
          <w:rFonts w:hint="default"/>
          <w:color w:val="auto"/>
          <w:lang w:val="en-US" w:eastAsia="zh-CN"/>
        </w:rPr>
        <w:t>《国家矿山安全监察局综合司关于全面推进防范化解尾矿库安全风险</w:t>
      </w:r>
    </w:p>
    <w:p w14:paraId="451C2B3C">
      <w:pPr>
        <w:ind w:left="0" w:leftChars="0" w:firstLine="0" w:firstLineChars="0"/>
        <w:rPr>
          <w:rFonts w:hint="default"/>
          <w:color w:val="auto"/>
          <w:lang w:val="en-US" w:eastAsia="zh-CN"/>
        </w:rPr>
      </w:pPr>
      <w:r>
        <w:rPr>
          <w:rFonts w:hint="default"/>
          <w:color w:val="auto"/>
          <w:lang w:val="en-US" w:eastAsia="zh-CN"/>
        </w:rPr>
        <w:t>重点工作的通知》</w:t>
      </w:r>
      <w:r>
        <w:rPr>
          <w:rFonts w:hint="eastAsia"/>
          <w:color w:val="auto"/>
          <w:lang w:val="en-US" w:eastAsia="zh-CN"/>
        </w:rPr>
        <w:t>（</w:t>
      </w:r>
      <w:r>
        <w:rPr>
          <w:rFonts w:hint="default"/>
          <w:color w:val="auto"/>
          <w:lang w:val="en-US" w:eastAsia="zh-CN"/>
        </w:rPr>
        <w:t>矿安综〔2022〕6号</w:t>
      </w:r>
      <w:r>
        <w:rPr>
          <w:rFonts w:hint="eastAsia"/>
          <w:color w:val="auto"/>
          <w:lang w:val="en-US" w:eastAsia="zh-CN"/>
        </w:rPr>
        <w:t>，2022年3月4日）</w:t>
      </w:r>
    </w:p>
    <w:p w14:paraId="0C7D791A">
      <w:pPr>
        <w:rPr>
          <w:rFonts w:hint="default"/>
          <w:color w:val="auto"/>
          <w:lang w:val="en-US" w:eastAsia="zh-CN"/>
        </w:rPr>
      </w:pPr>
      <w:r>
        <w:rPr>
          <w:rFonts w:hint="default"/>
          <w:color w:val="auto"/>
          <w:lang w:val="en-US" w:eastAsia="zh-CN"/>
        </w:rPr>
        <w:t>《国家矿山安全监察局关于印发</w:t>
      </w:r>
      <w:r>
        <w:rPr>
          <w:rFonts w:hint="eastAsia" w:asciiTheme="minorEastAsia" w:hAnsiTheme="minorEastAsia" w:eastAsiaTheme="minorEastAsia" w:cstheme="minorEastAsia"/>
          <w:color w:val="auto"/>
          <w:lang w:val="en-US" w:eastAsia="zh-CN"/>
        </w:rPr>
        <w:t>&lt;</w:t>
      </w:r>
      <w:r>
        <w:rPr>
          <w:rFonts w:hint="default"/>
          <w:color w:val="auto"/>
          <w:lang w:val="en-US" w:eastAsia="zh-CN"/>
        </w:rPr>
        <w:t>金属非金属矿山重大事故隐患判定标准</w:t>
      </w:r>
      <w:r>
        <w:rPr>
          <w:rFonts w:hint="eastAsia" w:asciiTheme="minorEastAsia" w:hAnsiTheme="minorEastAsia" w:eastAsiaTheme="minorEastAsia" w:cstheme="minorEastAsia"/>
          <w:color w:val="auto"/>
          <w:lang w:val="en-US" w:eastAsia="zh-CN"/>
        </w:rPr>
        <w:t>&gt;</w:t>
      </w:r>
      <w:r>
        <w:rPr>
          <w:rFonts w:hint="default"/>
          <w:color w:val="auto"/>
          <w:lang w:val="en-US" w:eastAsia="zh-CN"/>
        </w:rPr>
        <w:t>的通知》（矿安〔2022〕88号，2022年7月8日）</w:t>
      </w:r>
    </w:p>
    <w:p w14:paraId="31E33BAC">
      <w:pPr>
        <w:rPr>
          <w:rFonts w:hint="default"/>
          <w:color w:val="auto"/>
          <w:lang w:val="en-US" w:eastAsia="zh-CN"/>
        </w:rPr>
      </w:pPr>
      <w:r>
        <w:rPr>
          <w:rFonts w:hint="default"/>
          <w:color w:val="auto"/>
          <w:lang w:val="en-US" w:eastAsia="zh-CN"/>
        </w:rPr>
        <w:t>《关于印发</w:t>
      </w:r>
      <w:r>
        <w:rPr>
          <w:rFonts w:hint="eastAsia" w:asciiTheme="minorEastAsia" w:hAnsiTheme="minorEastAsia" w:eastAsiaTheme="minorEastAsia" w:cstheme="minorEastAsia"/>
          <w:color w:val="auto"/>
          <w:lang w:val="en-US" w:eastAsia="zh-CN"/>
        </w:rPr>
        <w:t>&lt;</w:t>
      </w:r>
      <w:r>
        <w:rPr>
          <w:rFonts w:hint="default"/>
          <w:color w:val="auto"/>
          <w:lang w:val="en-US" w:eastAsia="zh-CN"/>
        </w:rPr>
        <w:t>企业安全生产费用提取和使用管理办法</w:t>
      </w:r>
      <w:r>
        <w:rPr>
          <w:rFonts w:hint="eastAsia" w:asciiTheme="minorEastAsia" w:hAnsiTheme="minorEastAsia" w:eastAsiaTheme="minorEastAsia" w:cstheme="minorEastAsia"/>
          <w:color w:val="auto"/>
          <w:lang w:val="en-US" w:eastAsia="zh-CN"/>
        </w:rPr>
        <w:t>&gt;</w:t>
      </w:r>
      <w:r>
        <w:rPr>
          <w:rFonts w:hint="default"/>
          <w:color w:val="auto"/>
          <w:lang w:val="en-US" w:eastAsia="zh-CN"/>
        </w:rPr>
        <w:t>的通知》（财资〔2022〕136号，2022年11月21日）</w:t>
      </w:r>
    </w:p>
    <w:p w14:paraId="78B80D9F">
      <w:pPr>
        <w:rPr>
          <w:rFonts w:hint="default"/>
          <w:color w:val="auto"/>
          <w:lang w:val="en-US" w:eastAsia="zh-CN"/>
        </w:rPr>
      </w:pPr>
      <w:r>
        <w:rPr>
          <w:rFonts w:hint="default"/>
          <w:color w:val="auto"/>
          <w:lang w:val="en-US" w:eastAsia="zh-CN"/>
        </w:rPr>
        <w:t>《中共中央办公厅国务院办公厅关于进一步加强矿山安全生产工作的意见》（厅字〔2023〕21号，2023年8月25日起施行）</w:t>
      </w:r>
    </w:p>
    <w:p w14:paraId="650248D5">
      <w:pPr>
        <w:rPr>
          <w:rFonts w:hint="eastAsia"/>
          <w:color w:val="auto"/>
          <w:lang w:val="en-US" w:eastAsia="zh-CN"/>
        </w:rPr>
      </w:pPr>
      <w:r>
        <w:rPr>
          <w:rFonts w:hint="eastAsia"/>
          <w:color w:val="auto"/>
          <w:lang w:val="en-US" w:eastAsia="zh-CN"/>
        </w:rPr>
        <w:t>《</w:t>
      </w:r>
      <w:r>
        <w:rPr>
          <w:rFonts w:hint="default"/>
          <w:color w:val="auto"/>
          <w:lang w:val="en-US" w:eastAsia="zh-CN"/>
        </w:rPr>
        <w:t>国家矿山安全监察局关于印发</w:t>
      </w:r>
      <w:r>
        <w:rPr>
          <w:rFonts w:hint="eastAsia" w:asciiTheme="minorEastAsia" w:hAnsiTheme="minorEastAsia" w:eastAsiaTheme="minorEastAsia" w:cstheme="minorEastAsia"/>
          <w:color w:val="auto"/>
          <w:lang w:val="en-US" w:eastAsia="zh-CN"/>
        </w:rPr>
        <w:t>&lt;</w:t>
      </w:r>
      <w:r>
        <w:rPr>
          <w:rFonts w:hint="default"/>
          <w:color w:val="auto"/>
          <w:lang w:val="en-US" w:eastAsia="zh-CN"/>
        </w:rPr>
        <w:t>非煤矿山建设项目安全设施重大变更范围</w:t>
      </w:r>
      <w:r>
        <w:rPr>
          <w:rFonts w:hint="eastAsia" w:asciiTheme="minorEastAsia" w:hAnsiTheme="minorEastAsia" w:eastAsiaTheme="minorEastAsia" w:cstheme="minorEastAsia"/>
          <w:color w:val="auto"/>
          <w:lang w:val="en-US" w:eastAsia="zh-CN"/>
        </w:rPr>
        <w:t>&gt;</w:t>
      </w:r>
      <w:r>
        <w:rPr>
          <w:rFonts w:hint="default"/>
          <w:color w:val="auto"/>
          <w:lang w:val="en-US" w:eastAsia="zh-CN"/>
        </w:rPr>
        <w:t>的通知</w:t>
      </w:r>
      <w:r>
        <w:rPr>
          <w:rFonts w:hint="eastAsia"/>
          <w:color w:val="auto"/>
          <w:lang w:val="en-US" w:eastAsia="zh-CN"/>
        </w:rPr>
        <w:t>》（</w:t>
      </w:r>
      <w:r>
        <w:rPr>
          <w:rFonts w:hint="default"/>
          <w:color w:val="auto"/>
          <w:lang w:val="en-US" w:eastAsia="zh-CN"/>
        </w:rPr>
        <w:t>矿安〔202</w:t>
      </w:r>
      <w:r>
        <w:rPr>
          <w:rFonts w:hint="eastAsia"/>
          <w:color w:val="auto"/>
          <w:lang w:val="en-US" w:eastAsia="zh-CN"/>
        </w:rPr>
        <w:t>3</w:t>
      </w:r>
      <w:r>
        <w:rPr>
          <w:rFonts w:hint="default"/>
          <w:color w:val="auto"/>
          <w:lang w:val="en-US" w:eastAsia="zh-CN"/>
        </w:rPr>
        <w:t>〕</w:t>
      </w:r>
      <w:r>
        <w:rPr>
          <w:rFonts w:hint="eastAsia"/>
          <w:color w:val="auto"/>
          <w:lang w:val="en-US" w:eastAsia="zh-CN"/>
        </w:rPr>
        <w:t>147</w:t>
      </w:r>
      <w:r>
        <w:rPr>
          <w:rFonts w:hint="default"/>
          <w:color w:val="auto"/>
          <w:lang w:val="en-US" w:eastAsia="zh-CN"/>
        </w:rPr>
        <w:t>号，202</w:t>
      </w:r>
      <w:r>
        <w:rPr>
          <w:rFonts w:hint="eastAsia"/>
          <w:color w:val="auto"/>
          <w:lang w:val="en-US" w:eastAsia="zh-CN"/>
        </w:rPr>
        <w:t>3</w:t>
      </w:r>
      <w:r>
        <w:rPr>
          <w:rFonts w:hint="default"/>
          <w:color w:val="auto"/>
          <w:lang w:val="en-US" w:eastAsia="zh-CN"/>
        </w:rPr>
        <w:t>年</w:t>
      </w:r>
      <w:r>
        <w:rPr>
          <w:rFonts w:hint="eastAsia"/>
          <w:color w:val="auto"/>
          <w:lang w:val="en-US" w:eastAsia="zh-CN"/>
        </w:rPr>
        <w:t>11</w:t>
      </w:r>
      <w:r>
        <w:rPr>
          <w:rFonts w:hint="default"/>
          <w:color w:val="auto"/>
          <w:lang w:val="en-US" w:eastAsia="zh-CN"/>
        </w:rPr>
        <w:t>月</w:t>
      </w:r>
      <w:r>
        <w:rPr>
          <w:rFonts w:hint="eastAsia"/>
          <w:color w:val="auto"/>
          <w:lang w:val="en-US" w:eastAsia="zh-CN"/>
        </w:rPr>
        <w:t>14</w:t>
      </w:r>
      <w:r>
        <w:rPr>
          <w:rFonts w:hint="default"/>
          <w:color w:val="auto"/>
          <w:lang w:val="en-US" w:eastAsia="zh-CN"/>
        </w:rPr>
        <w:t>日</w:t>
      </w:r>
      <w:r>
        <w:rPr>
          <w:rFonts w:hint="eastAsia"/>
          <w:color w:val="auto"/>
          <w:lang w:val="en-US" w:eastAsia="zh-CN"/>
        </w:rPr>
        <w:t>）</w:t>
      </w:r>
    </w:p>
    <w:p w14:paraId="5CF56C92">
      <w:pPr>
        <w:rPr>
          <w:rFonts w:hint="default"/>
          <w:color w:val="auto"/>
          <w:lang w:val="en-US" w:eastAsia="zh-CN"/>
        </w:rPr>
      </w:pPr>
      <w:r>
        <w:rPr>
          <w:rFonts w:hint="eastAsia"/>
          <w:color w:val="auto"/>
          <w:lang w:val="en-US" w:eastAsia="zh-CN"/>
        </w:rPr>
        <w:t>《国务院安全生产委员会印发</w:t>
      </w:r>
      <w:r>
        <w:rPr>
          <w:rFonts w:hint="eastAsia" w:asciiTheme="minorEastAsia" w:hAnsiTheme="minorEastAsia" w:eastAsiaTheme="minorEastAsia" w:cstheme="minorEastAsia"/>
          <w:color w:val="auto"/>
          <w:lang w:val="en-US" w:eastAsia="zh-CN"/>
        </w:rPr>
        <w:t>&lt;</w:t>
      </w:r>
      <w:r>
        <w:rPr>
          <w:rFonts w:hint="eastAsia"/>
          <w:color w:val="auto"/>
          <w:lang w:val="en-US" w:eastAsia="zh-CN"/>
        </w:rPr>
        <w:t>关于防范遏制矿山领域重特大生产安全事故的硬措施</w:t>
      </w:r>
      <w:r>
        <w:rPr>
          <w:rFonts w:hint="eastAsia" w:asciiTheme="minorEastAsia" w:hAnsiTheme="minorEastAsia" w:eastAsiaTheme="minorEastAsia" w:cstheme="minorEastAsia"/>
          <w:color w:val="auto"/>
          <w:lang w:val="en-US" w:eastAsia="zh-CN"/>
        </w:rPr>
        <w:t>&gt;</w:t>
      </w:r>
      <w:r>
        <w:rPr>
          <w:rFonts w:hint="eastAsia"/>
          <w:color w:val="auto"/>
          <w:lang w:val="en-US" w:eastAsia="zh-CN"/>
        </w:rPr>
        <w:t>的通知》（安委</w:t>
      </w:r>
      <w:r>
        <w:rPr>
          <w:rFonts w:hint="default"/>
          <w:color w:val="auto"/>
          <w:lang w:val="en-US" w:eastAsia="zh-CN"/>
        </w:rPr>
        <w:t>〔</w:t>
      </w:r>
      <w:r>
        <w:rPr>
          <w:rFonts w:hint="eastAsia"/>
          <w:color w:val="auto"/>
          <w:lang w:val="en-US" w:eastAsia="zh-CN"/>
        </w:rPr>
        <w:t>2024</w:t>
      </w:r>
      <w:r>
        <w:rPr>
          <w:rFonts w:hint="default"/>
          <w:color w:val="auto"/>
          <w:lang w:val="en-US" w:eastAsia="zh-CN"/>
        </w:rPr>
        <w:t>〕</w:t>
      </w:r>
      <w:r>
        <w:rPr>
          <w:rFonts w:hint="eastAsia"/>
          <w:color w:val="auto"/>
          <w:lang w:val="en-US" w:eastAsia="zh-CN"/>
        </w:rPr>
        <w:t>1号，2024年1月16日）</w:t>
      </w:r>
    </w:p>
    <w:p w14:paraId="1B199CFE">
      <w:pPr>
        <w:bidi w:val="0"/>
        <w:rPr>
          <w:rFonts w:hint="eastAsia" w:ascii="Times New Roman" w:hAnsi="Times New Roman" w:eastAsia="宋体" w:cs="Times New Roman"/>
          <w:color w:val="auto"/>
          <w:lang w:val="en-US" w:eastAsia="zh-CN"/>
        </w:rPr>
      </w:pPr>
      <w:r>
        <w:rPr>
          <w:rFonts w:hint="eastAsia"/>
          <w:color w:val="auto"/>
          <w:lang w:val="en-US" w:eastAsia="zh-CN"/>
        </w:rPr>
        <w:t>《</w:t>
      </w:r>
      <w:r>
        <w:rPr>
          <w:rFonts w:hint="default"/>
          <w:color w:val="auto"/>
          <w:lang w:val="en-US" w:eastAsia="zh-CN"/>
        </w:rPr>
        <w:t>国家矿山安全监察局关于印发《金属非金属矿山重大事故隐患判定标准补充情形</w:t>
      </w:r>
      <w:r>
        <w:rPr>
          <w:rFonts w:hint="eastAsia" w:asciiTheme="minorEastAsia" w:hAnsiTheme="minorEastAsia" w:eastAsiaTheme="minorEastAsia" w:cstheme="minorEastAsia"/>
          <w:color w:val="auto"/>
          <w:lang w:val="en-US" w:eastAsia="zh-CN"/>
        </w:rPr>
        <w:t>&gt;</w:t>
      </w:r>
      <w:r>
        <w:rPr>
          <w:rFonts w:hint="default"/>
          <w:color w:val="auto"/>
          <w:lang w:val="en-US" w:eastAsia="zh-CN"/>
        </w:rPr>
        <w:t>的通知</w:t>
      </w:r>
      <w:r>
        <w:rPr>
          <w:rFonts w:hint="eastAsia"/>
          <w:color w:val="auto"/>
          <w:lang w:val="en-US" w:eastAsia="zh-CN"/>
        </w:rPr>
        <w:t>》（</w:t>
      </w:r>
      <w:r>
        <w:rPr>
          <w:rFonts w:hint="default"/>
          <w:color w:val="auto"/>
          <w:lang w:val="en-US" w:eastAsia="zh-CN"/>
        </w:rPr>
        <w:t>矿安〔</w:t>
      </w:r>
      <w:r>
        <w:rPr>
          <w:rFonts w:hint="eastAsia"/>
          <w:color w:val="auto"/>
          <w:lang w:val="en-US" w:eastAsia="zh-CN"/>
        </w:rPr>
        <w:t>2</w:t>
      </w:r>
      <w:r>
        <w:rPr>
          <w:rFonts w:hint="eastAsia" w:ascii="Times New Roman" w:hAnsi="Times New Roman" w:eastAsia="宋体" w:cs="Times New Roman"/>
          <w:color w:val="auto"/>
          <w:lang w:val="en-US" w:eastAsia="zh-CN"/>
        </w:rPr>
        <w:t>024〕41号，2024年4月23日）</w:t>
      </w:r>
    </w:p>
    <w:p w14:paraId="7B4BEC5D">
      <w:pPr>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《国家矿山安全监察局关于进一步加强非煤矿山安全生产行政许可工作的通知》（矿安〔2024〕70号，2024年6月28日起施行）</w:t>
      </w:r>
    </w:p>
    <w:p w14:paraId="28474F4F">
      <w:pPr>
        <w:rPr>
          <w:rFonts w:hint="default"/>
          <w:color w:val="auto"/>
          <w:lang w:val="en-US" w:eastAsia="zh-CN"/>
        </w:rPr>
      </w:pPr>
      <w:r>
        <w:rPr>
          <w:rFonts w:hint="default"/>
          <w:color w:val="auto"/>
          <w:lang w:val="en-US" w:eastAsia="zh-CN"/>
        </w:rPr>
        <w:t>《国家矿山安全监察局综合司关于进一步加强矿山隐蔽致灾因素普查工作的通知》（矿安综函〔2024〕259号，2024年10月23日）</w:t>
      </w:r>
    </w:p>
    <w:p w14:paraId="1ACF98DD">
      <w:pPr>
        <w:rPr>
          <w:rFonts w:hint="eastAsia"/>
          <w:color w:val="auto"/>
          <w:lang w:val="en-US" w:eastAsia="zh-CN"/>
        </w:rPr>
      </w:pPr>
      <w:r>
        <w:rPr>
          <w:rFonts w:hint="eastAsia"/>
          <w:color w:val="auto"/>
          <w:lang w:val="en-US" w:eastAsia="zh-CN"/>
        </w:rPr>
        <w:t>《</w:t>
      </w:r>
      <w:r>
        <w:rPr>
          <w:rFonts w:hint="default"/>
          <w:color w:val="auto"/>
          <w:lang w:val="en-US" w:eastAsia="zh-CN"/>
        </w:rPr>
        <w:t>关于印发</w:t>
      </w:r>
      <w:r>
        <w:rPr>
          <w:rFonts w:hint="eastAsia" w:ascii="宋体" w:hAnsi="宋体" w:eastAsia="宋体" w:cs="宋体"/>
          <w:color w:val="auto"/>
          <w:lang w:val="en-US" w:eastAsia="zh-CN"/>
        </w:rPr>
        <w:t>&lt;</w:t>
      </w:r>
      <w:r>
        <w:rPr>
          <w:rFonts w:hint="default"/>
          <w:color w:val="auto"/>
          <w:lang w:val="en-US" w:eastAsia="zh-CN"/>
        </w:rPr>
        <w:t>安全生产责任保险实施办法</w:t>
      </w:r>
      <w:r>
        <w:rPr>
          <w:rFonts w:hint="eastAsia" w:ascii="宋体" w:hAnsi="宋体" w:eastAsia="宋体" w:cs="宋体"/>
          <w:color w:val="auto"/>
          <w:lang w:val="en-US" w:eastAsia="zh-CN"/>
        </w:rPr>
        <w:t>&gt;</w:t>
      </w:r>
      <w:r>
        <w:rPr>
          <w:rFonts w:hint="default"/>
          <w:color w:val="auto"/>
          <w:lang w:val="en-US" w:eastAsia="zh-CN"/>
        </w:rPr>
        <w:t>的通知》</w:t>
      </w:r>
      <w:r>
        <w:rPr>
          <w:rFonts w:hint="eastAsia"/>
          <w:color w:val="auto"/>
          <w:lang w:val="en-US" w:eastAsia="zh-CN"/>
        </w:rPr>
        <w:t>（</w:t>
      </w:r>
      <w:r>
        <w:rPr>
          <w:rFonts w:hint="default"/>
          <w:color w:val="auto"/>
          <w:lang w:val="en-US" w:eastAsia="zh-CN"/>
        </w:rPr>
        <w:t>应急〔2025〕27号</w:t>
      </w:r>
      <w:r>
        <w:rPr>
          <w:rFonts w:hint="eastAsia"/>
          <w:color w:val="auto"/>
          <w:lang w:val="en-US" w:eastAsia="zh-CN"/>
        </w:rPr>
        <w:t>，2025年3月29日）</w:t>
      </w:r>
    </w:p>
    <w:p w14:paraId="7DDEB0FD">
      <w:pPr>
        <w:rPr>
          <w:rFonts w:hint="default"/>
          <w:color w:val="auto"/>
          <w:lang w:val="en-US" w:eastAsia="zh-CN"/>
        </w:rPr>
      </w:pPr>
      <w:r>
        <w:rPr>
          <w:rFonts w:hint="eastAsia"/>
          <w:color w:val="auto"/>
          <w:lang w:val="en-US" w:eastAsia="zh-CN"/>
        </w:rPr>
        <w:t>《应急管理部 住房城乡建设部 国家矿山安监局关于印发</w:t>
      </w:r>
      <w:r>
        <w:rPr>
          <w:rFonts w:hint="eastAsia" w:asciiTheme="minorEastAsia" w:hAnsiTheme="minorEastAsia" w:eastAsiaTheme="minorEastAsia" w:cstheme="minorEastAsia"/>
          <w:color w:val="auto"/>
          <w:lang w:val="en-US" w:eastAsia="zh-CN"/>
        </w:rPr>
        <w:t>&lt;</w:t>
      </w:r>
      <w:r>
        <w:rPr>
          <w:rFonts w:hint="eastAsia"/>
          <w:color w:val="auto"/>
          <w:lang w:val="en-US" w:eastAsia="zh-CN"/>
        </w:rPr>
        <w:t>特种作业目录</w:t>
      </w:r>
      <w:r>
        <w:rPr>
          <w:rFonts w:hint="eastAsia" w:asciiTheme="minorEastAsia" w:hAnsiTheme="minorEastAsia" w:eastAsiaTheme="minorEastAsia" w:cstheme="minorEastAsia"/>
          <w:color w:val="auto"/>
          <w:lang w:val="en-US" w:eastAsia="zh-CN"/>
        </w:rPr>
        <w:t>&gt;</w:t>
      </w:r>
      <w:r>
        <w:rPr>
          <w:rFonts w:hint="eastAsia"/>
          <w:color w:val="auto"/>
          <w:lang w:val="en-US" w:eastAsia="zh-CN"/>
        </w:rPr>
        <w:t>的通知</w:t>
      </w:r>
      <w:r>
        <w:rPr>
          <w:rFonts w:hint="default"/>
          <w:color w:val="auto"/>
          <w:lang w:val="en-US" w:eastAsia="zh-CN"/>
        </w:rPr>
        <w:t>》</w:t>
      </w:r>
      <w:r>
        <w:rPr>
          <w:rFonts w:hint="eastAsia"/>
          <w:color w:val="auto"/>
          <w:lang w:val="en-US" w:eastAsia="zh-CN"/>
        </w:rPr>
        <w:t>（</w:t>
      </w:r>
      <w:r>
        <w:rPr>
          <w:rFonts w:hint="default"/>
          <w:color w:val="auto"/>
          <w:lang w:val="en-US" w:eastAsia="zh-CN"/>
        </w:rPr>
        <w:t>应急〔202</w:t>
      </w:r>
      <w:r>
        <w:rPr>
          <w:rFonts w:hint="eastAsia"/>
          <w:color w:val="auto"/>
          <w:lang w:val="en-US" w:eastAsia="zh-CN"/>
        </w:rPr>
        <w:t>6</w:t>
      </w:r>
      <w:r>
        <w:rPr>
          <w:rFonts w:hint="default"/>
          <w:color w:val="auto"/>
          <w:lang w:val="en-US" w:eastAsia="zh-CN"/>
        </w:rPr>
        <w:t>〕</w:t>
      </w:r>
      <w:r>
        <w:rPr>
          <w:rFonts w:hint="eastAsia"/>
          <w:color w:val="auto"/>
          <w:lang w:val="en-US" w:eastAsia="zh-CN"/>
        </w:rPr>
        <w:t>45</w:t>
      </w:r>
      <w:r>
        <w:rPr>
          <w:rFonts w:hint="default"/>
          <w:color w:val="auto"/>
          <w:lang w:val="en-US" w:eastAsia="zh-CN"/>
        </w:rPr>
        <w:t>号</w:t>
      </w:r>
      <w:r>
        <w:rPr>
          <w:rFonts w:hint="eastAsia"/>
          <w:color w:val="auto"/>
          <w:lang w:val="en-US" w:eastAsia="zh-CN"/>
        </w:rPr>
        <w:t>，</w:t>
      </w:r>
      <w:r>
        <w:rPr>
          <w:rFonts w:hint="default" w:cs="Times New Roman"/>
          <w:color w:val="auto"/>
          <w:lang w:val="en-US" w:eastAsia="zh-CN"/>
        </w:rPr>
        <w:t>2026年6月1日起施行</w:t>
      </w:r>
      <w:r>
        <w:rPr>
          <w:rFonts w:hint="eastAsia"/>
          <w:color w:val="auto"/>
          <w:lang w:val="en-US" w:eastAsia="zh-CN"/>
        </w:rPr>
        <w:t>）</w:t>
      </w:r>
    </w:p>
    <w:p w14:paraId="7241D329">
      <w:pPr>
        <w:rPr>
          <w:rFonts w:hint="default"/>
          <w:color w:val="auto"/>
          <w:lang w:val="en-US" w:eastAsia="zh-CN"/>
        </w:rPr>
      </w:pPr>
      <w:r>
        <w:rPr>
          <w:rFonts w:hint="eastAsia"/>
          <w:color w:val="auto"/>
          <w:lang w:val="en-US" w:eastAsia="zh-CN"/>
        </w:rPr>
        <w:t>《国家矿山安全监察局关于进一步加强矿山企业安全生产主体责任落实的指导意见》（矿安〔2026〕77号，2026年6月18日）</w:t>
      </w:r>
    </w:p>
    <w:p w14:paraId="06568324">
      <w:pPr>
        <w:rPr>
          <w:rFonts w:hint="default"/>
          <w:b/>
          <w:bCs/>
          <w:color w:val="auto"/>
          <w:lang w:val="en-US" w:eastAsia="zh-CN"/>
        </w:rPr>
      </w:pPr>
      <w:r>
        <w:rPr>
          <w:rFonts w:hint="default"/>
          <w:b/>
          <w:bCs/>
          <w:color w:val="auto"/>
          <w:lang w:val="en-US" w:eastAsia="zh-CN"/>
        </w:rPr>
        <w:t>2. 地方性规范文件</w:t>
      </w:r>
    </w:p>
    <w:p w14:paraId="7E9A16EC">
      <w:pPr>
        <w:rPr>
          <w:rFonts w:hint="default"/>
          <w:color w:val="auto"/>
          <w:lang w:val="en-US" w:eastAsia="zh-CN"/>
        </w:rPr>
      </w:pPr>
      <w:r>
        <w:rPr>
          <w:rFonts w:hint="default"/>
          <w:color w:val="auto"/>
          <w:lang w:val="en-US" w:eastAsia="zh-CN"/>
        </w:rPr>
        <w:t>《江西省人民政府关于进一步加强企业安全生产工作的实施意见》（赣府发〔2010〕32号，2010年10月8日）</w:t>
      </w:r>
    </w:p>
    <w:p w14:paraId="22593803">
      <w:pPr>
        <w:rPr>
          <w:rFonts w:hint="default"/>
          <w:color w:val="auto"/>
          <w:lang w:val="en-US" w:eastAsia="zh-CN"/>
        </w:rPr>
      </w:pPr>
      <w:r>
        <w:rPr>
          <w:rFonts w:hint="default"/>
          <w:color w:val="auto"/>
          <w:lang w:val="en-US" w:eastAsia="zh-CN"/>
        </w:rPr>
        <w:t>《江西省安监局关于印发江西省非煤矿山领域防范遏制重特大事故工作方案的通知》（赣安监管一字〔2016〕70号，2016年7月7日）</w:t>
      </w:r>
    </w:p>
    <w:p w14:paraId="385B327F">
      <w:pPr>
        <w:rPr>
          <w:rFonts w:hint="default"/>
          <w:color w:val="auto"/>
          <w:lang w:val="en-US" w:eastAsia="zh-CN"/>
        </w:rPr>
      </w:pPr>
      <w:r>
        <w:rPr>
          <w:rFonts w:hint="default"/>
          <w:color w:val="auto"/>
          <w:lang w:val="en-US" w:eastAsia="zh-CN"/>
        </w:rPr>
        <w:t>《江西省安全生产委员会关于在全省高危行业领域实施安全生产责任保险制度的指导意见》（赣安〔2017〕22号，2017年10月26日）</w:t>
      </w:r>
    </w:p>
    <w:p w14:paraId="74DD89C6">
      <w:pPr>
        <w:rPr>
          <w:rFonts w:hint="default"/>
          <w:color w:val="auto"/>
          <w:lang w:val="en-US" w:eastAsia="zh-CN"/>
        </w:rPr>
      </w:pPr>
      <w:r>
        <w:rPr>
          <w:rFonts w:hint="default"/>
          <w:color w:val="auto"/>
          <w:lang w:val="en-US" w:eastAsia="zh-CN"/>
        </w:rPr>
        <w:t>《关于印发江西省防范化解尾矿库安全风险工作实施方案的通知》（赣应急字〔2020〕64号，2020年4月30日）</w:t>
      </w:r>
    </w:p>
    <w:p w14:paraId="4067E590">
      <w:pPr>
        <w:rPr>
          <w:rFonts w:hint="eastAsia"/>
          <w:color w:val="auto"/>
          <w:lang w:val="en-US" w:eastAsia="zh-CN"/>
        </w:rPr>
      </w:pPr>
      <w:r>
        <w:rPr>
          <w:rFonts w:hint="eastAsia"/>
          <w:color w:val="auto"/>
          <w:lang w:val="en-US" w:eastAsia="zh-CN"/>
        </w:rPr>
        <w:t>《江西省应急管理厅关于加强全省尾矿库安全生产风险监测预警系统运行管理的通知》（（赣应急字〔2022〕18号，2022年3月22日）</w:t>
      </w:r>
    </w:p>
    <w:p w14:paraId="0D49A7FA">
      <w:pPr>
        <w:rPr>
          <w:rFonts w:hint="eastAsia"/>
          <w:color w:val="auto"/>
          <w:lang w:val="en-US" w:eastAsia="zh-CN"/>
        </w:rPr>
      </w:pPr>
      <w:r>
        <w:rPr>
          <w:rFonts w:hint="default"/>
          <w:color w:val="auto"/>
          <w:lang w:val="en-US" w:eastAsia="zh-CN"/>
        </w:rPr>
        <w:t>《江西省应急管理厅关于做好〈中共中央办公厅 国务院办公厅关于进步加强矿山安全生产工作的意见〉学习宣传贯彻工作的通知》</w:t>
      </w:r>
      <w:r>
        <w:rPr>
          <w:rFonts w:hint="eastAsia"/>
          <w:color w:val="auto"/>
          <w:lang w:val="en-US" w:eastAsia="zh-CN"/>
        </w:rPr>
        <w:t>（</w:t>
      </w:r>
      <w:r>
        <w:rPr>
          <w:rFonts w:hint="default"/>
          <w:color w:val="auto"/>
          <w:lang w:val="en-US" w:eastAsia="zh-CN"/>
        </w:rPr>
        <w:t>赣应急字〔202</w:t>
      </w:r>
      <w:r>
        <w:rPr>
          <w:rFonts w:hint="eastAsia"/>
          <w:color w:val="auto"/>
          <w:lang w:val="en-US" w:eastAsia="zh-CN"/>
        </w:rPr>
        <w:t>3</w:t>
      </w:r>
      <w:r>
        <w:rPr>
          <w:rFonts w:hint="default"/>
          <w:color w:val="auto"/>
          <w:lang w:val="en-US" w:eastAsia="zh-CN"/>
        </w:rPr>
        <w:t>〕16号，2023年11月17日</w:t>
      </w:r>
      <w:r>
        <w:rPr>
          <w:rFonts w:hint="eastAsia"/>
          <w:color w:val="auto"/>
          <w:lang w:val="en-US" w:eastAsia="zh-CN"/>
        </w:rPr>
        <w:t>）</w:t>
      </w:r>
    </w:p>
    <w:p w14:paraId="7ECB9AFF">
      <w:pPr>
        <w:pStyle w:val="4"/>
        <w:bidi w:val="0"/>
        <w:rPr>
          <w:rFonts w:hint="eastAsia"/>
          <w:color w:val="auto"/>
          <w:lang w:val="en-US" w:eastAsia="zh-CN"/>
        </w:rPr>
      </w:pPr>
      <w:bookmarkStart w:id="46" w:name="_Toc25394"/>
      <w:bookmarkStart w:id="47" w:name="_Toc28466"/>
      <w:bookmarkStart w:id="48" w:name="_Toc15641"/>
      <w:bookmarkStart w:id="49" w:name="_Toc16135"/>
      <w:bookmarkStart w:id="50" w:name="_Toc9085"/>
      <w:bookmarkStart w:id="51" w:name="_Toc26789"/>
      <w:bookmarkStart w:id="52" w:name="_Toc31428"/>
      <w:r>
        <w:rPr>
          <w:rFonts w:hint="eastAsia"/>
          <w:color w:val="auto"/>
          <w:lang w:val="en-US" w:eastAsia="zh-CN"/>
        </w:rPr>
        <w:t>1.4.4 标准、规范</w:t>
      </w:r>
      <w:bookmarkEnd w:id="46"/>
      <w:bookmarkEnd w:id="47"/>
      <w:bookmarkEnd w:id="48"/>
      <w:bookmarkEnd w:id="49"/>
      <w:bookmarkEnd w:id="50"/>
      <w:bookmarkEnd w:id="51"/>
      <w:bookmarkEnd w:id="52"/>
    </w:p>
    <w:p w14:paraId="68C39FAD">
      <w:pPr>
        <w:bidi w:val="0"/>
        <w:rPr>
          <w:rFonts w:hint="eastAsia"/>
          <w:color w:val="auto"/>
          <w:lang w:val="en-US" w:eastAsia="zh-CN"/>
        </w:rPr>
      </w:pPr>
      <w:r>
        <w:rPr>
          <w:rFonts w:hint="eastAsia"/>
          <w:color w:val="auto"/>
          <w:lang w:val="en-US" w:eastAsia="zh-CN"/>
        </w:rPr>
        <w:t>《岩土工程勘察规范</w:t>
      </w:r>
      <w:r>
        <w:rPr>
          <w:rFonts w:hint="eastAsia" w:ascii="宋体" w:hAnsi="宋体" w:eastAsia="宋体" w:cs="宋体"/>
          <w:color w:val="auto"/>
          <w:lang w:val="en-US" w:eastAsia="zh-CN"/>
        </w:rPr>
        <w:t>[</w:t>
      </w:r>
      <w:r>
        <w:rPr>
          <w:rFonts w:hint="default" w:ascii="Times New Roman" w:hAnsi="Times New Roman" w:eastAsia="宋体" w:cs="Times New Roman"/>
          <w:color w:val="auto"/>
          <w:lang w:val="en-US" w:eastAsia="zh-CN"/>
        </w:rPr>
        <w:t>20</w:t>
      </w:r>
      <w:r>
        <w:rPr>
          <w:rFonts w:hint="eastAsia" w:cs="Times New Roman"/>
          <w:color w:val="auto"/>
          <w:lang w:val="en-US" w:eastAsia="zh-CN"/>
        </w:rPr>
        <w:t>0</w:t>
      </w:r>
      <w:r>
        <w:rPr>
          <w:rFonts w:hint="default" w:ascii="Times New Roman" w:hAnsi="Times New Roman" w:eastAsia="宋体" w:cs="Times New Roman"/>
          <w:color w:val="auto"/>
          <w:lang w:val="en-US" w:eastAsia="zh-CN"/>
        </w:rPr>
        <w:t>9</w:t>
      </w:r>
      <w:r>
        <w:rPr>
          <w:rFonts w:hint="eastAsia" w:ascii="宋体" w:hAnsi="宋体" w:eastAsia="宋体" w:cs="宋体"/>
          <w:color w:val="auto"/>
          <w:lang w:val="en-US" w:eastAsia="zh-CN"/>
        </w:rPr>
        <w:t>版]</w:t>
      </w:r>
      <w:r>
        <w:rPr>
          <w:rFonts w:hint="eastAsia"/>
          <w:color w:val="auto"/>
          <w:lang w:val="en-US" w:eastAsia="zh-CN"/>
        </w:rPr>
        <w:t>》                     GB50021-2001</w:t>
      </w:r>
    </w:p>
    <w:p w14:paraId="7DCB2A63">
      <w:pPr>
        <w:bidi w:val="0"/>
        <w:rPr>
          <w:rFonts w:hint="eastAsia"/>
          <w:color w:val="auto"/>
          <w:lang w:val="en-US" w:eastAsia="zh-CN"/>
        </w:rPr>
      </w:pPr>
      <w:r>
        <w:rPr>
          <w:rFonts w:hint="eastAsia"/>
          <w:color w:val="auto"/>
          <w:lang w:val="en-US" w:eastAsia="zh-CN"/>
        </w:rPr>
        <w:t>《建筑抗震设防分类标准》                         GB50223-2008</w:t>
      </w:r>
    </w:p>
    <w:p w14:paraId="5AA16948">
      <w:pPr>
        <w:bidi w:val="0"/>
        <w:rPr>
          <w:rFonts w:hint="default"/>
          <w:color w:val="auto"/>
          <w:lang w:val="en-US" w:eastAsia="zh-CN"/>
        </w:rPr>
      </w:pPr>
      <w:r>
        <w:rPr>
          <w:rFonts w:hint="eastAsia"/>
          <w:color w:val="auto"/>
          <w:lang w:val="en-US" w:eastAsia="zh-CN"/>
        </w:rPr>
        <w:t>《建筑抗震设计标准（2024年版）》                GB50011-2010</w:t>
      </w:r>
    </w:p>
    <w:p w14:paraId="19408CB8">
      <w:pPr>
        <w:bidi w:val="0"/>
        <w:rPr>
          <w:rFonts w:hint="eastAsia"/>
          <w:color w:val="auto"/>
          <w:lang w:val="en-US" w:eastAsia="zh-CN"/>
        </w:rPr>
      </w:pPr>
      <w:r>
        <w:rPr>
          <w:rFonts w:hint="eastAsia"/>
          <w:color w:val="auto"/>
          <w:lang w:val="en-US" w:eastAsia="zh-CN"/>
        </w:rPr>
        <w:t>《建筑地基基础设计规范》                         GB50007-2011</w:t>
      </w:r>
    </w:p>
    <w:p w14:paraId="3EA25DE3">
      <w:pPr>
        <w:bidi w:val="0"/>
        <w:rPr>
          <w:rFonts w:hint="eastAsia"/>
          <w:color w:val="auto"/>
          <w:lang w:val="en-US" w:eastAsia="zh-CN"/>
        </w:rPr>
      </w:pPr>
      <w:r>
        <w:rPr>
          <w:rFonts w:hint="eastAsia"/>
          <w:color w:val="auto"/>
          <w:lang w:val="en-US" w:eastAsia="zh-CN"/>
        </w:rPr>
        <w:t>《混凝土结构工程施工规范》                       GB50666-2011</w:t>
      </w:r>
    </w:p>
    <w:p w14:paraId="0B7DD938">
      <w:pPr>
        <w:bidi w:val="0"/>
        <w:rPr>
          <w:rFonts w:hint="eastAsia"/>
          <w:color w:val="auto"/>
          <w:lang w:val="en-US" w:eastAsia="zh-CN"/>
        </w:rPr>
      </w:pPr>
      <w:r>
        <w:rPr>
          <w:rFonts w:hint="eastAsia"/>
          <w:color w:val="auto"/>
          <w:lang w:val="en-US" w:eastAsia="zh-CN"/>
        </w:rPr>
        <w:t>《工业企业总平面设计规范》                       GB50187-2012</w:t>
      </w:r>
    </w:p>
    <w:p w14:paraId="43ACED4A">
      <w:pPr>
        <w:bidi w:val="0"/>
        <w:rPr>
          <w:rFonts w:hint="eastAsia"/>
          <w:color w:val="auto"/>
          <w:lang w:val="en-US" w:eastAsia="zh-CN"/>
        </w:rPr>
      </w:pPr>
      <w:r>
        <w:rPr>
          <w:rFonts w:hint="eastAsia"/>
          <w:color w:val="auto"/>
          <w:lang w:val="en-US" w:eastAsia="zh-CN"/>
        </w:rPr>
        <w:t>《构筑物抗震设计规范》                           GB50191-2012</w:t>
      </w:r>
    </w:p>
    <w:p w14:paraId="7DBCAC14">
      <w:pPr>
        <w:bidi w:val="0"/>
        <w:rPr>
          <w:rFonts w:hint="eastAsia"/>
          <w:color w:val="auto"/>
          <w:lang w:val="en-US" w:eastAsia="zh-CN"/>
        </w:rPr>
      </w:pPr>
      <w:r>
        <w:rPr>
          <w:rFonts w:hint="eastAsia"/>
          <w:color w:val="auto"/>
          <w:lang w:val="en-US" w:eastAsia="zh-CN"/>
        </w:rPr>
        <w:t>《尾矿设施设计规范》                             GB50863-2013</w:t>
      </w:r>
    </w:p>
    <w:p w14:paraId="3B80D5AC">
      <w:pPr>
        <w:bidi w:val="0"/>
        <w:rPr>
          <w:rFonts w:hint="eastAsia"/>
          <w:color w:val="auto"/>
          <w:lang w:val="en-US" w:eastAsia="zh-CN"/>
        </w:rPr>
      </w:pPr>
      <w:r>
        <w:rPr>
          <w:rFonts w:hint="eastAsia"/>
          <w:color w:val="auto"/>
          <w:lang w:val="en-US" w:eastAsia="zh-CN"/>
        </w:rPr>
        <w:t>《防洪标准》                                     GB50201-2014</w:t>
      </w:r>
    </w:p>
    <w:p w14:paraId="5BC46438">
      <w:pPr>
        <w:bidi w:val="0"/>
        <w:rPr>
          <w:rFonts w:hint="eastAsia"/>
          <w:color w:val="auto"/>
          <w:lang w:val="en-US" w:eastAsia="zh-CN"/>
        </w:rPr>
      </w:pPr>
      <w:r>
        <w:rPr>
          <w:rFonts w:hint="eastAsia"/>
          <w:color w:val="auto"/>
          <w:lang w:val="en-US" w:eastAsia="zh-CN"/>
        </w:rPr>
        <w:t>《中国地震动参数区划图》                         GB18306-2015</w:t>
      </w:r>
    </w:p>
    <w:p w14:paraId="598651BE">
      <w:pPr>
        <w:bidi w:val="0"/>
        <w:rPr>
          <w:rFonts w:hint="eastAsia"/>
          <w:color w:val="auto"/>
          <w:lang w:val="en-US" w:eastAsia="zh-CN"/>
        </w:rPr>
      </w:pPr>
      <w:r>
        <w:rPr>
          <w:rFonts w:hint="eastAsia"/>
          <w:color w:val="auto"/>
          <w:lang w:val="en-US" w:eastAsia="zh-CN"/>
        </w:rPr>
        <w:t>《水工建筑物抗震设计标准》                       GB51247-2018</w:t>
      </w:r>
    </w:p>
    <w:p w14:paraId="33695177">
      <w:pPr>
        <w:bidi w:val="0"/>
        <w:jc w:val="both"/>
        <w:rPr>
          <w:rFonts w:hint="eastAsia"/>
          <w:color w:val="auto"/>
          <w:lang w:val="en-US" w:eastAsia="zh-CN"/>
        </w:rPr>
      </w:pPr>
      <w:r>
        <w:rPr>
          <w:rFonts w:hint="eastAsia"/>
          <w:color w:val="auto"/>
          <w:lang w:val="en-US" w:eastAsia="zh-CN"/>
        </w:rPr>
        <w:t>《一般工业固体废物贮存和填埋污染控制标准》       GB18599-2020</w:t>
      </w:r>
    </w:p>
    <w:p w14:paraId="6F6192C6">
      <w:pPr>
        <w:bidi w:val="0"/>
        <w:rPr>
          <w:rFonts w:hint="eastAsia"/>
          <w:color w:val="auto"/>
          <w:lang w:val="en-US" w:eastAsia="zh-CN"/>
        </w:rPr>
      </w:pPr>
      <w:r>
        <w:rPr>
          <w:rFonts w:hint="eastAsia"/>
          <w:color w:val="auto"/>
          <w:lang w:val="en-US" w:eastAsia="zh-CN"/>
        </w:rPr>
        <w:t>《尾矿库安全规程》                               GB39496-2020</w:t>
      </w:r>
    </w:p>
    <w:p w14:paraId="2CAA495D">
      <w:pPr>
        <w:bidi w:val="0"/>
        <w:rPr>
          <w:rFonts w:hint="eastAsia"/>
          <w:color w:val="auto"/>
          <w:lang w:val="en-US" w:eastAsia="zh-CN"/>
        </w:rPr>
      </w:pPr>
      <w:r>
        <w:rPr>
          <w:rFonts w:hint="eastAsia"/>
          <w:color w:val="auto"/>
          <w:lang w:val="en-US" w:eastAsia="zh-CN"/>
        </w:rPr>
        <w:t>《安全色和安全标志》                              GB2894-2025</w:t>
      </w:r>
    </w:p>
    <w:p w14:paraId="01E811A1">
      <w:pPr>
        <w:bidi w:val="0"/>
        <w:ind w:firstLine="8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《生产安全事故分类与编码》</w:t>
      </w:r>
      <w:r>
        <w:rPr>
          <w:rFonts w:hint="eastAsia" w:ascii="Times New Roman" w:hAnsi="Times New Roman" w:eastAsia="宋体" w:cs="Times New Roman"/>
          <w:color w:val="auto"/>
          <w:lang w:val="en-US" w:eastAsia="zh-CN"/>
        </w:rPr>
        <w:t xml:space="preserve">        </w:t>
      </w:r>
      <w:r>
        <w:rPr>
          <w:rFonts w:hint="eastAsia" w:cs="Times New Roman"/>
          <w:color w:val="auto"/>
          <w:lang w:val="en-US" w:eastAsia="zh-CN"/>
        </w:rPr>
        <w:t xml:space="preserve">                </w:t>
      </w:r>
      <w:r>
        <w:rPr>
          <w:rFonts w:hint="default" w:ascii="Times New Roman" w:hAnsi="Times New Roman" w:eastAsia="宋体" w:cs="Times New Roman"/>
          <w:color w:val="auto"/>
          <w:lang w:val="en-US" w:eastAsia="zh-CN"/>
        </w:rPr>
        <w:t>GB6441</w:t>
      </w:r>
      <w:r>
        <w:rPr>
          <w:rFonts w:hint="eastAsia" w:ascii="Times New Roman" w:hAnsi="Times New Roman" w:eastAsia="宋体" w:cs="Times New Roman"/>
          <w:color w:val="auto"/>
          <w:lang w:val="en-US" w:eastAsia="zh-CN"/>
        </w:rPr>
        <w:t>-</w:t>
      </w:r>
      <w:r>
        <w:rPr>
          <w:rFonts w:hint="default" w:ascii="Times New Roman" w:hAnsi="Times New Roman" w:eastAsia="宋体" w:cs="Times New Roman"/>
          <w:color w:val="auto"/>
          <w:lang w:val="en-US" w:eastAsia="zh-CN"/>
        </w:rPr>
        <w:t>2025</w:t>
      </w:r>
    </w:p>
    <w:p w14:paraId="4A0506A5">
      <w:pPr>
        <w:bidi w:val="0"/>
        <w:rPr>
          <w:rFonts w:hint="eastAsia"/>
          <w:color w:val="auto"/>
          <w:lang w:val="en-US" w:eastAsia="zh-CN"/>
        </w:rPr>
      </w:pPr>
      <w:r>
        <w:rPr>
          <w:rFonts w:hint="eastAsia"/>
          <w:color w:val="auto"/>
          <w:lang w:val="en-US" w:eastAsia="zh-CN"/>
        </w:rPr>
        <w:t>《矿山安全标志》                               GB/T14161-2008</w:t>
      </w:r>
    </w:p>
    <w:p w14:paraId="4D98F41C">
      <w:pPr>
        <w:bidi w:val="0"/>
        <w:rPr>
          <w:rFonts w:hint="eastAsia"/>
          <w:color w:val="auto"/>
          <w:lang w:val="en-US" w:eastAsia="zh-CN"/>
        </w:rPr>
      </w:pPr>
      <w:r>
        <w:rPr>
          <w:rFonts w:hint="eastAsia"/>
          <w:color w:val="auto"/>
          <w:lang w:val="en-US" w:eastAsia="zh-CN"/>
        </w:rPr>
        <w:t>《矿山安全术语》                               GB/T15259-2008</w:t>
      </w:r>
    </w:p>
    <w:p w14:paraId="06866269">
      <w:pPr>
        <w:bidi w:val="0"/>
        <w:ind w:firstLine="880"/>
        <w:jc w:val="both"/>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《生产经营单位生产安全事故应急预案编制导则》   GB/T29639-2020</w:t>
      </w:r>
    </w:p>
    <w:p w14:paraId="7A2F92B8">
      <w:pPr>
        <w:bidi w:val="0"/>
        <w:rPr>
          <w:rFonts w:hint="eastAsia"/>
          <w:color w:val="auto"/>
          <w:lang w:val="en-US" w:eastAsia="zh-CN"/>
        </w:rPr>
      </w:pPr>
      <w:r>
        <w:rPr>
          <w:rFonts w:hint="eastAsia"/>
          <w:color w:val="auto"/>
          <w:lang w:val="en-US" w:eastAsia="zh-CN"/>
        </w:rPr>
        <w:t>《矿区水文地质工程地质勘查规范》               GB/T12719-2021</w:t>
      </w:r>
    </w:p>
    <w:p w14:paraId="69E33E12">
      <w:pPr>
        <w:bidi w:val="0"/>
        <w:ind w:firstLine="88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《尾矿堆积坝岩土工程技术标准》                 GB/T 50547-2022</w:t>
      </w:r>
    </w:p>
    <w:p w14:paraId="7E2E8242">
      <w:pPr>
        <w:bidi w:val="0"/>
        <w:rPr>
          <w:rFonts w:hint="eastAsia"/>
          <w:color w:val="auto"/>
          <w:lang w:val="en-US" w:eastAsia="zh-CN"/>
        </w:rPr>
      </w:pPr>
      <w:r>
        <w:rPr>
          <w:rFonts w:hint="eastAsia"/>
          <w:color w:val="auto"/>
          <w:lang w:val="en-US" w:eastAsia="zh-CN"/>
        </w:rPr>
        <w:t>《厂矿道路设计规范》                                 GBJ22-87</w:t>
      </w:r>
    </w:p>
    <w:p w14:paraId="67CA1640">
      <w:pPr>
        <w:bidi w:val="0"/>
        <w:rPr>
          <w:rFonts w:hint="eastAsia"/>
          <w:color w:val="auto"/>
          <w:lang w:val="en-US" w:eastAsia="zh-CN"/>
        </w:rPr>
      </w:pPr>
      <w:r>
        <w:rPr>
          <w:rFonts w:hint="eastAsia"/>
          <w:color w:val="auto"/>
          <w:lang w:val="en-US" w:eastAsia="zh-CN"/>
        </w:rPr>
        <w:t>《安全评价通则》                                  AQ8001-2007</w:t>
      </w:r>
    </w:p>
    <w:p w14:paraId="4968062A">
      <w:pPr>
        <w:bidi w:val="0"/>
        <w:rPr>
          <w:rFonts w:hint="eastAsia"/>
          <w:color w:val="auto"/>
          <w:lang w:val="en-US" w:eastAsia="zh-CN"/>
        </w:rPr>
      </w:pPr>
      <w:r>
        <w:rPr>
          <w:rFonts w:hint="eastAsia"/>
          <w:color w:val="auto"/>
          <w:lang w:val="en-US" w:eastAsia="zh-CN"/>
        </w:rPr>
        <w:t>《尾矿库安全监测技术规范》                        AQ2030-2010</w:t>
      </w:r>
    </w:p>
    <w:p w14:paraId="4D546358">
      <w:pPr>
        <w:bidi w:val="0"/>
        <w:ind w:left="280" w:leftChars="100" w:firstLine="280" w:firstLineChars="10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《水工建筑物荷载设计规范》                         SL744-2016</w:t>
      </w:r>
    </w:p>
    <w:p w14:paraId="10857554">
      <w:pPr>
        <w:bidi w:val="0"/>
        <w:rPr>
          <w:rFonts w:hint="eastAsia"/>
          <w:color w:val="auto"/>
          <w:lang w:val="en-US" w:eastAsia="zh-CN"/>
        </w:rPr>
      </w:pPr>
      <w:r>
        <w:rPr>
          <w:rFonts w:hint="eastAsia"/>
          <w:color w:val="auto"/>
          <w:lang w:val="en-US" w:eastAsia="zh-CN"/>
        </w:rPr>
        <w:t>《溢洪道设计规范》                                 SL253-2018</w:t>
      </w:r>
    </w:p>
    <w:p w14:paraId="18BC0B8E">
      <w:pPr>
        <w:bidi w:val="0"/>
        <w:ind w:firstLine="88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《碾压式土石坝设计规范》                           SL274-2020</w:t>
      </w:r>
    </w:p>
    <w:p w14:paraId="6E831765">
      <w:pPr>
        <w:bidi w:val="0"/>
        <w:ind w:left="280" w:leftChars="100" w:firstLine="280" w:firstLineChars="100"/>
        <w:rPr>
          <w:rFonts w:hint="eastAsia" w:cs="Times New Roman"/>
          <w:color w:val="auto"/>
          <w:lang w:val="en-US" w:eastAsia="zh-CN"/>
        </w:rPr>
      </w:pPr>
      <w:r>
        <w:rPr>
          <w:rFonts w:hint="eastAsia" w:ascii="Times New Roman" w:hAnsi="Times New Roman" w:eastAsia="宋体" w:cs="Times New Roman"/>
          <w:color w:val="auto"/>
          <w:lang w:val="en-US" w:eastAsia="zh-CN"/>
        </w:rPr>
        <w:t>《水工混凝土结构设计规范》                        SL</w:t>
      </w:r>
      <w:r>
        <w:rPr>
          <w:rFonts w:hint="eastAsia" w:ascii="Times New Roman" w:hAnsi="Times New Roman" w:eastAsia="宋体" w:cs="Times New Roman"/>
          <w:color w:val="auto"/>
          <w:kern w:val="2"/>
          <w:sz w:val="28"/>
          <w:szCs w:val="24"/>
          <w:lang w:val="en-US" w:eastAsia="zh-CN" w:bidi="ar-SA"/>
        </w:rPr>
        <w:t>/T</w:t>
      </w:r>
      <w:r>
        <w:rPr>
          <w:rFonts w:hint="eastAsia" w:ascii="Times New Roman" w:hAnsi="Times New Roman" w:eastAsia="宋体" w:cs="Times New Roman"/>
          <w:color w:val="auto"/>
          <w:lang w:val="en-US" w:eastAsia="zh-CN"/>
        </w:rPr>
        <w:t>191-20</w:t>
      </w:r>
      <w:r>
        <w:rPr>
          <w:rFonts w:hint="eastAsia" w:cs="Times New Roman"/>
          <w:color w:val="auto"/>
          <w:lang w:val="en-US" w:eastAsia="zh-CN"/>
        </w:rPr>
        <w:t>25</w:t>
      </w:r>
    </w:p>
    <w:p w14:paraId="4ABB5961">
      <w:pPr>
        <w:bidi w:val="0"/>
        <w:ind w:left="280" w:leftChars="100" w:firstLine="280" w:firstLineChars="100"/>
        <w:rPr>
          <w:color w:val="auto"/>
        </w:rPr>
      </w:pPr>
      <w:r>
        <w:rPr>
          <w:rFonts w:hint="eastAsia"/>
          <w:color w:val="auto"/>
          <w:lang w:eastAsia="zh-CN"/>
        </w:rPr>
        <w:t>《</w:t>
      </w:r>
      <w:r>
        <w:rPr>
          <w:color w:val="auto"/>
        </w:rPr>
        <w:t>尾矿库排洪构筑物安全质量检测技术规范</w:t>
      </w:r>
      <w:r>
        <w:rPr>
          <w:rFonts w:hint="eastAsia"/>
          <w:color w:val="auto"/>
          <w:lang w:eastAsia="zh-CN"/>
        </w:rPr>
        <w:t>》</w:t>
      </w:r>
      <w:r>
        <w:rPr>
          <w:color w:val="auto"/>
        </w:rPr>
        <w:t xml:space="preserve"> </w:t>
      </w:r>
      <w:r>
        <w:rPr>
          <w:rFonts w:hint="eastAsia"/>
          <w:color w:val="auto"/>
          <w:lang w:val="en-US" w:eastAsia="zh-CN"/>
        </w:rPr>
        <w:t xml:space="preserve">          </w:t>
      </w:r>
      <w:r>
        <w:rPr>
          <w:color w:val="auto"/>
        </w:rPr>
        <w:t>KA 43-2026</w:t>
      </w:r>
    </w:p>
    <w:p w14:paraId="702B6A1F">
      <w:pPr>
        <w:bidi w:val="0"/>
        <w:ind w:left="280" w:leftChars="100" w:firstLine="280" w:firstLineChars="100"/>
        <w:rPr>
          <w:rFonts w:hint="eastAsia" w:ascii="Times New Roman" w:hAnsi="Times New Roman" w:eastAsia="宋体" w:cs="Times New Roman"/>
          <w:color w:val="auto"/>
          <w:lang w:val="en-US" w:eastAsia="zh-CN"/>
        </w:rPr>
      </w:pPr>
      <w:r>
        <w:rPr>
          <w:rFonts w:hint="eastAsia" w:cs="Times New Roman"/>
          <w:color w:val="auto"/>
          <w:lang w:val="en-US" w:eastAsia="zh-CN"/>
        </w:rPr>
        <w:t>《</w:t>
      </w:r>
      <w:r>
        <w:rPr>
          <w:rFonts w:hint="default" w:ascii="Times New Roman" w:hAnsi="Times New Roman" w:eastAsia="宋体" w:cs="Times New Roman"/>
          <w:color w:val="auto"/>
          <w:lang w:val="en-US" w:eastAsia="zh-CN"/>
        </w:rPr>
        <w:t>矿山隐蔽致灾因素普查规范 第1部分：总则</w:t>
      </w:r>
      <w:r>
        <w:rPr>
          <w:rFonts w:hint="eastAsia" w:cs="Times New Roman"/>
          <w:color w:val="auto"/>
          <w:lang w:val="en-US" w:eastAsia="zh-CN"/>
        </w:rPr>
        <w:t>》</w:t>
      </w:r>
      <w:r>
        <w:rPr>
          <w:rFonts w:hint="eastAsia" w:ascii="Times New Roman" w:hAnsi="Times New Roman" w:eastAsia="宋体" w:cs="Times New Roman"/>
          <w:color w:val="auto"/>
          <w:lang w:val="en-US" w:eastAsia="zh-CN"/>
        </w:rPr>
        <w:t xml:space="preserve">      </w:t>
      </w:r>
      <w:r>
        <w:rPr>
          <w:rFonts w:hint="eastAsia" w:cs="Times New Roman"/>
          <w:color w:val="auto"/>
          <w:lang w:val="en-US" w:eastAsia="zh-CN"/>
        </w:rPr>
        <w:t xml:space="preserve"> </w:t>
      </w:r>
      <w:r>
        <w:rPr>
          <w:rFonts w:hint="eastAsia" w:ascii="Times New Roman" w:hAnsi="Times New Roman" w:eastAsia="宋体" w:cs="Times New Roman"/>
          <w:color w:val="auto"/>
          <w:lang w:val="en-US" w:eastAsia="zh-CN"/>
        </w:rPr>
        <w:t>KA/T22.1-2024</w:t>
      </w:r>
    </w:p>
    <w:p w14:paraId="6E94446F">
      <w:pPr>
        <w:bidi w:val="0"/>
        <w:ind w:left="280" w:leftChars="100" w:firstLine="280" w:firstLineChars="100"/>
        <w:rPr>
          <w:rFonts w:hint="eastAsia" w:cs="Times New Roman"/>
          <w:color w:val="auto"/>
          <w:lang w:val="en-US" w:eastAsia="zh-CN"/>
        </w:rPr>
      </w:pPr>
      <w:r>
        <w:rPr>
          <w:rFonts w:hint="eastAsia" w:cs="Times New Roman"/>
          <w:color w:val="auto"/>
          <w:lang w:val="en-US" w:eastAsia="zh-CN"/>
        </w:rPr>
        <w:t>《</w:t>
      </w:r>
      <w:r>
        <w:rPr>
          <w:rFonts w:hint="default" w:ascii="Times New Roman" w:hAnsi="Times New Roman" w:eastAsia="宋体" w:cs="Times New Roman"/>
          <w:color w:val="auto"/>
          <w:lang w:val="en-US" w:eastAsia="zh-CN"/>
        </w:rPr>
        <w:t>矿山隐蔽致灾因素普查规范 第3部分：金属非金属矿山及尾矿库</w:t>
      </w:r>
      <w:r>
        <w:rPr>
          <w:rFonts w:hint="eastAsia" w:cs="Times New Roman"/>
          <w:color w:val="auto"/>
          <w:lang w:val="en-US" w:eastAsia="zh-CN"/>
        </w:rPr>
        <w:t>》</w:t>
      </w:r>
    </w:p>
    <w:p w14:paraId="6494DE64">
      <w:pPr>
        <w:bidi w:val="0"/>
        <w:ind w:left="280" w:leftChars="100" w:firstLine="280" w:firstLineChars="100"/>
        <w:jc w:val="right"/>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KA/T22.</w:t>
      </w:r>
      <w:r>
        <w:rPr>
          <w:rFonts w:hint="eastAsia" w:cs="Times New Roman"/>
          <w:color w:val="auto"/>
          <w:lang w:val="en-US" w:eastAsia="zh-CN"/>
        </w:rPr>
        <w:t>3</w:t>
      </w:r>
      <w:r>
        <w:rPr>
          <w:rFonts w:hint="eastAsia" w:ascii="Times New Roman" w:hAnsi="Times New Roman" w:eastAsia="宋体" w:cs="Times New Roman"/>
          <w:color w:val="auto"/>
          <w:lang w:val="en-US" w:eastAsia="zh-CN"/>
        </w:rPr>
        <w:t>-2024</w:t>
      </w:r>
    </w:p>
    <w:p w14:paraId="589D1611">
      <w:pPr>
        <w:pStyle w:val="4"/>
        <w:bidi w:val="0"/>
        <w:rPr>
          <w:rFonts w:hint="default"/>
          <w:color w:val="auto"/>
          <w:lang w:val="en-US" w:eastAsia="zh-CN"/>
        </w:rPr>
      </w:pPr>
      <w:bookmarkStart w:id="53" w:name="_Toc22834"/>
      <w:bookmarkStart w:id="54" w:name="_Toc10168"/>
      <w:r>
        <w:rPr>
          <w:rFonts w:hint="eastAsia"/>
          <w:color w:val="auto"/>
          <w:lang w:val="en-US" w:eastAsia="zh-CN"/>
        </w:rPr>
        <w:t>1.4.5 建设项目技术资料</w:t>
      </w:r>
      <w:bookmarkEnd w:id="53"/>
      <w:bookmarkEnd w:id="54"/>
    </w:p>
    <w:p w14:paraId="6225CF1F">
      <w:pPr>
        <w:bidi w:val="0"/>
        <w:rPr>
          <w:rFonts w:hint="eastAsia"/>
          <w:color w:val="auto"/>
        </w:rPr>
      </w:pPr>
      <w:r>
        <w:rPr>
          <w:rFonts w:hint="eastAsia"/>
          <w:color w:val="auto"/>
        </w:rPr>
        <w:t>《岿美山</w:t>
      </w:r>
      <w:r>
        <w:rPr>
          <w:rFonts w:hint="eastAsia"/>
          <w:color w:val="auto"/>
          <w:lang w:val="en-US" w:eastAsia="zh-CN"/>
        </w:rPr>
        <w:t>钨矿</w:t>
      </w:r>
      <w:r>
        <w:rPr>
          <w:rFonts w:hint="eastAsia"/>
          <w:color w:val="auto"/>
        </w:rPr>
        <w:t>尾矿库</w:t>
      </w:r>
      <w:r>
        <w:rPr>
          <w:rFonts w:hint="eastAsia"/>
          <w:color w:val="auto"/>
          <w:lang w:val="en-US" w:eastAsia="zh-CN"/>
        </w:rPr>
        <w:t>隐患综合治理工程可行性研究</w:t>
      </w:r>
      <w:r>
        <w:rPr>
          <w:rFonts w:hint="eastAsia"/>
          <w:color w:val="auto"/>
        </w:rPr>
        <w:t>》</w:t>
      </w:r>
      <w:r>
        <w:rPr>
          <w:color w:val="auto"/>
        </w:rPr>
        <w:t>（</w:t>
      </w:r>
      <w:r>
        <w:rPr>
          <w:rFonts w:hint="eastAsia"/>
          <w:color w:val="auto"/>
          <w:lang w:val="en-US" w:eastAsia="zh-CN"/>
        </w:rPr>
        <w:t>中国瑞林工程技术有限公司</w:t>
      </w:r>
      <w:r>
        <w:rPr>
          <w:rFonts w:hint="eastAsia"/>
          <w:color w:val="auto"/>
          <w:lang w:eastAsia="zh-CN"/>
        </w:rPr>
        <w:t>，</w:t>
      </w:r>
      <w:r>
        <w:rPr>
          <w:color w:val="auto"/>
        </w:rPr>
        <w:t>20</w:t>
      </w:r>
      <w:r>
        <w:rPr>
          <w:rFonts w:hint="eastAsia"/>
          <w:color w:val="auto"/>
          <w:lang w:val="en-US" w:eastAsia="zh-CN"/>
        </w:rPr>
        <w:t>09</w:t>
      </w:r>
      <w:r>
        <w:rPr>
          <w:rFonts w:hint="eastAsia"/>
          <w:color w:val="auto"/>
          <w:lang w:eastAsia="zh-CN"/>
        </w:rPr>
        <w:t>年</w:t>
      </w:r>
      <w:r>
        <w:rPr>
          <w:rFonts w:hint="eastAsia"/>
          <w:color w:val="auto"/>
          <w:lang w:val="en-US" w:eastAsia="zh-CN"/>
        </w:rPr>
        <w:t>9</w:t>
      </w:r>
      <w:r>
        <w:rPr>
          <w:rFonts w:hint="eastAsia"/>
          <w:color w:val="auto"/>
          <w:lang w:eastAsia="zh-CN"/>
        </w:rPr>
        <w:t>月</w:t>
      </w:r>
      <w:r>
        <w:rPr>
          <w:color w:val="auto"/>
        </w:rPr>
        <w:t>）</w:t>
      </w:r>
    </w:p>
    <w:p w14:paraId="362671A5">
      <w:pPr>
        <w:bidi w:val="0"/>
        <w:rPr>
          <w:color w:val="auto"/>
        </w:rPr>
      </w:pPr>
      <w:r>
        <w:rPr>
          <w:color w:val="auto"/>
        </w:rPr>
        <w:t>《江西省暴雨洪水查算手册》（江西省水文局</w:t>
      </w:r>
      <w:r>
        <w:rPr>
          <w:rFonts w:hint="eastAsia"/>
          <w:color w:val="auto"/>
          <w:lang w:eastAsia="zh-CN"/>
        </w:rPr>
        <w:t>，</w:t>
      </w:r>
      <w:r>
        <w:rPr>
          <w:color w:val="auto"/>
        </w:rPr>
        <w:t>2010</w:t>
      </w:r>
      <w:r>
        <w:rPr>
          <w:rFonts w:hint="eastAsia"/>
          <w:color w:val="auto"/>
          <w:lang w:eastAsia="zh-CN"/>
        </w:rPr>
        <w:t>年</w:t>
      </w:r>
      <w:r>
        <w:rPr>
          <w:color w:val="auto"/>
        </w:rPr>
        <w:t>10</w:t>
      </w:r>
      <w:r>
        <w:rPr>
          <w:rFonts w:hint="eastAsia"/>
          <w:color w:val="auto"/>
          <w:lang w:eastAsia="zh-CN"/>
        </w:rPr>
        <w:t>月</w:t>
      </w:r>
      <w:r>
        <w:rPr>
          <w:color w:val="auto"/>
        </w:rPr>
        <w:t>）</w:t>
      </w:r>
    </w:p>
    <w:p w14:paraId="0962F1D8">
      <w:pPr>
        <w:bidi w:val="0"/>
        <w:rPr>
          <w:rFonts w:hint="eastAsia"/>
          <w:color w:val="auto"/>
        </w:rPr>
      </w:pPr>
      <w:r>
        <w:rPr>
          <w:rFonts w:hint="eastAsia"/>
          <w:color w:val="auto"/>
        </w:rPr>
        <w:t>《江西岿美山钨业有限公司尾矿库隐患综合治理工程初步设计》</w:t>
      </w:r>
      <w:r>
        <w:rPr>
          <w:color w:val="auto"/>
        </w:rPr>
        <w:t>（</w:t>
      </w:r>
      <w:r>
        <w:rPr>
          <w:rFonts w:hint="eastAsia"/>
          <w:color w:val="auto"/>
          <w:lang w:val="en-US" w:eastAsia="zh-CN"/>
        </w:rPr>
        <w:t>长沙有色冶金设计研究院有限公司</w:t>
      </w:r>
      <w:r>
        <w:rPr>
          <w:rFonts w:hint="eastAsia"/>
          <w:color w:val="auto"/>
          <w:lang w:eastAsia="zh-CN"/>
        </w:rPr>
        <w:t>，</w:t>
      </w:r>
      <w:r>
        <w:rPr>
          <w:color w:val="auto"/>
        </w:rPr>
        <w:t>20</w:t>
      </w:r>
      <w:r>
        <w:rPr>
          <w:rFonts w:hint="eastAsia"/>
          <w:color w:val="auto"/>
          <w:lang w:val="en-US" w:eastAsia="zh-CN"/>
        </w:rPr>
        <w:t>11</w:t>
      </w:r>
      <w:r>
        <w:rPr>
          <w:rFonts w:hint="eastAsia"/>
          <w:color w:val="auto"/>
          <w:lang w:eastAsia="zh-CN"/>
        </w:rPr>
        <w:t>年</w:t>
      </w:r>
      <w:r>
        <w:rPr>
          <w:rFonts w:hint="eastAsia"/>
          <w:color w:val="auto"/>
          <w:lang w:val="en-US" w:eastAsia="zh-CN"/>
        </w:rPr>
        <w:t>10</w:t>
      </w:r>
      <w:r>
        <w:rPr>
          <w:rFonts w:hint="eastAsia"/>
          <w:color w:val="auto"/>
          <w:lang w:eastAsia="zh-CN"/>
        </w:rPr>
        <w:t>月</w:t>
      </w:r>
      <w:r>
        <w:rPr>
          <w:color w:val="auto"/>
        </w:rPr>
        <w:t>）</w:t>
      </w:r>
    </w:p>
    <w:p w14:paraId="73430822">
      <w:pPr>
        <w:bidi w:val="0"/>
        <w:rPr>
          <w:color w:val="auto"/>
        </w:rPr>
      </w:pPr>
      <w:r>
        <w:rPr>
          <w:rFonts w:hint="eastAsia"/>
          <w:color w:val="auto"/>
        </w:rPr>
        <w:t>《江西岿美山钨业有限公司尾矿库隐患综合治理工程初步设计安全专篇》</w:t>
      </w:r>
      <w:r>
        <w:rPr>
          <w:color w:val="auto"/>
        </w:rPr>
        <w:t>（</w:t>
      </w:r>
      <w:r>
        <w:rPr>
          <w:rFonts w:hint="eastAsia"/>
          <w:color w:val="auto"/>
          <w:lang w:val="en-US" w:eastAsia="zh-CN"/>
        </w:rPr>
        <w:t>长沙有色冶金设计研究院有限公司</w:t>
      </w:r>
      <w:r>
        <w:rPr>
          <w:rFonts w:hint="eastAsia"/>
          <w:color w:val="auto"/>
          <w:lang w:eastAsia="zh-CN"/>
        </w:rPr>
        <w:t>，</w:t>
      </w:r>
      <w:r>
        <w:rPr>
          <w:color w:val="auto"/>
        </w:rPr>
        <w:t>20</w:t>
      </w:r>
      <w:r>
        <w:rPr>
          <w:rFonts w:hint="eastAsia"/>
          <w:color w:val="auto"/>
          <w:lang w:val="en-US" w:eastAsia="zh-CN"/>
        </w:rPr>
        <w:t>11</w:t>
      </w:r>
      <w:r>
        <w:rPr>
          <w:rFonts w:hint="eastAsia"/>
          <w:color w:val="auto"/>
          <w:lang w:eastAsia="zh-CN"/>
        </w:rPr>
        <w:t>年</w:t>
      </w:r>
      <w:r>
        <w:rPr>
          <w:rFonts w:hint="eastAsia"/>
          <w:color w:val="auto"/>
          <w:lang w:val="en-US" w:eastAsia="zh-CN"/>
        </w:rPr>
        <w:t>10</w:t>
      </w:r>
      <w:r>
        <w:rPr>
          <w:rFonts w:hint="eastAsia"/>
          <w:color w:val="auto"/>
          <w:lang w:eastAsia="zh-CN"/>
        </w:rPr>
        <w:t>月</w:t>
      </w:r>
      <w:r>
        <w:rPr>
          <w:color w:val="auto"/>
        </w:rPr>
        <w:t>）</w:t>
      </w:r>
    </w:p>
    <w:p w14:paraId="39C532EA">
      <w:pPr>
        <w:bidi w:val="0"/>
        <w:rPr>
          <w:rFonts w:hint="eastAsia" w:eastAsia="宋体"/>
          <w:color w:val="auto"/>
          <w:lang w:eastAsia="zh-CN"/>
        </w:rPr>
      </w:pPr>
      <w:r>
        <w:rPr>
          <w:rFonts w:hint="eastAsia"/>
          <w:color w:val="auto"/>
          <w:lang w:eastAsia="zh-CN"/>
        </w:rPr>
        <w:t>《江西岿美山钨业有限公司尾矿库在线监测系统项目设计书》（北京佳尔信息技术有限公司，</w:t>
      </w:r>
      <w:r>
        <w:rPr>
          <w:rFonts w:hint="eastAsia"/>
          <w:color w:val="auto"/>
          <w:lang w:val="en-US" w:eastAsia="zh-CN"/>
        </w:rPr>
        <w:t>2012年3月</w:t>
      </w:r>
      <w:r>
        <w:rPr>
          <w:rFonts w:hint="eastAsia"/>
          <w:color w:val="auto"/>
          <w:lang w:eastAsia="zh-CN"/>
        </w:rPr>
        <w:t>）</w:t>
      </w:r>
    </w:p>
    <w:p w14:paraId="46730CB4">
      <w:pPr>
        <w:bidi w:val="0"/>
        <w:rPr>
          <w:rFonts w:hint="eastAsia"/>
          <w:color w:val="auto"/>
        </w:rPr>
      </w:pPr>
      <w:r>
        <w:rPr>
          <w:rFonts w:hint="eastAsia"/>
          <w:color w:val="auto"/>
        </w:rPr>
        <w:t>《江西岿美山钨业有限公司尾矿库尾矿坝稳定性分析报告》（中国瑞林工程技术股份有限公司，2021年1月）</w:t>
      </w:r>
    </w:p>
    <w:p w14:paraId="4A3A9C40">
      <w:pPr>
        <w:bidi w:val="0"/>
        <w:rPr>
          <w:rFonts w:hint="eastAsia"/>
          <w:color w:val="auto"/>
        </w:rPr>
      </w:pPr>
      <w:r>
        <w:rPr>
          <w:rFonts w:hint="eastAsia"/>
          <w:color w:val="auto"/>
        </w:rPr>
        <w:t>《江西岿美山钨业有限公司尾矿库尾砂回采工程初步设计（报批稿）》（金建工程设计有限公司，2024年3月）；</w:t>
      </w:r>
    </w:p>
    <w:p w14:paraId="1559D434">
      <w:pPr>
        <w:bidi w:val="0"/>
        <w:rPr>
          <w:rFonts w:hint="eastAsia"/>
          <w:color w:val="auto"/>
        </w:rPr>
      </w:pPr>
      <w:r>
        <w:rPr>
          <w:rFonts w:hint="eastAsia"/>
          <w:color w:val="auto"/>
        </w:rPr>
        <w:t>《江西岿美山钨业有限公司尾矿库尾砂回采工程安全设施设计（报批稿）》（金建工程设计有限公司，2024年3月）</w:t>
      </w:r>
    </w:p>
    <w:p w14:paraId="472CC681">
      <w:pPr>
        <w:bidi w:val="0"/>
        <w:rPr>
          <w:rFonts w:hint="eastAsia"/>
          <w:color w:val="auto"/>
          <w:lang w:eastAsia="zh-CN"/>
        </w:rPr>
      </w:pPr>
      <w:r>
        <w:rPr>
          <w:rFonts w:hint="eastAsia"/>
          <w:color w:val="auto"/>
          <w:lang w:eastAsia="zh-CN"/>
        </w:rPr>
        <w:t>《江西岿美山钨业有限公司尾矿库排洪构筑物检测报告》（新余建和检测有限责任公司，</w:t>
      </w:r>
      <w:r>
        <w:rPr>
          <w:rFonts w:hint="eastAsia"/>
          <w:color w:val="auto"/>
          <w:lang w:val="en-US" w:eastAsia="zh-CN"/>
        </w:rPr>
        <w:t>2024年5月</w:t>
      </w:r>
      <w:r>
        <w:rPr>
          <w:rFonts w:hint="eastAsia"/>
          <w:color w:val="auto"/>
          <w:lang w:eastAsia="zh-CN"/>
        </w:rPr>
        <w:t>）</w:t>
      </w:r>
    </w:p>
    <w:p w14:paraId="033C76A0">
      <w:pPr>
        <w:bidi w:val="0"/>
        <w:rPr>
          <w:rFonts w:hint="eastAsia"/>
          <w:color w:val="auto"/>
          <w:lang w:eastAsia="zh-CN"/>
        </w:rPr>
      </w:pPr>
      <w:r>
        <w:rPr>
          <w:rFonts w:hint="eastAsia"/>
          <w:color w:val="auto"/>
          <w:lang w:eastAsia="zh-CN"/>
        </w:rPr>
        <w:t>《江西岿美山钨业有限公司尾矿库调洪演算报告（2026年度）》（金建工程设计有限公司，2026年6月）</w:t>
      </w:r>
    </w:p>
    <w:p w14:paraId="05A822E4">
      <w:pPr>
        <w:bidi w:val="0"/>
        <w:rPr>
          <w:rFonts w:hint="eastAsia"/>
          <w:color w:val="auto"/>
          <w:lang w:eastAsia="zh-CN"/>
        </w:rPr>
      </w:pPr>
      <w:r>
        <w:rPr>
          <w:rFonts w:hint="eastAsia"/>
          <w:color w:val="auto"/>
          <w:lang w:eastAsia="zh-CN"/>
        </w:rPr>
        <w:t>《江西岿美山钨业有限公司岿美山尾矿库隐蔽致灾因素普查报告》（赣州有色冶金研究所有限公司、陕西众海同舟科技有限公司、江西岿美山钨业有限公司</w:t>
      </w:r>
      <w:r>
        <w:rPr>
          <w:rFonts w:hint="eastAsia"/>
          <w:strike w:val="0"/>
          <w:dstrike w:val="0"/>
          <w:color w:val="auto"/>
          <w:lang w:eastAsia="zh-CN"/>
        </w:rPr>
        <w:t>，202</w:t>
      </w:r>
      <w:r>
        <w:rPr>
          <w:rFonts w:hint="eastAsia"/>
          <w:strike w:val="0"/>
          <w:dstrike w:val="0"/>
          <w:color w:val="auto"/>
          <w:lang w:val="en-US" w:eastAsia="zh-CN"/>
        </w:rPr>
        <w:t>6</w:t>
      </w:r>
      <w:r>
        <w:rPr>
          <w:rFonts w:hint="eastAsia"/>
          <w:strike w:val="0"/>
          <w:dstrike w:val="0"/>
          <w:color w:val="auto"/>
          <w:lang w:eastAsia="zh-CN"/>
        </w:rPr>
        <w:t>年</w:t>
      </w:r>
      <w:r>
        <w:rPr>
          <w:rFonts w:hint="eastAsia"/>
          <w:strike w:val="0"/>
          <w:dstrike w:val="0"/>
          <w:color w:val="auto"/>
          <w:lang w:val="en-US" w:eastAsia="zh-CN"/>
        </w:rPr>
        <w:t>6</w:t>
      </w:r>
      <w:r>
        <w:rPr>
          <w:rFonts w:hint="eastAsia"/>
          <w:strike w:val="0"/>
          <w:dstrike w:val="0"/>
          <w:color w:val="auto"/>
          <w:lang w:eastAsia="zh-CN"/>
        </w:rPr>
        <w:t>月）</w:t>
      </w:r>
    </w:p>
    <w:p w14:paraId="26B71B28">
      <w:pPr>
        <w:bidi w:val="0"/>
        <w:rPr>
          <w:rFonts w:hint="eastAsia"/>
          <w:strike w:val="0"/>
          <w:dstrike w:val="0"/>
          <w:color w:val="auto"/>
          <w:lang w:eastAsia="zh-CN"/>
        </w:rPr>
      </w:pPr>
      <w:r>
        <w:rPr>
          <w:rFonts w:hint="eastAsia"/>
          <w:strike w:val="0"/>
          <w:dstrike w:val="0"/>
          <w:color w:val="auto"/>
          <w:lang w:eastAsia="zh-CN"/>
        </w:rPr>
        <w:t>《江西岿美山钨业有限公司尾矿库闭库工程（水文）地质勘察报告（详细勘察）》（江西省勘察设计研究院有限公司，202</w:t>
      </w:r>
      <w:r>
        <w:rPr>
          <w:rFonts w:hint="eastAsia"/>
          <w:strike w:val="0"/>
          <w:dstrike w:val="0"/>
          <w:color w:val="auto"/>
          <w:lang w:val="en-US" w:eastAsia="zh-CN"/>
        </w:rPr>
        <w:t>6</w:t>
      </w:r>
      <w:r>
        <w:rPr>
          <w:rFonts w:hint="eastAsia"/>
          <w:strike w:val="0"/>
          <w:dstrike w:val="0"/>
          <w:color w:val="auto"/>
          <w:lang w:eastAsia="zh-CN"/>
        </w:rPr>
        <w:t>年</w:t>
      </w:r>
      <w:r>
        <w:rPr>
          <w:rFonts w:hint="eastAsia"/>
          <w:strike w:val="0"/>
          <w:dstrike w:val="0"/>
          <w:color w:val="auto"/>
          <w:lang w:val="en-US" w:eastAsia="zh-CN"/>
        </w:rPr>
        <w:t>7</w:t>
      </w:r>
      <w:r>
        <w:rPr>
          <w:rFonts w:hint="eastAsia"/>
          <w:strike w:val="0"/>
          <w:dstrike w:val="0"/>
          <w:color w:val="auto"/>
          <w:lang w:eastAsia="zh-CN"/>
        </w:rPr>
        <w:t>月）</w:t>
      </w:r>
    </w:p>
    <w:p w14:paraId="569D98CD">
      <w:pPr>
        <w:bidi w:val="0"/>
        <w:rPr>
          <w:rFonts w:hint="default"/>
          <w:strike w:val="0"/>
          <w:dstrike w:val="0"/>
          <w:color w:val="auto"/>
          <w:lang w:val="en-US" w:eastAsia="zh-CN"/>
        </w:rPr>
      </w:pPr>
      <w:r>
        <w:rPr>
          <w:rFonts w:hint="eastAsia"/>
          <w:color w:val="auto"/>
          <w:lang w:val="en-US" w:eastAsia="zh-CN"/>
        </w:rPr>
        <w:t>《江西岿美山钨业有限公司尾矿库闭库工程可行性研究报告》（金建工程设计有限公司，</w:t>
      </w:r>
      <w:r>
        <w:rPr>
          <w:rFonts w:hint="eastAsia"/>
          <w:strike w:val="0"/>
          <w:dstrike w:val="0"/>
          <w:color w:val="auto"/>
          <w:lang w:eastAsia="zh-CN"/>
        </w:rPr>
        <w:t>202</w:t>
      </w:r>
      <w:r>
        <w:rPr>
          <w:rFonts w:hint="eastAsia"/>
          <w:strike w:val="0"/>
          <w:dstrike w:val="0"/>
          <w:color w:val="auto"/>
          <w:lang w:val="en-US" w:eastAsia="zh-CN"/>
        </w:rPr>
        <w:t>6</w:t>
      </w:r>
      <w:r>
        <w:rPr>
          <w:rFonts w:hint="eastAsia"/>
          <w:strike w:val="0"/>
          <w:dstrike w:val="0"/>
          <w:color w:val="auto"/>
          <w:lang w:eastAsia="zh-CN"/>
        </w:rPr>
        <w:t>年</w:t>
      </w:r>
      <w:r>
        <w:rPr>
          <w:rFonts w:hint="eastAsia"/>
          <w:strike w:val="0"/>
          <w:dstrike w:val="0"/>
          <w:color w:val="auto"/>
          <w:lang w:val="en-US" w:eastAsia="zh-CN"/>
        </w:rPr>
        <w:t>8</w:t>
      </w:r>
      <w:r>
        <w:rPr>
          <w:rFonts w:hint="eastAsia"/>
          <w:strike w:val="0"/>
          <w:dstrike w:val="0"/>
          <w:color w:val="auto"/>
          <w:lang w:eastAsia="zh-CN"/>
        </w:rPr>
        <w:t>月</w:t>
      </w:r>
      <w:r>
        <w:rPr>
          <w:rFonts w:hint="eastAsia"/>
          <w:color w:val="auto"/>
          <w:lang w:val="en-US" w:eastAsia="zh-CN"/>
        </w:rPr>
        <w:t>）</w:t>
      </w:r>
    </w:p>
    <w:p w14:paraId="65F1E78C">
      <w:pPr>
        <w:pStyle w:val="4"/>
        <w:bidi w:val="0"/>
        <w:rPr>
          <w:rFonts w:hint="default"/>
          <w:color w:val="auto"/>
          <w:lang w:val="en-US" w:eastAsia="zh-CN"/>
        </w:rPr>
      </w:pPr>
      <w:bookmarkStart w:id="55" w:name="_Toc30810"/>
      <w:bookmarkStart w:id="56" w:name="_Toc15930"/>
      <w:bookmarkStart w:id="57" w:name="_Toc22569"/>
      <w:bookmarkStart w:id="58" w:name="_Toc25440"/>
      <w:bookmarkStart w:id="59" w:name="_Toc12549"/>
      <w:bookmarkStart w:id="60" w:name="_Toc31467"/>
      <w:bookmarkStart w:id="61" w:name="_Toc27225"/>
      <w:r>
        <w:rPr>
          <w:rFonts w:hint="default"/>
          <w:color w:val="auto"/>
          <w:lang w:val="en-US" w:eastAsia="zh-CN"/>
        </w:rPr>
        <w:t>1.</w:t>
      </w:r>
      <w:r>
        <w:rPr>
          <w:rFonts w:hint="eastAsia"/>
          <w:color w:val="auto"/>
          <w:lang w:val="en-US" w:eastAsia="zh-CN"/>
        </w:rPr>
        <w:t>4</w:t>
      </w:r>
      <w:r>
        <w:rPr>
          <w:rFonts w:hint="default"/>
          <w:color w:val="auto"/>
          <w:lang w:val="en-US" w:eastAsia="zh-CN"/>
        </w:rPr>
        <w:t>.</w:t>
      </w:r>
      <w:r>
        <w:rPr>
          <w:rFonts w:hint="eastAsia"/>
          <w:color w:val="auto"/>
          <w:lang w:val="en-US" w:eastAsia="zh-CN"/>
        </w:rPr>
        <w:t xml:space="preserve">6 </w:t>
      </w:r>
      <w:r>
        <w:rPr>
          <w:rFonts w:hint="default"/>
          <w:color w:val="auto"/>
          <w:lang w:val="en-US" w:eastAsia="zh-CN"/>
        </w:rPr>
        <w:t>其他评价依据</w:t>
      </w:r>
      <w:bookmarkEnd w:id="55"/>
      <w:bookmarkEnd w:id="56"/>
      <w:bookmarkEnd w:id="57"/>
      <w:bookmarkEnd w:id="58"/>
      <w:bookmarkEnd w:id="59"/>
      <w:bookmarkEnd w:id="60"/>
      <w:bookmarkEnd w:id="61"/>
    </w:p>
    <w:p w14:paraId="1E1B42EF">
      <w:pPr>
        <w:rPr>
          <w:rFonts w:hint="eastAsia"/>
          <w:color w:val="auto"/>
          <w:sz w:val="28"/>
          <w:szCs w:val="28"/>
          <w:lang w:eastAsia="zh-CN"/>
        </w:rPr>
      </w:pPr>
      <w:r>
        <w:rPr>
          <w:rFonts w:hint="eastAsia"/>
          <w:color w:val="auto"/>
          <w:sz w:val="28"/>
          <w:szCs w:val="28"/>
          <w:lang w:eastAsia="zh-CN"/>
        </w:rPr>
        <w:t>《江西岿美山钨业有限公司尾矿库闭库前安全现状评价合同书》</w:t>
      </w:r>
    </w:p>
    <w:p w14:paraId="692F52C7">
      <w:pPr>
        <w:rPr>
          <w:rFonts w:hint="eastAsia"/>
          <w:strike w:val="0"/>
          <w:dstrike w:val="0"/>
          <w:color w:val="auto"/>
          <w:sz w:val="28"/>
          <w:szCs w:val="28"/>
          <w:lang w:eastAsia="zh-CN"/>
        </w:rPr>
      </w:pPr>
      <w:r>
        <w:rPr>
          <w:rFonts w:hint="eastAsia"/>
          <w:strike w:val="0"/>
          <w:dstrike w:val="0"/>
          <w:color w:val="auto"/>
          <w:sz w:val="28"/>
          <w:szCs w:val="28"/>
          <w:lang w:eastAsia="zh-CN"/>
        </w:rPr>
        <w:t>《尾矿库库区现状地形图》</w:t>
      </w:r>
    </w:p>
    <w:p w14:paraId="2F4D7170">
      <w:pPr>
        <w:pStyle w:val="3"/>
        <w:bidi w:val="0"/>
        <w:rPr>
          <w:rFonts w:hint="default"/>
          <w:color w:val="auto"/>
          <w:lang w:val="en-US" w:eastAsia="zh-CN"/>
        </w:rPr>
      </w:pPr>
      <w:bookmarkStart w:id="62" w:name="_Toc14006"/>
      <w:bookmarkStart w:id="63" w:name="_Toc23390"/>
      <w:bookmarkStart w:id="64" w:name="_Toc16207"/>
      <w:bookmarkStart w:id="65" w:name="_Toc22857"/>
      <w:bookmarkStart w:id="66" w:name="_Toc17839"/>
      <w:r>
        <w:rPr>
          <w:rFonts w:hint="eastAsia"/>
          <w:color w:val="auto"/>
          <w:lang w:val="en-US" w:eastAsia="zh-CN"/>
        </w:rPr>
        <w:t>1.5 评价程序</w:t>
      </w:r>
      <w:bookmarkEnd w:id="62"/>
      <w:bookmarkEnd w:id="63"/>
      <w:bookmarkEnd w:id="64"/>
      <w:bookmarkEnd w:id="65"/>
      <w:bookmarkEnd w:id="66"/>
    </w:p>
    <w:p w14:paraId="6D9D4004">
      <w:pPr>
        <w:rPr>
          <w:rFonts w:hint="eastAsia"/>
          <w:color w:val="auto"/>
        </w:rPr>
      </w:pPr>
      <w:r>
        <w:rPr>
          <w:rFonts w:hint="eastAsia"/>
          <w:color w:val="auto"/>
        </w:rPr>
        <w:t>安全评价程序包括：前期准备；辨识与分析危险、有害因素；划分评价单元；选择评价方法；定性、定量评价；提出安全对策措施建议；做出评价结论；编制安全评价报告。</w:t>
      </w:r>
    </w:p>
    <w:p w14:paraId="7AAEA080">
      <w:pPr>
        <w:rPr>
          <w:rFonts w:hint="eastAsia"/>
          <w:b/>
          <w:bCs/>
          <w:color w:val="auto"/>
        </w:rPr>
      </w:pPr>
      <w:r>
        <w:rPr>
          <w:rFonts w:hint="eastAsia"/>
          <w:b/>
          <w:bCs/>
          <w:color w:val="auto"/>
        </w:rPr>
        <w:t>1.</w:t>
      </w:r>
      <w:r>
        <w:rPr>
          <w:rFonts w:hint="eastAsia"/>
          <w:b/>
          <w:bCs/>
          <w:color w:val="auto"/>
          <w:lang w:val="en-US" w:eastAsia="zh-CN"/>
        </w:rPr>
        <w:t xml:space="preserve"> </w:t>
      </w:r>
      <w:r>
        <w:rPr>
          <w:rFonts w:hint="eastAsia"/>
          <w:b/>
          <w:bCs/>
          <w:color w:val="auto"/>
        </w:rPr>
        <w:t>前期准备</w:t>
      </w:r>
    </w:p>
    <w:p w14:paraId="3B821501">
      <w:pPr>
        <w:rPr>
          <w:rFonts w:hint="eastAsia"/>
          <w:color w:val="auto"/>
        </w:rPr>
      </w:pPr>
      <w:r>
        <w:rPr>
          <w:rFonts w:hint="eastAsia"/>
          <w:color w:val="auto"/>
        </w:rPr>
        <w:t>明确被评价对象，备齐有关安全评价所需的设备、工具，收集国内外相关法律、法规、技术标准及建设项目资料。</w:t>
      </w:r>
    </w:p>
    <w:p w14:paraId="52E79EE3">
      <w:pPr>
        <w:rPr>
          <w:rFonts w:hint="eastAsia"/>
          <w:b/>
          <w:bCs/>
          <w:color w:val="auto"/>
        </w:rPr>
      </w:pPr>
      <w:r>
        <w:rPr>
          <w:rFonts w:hint="eastAsia"/>
          <w:b/>
          <w:bCs/>
          <w:color w:val="auto"/>
        </w:rPr>
        <w:t>2.</w:t>
      </w:r>
      <w:r>
        <w:rPr>
          <w:rFonts w:hint="eastAsia"/>
          <w:b/>
          <w:bCs/>
          <w:color w:val="auto"/>
          <w:lang w:val="en-US" w:eastAsia="zh-CN"/>
        </w:rPr>
        <w:t xml:space="preserve"> </w:t>
      </w:r>
      <w:r>
        <w:rPr>
          <w:rFonts w:hint="eastAsia"/>
          <w:b/>
          <w:bCs/>
          <w:color w:val="auto"/>
        </w:rPr>
        <w:t>辨识与分析危险、有害因素</w:t>
      </w:r>
    </w:p>
    <w:p w14:paraId="74521379">
      <w:pPr>
        <w:rPr>
          <w:rFonts w:hint="eastAsia"/>
          <w:color w:val="auto"/>
        </w:rPr>
      </w:pPr>
      <w:r>
        <w:rPr>
          <w:rFonts w:hint="eastAsia"/>
          <w:color w:val="auto"/>
        </w:rPr>
        <w:t>根据评价对象的具体情况，辨识和分析危险、有害因素，确定其存在的部位、方式，以及发生作用的途径和变化规律。</w:t>
      </w:r>
    </w:p>
    <w:p w14:paraId="781AD987">
      <w:pPr>
        <w:rPr>
          <w:rFonts w:hint="eastAsia"/>
          <w:b/>
          <w:bCs/>
          <w:color w:val="auto"/>
        </w:rPr>
      </w:pPr>
      <w:r>
        <w:rPr>
          <w:rFonts w:hint="eastAsia"/>
          <w:b/>
          <w:bCs/>
          <w:color w:val="auto"/>
        </w:rPr>
        <w:t>3.</w:t>
      </w:r>
      <w:r>
        <w:rPr>
          <w:rFonts w:hint="eastAsia"/>
          <w:b/>
          <w:bCs/>
          <w:color w:val="auto"/>
          <w:lang w:val="en-US" w:eastAsia="zh-CN"/>
        </w:rPr>
        <w:t xml:space="preserve"> </w:t>
      </w:r>
      <w:r>
        <w:rPr>
          <w:rFonts w:hint="eastAsia"/>
          <w:b/>
          <w:bCs/>
          <w:color w:val="auto"/>
        </w:rPr>
        <w:t>划分评价单元</w:t>
      </w:r>
    </w:p>
    <w:p w14:paraId="5287C3C1">
      <w:pPr>
        <w:rPr>
          <w:rFonts w:hint="eastAsia"/>
          <w:color w:val="auto"/>
        </w:rPr>
      </w:pPr>
      <w:r>
        <w:rPr>
          <w:rFonts w:hint="eastAsia"/>
          <w:color w:val="auto"/>
        </w:rPr>
        <w:t>评价单元划分应科学、合理，便于实施评价，相对独立且具有明显的特征界限。</w:t>
      </w:r>
    </w:p>
    <w:p w14:paraId="4E6037D8">
      <w:pPr>
        <w:rPr>
          <w:rFonts w:hint="eastAsia"/>
          <w:b/>
          <w:bCs/>
          <w:color w:val="auto"/>
        </w:rPr>
      </w:pPr>
      <w:r>
        <w:rPr>
          <w:rFonts w:hint="eastAsia"/>
          <w:b/>
          <w:bCs/>
          <w:color w:val="auto"/>
        </w:rPr>
        <w:t>4.</w:t>
      </w:r>
      <w:r>
        <w:rPr>
          <w:rFonts w:hint="eastAsia"/>
          <w:b/>
          <w:bCs/>
          <w:color w:val="auto"/>
          <w:lang w:val="en-US" w:eastAsia="zh-CN"/>
        </w:rPr>
        <w:t xml:space="preserve"> </w:t>
      </w:r>
      <w:r>
        <w:rPr>
          <w:rFonts w:hint="eastAsia"/>
          <w:b/>
          <w:bCs/>
          <w:color w:val="auto"/>
        </w:rPr>
        <w:t>选择评价方法</w:t>
      </w:r>
    </w:p>
    <w:p w14:paraId="6E77EF6A">
      <w:pPr>
        <w:rPr>
          <w:rFonts w:hint="eastAsia"/>
          <w:color w:val="auto"/>
        </w:rPr>
      </w:pPr>
      <w:r>
        <w:rPr>
          <w:rFonts w:hint="eastAsia"/>
          <w:color w:val="auto"/>
        </w:rPr>
        <w:t>根据被评价对象特点，选择科学、合理、适用的定性、定量评价方法。</w:t>
      </w:r>
    </w:p>
    <w:p w14:paraId="0E7C5A19">
      <w:pPr>
        <w:rPr>
          <w:rFonts w:hint="eastAsia"/>
          <w:b/>
          <w:bCs/>
          <w:color w:val="auto"/>
        </w:rPr>
      </w:pPr>
      <w:r>
        <w:rPr>
          <w:rFonts w:hint="eastAsia"/>
          <w:b/>
          <w:bCs/>
          <w:color w:val="auto"/>
        </w:rPr>
        <w:t>5.</w:t>
      </w:r>
      <w:r>
        <w:rPr>
          <w:rFonts w:hint="eastAsia"/>
          <w:b/>
          <w:bCs/>
          <w:color w:val="auto"/>
          <w:lang w:val="en-US" w:eastAsia="zh-CN"/>
        </w:rPr>
        <w:t xml:space="preserve"> </w:t>
      </w:r>
      <w:r>
        <w:rPr>
          <w:rFonts w:hint="eastAsia"/>
          <w:b/>
          <w:bCs/>
          <w:color w:val="auto"/>
        </w:rPr>
        <w:t>定性、定量评价</w:t>
      </w:r>
    </w:p>
    <w:p w14:paraId="1491CA80">
      <w:pPr>
        <w:rPr>
          <w:rFonts w:hint="eastAsia"/>
          <w:color w:val="auto"/>
        </w:rPr>
      </w:pPr>
      <w:r>
        <w:rPr>
          <w:rFonts w:hint="eastAsia"/>
          <w:color w:val="auto"/>
        </w:rPr>
        <w:t>根据评价单元的特性，选择合理的评价方法，对评价对象发生事故的可能性及其严重程度进行定性、定量评价。</w:t>
      </w:r>
    </w:p>
    <w:p w14:paraId="5EF9A830">
      <w:pPr>
        <w:rPr>
          <w:rFonts w:hint="eastAsia"/>
          <w:b/>
          <w:bCs/>
          <w:color w:val="auto"/>
        </w:rPr>
      </w:pPr>
      <w:r>
        <w:rPr>
          <w:rFonts w:hint="eastAsia"/>
          <w:b/>
          <w:bCs/>
          <w:color w:val="auto"/>
        </w:rPr>
        <w:t>6.</w:t>
      </w:r>
      <w:r>
        <w:rPr>
          <w:rFonts w:hint="eastAsia"/>
          <w:b/>
          <w:bCs/>
          <w:color w:val="auto"/>
          <w:lang w:val="en-US" w:eastAsia="zh-CN"/>
        </w:rPr>
        <w:t xml:space="preserve"> </w:t>
      </w:r>
      <w:r>
        <w:rPr>
          <w:rFonts w:hint="eastAsia"/>
          <w:b/>
          <w:bCs/>
          <w:color w:val="auto"/>
        </w:rPr>
        <w:t>对策措施建议</w:t>
      </w:r>
    </w:p>
    <w:p w14:paraId="28FB6AC2">
      <w:pPr>
        <w:rPr>
          <w:rFonts w:hint="eastAsia"/>
          <w:color w:val="auto"/>
        </w:rPr>
      </w:pPr>
      <w:r>
        <w:rPr>
          <w:rFonts w:hint="eastAsia"/>
          <w:color w:val="auto"/>
        </w:rPr>
        <w:t>（1）根据危险、有害因素辨识结果与定性、定量评价结果，遵循针对性、技术可行性、经济合理性的原则，提出消除或减弱危险、危害的技术和管理对策措施建议。</w:t>
      </w:r>
    </w:p>
    <w:p w14:paraId="352D7B1E">
      <w:pPr>
        <w:rPr>
          <w:rFonts w:hint="eastAsia"/>
          <w:color w:val="auto"/>
        </w:rPr>
      </w:pPr>
      <w:r>
        <w:rPr>
          <w:rFonts w:hint="eastAsia"/>
          <w:color w:val="auto"/>
        </w:rPr>
        <w:t>（2）对策措施建议应具体祥实、具有可操作性。按照针对性和重要性的不同，措施和建议可分为应采纳和宜采纳两种类型。</w:t>
      </w:r>
    </w:p>
    <w:p w14:paraId="12E90C1F">
      <w:pPr>
        <w:rPr>
          <w:rFonts w:hint="eastAsia"/>
          <w:b/>
          <w:bCs/>
          <w:color w:val="auto"/>
        </w:rPr>
      </w:pPr>
      <w:r>
        <w:rPr>
          <w:rFonts w:hint="eastAsia"/>
          <w:b/>
          <w:bCs/>
          <w:color w:val="auto"/>
        </w:rPr>
        <w:t>7. 安全评价结论</w:t>
      </w:r>
    </w:p>
    <w:p w14:paraId="59BACFE6">
      <w:pPr>
        <w:rPr>
          <w:rFonts w:hint="eastAsia"/>
          <w:color w:val="auto"/>
        </w:rPr>
      </w:pPr>
      <w:r>
        <w:rPr>
          <w:rFonts w:hint="eastAsia"/>
          <w:color w:val="auto"/>
        </w:rPr>
        <w:t>（1）安全评价机构应根据客观、公正、真实的原则，严谨、明确地做出安全评价结论。</w:t>
      </w:r>
    </w:p>
    <w:p w14:paraId="6BB0298C">
      <w:pPr>
        <w:rPr>
          <w:rFonts w:hint="eastAsia"/>
          <w:color w:val="auto"/>
        </w:rPr>
      </w:pPr>
      <w:r>
        <w:rPr>
          <w:rFonts w:hint="eastAsia"/>
          <w:color w:val="auto"/>
        </w:rPr>
        <w:t>（2）安全评价结论的内容应包括高度概括评价结果，从风险管理角度给出评价对象在评价时与国家有关安全生产的法律法规、标准、规章、规范的符合性结论，给出事故发生的可能性和严重程度的预测性结论，以及采取安全对策措施后的安全状态等。</w:t>
      </w:r>
    </w:p>
    <w:p w14:paraId="542980E0">
      <w:pPr>
        <w:rPr>
          <w:rFonts w:hint="eastAsia"/>
          <w:b/>
          <w:bCs/>
          <w:color w:val="auto"/>
        </w:rPr>
      </w:pPr>
      <w:r>
        <w:rPr>
          <w:rFonts w:hint="eastAsia"/>
          <w:b/>
          <w:bCs/>
          <w:color w:val="auto"/>
        </w:rPr>
        <w:t>8. 编制安全评价报告</w:t>
      </w:r>
    </w:p>
    <w:p w14:paraId="7580D319">
      <w:pPr>
        <w:rPr>
          <w:rFonts w:hint="eastAsia"/>
          <w:color w:val="auto"/>
        </w:rPr>
      </w:pPr>
      <w:r>
        <w:rPr>
          <w:rFonts w:hint="eastAsia"/>
          <w:color w:val="auto"/>
        </w:rPr>
        <w:t>安全现状评价程序框图1.5-1：</w:t>
      </w:r>
    </w:p>
    <w:p w14:paraId="5F14439D">
      <w:pPr>
        <w:ind w:left="0" w:leftChars="0" w:firstLine="0" w:firstLineChars="0"/>
        <w:jc w:val="center"/>
        <w:rPr>
          <w:rFonts w:ascii="Times New Roman" w:hAnsi="Times New Roman" w:eastAsia="宋体" w:cs="Times New Roman"/>
          <w:color w:val="auto"/>
          <w:sz w:val="28"/>
        </w:rPr>
      </w:pPr>
      <w:r>
        <w:rPr>
          <w:rFonts w:ascii="Times New Roman" w:hAnsi="Times New Roman" w:eastAsia="宋体" w:cs="Times New Roman"/>
          <w:color w:val="auto"/>
          <w:sz w:val="28"/>
        </w:rPr>
        <mc:AlternateContent>
          <mc:Choice Requires="wpg">
            <w:drawing>
              <wp:inline distT="0" distB="0" distL="114300" distR="114300">
                <wp:extent cx="3009900" cy="5445760"/>
                <wp:effectExtent l="4445" t="4445" r="14605" b="17145"/>
                <wp:docPr id="40" name="组合 40"/>
                <wp:cNvGraphicFramePr/>
                <a:graphic xmlns:a="http://schemas.openxmlformats.org/drawingml/2006/main">
                  <a:graphicData uri="http://schemas.microsoft.com/office/word/2010/wordprocessingGroup">
                    <wpg:wgp>
                      <wpg:cNvGrpSpPr/>
                      <wpg:grpSpPr>
                        <a:xfrm>
                          <a:off x="2322830" y="1118235"/>
                          <a:ext cx="3009900" cy="5445760"/>
                          <a:chOff x="4464" y="310180"/>
                          <a:chExt cx="4740" cy="8576"/>
                        </a:xfrm>
                        <a:effectLst/>
                      </wpg:grpSpPr>
                      <wps:wsp>
                        <wps:cNvPr id="24" name="文本框 1"/>
                        <wps:cNvSpPr txBox="1"/>
                        <wps:spPr>
                          <a:xfrm>
                            <a:off x="4474" y="310180"/>
                            <a:ext cx="4730" cy="41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80F8611">
                              <w:pPr>
                                <w:keepNext w:val="0"/>
                                <w:keepLines w:val="0"/>
                                <w:pageBreakBefore w:val="0"/>
                                <w:widowControl w:val="0"/>
                                <w:kinsoku/>
                                <w:wordWrap/>
                                <w:overflowPunct/>
                                <w:topLinePunct w:val="0"/>
                                <w:bidi w:val="0"/>
                                <w:adjustRightInd/>
                                <w:snapToGrid/>
                                <w:spacing w:line="240" w:lineRule="auto"/>
                                <w:ind w:left="0" w:leftChars="0" w:firstLine="0" w:firstLineChars="0"/>
                                <w:jc w:val="center"/>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前期准备</w:t>
                              </w:r>
                            </w:p>
                          </w:txbxContent>
                        </wps:txbx>
                        <wps:bodyPr wrap="square" upright="1"/>
                      </wps:wsp>
                      <wps:wsp>
                        <wps:cNvPr id="25" name="文本框 2"/>
                        <wps:cNvSpPr txBox="1"/>
                        <wps:spPr>
                          <a:xfrm>
                            <a:off x="4474" y="311303"/>
                            <a:ext cx="4705" cy="411"/>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5026F93">
                              <w:pPr>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辩识与分析危险、有害因素</w:t>
                              </w:r>
                            </w:p>
                          </w:txbxContent>
                        </wps:txbx>
                        <wps:bodyPr wrap="square" upright="1"/>
                      </wps:wsp>
                      <wps:wsp>
                        <wps:cNvPr id="26" name="文本框 3"/>
                        <wps:cNvSpPr txBox="1"/>
                        <wps:spPr>
                          <a:xfrm>
                            <a:off x="4474" y="312532"/>
                            <a:ext cx="4688" cy="41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67DD047">
                              <w:pPr>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划分评价单元</w:t>
                              </w:r>
                            </w:p>
                          </w:txbxContent>
                        </wps:txbx>
                        <wps:bodyPr wrap="square" upright="1"/>
                      </wps:wsp>
                      <wps:wsp>
                        <wps:cNvPr id="27" name="文本框 4"/>
                        <wps:cNvSpPr txBox="1"/>
                        <wps:spPr>
                          <a:xfrm>
                            <a:off x="4474" y="313655"/>
                            <a:ext cx="4688" cy="41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8B2E4A7">
                              <w:pPr>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选择评价方法</w:t>
                              </w:r>
                            </w:p>
                          </w:txbxContent>
                        </wps:txbx>
                        <wps:bodyPr wrap="square" upright="1"/>
                      </wps:wsp>
                      <wps:wsp>
                        <wps:cNvPr id="28" name="文本框 5"/>
                        <wps:cNvSpPr txBox="1"/>
                        <wps:spPr>
                          <a:xfrm>
                            <a:off x="4474" y="314871"/>
                            <a:ext cx="4688" cy="41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BE97D7C">
                              <w:pPr>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定性、定量评价</w:t>
                              </w:r>
                            </w:p>
                          </w:txbxContent>
                        </wps:txbx>
                        <wps:bodyPr wrap="square" upright="1"/>
                      </wps:wsp>
                      <wps:wsp>
                        <wps:cNvPr id="29" name="文本框 6"/>
                        <wps:cNvSpPr txBox="1"/>
                        <wps:spPr>
                          <a:xfrm>
                            <a:off x="4474" y="315994"/>
                            <a:ext cx="4676" cy="411"/>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1480165">
                              <w:pPr>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ascii="Times New Roman" w:hAnsi="Times New Roman" w:eastAsia="宋体" w:cs="Times New Roman"/>
                                </w:rPr>
                              </w:pPr>
                              <w:r>
                                <w:rPr>
                                  <w:rFonts w:hint="eastAsia" w:ascii="Times New Roman" w:hAnsi="Times New Roman" w:eastAsia="宋体" w:cs="Times New Roman"/>
                                  <w:sz w:val="21"/>
                                  <w:szCs w:val="21"/>
                                </w:rPr>
                                <w:t>提出安全对策措施建议</w:t>
                              </w:r>
                            </w:p>
                          </w:txbxContent>
                        </wps:txbx>
                        <wps:bodyPr wrap="square" upright="1"/>
                      </wps:wsp>
                      <wps:wsp>
                        <wps:cNvPr id="30" name="文本框 7"/>
                        <wps:cNvSpPr txBox="1"/>
                        <wps:spPr>
                          <a:xfrm>
                            <a:off x="4474" y="317223"/>
                            <a:ext cx="4688" cy="41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C2FE418">
                              <w:pPr>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做出评价结论</w:t>
                              </w:r>
                            </w:p>
                          </w:txbxContent>
                        </wps:txbx>
                        <wps:bodyPr wrap="square" upright="1"/>
                      </wps:wsp>
                      <wps:wsp>
                        <wps:cNvPr id="31" name="文本框 8"/>
                        <wps:cNvSpPr txBox="1"/>
                        <wps:spPr>
                          <a:xfrm>
                            <a:off x="4464" y="318345"/>
                            <a:ext cx="4681" cy="411"/>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3FA9091">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ascii="Times New Roman" w:hAnsi="Times New Roman" w:eastAsia="宋体" w:cs="Times New Roman"/>
                                </w:rPr>
                              </w:pPr>
                              <w:r>
                                <w:rPr>
                                  <w:rFonts w:hint="eastAsia" w:ascii="Times New Roman" w:hAnsi="Times New Roman" w:eastAsia="宋体" w:cs="Times New Roman"/>
                                  <w:sz w:val="21"/>
                                  <w:szCs w:val="21"/>
                                </w:rPr>
                                <w:t>编制安全现状评价报告</w:t>
                              </w:r>
                            </w:p>
                          </w:txbxContent>
                        </wps:txbx>
                        <wps:bodyPr wrap="square" upright="1"/>
                      </wps:wsp>
                      <wps:wsp>
                        <wps:cNvPr id="32" name="直接连接符 9"/>
                        <wps:cNvCnPr/>
                        <wps:spPr>
                          <a:xfrm>
                            <a:off x="6795" y="310587"/>
                            <a:ext cx="0" cy="714"/>
                          </a:xfrm>
                          <a:prstGeom prst="line">
                            <a:avLst/>
                          </a:prstGeom>
                          <a:ln w="9525" cap="flat" cmpd="sng">
                            <a:solidFill>
                              <a:srgbClr val="000000"/>
                            </a:solidFill>
                            <a:prstDash val="solid"/>
                            <a:headEnd type="none" w="med" len="med"/>
                            <a:tailEnd type="triangle" w="med" len="med"/>
                          </a:ln>
                          <a:effectLst/>
                        </wps:spPr>
                        <wps:bodyPr upright="1"/>
                      </wps:wsp>
                      <wps:wsp>
                        <wps:cNvPr id="33" name="直接连接符 10"/>
                        <wps:cNvCnPr/>
                        <wps:spPr>
                          <a:xfrm>
                            <a:off x="6795" y="311711"/>
                            <a:ext cx="0" cy="819"/>
                          </a:xfrm>
                          <a:prstGeom prst="line">
                            <a:avLst/>
                          </a:prstGeom>
                          <a:ln w="9525" cap="flat" cmpd="sng">
                            <a:solidFill>
                              <a:srgbClr val="000000"/>
                            </a:solidFill>
                            <a:prstDash val="solid"/>
                            <a:headEnd type="none" w="med" len="med"/>
                            <a:tailEnd type="triangle" w="med" len="med"/>
                          </a:ln>
                          <a:effectLst/>
                        </wps:spPr>
                        <wps:bodyPr upright="1"/>
                      </wps:wsp>
                      <wps:wsp>
                        <wps:cNvPr id="34" name="直接连接符 11"/>
                        <wps:cNvCnPr/>
                        <wps:spPr>
                          <a:xfrm>
                            <a:off x="6817" y="312940"/>
                            <a:ext cx="0" cy="714"/>
                          </a:xfrm>
                          <a:prstGeom prst="line">
                            <a:avLst/>
                          </a:prstGeom>
                          <a:ln w="9525" cap="flat" cmpd="sng">
                            <a:solidFill>
                              <a:srgbClr val="000000"/>
                            </a:solidFill>
                            <a:prstDash val="solid"/>
                            <a:headEnd type="none" w="med" len="med"/>
                            <a:tailEnd type="triangle" w="med" len="med"/>
                          </a:ln>
                          <a:effectLst/>
                        </wps:spPr>
                        <wps:bodyPr upright="1"/>
                      </wps:wsp>
                      <wps:wsp>
                        <wps:cNvPr id="35" name="直接连接符 12"/>
                        <wps:cNvCnPr/>
                        <wps:spPr>
                          <a:xfrm>
                            <a:off x="6817" y="314063"/>
                            <a:ext cx="0" cy="806"/>
                          </a:xfrm>
                          <a:prstGeom prst="line">
                            <a:avLst/>
                          </a:prstGeom>
                          <a:ln w="9525" cap="flat" cmpd="sng">
                            <a:solidFill>
                              <a:srgbClr val="000000"/>
                            </a:solidFill>
                            <a:prstDash val="solid"/>
                            <a:headEnd type="none" w="med" len="med"/>
                            <a:tailEnd type="triangle" w="med" len="med"/>
                          </a:ln>
                          <a:effectLst/>
                        </wps:spPr>
                        <wps:bodyPr upright="1"/>
                      </wps:wsp>
                      <wps:wsp>
                        <wps:cNvPr id="36" name="直接连接符 13"/>
                        <wps:cNvCnPr/>
                        <wps:spPr>
                          <a:xfrm>
                            <a:off x="6817" y="315278"/>
                            <a:ext cx="0" cy="714"/>
                          </a:xfrm>
                          <a:prstGeom prst="line">
                            <a:avLst/>
                          </a:prstGeom>
                          <a:ln w="9525" cap="flat" cmpd="sng">
                            <a:solidFill>
                              <a:srgbClr val="000000"/>
                            </a:solidFill>
                            <a:prstDash val="solid"/>
                            <a:headEnd type="none" w="med" len="med"/>
                            <a:tailEnd type="triangle" w="med" len="med"/>
                          </a:ln>
                          <a:effectLst/>
                        </wps:spPr>
                        <wps:bodyPr upright="1"/>
                      </wps:wsp>
                      <wps:wsp>
                        <wps:cNvPr id="37" name="直接连接符 14"/>
                        <wps:cNvCnPr/>
                        <wps:spPr>
                          <a:xfrm>
                            <a:off x="6795" y="316402"/>
                            <a:ext cx="0" cy="819"/>
                          </a:xfrm>
                          <a:prstGeom prst="line">
                            <a:avLst/>
                          </a:prstGeom>
                          <a:ln w="9525" cap="flat" cmpd="sng">
                            <a:solidFill>
                              <a:srgbClr val="000000"/>
                            </a:solidFill>
                            <a:prstDash val="solid"/>
                            <a:headEnd type="none" w="med" len="med"/>
                            <a:tailEnd type="triangle" w="med" len="med"/>
                          </a:ln>
                          <a:effectLst/>
                        </wps:spPr>
                        <wps:bodyPr upright="1"/>
                      </wps:wsp>
                      <wps:wsp>
                        <wps:cNvPr id="38" name="直接连接符 15"/>
                        <wps:cNvCnPr/>
                        <wps:spPr>
                          <a:xfrm>
                            <a:off x="6795" y="317631"/>
                            <a:ext cx="0" cy="714"/>
                          </a:xfrm>
                          <a:prstGeom prst="line">
                            <a:avLst/>
                          </a:prstGeom>
                          <a:ln w="9525" cap="flat" cmpd="sng">
                            <a:solidFill>
                              <a:srgbClr val="000000"/>
                            </a:solidFill>
                            <a:prstDash val="solid"/>
                            <a:headEnd type="none" w="med" len="med"/>
                            <a:tailEnd type="triangle" w="med" len="med"/>
                          </a:ln>
                          <a:effectLst/>
                        </wps:spPr>
                        <wps:bodyPr upright="1"/>
                      </wps:wsp>
                    </wpg:wgp>
                  </a:graphicData>
                </a:graphic>
              </wp:inline>
            </w:drawing>
          </mc:Choice>
          <mc:Fallback>
            <w:pict>
              <v:group id="_x0000_s1026" o:spid="_x0000_s1026" o:spt="203" style="height:428.8pt;width:237pt;" coordorigin="4464,310180" coordsize="4740,8576" o:gfxdata="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">
                <o:lock v:ext="edit" aspectratio="f"/>
                <v:shape id="文本框 1" o:spid="_x0000_s1026" o:spt="202" type="#_x0000_t202" style="position:absolute;left:4474;top:310180;height:410;width:4730;" fillcolor="#FFFFFF" filled="t" stroked="t" coordsize="21600,21600"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080F8611">
                        <w:pPr>
                          <w:keepNext w:val="0"/>
                          <w:keepLines w:val="0"/>
                          <w:pageBreakBefore w:val="0"/>
                          <w:widowControl w:val="0"/>
                          <w:kinsoku/>
                          <w:wordWrap/>
                          <w:overflowPunct/>
                          <w:topLinePunct w:val="0"/>
                          <w:bidi w:val="0"/>
                          <w:adjustRightInd/>
                          <w:snapToGrid/>
                          <w:spacing w:line="240" w:lineRule="auto"/>
                          <w:ind w:left="0" w:leftChars="0" w:firstLine="0" w:firstLineChars="0"/>
                          <w:jc w:val="center"/>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前期准备</w:t>
                        </w:r>
                      </w:p>
                    </w:txbxContent>
                  </v:textbox>
                </v:shape>
                <v:shape id="文本框 2" o:spid="_x0000_s1026" o:spt="202" type="#_x0000_t202" style="position:absolute;left:4474;top:311303;height:411;width:4705;" fillcolor="#FFFFFF" filled="t" stroked="t" coordsize="21600,21600" o:gfxdata="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X7b8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5026F93">
                        <w:pPr>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辩识与分析危险、有害因素</w:t>
                        </w:r>
                      </w:p>
                    </w:txbxContent>
                  </v:textbox>
                </v:shape>
                <v:shape id="文本框 3" o:spid="_x0000_s1026" o:spt="202" type="#_x0000_t202" style="position:absolute;left:4474;top:312532;height:410;width:4688;" fillcolor="#FFFFFF" filled="t" stroked="t" coordsize="21600,21600" o:gfxdata="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jSi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67DD047">
                        <w:pPr>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划分评价单元</w:t>
                        </w:r>
                      </w:p>
                    </w:txbxContent>
                  </v:textbox>
                </v:shape>
                <v:shape id="文本框 4" o:spid="_x0000_s1026" o:spt="202" type="#_x0000_t202" style="position:absolute;left:4474;top:313655;height:410;width:4688;" fillcolor="#FFFFFF" filled="t" stroked="t" coordsize="21600,21600" o:gfxdata="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BjRC/&#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78B2E4A7">
                        <w:pPr>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选择评价方法</w:t>
                        </w:r>
                      </w:p>
                    </w:txbxContent>
                  </v:textbox>
                </v:shape>
                <v:shape id="文本框 5" o:spid="_x0000_s1026" o:spt="202" type="#_x0000_t202" style="position:absolute;left:4474;top:314871;height:410;width:4688;" fillcolor="#FFFFFF" filled="t" stroked="t" coordsize="21600,21600" o:gfxdata="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JXhli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7BE97D7C">
                        <w:pPr>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定性、定量评价</w:t>
                        </w:r>
                      </w:p>
                    </w:txbxContent>
                  </v:textbox>
                </v:shape>
                <v:shape id="文本框 6" o:spid="_x0000_s1026" o:spt="202" type="#_x0000_t202" style="position:absolute;left:4474;top:315994;height:411;width:4676;" fillcolor="#FFFFFF" filled="t" stroked="t" coordsize="21600,21600" o:gfxdata="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Erz5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1480165">
                        <w:pPr>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ascii="Times New Roman" w:hAnsi="Times New Roman" w:eastAsia="宋体" w:cs="Times New Roman"/>
                          </w:rPr>
                        </w:pPr>
                        <w:r>
                          <w:rPr>
                            <w:rFonts w:hint="eastAsia" w:ascii="Times New Roman" w:hAnsi="Times New Roman" w:eastAsia="宋体" w:cs="Times New Roman"/>
                            <w:sz w:val="21"/>
                            <w:szCs w:val="21"/>
                          </w:rPr>
                          <w:t>提出安全对策措施建议</w:t>
                        </w:r>
                      </w:p>
                    </w:txbxContent>
                  </v:textbox>
                </v:shape>
                <v:shape id="文本框 7" o:spid="_x0000_s1026" o:spt="202" type="#_x0000_t202" style="position:absolute;left:4474;top:317223;height:410;width:4688;" fillcolor="#FFFFFF" filled="t" stroked="t" coordsize="21600,21600" o:gfxdata="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vGDu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1C2FE418">
                        <w:pPr>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做出评价结论</w:t>
                        </w:r>
                      </w:p>
                    </w:txbxContent>
                  </v:textbox>
                </v:shape>
                <v:shape id="文本框 8" o:spid="_x0000_s1026" o:spt="202" type="#_x0000_t202" style="position:absolute;left:4464;top:318345;height:411;width:4681;" fillcolor="#FFFFFF" filled="t" stroked="t" coordsize="21600,21600" o:gfxdata="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b0mI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53FA9091">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ascii="Times New Roman" w:hAnsi="Times New Roman" w:eastAsia="宋体" w:cs="Times New Roman"/>
                          </w:rPr>
                        </w:pPr>
                        <w:r>
                          <w:rPr>
                            <w:rFonts w:hint="eastAsia" w:ascii="Times New Roman" w:hAnsi="Times New Roman" w:eastAsia="宋体" w:cs="Times New Roman"/>
                            <w:sz w:val="21"/>
                            <w:szCs w:val="21"/>
                          </w:rPr>
                          <w:t>编制安全现状评价报告</w:t>
                        </w:r>
                      </w:p>
                    </w:txbxContent>
                  </v:textbox>
                </v:shape>
                <v:line id="直接连接符 9" o:spid="_x0000_s1026" o:spt="20" style="position:absolute;left:6795;top:310587;height:714;width:0;" filled="f" stroked="t" coordsize="21600,21600" o:gfxdata="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2Cmye/&#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直接连接符 10" o:spid="_x0000_s1026" o:spt="20" style="position:absolute;left:6795;top:311711;height:819;width:0;" filled="f" stroked="t" coordsize="21600,21600" o:gfxdata="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s4+vL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11" o:spid="_x0000_s1026" o:spt="20" style="position:absolute;left:6817;top:312940;height:714;width:0;" filled="f" stroked="t" coordsize="21600,21600" o:gfxdata="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0npsi/&#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直接连接符 12" o:spid="_x0000_s1026" o:spt="20" style="position:absolute;left:6817;top:314063;height:806;width:0;" filled="f" stroked="t" coordsize="21600,21600" o:gfxdata="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rA1O/&#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直接连接符 13" o:spid="_x0000_s1026" o:spt="20" style="position:absolute;left:6817;top:315278;height:714;width:0;" filled="f" stroked="t" coordsize="21600,21600" o:gfxdata="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K5nSS/&#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直接连接符 14" o:spid="_x0000_s1026" o:spt="20" style="position:absolute;left:6795;top:316402;height:819;width:0;" filled="f" stroked="t" coordsize="21600,21600" o:gfxdata="UEsDBAoAAAAAAIdO4kAAAAAAAAAAAAAAAAAEAAAAZHJzL1BLAwQUAAAACACHTuJArfU4v78AAADb&#10;AAAADwAAAGRycy9kb3ducmV2LnhtbEWPT2vCQBTE7wW/w/KE3uomFmq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31OL+/&#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直接连接符 15" o:spid="_x0000_s1026" o:spt="20" style="position:absolute;left:6795;top:317631;height:714;width:0;" filled="f" stroked="t" coordsize="21600,21600" o:gfxdata="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Gqszb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w10:wrap type="none"/>
                <w10:anchorlock/>
              </v:group>
            </w:pict>
          </mc:Fallback>
        </mc:AlternateContent>
      </w:r>
    </w:p>
    <w:p w14:paraId="5D7F44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lang w:val="en-US" w:eastAsia="zh-CN"/>
        </w:rPr>
      </w:pPr>
      <w:r>
        <w:rPr>
          <w:rFonts w:hint="eastAsia"/>
          <w:color w:val="auto"/>
          <w:lang w:eastAsia="zh-CN"/>
        </w:rPr>
        <w:t>图1</w:t>
      </w:r>
      <w:r>
        <w:rPr>
          <w:rFonts w:hint="eastAsia"/>
          <w:color w:val="auto"/>
          <w:lang w:val="en-US" w:eastAsia="zh-CN"/>
        </w:rPr>
        <w:t>.5</w:t>
      </w:r>
      <w:r>
        <w:rPr>
          <w:rFonts w:hint="eastAsia"/>
          <w:color w:val="auto"/>
          <w:lang w:eastAsia="zh-CN"/>
        </w:rPr>
        <w:t>-1</w:t>
      </w:r>
      <w:r>
        <w:rPr>
          <w:rFonts w:hint="eastAsia"/>
          <w:color w:val="auto"/>
          <w:lang w:val="en-US" w:eastAsia="zh-CN"/>
        </w:rPr>
        <w:t xml:space="preserve"> 安全现状评价程序框</w:t>
      </w:r>
    </w:p>
    <w:p w14:paraId="69A54ED3">
      <w:pPr>
        <w:pStyle w:val="2"/>
        <w:numPr>
          <w:ilvl w:val="0"/>
          <w:numId w:val="1"/>
        </w:numPr>
        <w:bidi w:val="0"/>
        <w:ind w:left="0" w:leftChars="0" w:firstLine="0" w:firstLineChars="0"/>
        <w:jc w:val="center"/>
        <w:rPr>
          <w:rFonts w:hint="default" w:ascii="Times New Roman" w:hAnsi="Times New Roman" w:cs="Times New Roman"/>
          <w:b/>
          <w:bCs/>
          <w:color w:val="auto"/>
          <w:lang w:val="en-US" w:eastAsia="zh-CN"/>
        </w:rPr>
      </w:pPr>
      <w:r>
        <w:rPr>
          <w:rFonts w:hint="eastAsia"/>
          <w:color w:val="auto"/>
        </w:rPr>
        <w:br w:type="page"/>
      </w:r>
      <w:bookmarkStart w:id="67" w:name="_Toc32030"/>
      <w:bookmarkStart w:id="68" w:name="_Toc30639"/>
      <w:r>
        <w:rPr>
          <w:rFonts w:hint="default" w:ascii="Times New Roman" w:hAnsi="Times New Roman" w:cs="Times New Roman"/>
          <w:b/>
          <w:bCs/>
          <w:color w:val="auto"/>
          <w:lang w:val="en-US" w:eastAsia="zh-CN"/>
        </w:rPr>
        <w:t>尾矿库概况</w:t>
      </w:r>
      <w:bookmarkEnd w:id="67"/>
      <w:bookmarkEnd w:id="68"/>
    </w:p>
    <w:p w14:paraId="2709AC94">
      <w:pPr>
        <w:pStyle w:val="3"/>
        <w:bidi w:val="0"/>
        <w:rPr>
          <w:rFonts w:hint="default" w:eastAsia="黑体"/>
          <w:color w:val="auto"/>
          <w:lang w:val="en-US" w:eastAsia="zh-CN"/>
        </w:rPr>
      </w:pPr>
      <w:bookmarkStart w:id="69" w:name="_Toc25821"/>
      <w:bookmarkStart w:id="70" w:name="_Toc18055"/>
      <w:bookmarkStart w:id="71" w:name="_Toc21720"/>
      <w:bookmarkStart w:id="72" w:name="_Toc11949"/>
      <w:bookmarkStart w:id="73" w:name="_Toc29753"/>
      <w:r>
        <w:rPr>
          <w:color w:val="auto"/>
        </w:rPr>
        <w:t>2.1</w:t>
      </w:r>
      <w:r>
        <w:rPr>
          <w:rFonts w:hint="eastAsia"/>
          <w:color w:val="auto"/>
          <w:lang w:val="en-US" w:eastAsia="zh-CN"/>
        </w:rPr>
        <w:t xml:space="preserve"> </w:t>
      </w:r>
      <w:bookmarkEnd w:id="69"/>
      <w:bookmarkEnd w:id="70"/>
      <w:bookmarkEnd w:id="71"/>
      <w:r>
        <w:rPr>
          <w:rFonts w:hint="eastAsia"/>
          <w:color w:val="auto"/>
          <w:lang w:val="en-US" w:eastAsia="zh-CN"/>
        </w:rPr>
        <w:t>建设单位概况</w:t>
      </w:r>
      <w:bookmarkEnd w:id="72"/>
      <w:bookmarkEnd w:id="73"/>
    </w:p>
    <w:p w14:paraId="73374B52">
      <w:pPr>
        <w:bidi w:val="0"/>
        <w:rPr>
          <w:rFonts w:hint="eastAsia" w:eastAsia="宋体"/>
          <w:color w:val="auto"/>
          <w:lang w:eastAsia="zh-CN"/>
        </w:rPr>
      </w:pPr>
      <w:bookmarkStart w:id="74" w:name="_Toc10941"/>
      <w:r>
        <w:rPr>
          <w:rFonts w:hint="eastAsia" w:eastAsia="宋体"/>
          <w:color w:val="auto"/>
          <w:lang w:eastAsia="zh-CN"/>
        </w:rPr>
        <w:t>岿美山钨矿发现于1918年，历经百年开采。解放前，矿山一直由官商交错经营，生产水平极低；1949年8月21日矿区解放，中国人民解放军第48军143师警卫营第2连接管矿区，建立“龙华钨业管理处”，1953年改称为岿美山钨矿，矿山收归国有。第一个五年计划期间，岿美山钨矿被列为国家156项重点建设项目之一</w:t>
      </w:r>
      <w:r>
        <w:rPr>
          <w:rFonts w:hint="eastAsia"/>
          <w:color w:val="auto"/>
          <w:lang w:eastAsia="zh-CN"/>
        </w:rPr>
        <w:t>，</w:t>
      </w:r>
      <w:r>
        <w:rPr>
          <w:rFonts w:hint="eastAsia" w:eastAsia="宋体"/>
          <w:color w:val="auto"/>
          <w:lang w:eastAsia="zh-CN"/>
        </w:rPr>
        <w:t>是全国三大钨矿之一。先后隶属于中央重工业部有色金属工业管理局江西分局、江西省冶金工业厅、中国华兴钨业公司、中国有色金属工业总公司南昌公司。半个多世纪来，岿美山钨矿为国家的经济建设和社会发展做出了重要的贡献。1960年7月全部建设工程完工投产，总投资3871万元。设计能力为采选61万吨/年，年产钨精矿4000吨。1970年7月，矿山下马，人员设备迁往良山铁矿，生产中断。1975年国家经委批准岿美山钨矿复建并列为国家重点技改项目，总投资403.5万元，1977年10月复建工程全部竣工投产。复建设计能力为采选30.6万吨/年，年产钨精矿858吨。到1992年底由于资源枯竭，难以维持原有的生产，改为划小核算单位，按中段组织生产，坑口建立小型选厂，原选厂保留精选，但仍年年亏损，1996年国家批准正式关闭，成立岿美山钨矿留守处。2000年7月因需要又恢复岿美山钨矿的名称，在1997年12月至2003年11月期间，矿山生产由定南县人民政府代管，代管期间岿美山采矿窿口达90个，生产失控，管理混乱，安全隐患严重。2003年5月根据全省非煤矿山整治意见停产整顿，经整合为19个坑口组织生产，经省安全生产监督管理局组织专家评估，通过了省、市有关部门组织的验收，于2003年11月恢复生产。2001年经国务院全国企业兼并破产和职工再就业工作领导小组办公室</w:t>
      </w:r>
      <w:r>
        <w:rPr>
          <w:rFonts w:hint="eastAsia" w:ascii="宋体" w:hAnsi="宋体" w:eastAsia="宋体" w:cs="宋体"/>
          <w:color w:val="auto"/>
          <w:lang w:eastAsia="zh-CN"/>
        </w:rPr>
        <w:t>[</w:t>
      </w:r>
      <w:r>
        <w:rPr>
          <w:rFonts w:hint="eastAsia" w:eastAsia="宋体"/>
          <w:color w:val="auto"/>
          <w:lang w:eastAsia="zh-CN"/>
        </w:rPr>
        <w:t>2001</w:t>
      </w:r>
      <w:r>
        <w:rPr>
          <w:rFonts w:hint="eastAsia" w:ascii="宋体" w:hAnsi="宋体" w:eastAsia="宋体" w:cs="宋体"/>
          <w:color w:val="auto"/>
          <w:lang w:eastAsia="zh-CN"/>
        </w:rPr>
        <w:t>]</w:t>
      </w:r>
      <w:r>
        <w:rPr>
          <w:rFonts w:hint="eastAsia" w:eastAsia="宋体"/>
          <w:color w:val="auto"/>
          <w:lang w:eastAsia="zh-CN"/>
        </w:rPr>
        <w:t>2号文件批准，岿美山钨矿享受国家政策性破产转制，2008年8月14日正式启动破产法律程序，2008年12月9日终结岿美山钨矿破产程序</w:t>
      </w:r>
      <w:r>
        <w:rPr>
          <w:rFonts w:hint="eastAsia"/>
          <w:color w:val="auto"/>
          <w:lang w:eastAsia="zh-CN"/>
        </w:rPr>
        <w:t>，</w:t>
      </w:r>
      <w:r>
        <w:rPr>
          <w:rFonts w:hint="eastAsia" w:eastAsia="宋体"/>
          <w:color w:val="auto"/>
          <w:lang w:eastAsia="zh-CN"/>
        </w:rPr>
        <w:t>成立江西岿美山钨业有限公司，隶属江西稀有稀土金属钨业集团公司。</w:t>
      </w:r>
    </w:p>
    <w:p w14:paraId="46FFFAC3">
      <w:pPr>
        <w:bidi w:val="0"/>
        <w:rPr>
          <w:rFonts w:hint="eastAsia" w:eastAsia="宋体"/>
          <w:color w:val="auto"/>
          <w:lang w:eastAsia="zh-CN"/>
        </w:rPr>
      </w:pPr>
      <w:r>
        <w:rPr>
          <w:rFonts w:hint="eastAsia" w:eastAsia="宋体"/>
          <w:color w:val="auto"/>
          <w:lang w:eastAsia="zh-CN"/>
        </w:rPr>
        <w:t>江西岿美山钨业有限公司是一家以从事有色金属矿采选业为主的企业，注册资本为310万人民币，法定代表人为申昌健，企业类型为有限责任公司（非自然人投资或控股的法人独资），注册地址为江西省赣州市定南县岿美山镇岿美山矿区工人村，经营范围为钨矿开采（凭有效许可证经营）；钨精矿及制品、钨细泥精选、收购、加工、销售；金属材料、建材、五金交电销售；机械加工；饮食、住宿服务（凭有效许可证经营）；租赁服务；技术服务。</w:t>
      </w:r>
    </w:p>
    <w:p w14:paraId="11BC13FA">
      <w:pPr>
        <w:bidi w:val="0"/>
        <w:rPr>
          <w:rFonts w:hint="eastAsia" w:eastAsia="宋体"/>
          <w:color w:val="auto"/>
          <w:lang w:eastAsia="zh-CN"/>
        </w:rPr>
      </w:pPr>
      <w:r>
        <w:rPr>
          <w:rFonts w:hint="eastAsia"/>
          <w:color w:val="auto"/>
        </w:rPr>
        <w:t>岿美山钨矿已于2018年初停产</w:t>
      </w:r>
      <w:r>
        <w:rPr>
          <w:rFonts w:hint="eastAsia"/>
          <w:color w:val="auto"/>
          <w:lang w:eastAsia="zh-CN"/>
        </w:rPr>
        <w:t>，</w:t>
      </w:r>
      <w:r>
        <w:rPr>
          <w:rFonts w:hint="eastAsia"/>
          <w:color w:val="auto"/>
          <w:lang w:val="en-US" w:eastAsia="zh-CN"/>
        </w:rPr>
        <w:t>目前</w:t>
      </w:r>
      <w:r>
        <w:rPr>
          <w:rFonts w:hint="eastAsia"/>
          <w:color w:val="auto"/>
        </w:rPr>
        <w:t>岿美山</w:t>
      </w:r>
      <w:r>
        <w:rPr>
          <w:rFonts w:hint="eastAsia"/>
          <w:color w:val="auto"/>
          <w:lang w:val="en-US" w:eastAsia="zh-CN"/>
        </w:rPr>
        <w:t>尾矿库也进入了闭库程序，</w:t>
      </w:r>
      <w:r>
        <w:rPr>
          <w:rFonts w:hint="default"/>
          <w:strike w:val="0"/>
          <w:dstrike w:val="0"/>
          <w:color w:val="auto"/>
          <w:lang w:val="en-US" w:eastAsia="zh-CN"/>
        </w:rPr>
        <w:t>江西岿美山钨业有限公司</w:t>
      </w:r>
      <w:r>
        <w:rPr>
          <w:rFonts w:hint="eastAsia"/>
          <w:strike w:val="0"/>
          <w:dstrike w:val="0"/>
          <w:color w:val="auto"/>
          <w:lang w:val="en-US" w:eastAsia="zh-CN"/>
        </w:rPr>
        <w:t>现被纳入江西西华山（荡坪）钨业有限公司统一管理</w:t>
      </w:r>
      <w:r>
        <w:rPr>
          <w:rFonts w:hint="eastAsia" w:eastAsia="宋体"/>
          <w:color w:val="auto"/>
          <w:lang w:eastAsia="zh-CN"/>
        </w:rPr>
        <w:t>。</w:t>
      </w:r>
    </w:p>
    <w:bookmarkEnd w:id="74"/>
    <w:p w14:paraId="5A1D881F">
      <w:pPr>
        <w:pStyle w:val="3"/>
        <w:bidi w:val="0"/>
        <w:rPr>
          <w:rFonts w:hint="default"/>
          <w:color w:val="auto"/>
          <w:lang w:val="en-US" w:eastAsia="zh-CN"/>
        </w:rPr>
      </w:pPr>
      <w:bookmarkStart w:id="75" w:name="_Toc25000"/>
      <w:bookmarkStart w:id="76" w:name="_Toc19165"/>
      <w:r>
        <w:rPr>
          <w:rFonts w:hint="eastAsia"/>
          <w:color w:val="auto"/>
          <w:lang w:val="en-US" w:eastAsia="zh-CN"/>
        </w:rPr>
        <w:t>2.2 交通位置、自然地理概况</w:t>
      </w:r>
      <w:bookmarkEnd w:id="75"/>
      <w:bookmarkEnd w:id="76"/>
    </w:p>
    <w:p w14:paraId="414AB135">
      <w:pPr>
        <w:pStyle w:val="4"/>
        <w:bidi w:val="0"/>
        <w:rPr>
          <w:color w:val="auto"/>
        </w:rPr>
      </w:pPr>
      <w:bookmarkStart w:id="77" w:name="_Toc9781"/>
      <w:bookmarkStart w:id="78" w:name="_Toc26149"/>
      <w:r>
        <w:rPr>
          <w:rFonts w:hint="eastAsia"/>
          <w:color w:val="auto"/>
          <w:lang w:val="en-US" w:eastAsia="zh-CN"/>
        </w:rPr>
        <w:t xml:space="preserve">2.2.1 </w:t>
      </w:r>
      <w:r>
        <w:rPr>
          <w:color w:val="auto"/>
          <w:lang w:val="en-US" w:eastAsia="zh-CN"/>
        </w:rPr>
        <w:t>交通位置</w:t>
      </w:r>
      <w:bookmarkEnd w:id="77"/>
      <w:bookmarkEnd w:id="78"/>
    </w:p>
    <w:p w14:paraId="0FA54353">
      <w:pPr>
        <w:bidi w:val="0"/>
        <w:rPr>
          <w:rFonts w:hint="eastAsia"/>
          <w:color w:val="auto"/>
          <w:lang w:val="en-US" w:eastAsia="zh-CN"/>
        </w:rPr>
      </w:pPr>
      <w:r>
        <w:rPr>
          <w:rFonts w:hint="eastAsia"/>
          <w:color w:val="auto"/>
          <w:lang w:val="en-US" w:eastAsia="zh-CN"/>
        </w:rPr>
        <w:t>江西岿美山钨业有限公司尾矿库位于江西省定南县岿美山镇矿区北西侧岿美山河沟内，与定南县相距36.0km，距京九线定南站30.0km，距赣粤高速公路老城出入口17.0km，交通便利。现状尾矿库主坝顶中心地理坐标为：东经114°53′59.43″，北纬24°40′27.37″（GCJ-02坐标）。尾矿库所在区域位置见图2.2-1。</w:t>
      </w:r>
    </w:p>
    <w:p w14:paraId="414ABAFC">
      <w:pPr>
        <w:bidi w:val="0"/>
        <w:ind w:left="0" w:leftChars="0" w:firstLine="0" w:firstLineChars="0"/>
        <w:jc w:val="center"/>
        <w:rPr>
          <w:rFonts w:hint="eastAsia"/>
          <w:color w:val="auto"/>
          <w:lang w:val="en-US" w:eastAsia="zh-CN"/>
        </w:rPr>
      </w:pPr>
      <w:r>
        <w:rPr>
          <w:color w:val="auto"/>
        </w:rPr>
        <w:drawing>
          <wp:inline distT="0" distB="0" distL="114300" distR="114300">
            <wp:extent cx="5400040" cy="3553460"/>
            <wp:effectExtent l="0" t="0" r="10160" b="889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3"/>
                    <a:stretch>
                      <a:fillRect/>
                    </a:stretch>
                  </pic:blipFill>
                  <pic:spPr>
                    <a:xfrm>
                      <a:off x="0" y="0"/>
                      <a:ext cx="5400040" cy="3553460"/>
                    </a:xfrm>
                    <a:prstGeom prst="rect">
                      <a:avLst/>
                    </a:prstGeom>
                    <a:noFill/>
                    <a:ln>
                      <a:noFill/>
                    </a:ln>
                  </pic:spPr>
                </pic:pic>
              </a:graphicData>
            </a:graphic>
          </wp:inline>
        </w:drawing>
      </w:r>
    </w:p>
    <w:p w14:paraId="2044AD0E">
      <w:pPr>
        <w:ind w:left="0" w:leftChars="0" w:firstLine="0" w:firstLineChars="0"/>
        <w:jc w:val="center"/>
        <w:rPr>
          <w:rFonts w:hint="eastAsia"/>
          <w:color w:val="auto"/>
          <w:lang w:val="en-US" w:eastAsia="zh-CN"/>
        </w:rPr>
      </w:pPr>
      <w:r>
        <w:rPr>
          <w:rFonts w:hint="default"/>
          <w:color w:val="auto"/>
          <w:lang w:val="en-US" w:eastAsia="zh-CN"/>
        </w:rPr>
        <w:t>图</w:t>
      </w:r>
      <w:r>
        <w:rPr>
          <w:rFonts w:hint="eastAsia"/>
          <w:color w:val="auto"/>
          <w:lang w:val="en-US" w:eastAsia="zh-CN"/>
        </w:rPr>
        <w:t>2.2</w:t>
      </w:r>
      <w:r>
        <w:rPr>
          <w:rFonts w:hint="default"/>
          <w:color w:val="auto"/>
          <w:lang w:val="en-US" w:eastAsia="zh-CN"/>
        </w:rPr>
        <w:t>-1</w:t>
      </w:r>
      <w:r>
        <w:rPr>
          <w:rFonts w:hint="eastAsia"/>
          <w:color w:val="auto"/>
          <w:lang w:val="en-US" w:eastAsia="zh-CN"/>
        </w:rPr>
        <w:t xml:space="preserve"> 尾矿库所在区域位置图</w:t>
      </w:r>
    </w:p>
    <w:p w14:paraId="04DC2E25">
      <w:pPr>
        <w:pStyle w:val="4"/>
        <w:bidi w:val="0"/>
        <w:rPr>
          <w:rFonts w:hint="eastAsia"/>
          <w:color w:val="auto"/>
          <w:lang w:val="en-US" w:eastAsia="zh-CN"/>
        </w:rPr>
      </w:pPr>
      <w:bookmarkStart w:id="79" w:name="_Toc32120"/>
      <w:bookmarkStart w:id="80" w:name="_Toc32694"/>
      <w:r>
        <w:rPr>
          <w:rFonts w:hint="eastAsia"/>
          <w:color w:val="auto"/>
          <w:lang w:val="en-US" w:eastAsia="zh-CN"/>
        </w:rPr>
        <w:t>2.2.2 自然地理概况</w:t>
      </w:r>
      <w:bookmarkEnd w:id="79"/>
      <w:bookmarkEnd w:id="80"/>
    </w:p>
    <w:p w14:paraId="0AB2A553">
      <w:pPr>
        <w:bidi w:val="0"/>
        <w:rPr>
          <w:rFonts w:hint="eastAsia"/>
          <w:b/>
          <w:bCs/>
          <w:color w:val="auto"/>
          <w:lang w:val="en-US" w:eastAsia="zh-CN"/>
        </w:rPr>
      </w:pPr>
      <w:r>
        <w:rPr>
          <w:rFonts w:hint="eastAsia"/>
          <w:b/>
          <w:bCs/>
          <w:color w:val="auto"/>
          <w:lang w:val="en-US" w:eastAsia="zh-CN"/>
        </w:rPr>
        <w:t>1. 地形地貌</w:t>
      </w:r>
    </w:p>
    <w:p w14:paraId="231A390E">
      <w:pPr>
        <w:bidi w:val="0"/>
        <w:rPr>
          <w:rFonts w:hint="eastAsia"/>
          <w:color w:val="auto"/>
          <w:lang w:val="en-US" w:eastAsia="zh-CN"/>
        </w:rPr>
      </w:pPr>
      <w:r>
        <w:rPr>
          <w:rFonts w:hint="eastAsia"/>
          <w:color w:val="auto"/>
          <w:lang w:val="en-US" w:eastAsia="zh-CN"/>
        </w:rPr>
        <w:t>岿美山尾矿库场地地貌属低山丘陵剥蚀地貌类型，地势总体西高东低。库区为一“</w:t>
      </w:r>
      <w:r>
        <w:rPr>
          <w:rFonts w:hint="eastAsia" w:ascii="宋体" w:hAnsi="宋体" w:eastAsia="宋体" w:cs="宋体"/>
          <w:color w:val="auto"/>
          <w:lang w:val="en-US" w:eastAsia="zh-CN"/>
        </w:rPr>
        <w:t>Ⅴ</w:t>
      </w:r>
      <w:r>
        <w:rPr>
          <w:rFonts w:hint="eastAsia"/>
          <w:color w:val="auto"/>
          <w:lang w:val="en-US" w:eastAsia="zh-CN"/>
        </w:rPr>
        <w:t>”型狭长冲沟，中间开阔。溪水由北向南迳流，沟谷切割较深。两岸山体雄厚，山坡比陡竣，沟谷两侧坡比麓大部分为松散坡比、洪积物覆盖。</w:t>
      </w:r>
    </w:p>
    <w:p w14:paraId="5957B525">
      <w:pPr>
        <w:bidi w:val="0"/>
        <w:rPr>
          <w:rFonts w:hint="eastAsia"/>
          <w:color w:val="auto"/>
          <w:lang w:val="en-US" w:eastAsia="zh-CN"/>
        </w:rPr>
      </w:pPr>
      <w:r>
        <w:rPr>
          <w:rFonts w:hint="eastAsia"/>
          <w:color w:val="auto"/>
          <w:lang w:val="en-US" w:eastAsia="zh-CN"/>
        </w:rPr>
        <w:t>尾矿库上游沟谷两侧山脊呈近北南走向，山顶多呈浑圆状，尾矿库东侧山体高程+438.25m，西侧山体高程+448.81m，北侧3号拦截坝坝址最低高程+338.67m，地势由北向南渐低，山体总体走向北南向。谷深坡比陡，植被发育。下游为农田及村庄、生活区，沟谷地势相对较开阔、平坦。</w:t>
      </w:r>
    </w:p>
    <w:p w14:paraId="4BA02BB7">
      <w:pPr>
        <w:bidi w:val="0"/>
        <w:rPr>
          <w:rFonts w:hint="eastAsia"/>
          <w:b/>
          <w:bCs/>
          <w:color w:val="auto"/>
          <w:lang w:val="en-US" w:eastAsia="zh-CN"/>
        </w:rPr>
      </w:pPr>
      <w:r>
        <w:rPr>
          <w:rFonts w:hint="eastAsia"/>
          <w:b/>
          <w:bCs/>
          <w:color w:val="auto"/>
          <w:lang w:val="en-US" w:eastAsia="zh-CN"/>
        </w:rPr>
        <w:t>2. 气候条件</w:t>
      </w:r>
    </w:p>
    <w:p w14:paraId="5D924D19">
      <w:pPr>
        <w:bidi w:val="0"/>
        <w:rPr>
          <w:rFonts w:hint="eastAsia"/>
          <w:color w:val="auto"/>
          <w:lang w:val="en-US" w:eastAsia="zh-CN"/>
        </w:rPr>
      </w:pPr>
      <w:r>
        <w:rPr>
          <w:rFonts w:hint="eastAsia"/>
          <w:color w:val="auto"/>
          <w:lang w:val="en-US" w:eastAsia="zh-CN"/>
        </w:rPr>
        <w:t>岿美山尾矿库属亚热带季风湿润气候区，四季分明，夏秋炎热，春冬寒冷，无霜期长，年平均气温18.8°C，最高气温39</w:t>
      </w:r>
      <w:r>
        <w:rPr>
          <w:rFonts w:hint="default" w:ascii="Times New Roman" w:hAnsi="Times New Roman" w:cs="Times New Roman"/>
          <w:color w:val="auto"/>
          <w:lang w:val="en-US" w:eastAsia="zh-CN"/>
        </w:rPr>
        <w:t>.9℃，最低气温</w:t>
      </w:r>
      <w:r>
        <w:rPr>
          <w:rFonts w:hint="eastAsia" w:ascii="宋体" w:hAnsi="宋体" w:eastAsia="宋体" w:cs="宋体"/>
          <w:color w:val="auto"/>
          <w:lang w:val="en-US" w:eastAsia="zh-CN"/>
        </w:rPr>
        <w:t>-</w:t>
      </w:r>
      <w:r>
        <w:rPr>
          <w:rFonts w:hint="default" w:ascii="Times New Roman" w:hAnsi="Times New Roman" w:cs="Times New Roman"/>
          <w:color w:val="auto"/>
          <w:lang w:val="en-US" w:eastAsia="zh-CN"/>
        </w:rPr>
        <w:t>5.3℃，</w:t>
      </w:r>
      <w:r>
        <w:rPr>
          <w:rFonts w:hint="eastAsia"/>
          <w:color w:val="auto"/>
          <w:lang w:val="en-US" w:eastAsia="zh-CN"/>
        </w:rPr>
        <w:t>多年平均日照时数为1581小时，雨量充沛，多年平均降雨量为1609mm，最大一日24小时降水量达到239.4mm，春暖多变，夏涝秋旱，冬寒期短，一般3月</w:t>
      </w:r>
      <w:r>
        <w:rPr>
          <w:rFonts w:hint="eastAsia" w:ascii="Times New Roman" w:hAnsi="Times New Roman" w:eastAsia="宋体" w:cs="Times New Roman"/>
          <w:color w:val="auto"/>
          <w:lang w:val="en-US" w:eastAsia="zh-CN"/>
        </w:rPr>
        <w:t>～</w:t>
      </w:r>
      <w:r>
        <w:rPr>
          <w:rFonts w:hint="eastAsia"/>
          <w:color w:val="auto"/>
          <w:lang w:val="en-US" w:eastAsia="zh-CN"/>
        </w:rPr>
        <w:t>6月份为丰水期，11月</w:t>
      </w:r>
      <w:r>
        <w:rPr>
          <w:rFonts w:hint="eastAsia" w:ascii="Times New Roman" w:hAnsi="Times New Roman" w:eastAsia="宋体" w:cs="Times New Roman"/>
          <w:color w:val="auto"/>
          <w:lang w:val="en-US" w:eastAsia="zh-CN"/>
        </w:rPr>
        <w:t>～</w:t>
      </w:r>
      <w:r>
        <w:rPr>
          <w:rFonts w:hint="eastAsia"/>
          <w:color w:val="auto"/>
          <w:lang w:val="en-US" w:eastAsia="zh-CN"/>
        </w:rPr>
        <w:t>次年2月份为枯水期，其它月份为平水期。</w:t>
      </w:r>
    </w:p>
    <w:p w14:paraId="08631490">
      <w:pPr>
        <w:bidi w:val="0"/>
        <w:rPr>
          <w:rFonts w:hint="eastAsia"/>
          <w:b/>
          <w:bCs/>
          <w:color w:val="auto"/>
          <w:lang w:val="en-US" w:eastAsia="zh-CN"/>
        </w:rPr>
      </w:pPr>
      <w:r>
        <w:rPr>
          <w:rFonts w:hint="eastAsia"/>
          <w:b/>
          <w:bCs/>
          <w:color w:val="auto"/>
          <w:lang w:val="en-US" w:eastAsia="zh-CN"/>
        </w:rPr>
        <w:t>3. 地震烈度</w:t>
      </w:r>
    </w:p>
    <w:p w14:paraId="443BD359">
      <w:pPr>
        <w:bidi w:val="0"/>
        <w:rPr>
          <w:rFonts w:hint="default"/>
          <w:color w:val="auto"/>
          <w:lang w:val="en-US" w:eastAsia="zh-CN"/>
        </w:rPr>
      </w:pPr>
      <w:r>
        <w:rPr>
          <w:rFonts w:hint="default"/>
          <w:color w:val="auto"/>
          <w:lang w:val="en-US" w:eastAsia="zh-CN"/>
        </w:rPr>
        <w:t>据《中国地震动参数区划图》（GB18306</w:t>
      </w:r>
      <w:r>
        <w:rPr>
          <w:rFonts w:hint="eastAsia"/>
          <w:color w:val="auto"/>
          <w:lang w:val="en-US" w:eastAsia="zh-CN"/>
        </w:rPr>
        <w:t>-</w:t>
      </w:r>
      <w:r>
        <w:rPr>
          <w:rFonts w:hint="default"/>
          <w:color w:val="auto"/>
          <w:lang w:val="en-US" w:eastAsia="zh-CN"/>
        </w:rPr>
        <w:t>2015）和《建筑抗震设计标准（2024年版）》</w:t>
      </w:r>
      <w:r>
        <w:rPr>
          <w:rFonts w:hint="eastAsia"/>
          <w:color w:val="auto"/>
          <w:lang w:val="en-US" w:eastAsia="zh-CN"/>
        </w:rPr>
        <w:t>（</w:t>
      </w:r>
      <w:r>
        <w:rPr>
          <w:rFonts w:hint="default"/>
          <w:color w:val="auto"/>
          <w:lang w:val="en-US" w:eastAsia="zh-CN"/>
        </w:rPr>
        <w:t>GB50011-2010</w:t>
      </w:r>
      <w:r>
        <w:rPr>
          <w:rFonts w:hint="eastAsia"/>
          <w:color w:val="auto"/>
          <w:lang w:val="en-US" w:eastAsia="zh-CN"/>
        </w:rPr>
        <w:t>）</w:t>
      </w:r>
      <w:r>
        <w:rPr>
          <w:rFonts w:hint="default"/>
          <w:color w:val="auto"/>
          <w:lang w:val="en-US" w:eastAsia="zh-CN"/>
        </w:rPr>
        <w:t>，场地处于抗震设防烈度6度区，地震动峰值加速度0.05g，区域稳定性好。</w:t>
      </w:r>
    </w:p>
    <w:p w14:paraId="0CB8D43B">
      <w:pPr>
        <w:pStyle w:val="3"/>
        <w:bidi w:val="0"/>
        <w:rPr>
          <w:rFonts w:hint="default"/>
          <w:color w:val="auto"/>
          <w:lang w:val="en-US" w:eastAsia="zh-CN"/>
        </w:rPr>
      </w:pPr>
      <w:bookmarkStart w:id="81" w:name="_Toc21672"/>
      <w:bookmarkStart w:id="82" w:name="_Toc4585"/>
      <w:r>
        <w:rPr>
          <w:rFonts w:hint="eastAsia"/>
          <w:color w:val="auto"/>
          <w:lang w:val="en-US" w:eastAsia="zh-CN"/>
        </w:rPr>
        <w:t>2.3 尾矿库基本情况</w:t>
      </w:r>
      <w:bookmarkEnd w:id="81"/>
      <w:bookmarkEnd w:id="82"/>
    </w:p>
    <w:p w14:paraId="3270675C">
      <w:pPr>
        <w:bidi w:val="0"/>
        <w:rPr>
          <w:rFonts w:hint="eastAsia"/>
          <w:color w:val="auto"/>
        </w:rPr>
      </w:pPr>
      <w:r>
        <w:rPr>
          <w:rFonts w:hint="eastAsia"/>
          <w:color w:val="auto"/>
        </w:rPr>
        <w:t>岿美山尾矿库由长沙有色冶金设计研究院于1957年完成施工设计图，1959年建成，1960年7月选厂投产正式</w:t>
      </w:r>
      <w:r>
        <w:rPr>
          <w:rFonts w:hint="eastAsia"/>
          <w:color w:val="auto"/>
          <w:lang w:val="en-US" w:eastAsia="zh-CN"/>
        </w:rPr>
        <w:t>启</w:t>
      </w:r>
      <w:r>
        <w:rPr>
          <w:rFonts w:hint="eastAsia"/>
          <w:color w:val="auto"/>
        </w:rPr>
        <w:t>用。</w:t>
      </w:r>
    </w:p>
    <w:p w14:paraId="50BB1F82">
      <w:pPr>
        <w:bidi w:val="0"/>
        <w:rPr>
          <w:rFonts w:hint="eastAsia"/>
          <w:color w:val="auto"/>
        </w:rPr>
      </w:pPr>
      <w:r>
        <w:rPr>
          <w:rFonts w:hint="eastAsia"/>
          <w:color w:val="auto"/>
        </w:rPr>
        <w:t>尾矿库设计由尾矿坝主坝、副坝、溢洪道等组成，主坝初期坝为碾压土石坝，坝顶高程</w:t>
      </w:r>
      <w:r>
        <w:rPr>
          <w:rFonts w:hint="eastAsia"/>
          <w:color w:val="auto"/>
          <w:lang w:val="en-US" w:eastAsia="zh-CN"/>
        </w:rPr>
        <w:t>+</w:t>
      </w:r>
      <w:r>
        <w:rPr>
          <w:rFonts w:hint="eastAsia"/>
          <w:color w:val="auto"/>
        </w:rPr>
        <w:t>316.0m，初期坝顶以上采用尾砂堆坝，设计尾砂最终堆积高程</w:t>
      </w:r>
      <w:r>
        <w:rPr>
          <w:rFonts w:hint="eastAsia"/>
          <w:color w:val="auto"/>
          <w:lang w:val="en-US" w:eastAsia="zh-CN"/>
        </w:rPr>
        <w:t>+</w:t>
      </w:r>
      <w:r>
        <w:rPr>
          <w:rFonts w:hint="eastAsia"/>
          <w:color w:val="auto"/>
        </w:rPr>
        <w:t>345.0m</w:t>
      </w:r>
      <w:r>
        <w:rPr>
          <w:rFonts w:hint="eastAsia"/>
          <w:color w:val="auto"/>
          <w:lang w:eastAsia="zh-CN"/>
        </w:rPr>
        <w:t>，</w:t>
      </w:r>
      <w:r>
        <w:rPr>
          <w:rFonts w:hint="eastAsia"/>
          <w:color w:val="auto"/>
        </w:rPr>
        <w:t>总坝高46.0m</w:t>
      </w:r>
      <w:r>
        <w:rPr>
          <w:rFonts w:hint="eastAsia"/>
          <w:color w:val="auto"/>
          <w:lang w:eastAsia="zh-CN"/>
        </w:rPr>
        <w:t>，</w:t>
      </w:r>
      <w:r>
        <w:rPr>
          <w:rFonts w:hint="eastAsia"/>
          <w:color w:val="auto"/>
        </w:rPr>
        <w:t>总库容310.8</w:t>
      </w:r>
      <w:r>
        <w:rPr>
          <w:rFonts w:hint="eastAsia" w:ascii="Times New Roman" w:hAnsi="Times New Roman" w:eastAsia="宋体" w:cs="Times New Roman"/>
          <w:color w:val="auto"/>
          <w:lang w:val="en-US" w:eastAsia="zh-CN"/>
        </w:rPr>
        <w:t>×</w:t>
      </w:r>
      <w:r>
        <w:rPr>
          <w:rFonts w:hint="eastAsia"/>
          <w:color w:val="auto"/>
        </w:rPr>
        <w:t>10</w:t>
      </w:r>
      <w:r>
        <w:rPr>
          <w:rFonts w:hint="eastAsia"/>
          <w:color w:val="auto"/>
          <w:vertAlign w:val="superscript"/>
          <w:lang w:val="en-US" w:eastAsia="zh-CN"/>
        </w:rPr>
        <w:t>4</w:t>
      </w:r>
      <w:r>
        <w:rPr>
          <w:rFonts w:hint="eastAsia"/>
          <w:color w:val="auto"/>
        </w:rPr>
        <w:t>m</w:t>
      </w:r>
      <w:r>
        <w:rPr>
          <w:rFonts w:hint="eastAsia"/>
          <w:color w:val="auto"/>
          <w:vertAlign w:val="superscript"/>
          <w:lang w:val="en-US" w:eastAsia="zh-CN"/>
        </w:rPr>
        <w:t>3</w:t>
      </w:r>
      <w:r>
        <w:rPr>
          <w:rFonts w:hint="eastAsia"/>
          <w:color w:val="auto"/>
          <w:lang w:eastAsia="zh-CN"/>
        </w:rPr>
        <w:t>，</w:t>
      </w:r>
      <w:r>
        <w:rPr>
          <w:rFonts w:hint="eastAsia"/>
          <w:color w:val="auto"/>
        </w:rPr>
        <w:t>有效库容301.5</w:t>
      </w:r>
      <w:r>
        <w:rPr>
          <w:rFonts w:hint="eastAsia" w:ascii="Times New Roman" w:hAnsi="Times New Roman" w:eastAsia="宋体" w:cs="Times New Roman"/>
          <w:color w:val="auto"/>
          <w:lang w:val="en-US" w:eastAsia="zh-CN"/>
        </w:rPr>
        <w:t>×</w:t>
      </w:r>
      <w:r>
        <w:rPr>
          <w:rFonts w:hint="eastAsia"/>
          <w:color w:val="auto"/>
        </w:rPr>
        <w:t>10</w:t>
      </w:r>
      <w:r>
        <w:rPr>
          <w:rFonts w:hint="eastAsia"/>
          <w:color w:val="auto"/>
          <w:vertAlign w:val="superscript"/>
          <w:lang w:val="en-US" w:eastAsia="zh-CN"/>
        </w:rPr>
        <w:t>4</w:t>
      </w:r>
      <w:r>
        <w:rPr>
          <w:rFonts w:hint="eastAsia"/>
          <w:color w:val="auto"/>
        </w:rPr>
        <w:t>m</w:t>
      </w:r>
      <w:r>
        <w:rPr>
          <w:rFonts w:hint="eastAsia"/>
          <w:color w:val="auto"/>
          <w:vertAlign w:val="superscript"/>
          <w:lang w:val="en-US" w:eastAsia="zh-CN"/>
        </w:rPr>
        <w:t>3</w:t>
      </w:r>
      <w:r>
        <w:rPr>
          <w:rFonts w:hint="eastAsia"/>
          <w:color w:val="auto"/>
        </w:rPr>
        <w:t>，为四等库。</w:t>
      </w:r>
    </w:p>
    <w:p w14:paraId="1FB09BE3">
      <w:pPr>
        <w:bidi w:val="0"/>
        <w:rPr>
          <w:rFonts w:hint="eastAsia"/>
          <w:color w:val="auto"/>
        </w:rPr>
      </w:pPr>
      <w:r>
        <w:rPr>
          <w:rFonts w:hint="eastAsia"/>
          <w:color w:val="auto"/>
        </w:rPr>
        <w:t>1960年8月27日，山洪暴发，因排洪系统排洪能力不足，加之上游废砂淤填进水口，基本坝被冲毁，</w:t>
      </w:r>
      <w:r>
        <w:rPr>
          <w:rFonts w:hint="eastAsia"/>
          <w:color w:val="auto"/>
          <w:lang w:val="en-US" w:eastAsia="zh-CN"/>
        </w:rPr>
        <w:t>企业</w:t>
      </w:r>
      <w:r>
        <w:rPr>
          <w:rFonts w:hint="eastAsia"/>
          <w:color w:val="auto"/>
        </w:rPr>
        <w:t>于1961年5月至1963年对被冲毁部分进行了修复。</w:t>
      </w:r>
    </w:p>
    <w:p w14:paraId="44A3540C">
      <w:pPr>
        <w:bidi w:val="0"/>
        <w:rPr>
          <w:rFonts w:hint="eastAsia"/>
          <w:color w:val="auto"/>
        </w:rPr>
      </w:pPr>
      <w:r>
        <w:rPr>
          <w:rFonts w:hint="eastAsia"/>
          <w:color w:val="auto"/>
        </w:rPr>
        <w:t>2009年，由于岿美山尾矿库运行时间已久，生产管理及现场均存在多处安全隐患，为使该尾矿库安全规范运行，业主委托中国瑞林工程技术有限公司对该尾矿库隐患综合治理进行可行性研究设计，2009年9月，中国瑞林工程技术有限公司完成了《岿美山钨矿尾矿库隐患综合治理工程可行性研究》</w:t>
      </w:r>
      <w:r>
        <w:rPr>
          <w:rFonts w:hint="eastAsia"/>
          <w:color w:val="auto"/>
          <w:lang w:eastAsia="zh-CN"/>
        </w:rPr>
        <w:t>（</w:t>
      </w:r>
      <w:r>
        <w:rPr>
          <w:rFonts w:hint="eastAsia"/>
          <w:color w:val="auto"/>
        </w:rPr>
        <w:t>中国瑞林工程技术有限公司，2009年9月</w:t>
      </w:r>
      <w:r>
        <w:rPr>
          <w:rFonts w:hint="eastAsia"/>
          <w:color w:val="auto"/>
          <w:lang w:eastAsia="zh-CN"/>
        </w:rPr>
        <w:t>）</w:t>
      </w:r>
      <w:r>
        <w:rPr>
          <w:rFonts w:hint="eastAsia"/>
          <w:color w:val="auto"/>
        </w:rPr>
        <w:t>，2011年元月，业主委托长沙有色冶金设计研究院对该库进行隐患综合治理工程初步设计及施工图设计，并于2011年10月完成《江西岿美山钨业有限公司尾矿库隐患综合治理工程初步设计</w:t>
      </w:r>
      <w:r>
        <w:rPr>
          <w:rFonts w:hint="eastAsia"/>
          <w:color w:val="auto"/>
          <w:lang w:val="en-US" w:eastAsia="zh-CN"/>
        </w:rPr>
        <w:t>及安全专篇</w:t>
      </w:r>
      <w:r>
        <w:rPr>
          <w:rFonts w:hint="eastAsia"/>
          <w:color w:val="auto"/>
        </w:rPr>
        <w:t>》</w:t>
      </w:r>
      <w:r>
        <w:rPr>
          <w:rFonts w:hint="eastAsia"/>
          <w:color w:val="auto"/>
          <w:lang w:eastAsia="zh-CN"/>
        </w:rPr>
        <w:t>（</w:t>
      </w:r>
      <w:r>
        <w:rPr>
          <w:rFonts w:hint="eastAsia"/>
          <w:color w:val="auto"/>
        </w:rPr>
        <w:t>长沙有色冶金设计研究院有限公司，2011年10月</w:t>
      </w:r>
      <w:r>
        <w:rPr>
          <w:rFonts w:hint="eastAsia"/>
          <w:color w:val="auto"/>
          <w:lang w:eastAsia="zh-CN"/>
        </w:rPr>
        <w:t>）</w:t>
      </w:r>
      <w:r>
        <w:rPr>
          <w:rFonts w:hint="eastAsia"/>
          <w:color w:val="auto"/>
        </w:rPr>
        <w:t>和施工图设计。由于矿山资源枯竭，岿美山钨矿已于2018年初停产，尾矿库亦已停止使用</w:t>
      </w:r>
      <w:r>
        <w:rPr>
          <w:rFonts w:hint="eastAsia"/>
          <w:color w:val="auto"/>
        </w:rPr>
        <w:t>，尾矿库安全生产许可证于2019年12月20日到期。</w:t>
      </w:r>
    </w:p>
    <w:p w14:paraId="4E37D72C">
      <w:pPr>
        <w:bidi w:val="0"/>
        <w:rPr>
          <w:rFonts w:hint="eastAsia"/>
          <w:color w:val="auto"/>
          <w:lang w:val="en-US" w:eastAsia="zh-CN"/>
        </w:rPr>
      </w:pPr>
      <w:r>
        <w:rPr>
          <w:rFonts w:hint="eastAsia"/>
          <w:color w:val="auto"/>
          <w:lang w:val="en-US" w:eastAsia="zh-CN"/>
        </w:rPr>
        <w:t>2024年3月，金建工程设计有限公司完成了《江西岿美山钨业有限公司尾矿库尾砂回采工程安全设施设计（报批稿）》，2024年4月12日，江西省应急管理厅下发了《江西省应急管理厅关于江西岿美山钨业有限公司尾矿库尾砂回采工程安全设施设计审查的批复》（赣应急非煤项目设审〔2024〕20号），同意安全设施</w:t>
      </w:r>
      <w:r>
        <w:rPr>
          <w:rFonts w:hint="eastAsia"/>
          <w:color w:val="auto"/>
          <w:lang w:val="en-US" w:eastAsia="zh-CN"/>
        </w:rPr>
        <w:t>设计通过审查。岿美山尾矿库尾砂回采工程因各种原因一直未实施，自从2018年一直停用至今。</w:t>
      </w:r>
    </w:p>
    <w:p w14:paraId="720EA4B0">
      <w:pPr>
        <w:bidi w:val="0"/>
        <w:rPr>
          <w:rFonts w:hint="eastAsia"/>
          <w:color w:val="auto"/>
        </w:rPr>
      </w:pPr>
      <w:r>
        <w:rPr>
          <w:rFonts w:hint="eastAsia"/>
          <w:color w:val="auto"/>
        </w:rPr>
        <w:t>根据《尾矿库安全监督管理规定》、《江西省尾矿库销号管理办法》、《国家矿山安全监察局关于印发</w:t>
      </w:r>
      <w:r>
        <w:rPr>
          <w:rFonts w:hint="eastAsia" w:ascii="宋体" w:hAnsi="宋体" w:eastAsia="宋体" w:cs="宋体"/>
          <w:color w:val="auto"/>
        </w:rPr>
        <w:t>&lt;</w:t>
      </w:r>
      <w:r>
        <w:rPr>
          <w:rFonts w:hint="eastAsia"/>
          <w:color w:val="auto"/>
        </w:rPr>
        <w:t>关于加强非煤矿山安全生产工作的指导意见</w:t>
      </w:r>
      <w:r>
        <w:rPr>
          <w:rFonts w:hint="eastAsia" w:ascii="宋体" w:hAnsi="宋体" w:eastAsia="宋体" w:cs="宋体"/>
          <w:color w:val="auto"/>
        </w:rPr>
        <w:t>&gt;</w:t>
      </w:r>
      <w:r>
        <w:rPr>
          <w:rFonts w:hint="eastAsia"/>
          <w:color w:val="auto"/>
        </w:rPr>
        <w:t>的通知》（矿安综〔2022〕4号）、《尾矿设施设计规范》（GB50863-2013）、等规定，停用时间超过3年且未报备的尾矿库，必须完成闭库治理并销号。</w:t>
      </w:r>
    </w:p>
    <w:p w14:paraId="7344D343">
      <w:pPr>
        <w:bidi w:val="0"/>
        <w:rPr>
          <w:rFonts w:hint="default"/>
          <w:color w:val="auto"/>
          <w:lang w:val="en-US" w:eastAsia="zh-CN"/>
        </w:rPr>
      </w:pPr>
      <w:r>
        <w:rPr>
          <w:rFonts w:hint="eastAsia"/>
          <w:strike w:val="0"/>
          <w:dstrike w:val="0"/>
          <w:color w:val="auto"/>
          <w:lang w:eastAsia="zh-CN"/>
        </w:rPr>
        <w:t>202</w:t>
      </w:r>
      <w:r>
        <w:rPr>
          <w:rFonts w:hint="eastAsia"/>
          <w:strike w:val="0"/>
          <w:dstrike w:val="0"/>
          <w:color w:val="auto"/>
          <w:lang w:val="en-US" w:eastAsia="zh-CN"/>
        </w:rPr>
        <w:t>6</w:t>
      </w:r>
      <w:r>
        <w:rPr>
          <w:rFonts w:hint="eastAsia"/>
          <w:strike w:val="0"/>
          <w:dstrike w:val="0"/>
          <w:color w:val="auto"/>
          <w:lang w:eastAsia="zh-CN"/>
        </w:rPr>
        <w:t>年</w:t>
      </w:r>
      <w:r>
        <w:rPr>
          <w:rFonts w:hint="eastAsia"/>
          <w:strike w:val="0"/>
          <w:dstrike w:val="0"/>
          <w:color w:val="auto"/>
          <w:lang w:val="en-US" w:eastAsia="zh-CN"/>
        </w:rPr>
        <w:t>6</w:t>
      </w:r>
      <w:r>
        <w:rPr>
          <w:rFonts w:hint="eastAsia"/>
          <w:strike w:val="0"/>
          <w:dstrike w:val="0"/>
          <w:color w:val="auto"/>
          <w:lang w:eastAsia="zh-CN"/>
        </w:rPr>
        <w:t>月，</w:t>
      </w:r>
      <w:r>
        <w:rPr>
          <w:rFonts w:hint="eastAsia"/>
          <w:color w:val="auto"/>
          <w:lang w:eastAsia="zh-CN"/>
        </w:rPr>
        <w:t>江西岿美山钨业有限公司</w:t>
      </w:r>
      <w:r>
        <w:rPr>
          <w:rFonts w:hint="eastAsia"/>
          <w:color w:val="auto"/>
          <w:lang w:val="en-US" w:eastAsia="zh-CN"/>
        </w:rPr>
        <w:t>委托</w:t>
      </w:r>
      <w:r>
        <w:rPr>
          <w:rFonts w:hint="eastAsia"/>
          <w:color w:val="auto"/>
          <w:lang w:eastAsia="zh-CN"/>
        </w:rPr>
        <w:t>赣州有色冶金研究所有限公司</w:t>
      </w:r>
      <w:r>
        <w:rPr>
          <w:rFonts w:hint="eastAsia"/>
          <w:color w:val="auto"/>
          <w:lang w:val="en-US" w:eastAsia="zh-CN"/>
        </w:rPr>
        <w:t>对岿美山尾矿库进行了</w:t>
      </w:r>
      <w:r>
        <w:rPr>
          <w:rFonts w:hint="eastAsia"/>
          <w:color w:val="auto"/>
          <w:lang w:eastAsia="zh-CN"/>
        </w:rPr>
        <w:t>致灾因素普查，</w:t>
      </w:r>
      <w:r>
        <w:rPr>
          <w:rFonts w:hint="eastAsia"/>
          <w:color w:val="auto"/>
          <w:lang w:val="en-US" w:eastAsia="zh-CN"/>
        </w:rPr>
        <w:t>出具了</w:t>
      </w:r>
      <w:r>
        <w:rPr>
          <w:rFonts w:hint="eastAsia"/>
          <w:color w:val="auto"/>
          <w:lang w:eastAsia="zh-CN"/>
        </w:rPr>
        <w:t>《江西岿美山钨业有限公司岿美山尾矿库隐蔽致灾因素普查报告》</w:t>
      </w:r>
      <w:r>
        <w:rPr>
          <w:rFonts w:hint="eastAsia"/>
          <w:color w:val="auto"/>
          <w:lang w:val="en-US" w:eastAsia="zh-CN"/>
        </w:rPr>
        <w:t>并通过了专家评审</w:t>
      </w:r>
      <w:r>
        <w:rPr>
          <w:rFonts w:hint="eastAsia"/>
          <w:color w:val="auto"/>
          <w:lang w:eastAsia="zh-CN"/>
        </w:rPr>
        <w:t>。</w:t>
      </w:r>
    </w:p>
    <w:p w14:paraId="3E559801">
      <w:pPr>
        <w:bidi w:val="0"/>
        <w:rPr>
          <w:rFonts w:hint="eastAsia"/>
          <w:strike w:val="0"/>
          <w:dstrike w:val="0"/>
          <w:color w:val="auto"/>
          <w:lang w:eastAsia="zh-CN"/>
        </w:rPr>
      </w:pPr>
      <w:r>
        <w:rPr>
          <w:rFonts w:hint="eastAsia"/>
          <w:strike w:val="0"/>
          <w:dstrike w:val="0"/>
          <w:color w:val="auto"/>
          <w:lang w:eastAsia="zh-CN"/>
        </w:rPr>
        <w:t>202</w:t>
      </w:r>
      <w:r>
        <w:rPr>
          <w:rFonts w:hint="eastAsia"/>
          <w:strike w:val="0"/>
          <w:dstrike w:val="0"/>
          <w:color w:val="auto"/>
          <w:lang w:val="en-US" w:eastAsia="zh-CN"/>
        </w:rPr>
        <w:t>6</w:t>
      </w:r>
      <w:r>
        <w:rPr>
          <w:rFonts w:hint="eastAsia"/>
          <w:strike w:val="0"/>
          <w:dstrike w:val="0"/>
          <w:color w:val="auto"/>
          <w:lang w:eastAsia="zh-CN"/>
        </w:rPr>
        <w:t>年</w:t>
      </w:r>
      <w:r>
        <w:rPr>
          <w:rFonts w:hint="eastAsia"/>
          <w:strike w:val="0"/>
          <w:dstrike w:val="0"/>
          <w:color w:val="auto"/>
          <w:lang w:val="en-US" w:eastAsia="zh-CN"/>
        </w:rPr>
        <w:t>7</w:t>
      </w:r>
      <w:r>
        <w:rPr>
          <w:rFonts w:hint="eastAsia"/>
          <w:strike w:val="0"/>
          <w:dstrike w:val="0"/>
          <w:color w:val="auto"/>
          <w:lang w:eastAsia="zh-CN"/>
        </w:rPr>
        <w:t>月，</w:t>
      </w:r>
      <w:r>
        <w:rPr>
          <w:rFonts w:hint="eastAsia"/>
          <w:color w:val="auto"/>
          <w:lang w:eastAsia="zh-CN"/>
        </w:rPr>
        <w:t>江西岿美山钨业有限公司</w:t>
      </w:r>
      <w:r>
        <w:rPr>
          <w:rFonts w:hint="eastAsia"/>
          <w:color w:val="auto"/>
          <w:lang w:val="en-US" w:eastAsia="zh-CN"/>
        </w:rPr>
        <w:t>委托</w:t>
      </w:r>
      <w:r>
        <w:rPr>
          <w:rFonts w:hint="eastAsia"/>
          <w:strike w:val="0"/>
          <w:dstrike w:val="0"/>
          <w:color w:val="auto"/>
          <w:lang w:eastAsia="zh-CN"/>
        </w:rPr>
        <w:t>江西省勘察设计研究院有限公司</w:t>
      </w:r>
      <w:r>
        <w:rPr>
          <w:rFonts w:hint="eastAsia"/>
          <w:strike w:val="0"/>
          <w:dstrike w:val="0"/>
          <w:color w:val="auto"/>
          <w:lang w:val="en-US" w:eastAsia="zh-CN"/>
        </w:rPr>
        <w:t>编制完成了</w:t>
      </w:r>
      <w:r>
        <w:rPr>
          <w:rFonts w:hint="eastAsia"/>
          <w:strike w:val="0"/>
          <w:dstrike w:val="0"/>
          <w:color w:val="auto"/>
          <w:lang w:eastAsia="zh-CN"/>
        </w:rPr>
        <w:t>《江西岿美山钨业有限公司尾矿库闭库工程（水文）地质勘察报告（详细勘察）》。</w:t>
      </w:r>
    </w:p>
    <w:p w14:paraId="3B8998B8">
      <w:pPr>
        <w:bidi w:val="0"/>
        <w:rPr>
          <w:rFonts w:hint="default"/>
          <w:strike w:val="0"/>
          <w:dstrike w:val="0"/>
          <w:color w:val="auto"/>
          <w:lang w:val="en-US" w:eastAsia="zh-CN"/>
        </w:rPr>
      </w:pPr>
      <w:r>
        <w:rPr>
          <w:rFonts w:hint="eastAsia"/>
          <w:strike w:val="0"/>
          <w:dstrike w:val="0"/>
          <w:color w:val="auto"/>
          <w:lang w:eastAsia="zh-CN"/>
        </w:rPr>
        <w:t>202</w:t>
      </w:r>
      <w:r>
        <w:rPr>
          <w:rFonts w:hint="eastAsia"/>
          <w:strike w:val="0"/>
          <w:dstrike w:val="0"/>
          <w:color w:val="auto"/>
          <w:lang w:val="en-US" w:eastAsia="zh-CN"/>
        </w:rPr>
        <w:t>6</w:t>
      </w:r>
      <w:r>
        <w:rPr>
          <w:rFonts w:hint="eastAsia"/>
          <w:strike w:val="0"/>
          <w:dstrike w:val="0"/>
          <w:color w:val="auto"/>
          <w:lang w:eastAsia="zh-CN"/>
        </w:rPr>
        <w:t>年</w:t>
      </w:r>
      <w:r>
        <w:rPr>
          <w:rFonts w:hint="eastAsia"/>
          <w:strike w:val="0"/>
          <w:dstrike w:val="0"/>
          <w:color w:val="auto"/>
          <w:lang w:val="en-US" w:eastAsia="zh-CN"/>
        </w:rPr>
        <w:t>8</w:t>
      </w:r>
      <w:r>
        <w:rPr>
          <w:rFonts w:hint="eastAsia"/>
          <w:strike w:val="0"/>
          <w:dstrike w:val="0"/>
          <w:color w:val="auto"/>
          <w:lang w:eastAsia="zh-CN"/>
        </w:rPr>
        <w:t>月，</w:t>
      </w:r>
      <w:r>
        <w:rPr>
          <w:rFonts w:hint="eastAsia"/>
          <w:color w:val="auto"/>
          <w:lang w:eastAsia="zh-CN"/>
        </w:rPr>
        <w:t>江西岿美山钨业有限公司</w:t>
      </w:r>
      <w:r>
        <w:rPr>
          <w:rFonts w:hint="eastAsia"/>
          <w:color w:val="auto"/>
          <w:lang w:val="en-US" w:eastAsia="zh-CN"/>
        </w:rPr>
        <w:t>委托金建工程设计有限公司完成了《江西岿美山钨业有限公司尾矿库闭库工程可行性研究报告》。</w:t>
      </w:r>
    </w:p>
    <w:p w14:paraId="15942AFD">
      <w:pPr>
        <w:pStyle w:val="3"/>
        <w:bidi w:val="0"/>
        <w:rPr>
          <w:rFonts w:hint="default"/>
          <w:color w:val="auto"/>
          <w:lang w:val="en-US" w:eastAsia="zh-CN"/>
        </w:rPr>
      </w:pPr>
      <w:bookmarkStart w:id="83" w:name="_Toc17290"/>
      <w:bookmarkStart w:id="84" w:name="_Toc9322"/>
      <w:bookmarkStart w:id="85" w:name="_Toc32291"/>
      <w:bookmarkStart w:id="86" w:name="_Toc13889"/>
      <w:bookmarkStart w:id="87" w:name="_Toc27810"/>
      <w:r>
        <w:rPr>
          <w:rFonts w:hint="default"/>
          <w:color w:val="auto"/>
          <w:lang w:val="en-US" w:eastAsia="zh-CN"/>
        </w:rPr>
        <w:t>2.4</w:t>
      </w:r>
      <w:r>
        <w:rPr>
          <w:rFonts w:hint="eastAsia"/>
          <w:color w:val="auto"/>
          <w:lang w:val="en-US" w:eastAsia="zh-CN"/>
        </w:rPr>
        <w:t xml:space="preserve"> </w:t>
      </w:r>
      <w:r>
        <w:rPr>
          <w:rFonts w:hint="default"/>
          <w:color w:val="auto"/>
          <w:lang w:val="en-US" w:eastAsia="zh-CN"/>
        </w:rPr>
        <w:t>地质概况</w:t>
      </w:r>
      <w:bookmarkEnd w:id="83"/>
      <w:bookmarkEnd w:id="84"/>
      <w:bookmarkEnd w:id="85"/>
      <w:bookmarkEnd w:id="86"/>
      <w:bookmarkEnd w:id="87"/>
    </w:p>
    <w:p w14:paraId="4FA5BD8C">
      <w:pPr>
        <w:bidi w:val="0"/>
        <w:rPr>
          <w:rFonts w:hint="default"/>
          <w:strike w:val="0"/>
          <w:dstrike w:val="0"/>
          <w:color w:val="auto"/>
          <w:lang w:val="en-US" w:eastAsia="zh-CN"/>
        </w:rPr>
      </w:pPr>
      <w:r>
        <w:rPr>
          <w:rFonts w:hint="eastAsia"/>
          <w:strike w:val="0"/>
          <w:dstrike w:val="0"/>
          <w:color w:val="auto"/>
          <w:lang w:val="en-US" w:eastAsia="zh-CN"/>
        </w:rPr>
        <w:t>本节引自</w:t>
      </w:r>
      <w:r>
        <w:rPr>
          <w:rFonts w:hint="default"/>
          <w:strike w:val="0"/>
          <w:dstrike w:val="0"/>
          <w:color w:val="auto"/>
          <w:lang w:val="en-US" w:eastAsia="zh-CN"/>
        </w:rPr>
        <w:t>江西省勘察设计研究院有限公司于202</w:t>
      </w:r>
      <w:r>
        <w:rPr>
          <w:rFonts w:hint="eastAsia"/>
          <w:strike w:val="0"/>
          <w:dstrike w:val="0"/>
          <w:color w:val="auto"/>
          <w:lang w:val="en-US" w:eastAsia="zh-CN"/>
        </w:rPr>
        <w:t>6</w:t>
      </w:r>
      <w:r>
        <w:rPr>
          <w:rFonts w:hint="default"/>
          <w:strike w:val="0"/>
          <w:dstrike w:val="0"/>
          <w:color w:val="auto"/>
          <w:lang w:val="en-US" w:eastAsia="zh-CN"/>
        </w:rPr>
        <w:t>年</w:t>
      </w:r>
      <w:r>
        <w:rPr>
          <w:rFonts w:hint="eastAsia"/>
          <w:strike w:val="0"/>
          <w:dstrike w:val="0"/>
          <w:color w:val="auto"/>
          <w:lang w:val="en-US" w:eastAsia="zh-CN"/>
        </w:rPr>
        <w:t>7</w:t>
      </w:r>
      <w:r>
        <w:rPr>
          <w:rFonts w:hint="default"/>
          <w:strike w:val="0"/>
          <w:dstrike w:val="0"/>
          <w:color w:val="auto"/>
          <w:lang w:val="en-US" w:eastAsia="zh-CN"/>
        </w:rPr>
        <w:t>月编制的《</w:t>
      </w:r>
      <w:r>
        <w:rPr>
          <w:rFonts w:hint="eastAsia"/>
          <w:strike w:val="0"/>
          <w:dstrike w:val="0"/>
          <w:color w:val="auto"/>
          <w:lang w:eastAsia="zh-CN"/>
        </w:rPr>
        <w:t>江西岿美山钨业有限公司尾矿库闭库工程（水文）地质勘察报告</w:t>
      </w:r>
      <w:r>
        <w:rPr>
          <w:rFonts w:hint="eastAsia"/>
          <w:strike w:val="0"/>
          <w:dstrike w:val="0"/>
          <w:color w:val="auto"/>
          <w:lang w:val="en-US" w:eastAsia="zh-CN"/>
        </w:rPr>
        <w:t>（详细勘察）</w:t>
      </w:r>
      <w:r>
        <w:rPr>
          <w:rFonts w:hint="default"/>
          <w:strike w:val="0"/>
          <w:dstrike w:val="0"/>
          <w:color w:val="auto"/>
          <w:lang w:val="en-US" w:eastAsia="zh-CN"/>
        </w:rPr>
        <w:t>》中的工程地质资料。</w:t>
      </w:r>
    </w:p>
    <w:p w14:paraId="6D0C1A2F">
      <w:pPr>
        <w:pStyle w:val="4"/>
        <w:bidi w:val="0"/>
        <w:rPr>
          <w:rFonts w:hint="default"/>
          <w:color w:val="auto"/>
          <w:lang w:val="en-US" w:eastAsia="zh-CN"/>
        </w:rPr>
      </w:pPr>
      <w:bookmarkStart w:id="88" w:name="_Toc9643"/>
      <w:bookmarkStart w:id="89" w:name="_Toc31772"/>
      <w:bookmarkStart w:id="90" w:name="_Toc14074"/>
      <w:bookmarkStart w:id="91" w:name="_Toc10047"/>
      <w:bookmarkStart w:id="92" w:name="_Toc28338"/>
      <w:r>
        <w:rPr>
          <w:rFonts w:hint="default"/>
          <w:color w:val="auto"/>
          <w:lang w:val="en-US" w:eastAsia="zh-CN"/>
        </w:rPr>
        <w:t>2.4.1</w:t>
      </w:r>
      <w:r>
        <w:rPr>
          <w:rFonts w:hint="eastAsia"/>
          <w:color w:val="auto"/>
          <w:lang w:val="en-US" w:eastAsia="zh-CN"/>
        </w:rPr>
        <w:t xml:space="preserve"> </w:t>
      </w:r>
      <w:bookmarkEnd w:id="88"/>
      <w:bookmarkEnd w:id="89"/>
      <w:r>
        <w:rPr>
          <w:rFonts w:hint="default"/>
          <w:color w:val="auto"/>
          <w:lang w:val="en-US" w:eastAsia="zh-CN"/>
        </w:rPr>
        <w:t>区域地质</w:t>
      </w:r>
      <w:bookmarkEnd w:id="90"/>
      <w:bookmarkEnd w:id="91"/>
      <w:bookmarkEnd w:id="92"/>
    </w:p>
    <w:p w14:paraId="0B0A08B7">
      <w:pPr>
        <w:bidi w:val="0"/>
        <w:rPr>
          <w:rFonts w:hint="eastAsia"/>
          <w:color w:val="auto"/>
          <w:lang w:val="en-US" w:eastAsia="zh-CN"/>
        </w:rPr>
      </w:pPr>
      <w:r>
        <w:rPr>
          <w:rFonts w:hint="eastAsia"/>
          <w:color w:val="auto"/>
          <w:lang w:val="en-US" w:eastAsia="zh-CN"/>
        </w:rPr>
        <w:t>库区区域构造位于华南褶皱系武夷褶窿南西侧之于山构造带，根据区域地质简图（图2.4-1）及钻探揭露，库区未见明显断裂分布和活动断裂痕迹，库区内出露地层有侏罗系中细粒花岗岩类。</w:t>
      </w:r>
    </w:p>
    <w:p w14:paraId="1E0260B6">
      <w:pPr>
        <w:bidi w:val="0"/>
        <w:ind w:left="0" w:leftChars="0" w:firstLine="0" w:firstLineChars="0"/>
        <w:jc w:val="center"/>
        <w:rPr>
          <w:rFonts w:hint="eastAsia"/>
          <w:color w:val="auto"/>
          <w:lang w:val="en-US" w:eastAsia="zh-CN"/>
        </w:rPr>
      </w:pPr>
      <w:r>
        <w:rPr>
          <w:color w:val="auto"/>
        </w:rPr>
        <w:drawing>
          <wp:inline distT="0" distB="0" distL="114300" distR="114300">
            <wp:extent cx="4319905" cy="2740025"/>
            <wp:effectExtent l="0" t="0" r="4445" b="3175"/>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4"/>
                    <a:stretch>
                      <a:fillRect/>
                    </a:stretch>
                  </pic:blipFill>
                  <pic:spPr>
                    <a:xfrm>
                      <a:off x="0" y="0"/>
                      <a:ext cx="4319905" cy="2740025"/>
                    </a:xfrm>
                    <a:prstGeom prst="rect">
                      <a:avLst/>
                    </a:prstGeom>
                    <a:noFill/>
                    <a:ln>
                      <a:noFill/>
                    </a:ln>
                  </pic:spPr>
                </pic:pic>
              </a:graphicData>
            </a:graphic>
          </wp:inline>
        </w:drawing>
      </w:r>
    </w:p>
    <w:p w14:paraId="73242F36">
      <w:pPr>
        <w:bidi w:val="0"/>
        <w:ind w:left="0" w:leftChars="0" w:firstLine="0" w:firstLineChars="0"/>
        <w:jc w:val="center"/>
        <w:rPr>
          <w:rFonts w:hint="default"/>
          <w:color w:val="auto"/>
          <w:lang w:val="en-US" w:eastAsia="zh-CN"/>
        </w:rPr>
      </w:pPr>
      <w:r>
        <w:rPr>
          <w:rFonts w:hint="eastAsia"/>
          <w:color w:val="auto"/>
          <w:lang w:val="en-US" w:eastAsia="zh-CN"/>
        </w:rPr>
        <w:t>图2.4-1 区域地质简图</w:t>
      </w:r>
    </w:p>
    <w:p w14:paraId="6F5FE1A7">
      <w:pPr>
        <w:pStyle w:val="4"/>
        <w:bidi w:val="0"/>
        <w:rPr>
          <w:rFonts w:hint="eastAsia"/>
          <w:color w:val="auto"/>
          <w:lang w:val="en-US" w:eastAsia="zh-CN"/>
        </w:rPr>
      </w:pPr>
      <w:bookmarkStart w:id="93" w:name="_Toc14231"/>
      <w:bookmarkStart w:id="94" w:name="_Toc31240"/>
      <w:bookmarkStart w:id="95" w:name="_Toc519"/>
      <w:bookmarkStart w:id="96" w:name="_Toc7993"/>
      <w:bookmarkStart w:id="97" w:name="_Toc4513"/>
      <w:r>
        <w:rPr>
          <w:rFonts w:hint="eastAsia"/>
          <w:color w:val="auto"/>
          <w:lang w:val="en-US" w:eastAsia="zh-CN"/>
        </w:rPr>
        <w:t xml:space="preserve">2.4.2 </w:t>
      </w:r>
      <w:bookmarkEnd w:id="93"/>
      <w:bookmarkEnd w:id="94"/>
      <w:r>
        <w:rPr>
          <w:rFonts w:hint="eastAsia"/>
          <w:color w:val="auto"/>
          <w:lang w:val="en-US" w:eastAsia="zh-CN"/>
        </w:rPr>
        <w:t>工程地质条件</w:t>
      </w:r>
      <w:bookmarkEnd w:id="95"/>
      <w:bookmarkEnd w:id="96"/>
      <w:bookmarkEnd w:id="97"/>
    </w:p>
    <w:p w14:paraId="098849CF">
      <w:pPr>
        <w:bidi w:val="0"/>
        <w:rPr>
          <w:rFonts w:hint="eastAsia" w:ascii="Times New Roman" w:hAnsi="Times New Roman" w:cs="Times New Roman"/>
          <w:color w:val="auto"/>
          <w:lang w:val="en-US" w:eastAsia="zh-CN"/>
        </w:rPr>
      </w:pPr>
      <w:r>
        <w:rPr>
          <w:rFonts w:hint="default" w:ascii="Times New Roman" w:hAnsi="Times New Roman" w:cs="Times New Roman"/>
          <w:color w:val="auto"/>
          <w:lang w:val="en-US" w:eastAsia="zh-CN"/>
        </w:rPr>
        <w:t>据钻探揭露，勘探深度内，场地地层结构为第四系全新统采选矿弃渣和人工堆积物（Q</w:t>
      </w:r>
      <w:r>
        <w:rPr>
          <w:rFonts w:hint="eastAsia" w:ascii="Times New Roman" w:hAnsi="Times New Roman" w:cs="Times New Roman"/>
          <w:color w:val="auto"/>
          <w:vertAlign w:val="subscript"/>
          <w:lang w:val="en-US" w:eastAsia="zh-CN"/>
        </w:rPr>
        <w:t>4</w:t>
      </w:r>
      <w:r>
        <w:rPr>
          <w:rFonts w:hint="eastAsia" w:ascii="Times New Roman" w:hAnsi="Times New Roman" w:cs="Times New Roman"/>
          <w:color w:val="auto"/>
          <w:vertAlign w:val="superscript"/>
          <w:lang w:val="en-US" w:eastAsia="zh-CN"/>
        </w:rPr>
        <w:t>ml</w:t>
      </w:r>
      <w:r>
        <w:rPr>
          <w:rFonts w:hint="default" w:ascii="Times New Roman" w:hAnsi="Times New Roman" w:cs="Times New Roman"/>
          <w:color w:val="auto"/>
          <w:lang w:val="en-US" w:eastAsia="zh-CN"/>
        </w:rPr>
        <w:t>）、第四系全新统残积层（Q</w:t>
      </w:r>
      <w:r>
        <w:rPr>
          <w:rFonts w:hint="eastAsia" w:ascii="Times New Roman" w:hAnsi="Times New Roman" w:cs="Times New Roman"/>
          <w:color w:val="auto"/>
          <w:vertAlign w:val="subscript"/>
          <w:lang w:val="en-US" w:eastAsia="zh-CN"/>
        </w:rPr>
        <w:t>4</w:t>
      </w:r>
      <w:r>
        <w:rPr>
          <w:rFonts w:hint="eastAsia" w:cs="Times New Roman"/>
          <w:color w:val="auto"/>
          <w:vertAlign w:val="superscript"/>
          <w:lang w:val="en-US" w:eastAsia="zh-CN"/>
        </w:rPr>
        <w:t>e</w:t>
      </w:r>
      <w:r>
        <w:rPr>
          <w:rFonts w:hint="eastAsia" w:ascii="Times New Roman" w:hAnsi="Times New Roman" w:cs="Times New Roman"/>
          <w:color w:val="auto"/>
          <w:vertAlign w:val="superscript"/>
          <w:lang w:val="en-US" w:eastAsia="zh-CN"/>
        </w:rPr>
        <w:t>l</w:t>
      </w:r>
      <w:r>
        <w:rPr>
          <w:rFonts w:hint="default" w:ascii="Times New Roman" w:hAnsi="Times New Roman" w:cs="Times New Roman"/>
          <w:color w:val="auto"/>
          <w:lang w:val="en-US" w:eastAsia="zh-CN"/>
        </w:rPr>
        <w:t>）、侏罗系花岗岩（J）组成。按其岩性及其工程特性，自上而下可依次划分为</w:t>
      </w:r>
      <w:r>
        <w:rPr>
          <w:rFonts w:hint="default" w:ascii="Times New Roman" w:hAnsi="Times New Roman" w:eastAsia="微软雅黑" w:cs="Times New Roman"/>
          <w:color w:val="auto"/>
          <w:lang w:val="en-US" w:eastAsia="zh-CN"/>
        </w:rPr>
        <w:t>①</w:t>
      </w:r>
      <w:r>
        <w:rPr>
          <w:rFonts w:hint="default" w:ascii="Times New Roman" w:hAnsi="Times New Roman" w:cs="Times New Roman"/>
          <w:color w:val="auto"/>
          <w:lang w:val="en-US" w:eastAsia="zh-CN"/>
        </w:rPr>
        <w:t>尾砾砂、</w:t>
      </w:r>
      <w:r>
        <w:rPr>
          <w:rFonts w:hint="default" w:ascii="Times New Roman" w:hAnsi="Times New Roman" w:eastAsia="微软雅黑" w:cs="Times New Roman"/>
          <w:color w:val="auto"/>
          <w:lang w:val="en-US" w:eastAsia="zh-CN"/>
        </w:rPr>
        <w:t>②</w:t>
      </w:r>
      <w:r>
        <w:rPr>
          <w:rFonts w:hint="default" w:ascii="Times New Roman" w:hAnsi="Times New Roman" w:cs="Times New Roman"/>
          <w:color w:val="auto"/>
          <w:lang w:val="en-US" w:eastAsia="zh-CN"/>
        </w:rPr>
        <w:t>尾细砂、</w:t>
      </w:r>
      <w:r>
        <w:rPr>
          <w:rFonts w:hint="default" w:ascii="Times New Roman" w:hAnsi="Times New Roman" w:eastAsia="微软雅黑" w:cs="Times New Roman"/>
          <w:color w:val="auto"/>
          <w:lang w:val="en-US" w:eastAsia="zh-CN"/>
        </w:rPr>
        <w:t>②</w:t>
      </w:r>
      <w:r>
        <w:rPr>
          <w:rFonts w:hint="default" w:ascii="Times New Roman" w:hAnsi="Times New Roman" w:cs="Times New Roman"/>
          <w:color w:val="auto"/>
          <w:lang w:val="en-US" w:eastAsia="zh-CN"/>
        </w:rPr>
        <w:t>1尾粉质黏土、</w:t>
      </w:r>
      <w:r>
        <w:rPr>
          <w:rFonts w:hint="default" w:ascii="Times New Roman" w:hAnsi="Times New Roman" w:eastAsia="微软雅黑" w:cs="Times New Roman"/>
          <w:color w:val="auto"/>
          <w:lang w:val="en-US" w:eastAsia="zh-CN"/>
        </w:rPr>
        <w:t>③</w:t>
      </w:r>
      <w:r>
        <w:rPr>
          <w:rFonts w:hint="default" w:ascii="Times New Roman" w:hAnsi="Times New Roman" w:cs="Times New Roman"/>
          <w:color w:val="auto"/>
          <w:lang w:val="en-US" w:eastAsia="zh-CN"/>
        </w:rPr>
        <w:t>填碎石、</w:t>
      </w:r>
      <w:r>
        <w:rPr>
          <w:rFonts w:hint="default" w:ascii="Times New Roman" w:hAnsi="Times New Roman" w:eastAsia="微软雅黑" w:cs="Times New Roman"/>
          <w:color w:val="auto"/>
          <w:lang w:val="en-US" w:eastAsia="zh-CN"/>
        </w:rPr>
        <w:t>④</w:t>
      </w:r>
      <w:r>
        <w:rPr>
          <w:rFonts w:hint="default" w:ascii="Times New Roman" w:hAnsi="Times New Roman" w:cs="Times New Roman"/>
          <w:color w:val="auto"/>
          <w:lang w:val="en-US" w:eastAsia="zh-CN"/>
        </w:rPr>
        <w:t>初期坝填土</w:t>
      </w:r>
      <w:r>
        <w:rPr>
          <w:rFonts w:hint="eastAsia" w:ascii="Times New Roman" w:hAnsi="Times New Roman" w:cs="Times New Roman"/>
          <w:color w:val="auto"/>
          <w:lang w:val="en-US" w:eastAsia="zh-CN"/>
        </w:rPr>
        <w:t>、</w:t>
      </w:r>
      <w:r>
        <w:rPr>
          <w:rFonts w:hint="default" w:ascii="Times New Roman" w:hAnsi="Times New Roman" w:eastAsia="微软雅黑" w:cs="Times New Roman"/>
          <w:color w:val="auto"/>
          <w:lang w:val="en-US" w:eastAsia="zh-CN"/>
        </w:rPr>
        <w:t>⑤</w:t>
      </w:r>
      <w:r>
        <w:rPr>
          <w:rFonts w:hint="default" w:ascii="Times New Roman" w:hAnsi="Times New Roman" w:cs="Times New Roman"/>
          <w:color w:val="auto"/>
          <w:lang w:val="en-US" w:eastAsia="zh-CN"/>
        </w:rPr>
        <w:t>筑坝混凝土、</w:t>
      </w:r>
      <w:r>
        <w:rPr>
          <w:rFonts w:hint="default" w:ascii="Times New Roman" w:hAnsi="Times New Roman" w:eastAsia="微软雅黑" w:cs="Times New Roman"/>
          <w:color w:val="auto"/>
          <w:lang w:val="en-US" w:eastAsia="zh-CN"/>
        </w:rPr>
        <w:t>⑥</w:t>
      </w:r>
      <w:r>
        <w:rPr>
          <w:rFonts w:hint="default" w:ascii="Times New Roman" w:hAnsi="Times New Roman" w:cs="Times New Roman"/>
          <w:color w:val="auto"/>
          <w:lang w:val="en-US" w:eastAsia="zh-CN"/>
        </w:rPr>
        <w:t>砾质黏性土、</w:t>
      </w:r>
      <w:r>
        <w:rPr>
          <w:rFonts w:hint="default" w:ascii="Times New Roman" w:hAnsi="Times New Roman" w:eastAsia="微软雅黑" w:cs="Times New Roman"/>
          <w:color w:val="auto"/>
          <w:lang w:val="en-US" w:eastAsia="zh-CN"/>
        </w:rPr>
        <w:t>⑦</w:t>
      </w:r>
      <w:r>
        <w:rPr>
          <w:rFonts w:hint="default" w:ascii="Times New Roman" w:hAnsi="Times New Roman" w:cs="Times New Roman"/>
          <w:color w:val="auto"/>
          <w:lang w:val="en-US" w:eastAsia="zh-CN"/>
        </w:rPr>
        <w:t>全风化花岗岩、</w:t>
      </w:r>
      <w:r>
        <w:rPr>
          <w:rFonts w:hint="default" w:ascii="Times New Roman" w:hAnsi="Times New Roman" w:eastAsia="微软雅黑" w:cs="Times New Roman"/>
          <w:color w:val="auto"/>
          <w:lang w:val="en-US" w:eastAsia="zh-CN"/>
        </w:rPr>
        <w:t>⑧</w:t>
      </w:r>
      <w:r>
        <w:rPr>
          <w:rFonts w:hint="default" w:ascii="Times New Roman" w:hAnsi="Times New Roman" w:cs="Times New Roman"/>
          <w:color w:val="auto"/>
          <w:lang w:val="en-US" w:eastAsia="zh-CN"/>
        </w:rPr>
        <w:t>强风化花岗岩、</w:t>
      </w:r>
      <w:r>
        <w:rPr>
          <w:rFonts w:hint="default" w:ascii="Times New Roman" w:hAnsi="Times New Roman" w:eastAsia="微软雅黑" w:cs="Times New Roman"/>
          <w:color w:val="auto"/>
          <w:lang w:val="en-US" w:eastAsia="zh-CN"/>
        </w:rPr>
        <w:t>⑨</w:t>
      </w:r>
      <w:r>
        <w:rPr>
          <w:rFonts w:hint="default" w:ascii="Times New Roman" w:hAnsi="Times New Roman" w:cs="Times New Roman"/>
          <w:color w:val="auto"/>
          <w:lang w:val="en-US" w:eastAsia="zh-CN"/>
        </w:rPr>
        <w:t>中风化花岗岩。以下分别予以阐述</w:t>
      </w:r>
      <w:r>
        <w:rPr>
          <w:rFonts w:hint="eastAsia" w:ascii="Times New Roman" w:hAnsi="Times New Roman" w:cs="Times New Roman"/>
          <w:color w:val="auto"/>
          <w:lang w:val="en-US" w:eastAsia="zh-CN"/>
        </w:rPr>
        <w:t>：</w:t>
      </w:r>
    </w:p>
    <w:p w14:paraId="351FF27A">
      <w:pPr>
        <w:bidi w:val="0"/>
        <w:rPr>
          <w:rFonts w:hint="default" w:ascii="Times New Roman" w:hAnsi="Times New Roman" w:cs="Times New Roman"/>
          <w:color w:val="auto"/>
          <w:lang w:val="en-US" w:eastAsia="zh-CN"/>
        </w:rPr>
      </w:pPr>
      <w:r>
        <w:rPr>
          <w:rFonts w:hint="eastAsia" w:ascii="Times New Roman" w:hAnsi="Times New Roman" w:cs="Times New Roman"/>
          <w:b/>
          <w:bCs/>
          <w:color w:val="auto"/>
          <w:lang w:val="en-US" w:eastAsia="zh-CN"/>
        </w:rPr>
        <w:t xml:space="preserve">1. </w:t>
      </w:r>
      <w:r>
        <w:rPr>
          <w:rFonts w:hint="default" w:ascii="Times New Roman" w:hAnsi="Times New Roman" w:cs="Times New Roman"/>
          <w:b/>
          <w:bCs/>
          <w:color w:val="auto"/>
          <w:lang w:val="en-US" w:eastAsia="zh-CN"/>
        </w:rPr>
        <w:t>第四系全新统采选矿弃渣和人工堆积物（Q</w:t>
      </w:r>
      <w:r>
        <w:rPr>
          <w:rFonts w:hint="eastAsia" w:ascii="Times New Roman" w:hAnsi="Times New Roman" w:cs="Times New Roman"/>
          <w:b/>
          <w:bCs/>
          <w:color w:val="auto"/>
          <w:vertAlign w:val="subscript"/>
          <w:lang w:val="en-US" w:eastAsia="zh-CN"/>
        </w:rPr>
        <w:t>4</w:t>
      </w:r>
      <w:r>
        <w:rPr>
          <w:rFonts w:hint="eastAsia" w:ascii="Times New Roman" w:hAnsi="Times New Roman" w:cs="Times New Roman"/>
          <w:b/>
          <w:bCs/>
          <w:color w:val="auto"/>
          <w:vertAlign w:val="superscript"/>
          <w:lang w:val="en-US" w:eastAsia="zh-CN"/>
        </w:rPr>
        <w:t>ml</w:t>
      </w:r>
      <w:r>
        <w:rPr>
          <w:rFonts w:hint="default" w:ascii="Times New Roman" w:hAnsi="Times New Roman" w:cs="Times New Roman"/>
          <w:b/>
          <w:bCs/>
          <w:color w:val="auto"/>
          <w:lang w:val="en-US" w:eastAsia="zh-CN"/>
        </w:rPr>
        <w:t>）</w:t>
      </w:r>
    </w:p>
    <w:p w14:paraId="77A544B3">
      <w:pPr>
        <w:bidi w:val="0"/>
        <w:rPr>
          <w:rFonts w:hint="eastAsia" w:ascii="Times New Roman" w:hAnsi="Times New Roman" w:cs="Times New Roman"/>
          <w:color w:val="auto"/>
          <w:lang w:val="en-US" w:eastAsia="zh-CN"/>
        </w:rPr>
      </w:pPr>
      <w:r>
        <w:rPr>
          <w:rFonts w:hint="default" w:ascii="Times New Roman" w:hAnsi="Times New Roman" w:eastAsia="微软雅黑" w:cs="Times New Roman"/>
          <w:color w:val="auto"/>
          <w:lang w:val="en-US" w:eastAsia="zh-CN"/>
        </w:rPr>
        <w:t>①</w:t>
      </w:r>
      <w:r>
        <w:rPr>
          <w:rFonts w:hint="default" w:ascii="Times New Roman" w:hAnsi="Times New Roman" w:cs="Times New Roman"/>
          <w:color w:val="auto"/>
          <w:lang w:val="en-US" w:eastAsia="zh-CN"/>
        </w:rPr>
        <w:t>尾砾砂</w:t>
      </w:r>
      <w:r>
        <w:rPr>
          <w:rFonts w:hint="eastAsia" w:cs="Times New Roman"/>
          <w:color w:val="auto"/>
          <w:lang w:val="en-US" w:eastAsia="zh-CN"/>
        </w:rPr>
        <w:t>：</w:t>
      </w:r>
      <w:r>
        <w:rPr>
          <w:rFonts w:hint="eastAsia" w:ascii="Times New Roman" w:hAnsi="Times New Roman" w:cs="Times New Roman"/>
          <w:color w:val="auto"/>
          <w:lang w:val="en-US" w:eastAsia="zh-CN"/>
        </w:rPr>
        <w:t>灰白色，灰黑色，饱和，稍密，级配较差，分选性较好，母岩为变质砂岩，粒径大于2mm的颗粒占总质量的45%以上，场地内大部分均有揭露。该层在36个钻孔（ZK1</w:t>
      </w:r>
      <w:r>
        <w:rPr>
          <w:rFonts w:hint="eastAsia" w:ascii="宋体" w:hAnsi="宋体" w:eastAsia="宋体" w:cs="宋体"/>
          <w:color w:val="auto"/>
          <w:kern w:val="0"/>
        </w:rPr>
        <w:t>～</w:t>
      </w:r>
      <w:r>
        <w:rPr>
          <w:rFonts w:hint="eastAsia" w:ascii="Times New Roman" w:hAnsi="Times New Roman" w:cs="Times New Roman"/>
          <w:color w:val="auto"/>
          <w:lang w:val="en-US" w:eastAsia="zh-CN"/>
        </w:rPr>
        <w:t>ZK4，ZK6～ZK10，ZK15～ZK18，ZK21～ZK23，ZK25～ZK27，ZK30，ZZK08～ZZK09、ZZK12，ZZK17～ZZK29）厚1.90m～20.34m，平均厚度9.56m；层顶深度0.00m～25.60m，层顶标高+285.56m～+336.00m。该层进行重型动力触探试验，实测锤击数7.0击～11.0击，修正后平均锤击数7.1击。</w:t>
      </w:r>
    </w:p>
    <w:p w14:paraId="644AA31C">
      <w:pPr>
        <w:bidi w:val="0"/>
        <w:rPr>
          <w:rFonts w:hint="eastAsia" w:ascii="Times New Roman" w:hAnsi="Times New Roman" w:cs="Times New Roman"/>
          <w:color w:val="auto"/>
          <w:lang w:val="en-US" w:eastAsia="zh-CN"/>
        </w:rPr>
      </w:pPr>
      <w:r>
        <w:rPr>
          <w:rFonts w:hint="default" w:ascii="Times New Roman" w:hAnsi="Times New Roman" w:eastAsia="微软雅黑" w:cs="Times New Roman"/>
          <w:color w:val="auto"/>
          <w:lang w:val="en-US" w:eastAsia="zh-CN"/>
        </w:rPr>
        <w:t>②</w:t>
      </w:r>
      <w:r>
        <w:rPr>
          <w:rFonts w:hint="eastAsia" w:ascii="Times New Roman" w:hAnsi="Times New Roman" w:cs="Times New Roman"/>
          <w:color w:val="auto"/>
          <w:lang w:val="en-US" w:eastAsia="zh-CN"/>
        </w:rPr>
        <w:t>尾细砂：灰白色、灰褐色，湿～饱和，松散～稍密，级配良好，粒径大于0.075mm的颗粒质量超过总质量86%以上。该层在35个钻孔（ZK5～ZK9、ZK14～ZK18、ZK20～ZK27、ZK30、ZZK07～ZZK09、ZZK12、ZZK17～ZZK28）揭露到，厚0.50m～21.30m，平均厚度7.04m；层顶深度0.00m～32.00m，层顶标高+300.64m～+336.08m。该层作标准贯入试验13次，实测锤击数7.0击～13.0击，修正后平均锤击数8.1击。</w:t>
      </w:r>
    </w:p>
    <w:p w14:paraId="01856EBA">
      <w:pPr>
        <w:bidi w:val="0"/>
        <w:rPr>
          <w:rFonts w:hint="eastAsia" w:ascii="Times New Roman" w:hAnsi="Times New Roman" w:cs="Times New Roman"/>
          <w:color w:val="auto"/>
          <w:lang w:val="en-US" w:eastAsia="zh-CN"/>
        </w:rPr>
      </w:pPr>
      <w:r>
        <w:rPr>
          <w:rFonts w:hint="default" w:ascii="Times New Roman" w:hAnsi="Times New Roman" w:eastAsia="微软雅黑" w:cs="Times New Roman"/>
          <w:color w:val="auto"/>
          <w:lang w:val="en-US" w:eastAsia="zh-CN"/>
        </w:rPr>
        <w:t>②</w:t>
      </w:r>
      <w:r>
        <w:rPr>
          <w:rFonts w:hint="default" w:ascii="Times New Roman" w:hAnsi="Times New Roman" w:cs="Times New Roman"/>
          <w:color w:val="auto"/>
          <w:lang w:val="en-US" w:eastAsia="zh-CN"/>
        </w:rPr>
        <w:t>1</w:t>
      </w:r>
      <w:r>
        <w:rPr>
          <w:rFonts w:hint="eastAsia" w:ascii="Times New Roman" w:hAnsi="Times New Roman" w:cs="Times New Roman"/>
          <w:color w:val="auto"/>
          <w:lang w:val="en-US" w:eastAsia="zh-CN"/>
        </w:rPr>
        <w:t>尾粉质黏土：仅ZZK17～ZZK21钻孔有分布，褐黄、灰褐色、饱和，软塑状，成分以粘粒为主，粉粒次之，部分夹有机质，干强度低，韧性低，无摇震反应，局部夹少量尾细砂。该层作标准贯入试验6次，实测锤击数为3.0击～4.0击，修正后锤击数2.8击～3.4击，修正后平均锤击数3.0击。揭露层厚4.00m～16.40m，平均厚度为9.80m，层顶埋深为0.00～0.00m，层顶标高+332.02m～+334.17m，层底埋深为4.00m～16.40m，层底标高+315.62m～+329.47m。</w:t>
      </w:r>
    </w:p>
    <w:p w14:paraId="31BFDD45">
      <w:pPr>
        <w:bidi w:val="0"/>
        <w:rPr>
          <w:rFonts w:hint="eastAsia" w:ascii="Times New Roman" w:hAnsi="Times New Roman" w:cs="Times New Roman"/>
          <w:color w:val="auto"/>
          <w:lang w:val="en-US" w:eastAsia="zh-CN"/>
        </w:rPr>
      </w:pPr>
      <w:r>
        <w:rPr>
          <w:rFonts w:hint="default" w:ascii="Times New Roman" w:hAnsi="Times New Roman" w:eastAsia="微软雅黑" w:cs="Times New Roman"/>
          <w:color w:val="auto"/>
          <w:lang w:val="en-US" w:eastAsia="zh-CN"/>
        </w:rPr>
        <w:t>③</w:t>
      </w:r>
      <w:r>
        <w:rPr>
          <w:rFonts w:hint="eastAsia" w:ascii="Times New Roman" w:hAnsi="Times New Roman" w:cs="Times New Roman"/>
          <w:color w:val="auto"/>
          <w:lang w:val="en-US" w:eastAsia="zh-CN"/>
        </w:rPr>
        <w:t>填碎石：仅ZK01～ZK07、ZK11～ZK16，ZK20～ZK21、ZK24</w:t>
      </w:r>
      <w:r>
        <w:rPr>
          <w:rFonts w:hint="eastAsia" w:ascii="宋体" w:hAnsi="宋体" w:eastAsia="宋体" w:cs="宋体"/>
          <w:color w:val="auto"/>
          <w:kern w:val="0"/>
        </w:rPr>
        <w:t>～</w:t>
      </w:r>
      <w:r>
        <w:rPr>
          <w:rFonts w:hint="eastAsia" w:ascii="Times New Roman" w:hAnsi="Times New Roman" w:cs="Times New Roman"/>
          <w:color w:val="auto"/>
          <w:lang w:val="en-US" w:eastAsia="zh-CN"/>
        </w:rPr>
        <w:t>ZK26，ZK28～ZK29、ZK33、ZZK04～ZZK06、ZZK10～ZZK11、ZZK13～ZZK14钻孔有分布，灰白、褐红色、暗紫色，稍密，碎石粒径不均，分选极差，含较多块石和砂砾，岩性成分为变质砂岩。该层作重型动力触探试验8.1m，实测锤击数5.0击～11.0击，修正后锤击数4.7击～9.4击，修正后平均锤击数6.6击。揭露层厚0.60m～26.53m，平均厚度为9.53m，层顶埋深为0.00～10.50m，层顶标高+293.07m～+336.50m，层底埋深为0.60m～26.53m，层底标高+284.16m～+333.35m。</w:t>
      </w:r>
    </w:p>
    <w:p w14:paraId="6B3632CD">
      <w:pPr>
        <w:bidi w:val="0"/>
        <w:rPr>
          <w:rFonts w:hint="eastAsia" w:ascii="Times New Roman" w:hAnsi="Times New Roman" w:cs="Times New Roman"/>
          <w:color w:val="auto"/>
          <w:lang w:val="en-US" w:eastAsia="zh-CN"/>
        </w:rPr>
      </w:pPr>
      <w:r>
        <w:rPr>
          <w:rFonts w:hint="default" w:ascii="Times New Roman" w:hAnsi="Times New Roman" w:eastAsia="微软雅黑" w:cs="Times New Roman"/>
          <w:color w:val="auto"/>
          <w:lang w:val="en-US" w:eastAsia="zh-CN"/>
        </w:rPr>
        <w:t>④</w:t>
      </w:r>
      <w:r>
        <w:rPr>
          <w:rFonts w:hint="eastAsia" w:ascii="Times New Roman" w:hAnsi="Times New Roman" w:cs="Times New Roman"/>
          <w:color w:val="auto"/>
          <w:lang w:val="en-US" w:eastAsia="zh-CN"/>
        </w:rPr>
        <w:t>初期坝填土：仅ZK01～ZK04、ZZK01～ZZK03钻孔有分布，成分主要为砾质黏性土，棕红、暗紫色，稍湿，可塑状，主要由粘粒、粉粒及粒径大于2mm的颗粒质量超过总质量的50%以上砾砂组成，切面粗糙，干强度和韧性中等，无摇震反应，岩性呈土柱状。该层作标准贯入试验6次，实测锤击数6.0击～10.0击，修正后平均锤击数6.3击。揭露层厚0.50m～4.60m，平均厚度为3.09m，层顶埋深为0.00m～13.51m，层顶标高+284.62～+306.72m，层底埋深为0.50m～16.40m，层底标高+281.62m～+302.58m。</w:t>
      </w:r>
    </w:p>
    <w:p w14:paraId="59D3F588">
      <w:pPr>
        <w:bidi w:val="0"/>
        <w:rPr>
          <w:rFonts w:hint="eastAsia" w:ascii="Times New Roman" w:hAnsi="Times New Roman" w:cs="Times New Roman"/>
          <w:color w:val="auto"/>
          <w:lang w:val="en-US" w:eastAsia="zh-CN"/>
        </w:rPr>
      </w:pPr>
      <w:r>
        <w:rPr>
          <w:rFonts w:hint="default" w:ascii="Times New Roman" w:hAnsi="Times New Roman" w:eastAsia="微软雅黑" w:cs="Times New Roman"/>
          <w:color w:val="auto"/>
          <w:lang w:val="en-US" w:eastAsia="zh-CN"/>
        </w:rPr>
        <w:t>⑤</w:t>
      </w:r>
      <w:r>
        <w:rPr>
          <w:rFonts w:hint="eastAsia" w:ascii="Times New Roman" w:hAnsi="Times New Roman" w:cs="Times New Roman"/>
          <w:color w:val="auto"/>
          <w:lang w:val="en-US" w:eastAsia="zh-CN"/>
        </w:rPr>
        <w:t>筑坝混凝土：青灰色，主要为C15及C20混凝土组成，为溢流坝坝体主要堆积材料。该层在3个钻孔（ZK32、ZZK15、ZZK16）揭露到，揭露层厚4.80m～11.50m，平均厚度9.70m；层顶深度0.00m，层顶标高+330.80m～+336.31m。</w:t>
      </w:r>
    </w:p>
    <w:p w14:paraId="2E879A55">
      <w:pPr>
        <w:bidi w:val="0"/>
        <w:rPr>
          <w:rFonts w:hint="default"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 xml:space="preserve">2. </w:t>
      </w:r>
      <w:r>
        <w:rPr>
          <w:rFonts w:hint="default" w:ascii="Times New Roman" w:hAnsi="Times New Roman" w:cs="Times New Roman"/>
          <w:b/>
          <w:bCs/>
          <w:color w:val="auto"/>
          <w:lang w:val="en-US" w:eastAsia="zh-CN"/>
        </w:rPr>
        <w:t>第四系全新统残积层（Q</w:t>
      </w:r>
      <w:r>
        <w:rPr>
          <w:rFonts w:hint="eastAsia" w:ascii="Times New Roman" w:hAnsi="Times New Roman" w:cs="Times New Roman"/>
          <w:b/>
          <w:bCs/>
          <w:color w:val="auto"/>
          <w:vertAlign w:val="subscript"/>
          <w:lang w:val="en-US" w:eastAsia="zh-CN"/>
        </w:rPr>
        <w:t>4</w:t>
      </w:r>
      <w:r>
        <w:rPr>
          <w:rFonts w:hint="eastAsia" w:cs="Times New Roman"/>
          <w:b/>
          <w:bCs/>
          <w:color w:val="auto"/>
          <w:vertAlign w:val="superscript"/>
          <w:lang w:val="en-US" w:eastAsia="zh-CN"/>
        </w:rPr>
        <w:t>e</w:t>
      </w:r>
      <w:r>
        <w:rPr>
          <w:rFonts w:hint="eastAsia" w:ascii="Times New Roman" w:hAnsi="Times New Roman" w:cs="Times New Roman"/>
          <w:b/>
          <w:bCs/>
          <w:color w:val="auto"/>
          <w:vertAlign w:val="superscript"/>
          <w:lang w:val="en-US" w:eastAsia="zh-CN"/>
        </w:rPr>
        <w:t>l</w:t>
      </w:r>
      <w:r>
        <w:rPr>
          <w:rFonts w:hint="default" w:ascii="Times New Roman" w:hAnsi="Times New Roman" w:cs="Times New Roman"/>
          <w:b/>
          <w:bCs/>
          <w:color w:val="auto"/>
          <w:lang w:val="en-US" w:eastAsia="zh-CN"/>
        </w:rPr>
        <w:t>）</w:t>
      </w:r>
    </w:p>
    <w:p w14:paraId="7E280177">
      <w:pPr>
        <w:bidi w:val="0"/>
        <w:rPr>
          <w:rFonts w:hint="default" w:ascii="Times New Roman" w:hAnsi="Times New Roman" w:cs="Times New Roman"/>
          <w:color w:val="auto"/>
          <w:lang w:val="en-US" w:eastAsia="zh-CN"/>
        </w:rPr>
      </w:pPr>
      <w:r>
        <w:rPr>
          <w:rFonts w:hint="default" w:ascii="Times New Roman" w:hAnsi="Times New Roman" w:eastAsia="微软雅黑" w:cs="Times New Roman"/>
          <w:color w:val="auto"/>
          <w:lang w:val="en-US" w:eastAsia="zh-CN"/>
        </w:rPr>
        <w:t>⑥</w:t>
      </w:r>
      <w:r>
        <w:rPr>
          <w:rFonts w:hint="default" w:ascii="Times New Roman" w:hAnsi="Times New Roman" w:cs="Times New Roman"/>
          <w:color w:val="auto"/>
          <w:lang w:val="en-US" w:eastAsia="zh-CN"/>
        </w:rPr>
        <w:t>砾质黏性土</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褐黄色，暗紫色，稍湿，可塑状，主要由粉粒、黏粒及粒径大于2mm的颗粒质量超过总质量50%以上的砾砂组成，切面粗糙，干强度和韧性中等，无摇震反应岩芯呈土柱状。该层在31个钻孔</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ZK6</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ZK31、ZK33、ZZK10</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ZZK12、ZZK14</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揭露到，厚1.89</w:t>
      </w:r>
      <w:r>
        <w:rPr>
          <w:rFonts w:hint="eastAsia" w:ascii="Times New Roman" w:hAnsi="Times New Roman" w:cs="Times New Roman"/>
          <w:color w:val="auto"/>
          <w:lang w:val="en-US" w:eastAsia="zh-CN"/>
        </w:rPr>
        <w:t>m～</w:t>
      </w:r>
      <w:r>
        <w:rPr>
          <w:rFonts w:hint="default" w:ascii="Times New Roman" w:hAnsi="Times New Roman" w:cs="Times New Roman"/>
          <w:color w:val="auto"/>
          <w:lang w:val="en-US" w:eastAsia="zh-CN"/>
        </w:rPr>
        <w:t>15.10</w:t>
      </w:r>
      <w:r>
        <w:rPr>
          <w:rFonts w:hint="eastAsia" w:ascii="Times New Roman" w:hAnsi="Times New Roman" w:cs="Times New Roman"/>
          <w:color w:val="auto"/>
          <w:lang w:val="en-US" w:eastAsia="zh-CN"/>
        </w:rPr>
        <w:t>m</w:t>
      </w:r>
      <w:r>
        <w:rPr>
          <w:rFonts w:hint="default" w:ascii="Times New Roman" w:hAnsi="Times New Roman" w:cs="Times New Roman"/>
          <w:color w:val="auto"/>
          <w:lang w:val="en-US" w:eastAsia="zh-CN"/>
        </w:rPr>
        <w:t>，平均厚度5.10</w:t>
      </w:r>
      <w:r>
        <w:rPr>
          <w:rFonts w:hint="eastAsia" w:ascii="Times New Roman" w:hAnsi="Times New Roman" w:cs="Times New Roman"/>
          <w:color w:val="auto"/>
          <w:lang w:val="en-US" w:eastAsia="zh-CN"/>
        </w:rPr>
        <w:t>m；</w:t>
      </w:r>
      <w:r>
        <w:rPr>
          <w:rFonts w:hint="default" w:ascii="Times New Roman" w:hAnsi="Times New Roman" w:cs="Times New Roman"/>
          <w:color w:val="auto"/>
          <w:lang w:val="en-US" w:eastAsia="zh-CN"/>
        </w:rPr>
        <w:t>层顶深度0.00</w:t>
      </w:r>
      <w:r>
        <w:rPr>
          <w:rFonts w:hint="eastAsia" w:ascii="Times New Roman" w:hAnsi="Times New Roman" w:cs="Times New Roman"/>
          <w:color w:val="auto"/>
          <w:lang w:val="en-US" w:eastAsia="zh-CN"/>
        </w:rPr>
        <w:t>m～</w:t>
      </w:r>
      <w:r>
        <w:rPr>
          <w:rFonts w:hint="default" w:ascii="Times New Roman" w:hAnsi="Times New Roman" w:cs="Times New Roman"/>
          <w:color w:val="auto"/>
          <w:lang w:val="en-US" w:eastAsia="zh-CN"/>
        </w:rPr>
        <w:t>35.70</w:t>
      </w:r>
      <w:r>
        <w:rPr>
          <w:rFonts w:hint="eastAsia" w:ascii="Times New Roman" w:hAnsi="Times New Roman" w:cs="Times New Roman"/>
          <w:color w:val="auto"/>
          <w:lang w:val="en-US" w:eastAsia="zh-CN"/>
        </w:rPr>
        <w:t>m</w:t>
      </w:r>
      <w:r>
        <w:rPr>
          <w:rFonts w:hint="default" w:ascii="Times New Roman" w:hAnsi="Times New Roman" w:cs="Times New Roman"/>
          <w:color w:val="auto"/>
          <w:lang w:val="en-US" w:eastAsia="zh-CN"/>
        </w:rPr>
        <w:t>，层顶标高</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282.16</w:t>
      </w:r>
      <w:r>
        <w:rPr>
          <w:rFonts w:hint="eastAsia" w:ascii="Times New Roman" w:hAnsi="Times New Roman" w:cs="Times New Roman"/>
          <w:color w:val="auto"/>
          <w:lang w:val="en-US" w:eastAsia="zh-CN"/>
        </w:rPr>
        <w:t>m～+</w:t>
      </w:r>
      <w:r>
        <w:rPr>
          <w:rFonts w:hint="default" w:ascii="Times New Roman" w:hAnsi="Times New Roman" w:cs="Times New Roman"/>
          <w:color w:val="auto"/>
          <w:lang w:val="en-US" w:eastAsia="zh-CN"/>
        </w:rPr>
        <w:t>331.03</w:t>
      </w:r>
      <w:r>
        <w:rPr>
          <w:rFonts w:hint="eastAsia" w:ascii="Times New Roman" w:hAnsi="Times New Roman" w:cs="Times New Roman"/>
          <w:color w:val="auto"/>
          <w:lang w:val="en-US" w:eastAsia="zh-CN"/>
        </w:rPr>
        <w:t>m</w:t>
      </w:r>
      <w:r>
        <w:rPr>
          <w:rFonts w:hint="default" w:ascii="Times New Roman" w:hAnsi="Times New Roman" w:cs="Times New Roman"/>
          <w:color w:val="auto"/>
          <w:lang w:val="en-US" w:eastAsia="zh-CN"/>
        </w:rPr>
        <w:t>。该层作标准贯入试验6次，实测锤击数6.0击</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10.0击，修正后锤击数4.2</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7.7击，修正后平均锤击数6.0击。</w:t>
      </w:r>
    </w:p>
    <w:p w14:paraId="3D3D896B">
      <w:pPr>
        <w:bidi w:val="0"/>
        <w:rPr>
          <w:rFonts w:hint="default"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 xml:space="preserve">3. </w:t>
      </w:r>
      <w:r>
        <w:rPr>
          <w:rFonts w:hint="default" w:ascii="Times New Roman" w:hAnsi="Times New Roman" w:cs="Times New Roman"/>
          <w:b/>
          <w:bCs/>
          <w:color w:val="auto"/>
          <w:lang w:val="en-US" w:eastAsia="zh-CN"/>
        </w:rPr>
        <w:t>侏罗系花岗岩（J）</w:t>
      </w:r>
    </w:p>
    <w:p w14:paraId="353ED14A">
      <w:pPr>
        <w:bidi w:val="0"/>
        <w:rPr>
          <w:rFonts w:hint="eastAsia" w:ascii="Times New Roman" w:hAnsi="Times New Roman" w:cs="Times New Roman"/>
          <w:color w:val="auto"/>
          <w:lang w:val="en-US" w:eastAsia="zh-CN"/>
        </w:rPr>
      </w:pPr>
      <w:r>
        <w:rPr>
          <w:rFonts w:hint="default" w:ascii="Times New Roman" w:hAnsi="Times New Roman" w:cs="Times New Roman"/>
          <w:color w:val="auto"/>
          <w:lang w:val="en-US" w:eastAsia="zh-CN"/>
        </w:rPr>
        <w:t>花岗岩</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J</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灰黄、红褐色、灰白色、青灰色，中</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粗粒结构，块状构造。岩石质硬，属硬质岩。根据岩石的风化程度千枚岩可划分为三个亚层，对其工程地质特征分述如下</w:t>
      </w:r>
      <w:r>
        <w:rPr>
          <w:rFonts w:hint="eastAsia" w:ascii="Times New Roman" w:hAnsi="Times New Roman" w:cs="Times New Roman"/>
          <w:color w:val="auto"/>
          <w:lang w:val="en-US" w:eastAsia="zh-CN"/>
        </w:rPr>
        <w:t>：</w:t>
      </w:r>
    </w:p>
    <w:p w14:paraId="3A7DADA5">
      <w:pPr>
        <w:rPr>
          <w:rFonts w:hint="default" w:ascii="Times New Roman" w:hAnsi="Times New Roman" w:cs="Times New Roman"/>
          <w:color w:val="auto"/>
          <w:lang w:val="en-US" w:eastAsia="zh-CN"/>
        </w:rPr>
      </w:pPr>
      <w:r>
        <w:rPr>
          <w:rFonts w:hint="default" w:ascii="Times New Roman" w:hAnsi="Times New Roman" w:eastAsia="微软雅黑" w:cs="Times New Roman"/>
          <w:color w:val="auto"/>
          <w:lang w:val="en-US" w:eastAsia="zh-CN"/>
        </w:rPr>
        <w:t>⑦</w:t>
      </w:r>
      <w:r>
        <w:rPr>
          <w:rFonts w:hint="default" w:ascii="Times New Roman" w:hAnsi="Times New Roman" w:cs="Times New Roman"/>
          <w:color w:val="auto"/>
          <w:lang w:val="en-US" w:eastAsia="zh-CN"/>
        </w:rPr>
        <w:t>全风化花岗岩</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灰黄色，红褐色，原岩结构、构造完全被破坏，矿物己显著变化，风化裂隙很发育，岩体破碎，为碎裂状结构类型，岩芯呈砂土状，钻进慢。该层在49个钻孔</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ZK1</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ZK33、ZZK01</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ZZK16</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揭露到，厚1.30</w:t>
      </w:r>
      <w:r>
        <w:rPr>
          <w:rFonts w:hint="eastAsia" w:ascii="Times New Roman" w:hAnsi="Times New Roman" w:cs="Times New Roman"/>
          <w:color w:val="auto"/>
          <w:lang w:val="en-US" w:eastAsia="zh-CN"/>
        </w:rPr>
        <w:t>m～</w:t>
      </w:r>
      <w:r>
        <w:rPr>
          <w:rFonts w:hint="default" w:ascii="Times New Roman" w:hAnsi="Times New Roman" w:cs="Times New Roman"/>
          <w:color w:val="auto"/>
          <w:lang w:val="en-US" w:eastAsia="zh-CN"/>
        </w:rPr>
        <w:t>35.10</w:t>
      </w:r>
      <w:r>
        <w:rPr>
          <w:rFonts w:hint="eastAsia" w:ascii="Times New Roman" w:hAnsi="Times New Roman" w:cs="Times New Roman"/>
          <w:color w:val="auto"/>
          <w:lang w:val="en-US" w:eastAsia="zh-CN"/>
        </w:rPr>
        <w:t>m</w:t>
      </w:r>
      <w:r>
        <w:rPr>
          <w:rFonts w:hint="default" w:ascii="Times New Roman" w:hAnsi="Times New Roman" w:cs="Times New Roman"/>
          <w:color w:val="auto"/>
          <w:lang w:val="en-US" w:eastAsia="zh-CN"/>
        </w:rPr>
        <w:t>，平均厚度7.26</w:t>
      </w:r>
      <w:r>
        <w:rPr>
          <w:rFonts w:hint="eastAsia" w:ascii="Times New Roman" w:hAnsi="Times New Roman" w:cs="Times New Roman"/>
          <w:color w:val="auto"/>
          <w:lang w:val="en-US" w:eastAsia="zh-CN"/>
        </w:rPr>
        <w:t>m：</w:t>
      </w:r>
      <w:r>
        <w:rPr>
          <w:rFonts w:hint="default" w:ascii="Times New Roman" w:hAnsi="Times New Roman" w:cs="Times New Roman"/>
          <w:color w:val="auto"/>
          <w:lang w:val="en-US" w:eastAsia="zh-CN"/>
        </w:rPr>
        <w:t>层顶深度0.50</w:t>
      </w:r>
      <w:r>
        <w:rPr>
          <w:rFonts w:hint="eastAsia" w:ascii="Times New Roman" w:hAnsi="Times New Roman" w:cs="Times New Roman"/>
          <w:color w:val="auto"/>
          <w:lang w:val="en-US" w:eastAsia="zh-CN"/>
        </w:rPr>
        <w:t>m～</w:t>
      </w:r>
      <w:r>
        <w:rPr>
          <w:rFonts w:hint="default" w:ascii="Times New Roman" w:hAnsi="Times New Roman" w:cs="Times New Roman"/>
          <w:color w:val="auto"/>
          <w:lang w:val="en-US" w:eastAsia="zh-CN"/>
        </w:rPr>
        <w:t>37.60</w:t>
      </w:r>
      <w:r>
        <w:rPr>
          <w:rFonts w:hint="eastAsia" w:ascii="Times New Roman" w:hAnsi="Times New Roman" w:cs="Times New Roman"/>
          <w:color w:val="auto"/>
          <w:lang w:val="en-US" w:eastAsia="zh-CN"/>
        </w:rPr>
        <w:t>m</w:t>
      </w:r>
      <w:r>
        <w:rPr>
          <w:rFonts w:hint="default" w:ascii="Times New Roman" w:hAnsi="Times New Roman" w:cs="Times New Roman"/>
          <w:color w:val="auto"/>
          <w:lang w:val="en-US" w:eastAsia="zh-CN"/>
        </w:rPr>
        <w:t>，层顶标高</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278.86</w:t>
      </w:r>
      <w:r>
        <w:rPr>
          <w:rFonts w:hint="eastAsia" w:ascii="Times New Roman" w:hAnsi="Times New Roman" w:cs="Times New Roman"/>
          <w:color w:val="auto"/>
          <w:lang w:val="en-US" w:eastAsia="zh-CN"/>
        </w:rPr>
        <w:t>m～+</w:t>
      </w:r>
      <w:r>
        <w:rPr>
          <w:rFonts w:hint="default" w:ascii="Times New Roman" w:hAnsi="Times New Roman" w:cs="Times New Roman"/>
          <w:color w:val="auto"/>
          <w:lang w:val="en-US" w:eastAsia="zh-CN"/>
        </w:rPr>
        <w:t>333.35</w:t>
      </w:r>
      <w:r>
        <w:rPr>
          <w:rFonts w:hint="eastAsia" w:ascii="Times New Roman" w:hAnsi="Times New Roman" w:cs="Times New Roman"/>
          <w:color w:val="auto"/>
          <w:lang w:val="en-US" w:eastAsia="zh-CN"/>
        </w:rPr>
        <w:t>m</w:t>
      </w:r>
      <w:r>
        <w:rPr>
          <w:rFonts w:hint="default" w:ascii="Times New Roman" w:hAnsi="Times New Roman" w:cs="Times New Roman"/>
          <w:color w:val="auto"/>
          <w:lang w:val="en-US" w:eastAsia="zh-CN"/>
        </w:rPr>
        <w:t>。该层作标准贯入试验8次，实测锤击数35.0击</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44.0击，修正后锤击数24.5击</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35.1击，修正后平均锤击数30.3击。</w:t>
      </w:r>
    </w:p>
    <w:p w14:paraId="08ED9EDA">
      <w:pPr>
        <w:rPr>
          <w:rFonts w:hint="default" w:ascii="Times New Roman" w:hAnsi="Times New Roman" w:cs="Times New Roman"/>
          <w:color w:val="auto"/>
          <w:lang w:val="en-US" w:eastAsia="zh-CN"/>
        </w:rPr>
      </w:pPr>
      <w:r>
        <w:rPr>
          <w:rFonts w:hint="default" w:ascii="Times New Roman" w:hAnsi="Times New Roman" w:eastAsia="微软雅黑" w:cs="Times New Roman"/>
          <w:color w:val="auto"/>
          <w:lang w:val="en-US" w:eastAsia="zh-CN"/>
        </w:rPr>
        <w:t>⑧</w:t>
      </w:r>
      <w:r>
        <w:rPr>
          <w:rFonts w:hint="default" w:ascii="Times New Roman" w:hAnsi="Times New Roman" w:cs="Times New Roman"/>
          <w:color w:val="auto"/>
          <w:lang w:val="en-US" w:eastAsia="zh-CN"/>
        </w:rPr>
        <w:t>强风化花岗岩</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浅灰白色，粗粒结构，块状构造，矿物成分以石英、长石为主，含少量云母，节理裂隙极发育，结构大部分破坏，矿物己显著变化，岩体破碎，软硬及风化不均，为碎裂状结构类型，岩芯呈碎块状。该层在54个钻孔</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ZK1</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ZK33、ZZK01</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ZZK20、ZZK21</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揭露到，厚0.80</w:t>
      </w:r>
      <w:r>
        <w:rPr>
          <w:rFonts w:hint="eastAsia" w:ascii="Times New Roman" w:hAnsi="Times New Roman" w:cs="Times New Roman"/>
          <w:color w:val="auto"/>
          <w:lang w:val="en-US" w:eastAsia="zh-CN"/>
        </w:rPr>
        <w:t>m～</w:t>
      </w:r>
      <w:r>
        <w:rPr>
          <w:rFonts w:hint="default" w:ascii="Times New Roman" w:hAnsi="Times New Roman" w:cs="Times New Roman"/>
          <w:color w:val="auto"/>
          <w:lang w:val="en-US" w:eastAsia="zh-CN"/>
        </w:rPr>
        <w:t>24.80</w:t>
      </w:r>
      <w:r>
        <w:rPr>
          <w:rFonts w:hint="eastAsia" w:ascii="Times New Roman" w:hAnsi="Times New Roman" w:cs="Times New Roman"/>
          <w:color w:val="auto"/>
          <w:lang w:val="en-US" w:eastAsia="zh-CN"/>
        </w:rPr>
        <w:t>m</w:t>
      </w:r>
      <w:r>
        <w:rPr>
          <w:rFonts w:hint="default" w:ascii="Times New Roman" w:hAnsi="Times New Roman" w:cs="Times New Roman"/>
          <w:color w:val="auto"/>
          <w:lang w:val="en-US" w:eastAsia="zh-CN"/>
        </w:rPr>
        <w:t>，平均厚度5.43</w:t>
      </w:r>
      <w:r>
        <w:rPr>
          <w:rFonts w:hint="eastAsia" w:ascii="Times New Roman" w:hAnsi="Times New Roman" w:cs="Times New Roman"/>
          <w:color w:val="auto"/>
          <w:lang w:val="en-US" w:eastAsia="zh-CN"/>
        </w:rPr>
        <w:t>m：</w:t>
      </w:r>
      <w:r>
        <w:rPr>
          <w:rFonts w:hint="default" w:ascii="Times New Roman" w:hAnsi="Times New Roman" w:cs="Times New Roman"/>
          <w:color w:val="auto"/>
          <w:lang w:val="en-US" w:eastAsia="zh-CN"/>
        </w:rPr>
        <w:t>层顶深度3.70</w:t>
      </w:r>
      <w:r>
        <w:rPr>
          <w:rFonts w:hint="eastAsia" w:ascii="Times New Roman" w:hAnsi="Times New Roman" w:cs="Times New Roman"/>
          <w:color w:val="auto"/>
          <w:lang w:val="en-US" w:eastAsia="zh-CN"/>
        </w:rPr>
        <w:t>m～</w:t>
      </w:r>
      <w:r>
        <w:rPr>
          <w:rFonts w:hint="default" w:ascii="Times New Roman" w:hAnsi="Times New Roman" w:cs="Times New Roman"/>
          <w:color w:val="auto"/>
          <w:lang w:val="en-US" w:eastAsia="zh-CN"/>
        </w:rPr>
        <w:t>46.80</w:t>
      </w:r>
      <w:r>
        <w:rPr>
          <w:rFonts w:hint="eastAsia" w:ascii="Times New Roman" w:hAnsi="Times New Roman" w:cs="Times New Roman"/>
          <w:color w:val="auto"/>
          <w:lang w:val="en-US" w:eastAsia="zh-CN"/>
        </w:rPr>
        <w:t>m</w:t>
      </w:r>
      <w:r>
        <w:rPr>
          <w:rFonts w:hint="default" w:ascii="Times New Roman" w:hAnsi="Times New Roman" w:cs="Times New Roman"/>
          <w:color w:val="auto"/>
          <w:lang w:val="en-US" w:eastAsia="zh-CN"/>
        </w:rPr>
        <w:t>，层顶标高</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275.56</w:t>
      </w:r>
      <w:r>
        <w:rPr>
          <w:rFonts w:hint="eastAsia" w:ascii="Times New Roman" w:hAnsi="Times New Roman" w:cs="Times New Roman"/>
          <w:color w:val="auto"/>
          <w:lang w:val="en-US" w:eastAsia="zh-CN"/>
        </w:rPr>
        <w:t>m～+</w:t>
      </w:r>
      <w:r>
        <w:rPr>
          <w:rFonts w:hint="default" w:ascii="Times New Roman" w:hAnsi="Times New Roman" w:cs="Times New Roman"/>
          <w:color w:val="auto"/>
          <w:lang w:val="en-US" w:eastAsia="zh-CN"/>
        </w:rPr>
        <w:t>328.16</w:t>
      </w:r>
      <w:r>
        <w:rPr>
          <w:rFonts w:hint="eastAsia" w:ascii="Times New Roman" w:hAnsi="Times New Roman" w:cs="Times New Roman"/>
          <w:color w:val="auto"/>
          <w:lang w:val="en-US" w:eastAsia="zh-CN"/>
        </w:rPr>
        <w:t>m</w:t>
      </w:r>
      <w:r>
        <w:rPr>
          <w:rFonts w:hint="default" w:ascii="Times New Roman" w:hAnsi="Times New Roman" w:cs="Times New Roman"/>
          <w:color w:val="auto"/>
          <w:lang w:val="en-US" w:eastAsia="zh-CN"/>
        </w:rPr>
        <w:t>。该层作标准贯入试验7次，实测锤击数54.0击</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69.0击，修正后锤击数37.8击</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61.4击，修正后平均锤击数47.6击。该层部分钻孔未揭穿。</w:t>
      </w:r>
    </w:p>
    <w:p w14:paraId="505F1B86">
      <w:pPr>
        <w:rPr>
          <w:rFonts w:hint="default" w:ascii="Times New Roman" w:hAnsi="Times New Roman" w:cs="Times New Roman"/>
          <w:color w:val="auto"/>
          <w:lang w:val="en-US" w:eastAsia="zh-CN"/>
        </w:rPr>
      </w:pPr>
      <w:r>
        <w:rPr>
          <w:rFonts w:hint="default" w:ascii="Times New Roman" w:hAnsi="Times New Roman" w:eastAsia="微软雅黑" w:cs="Times New Roman"/>
          <w:color w:val="auto"/>
          <w:lang w:val="en-US" w:eastAsia="zh-CN"/>
        </w:rPr>
        <w:t>⑨</w:t>
      </w:r>
      <w:r>
        <w:rPr>
          <w:rFonts w:hint="default" w:ascii="Times New Roman" w:hAnsi="Times New Roman" w:cs="Times New Roman"/>
          <w:color w:val="auto"/>
          <w:lang w:val="en-US" w:eastAsia="zh-CN"/>
        </w:rPr>
        <w:t>中风化花岗岩</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灰白色、青灰色，中</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粗粒结构，块状构造，矿物成分以石英、长石为主，含少量云母及暗色矿物，节理裂隙较发育，结构部分破坏，节理面有次生矿物，沿轴心裂隙倾角45</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60</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，分布密度2</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3组/m，平均间距0.33m</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0.50m</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硅质胶结，以闭合节理为主，结合程度好，岩体较破碎，为镶嵌破碎结构类型。岩芯呈柱状及碎块状，柱状一般节长10cm</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30cm，锤击声清脆，不易破碎。该层在19个钻孔</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ZK05、ZZK01</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ZZK11、ZZK22</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ZZK29</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揭露到，厚4.10</w:t>
      </w:r>
      <w:r>
        <w:rPr>
          <w:rFonts w:hint="eastAsia" w:ascii="Times New Roman" w:hAnsi="Times New Roman" w:cs="Times New Roman"/>
          <w:color w:val="auto"/>
          <w:lang w:val="en-US" w:eastAsia="zh-CN"/>
        </w:rPr>
        <w:t>m～</w:t>
      </w:r>
      <w:r>
        <w:rPr>
          <w:rFonts w:hint="default" w:ascii="Times New Roman" w:hAnsi="Times New Roman" w:cs="Times New Roman"/>
          <w:color w:val="auto"/>
          <w:lang w:val="en-US" w:eastAsia="zh-CN"/>
        </w:rPr>
        <w:t>32.10</w:t>
      </w:r>
      <w:r>
        <w:rPr>
          <w:rFonts w:hint="eastAsia" w:ascii="Times New Roman" w:hAnsi="Times New Roman" w:cs="Times New Roman"/>
          <w:color w:val="auto"/>
          <w:lang w:val="en-US" w:eastAsia="zh-CN"/>
        </w:rPr>
        <w:t>m</w:t>
      </w:r>
      <w:r>
        <w:rPr>
          <w:rFonts w:hint="default" w:ascii="Times New Roman" w:hAnsi="Times New Roman" w:cs="Times New Roman"/>
          <w:color w:val="auto"/>
          <w:lang w:val="en-US" w:eastAsia="zh-CN"/>
        </w:rPr>
        <w:t>，平均厚度14.02</w:t>
      </w:r>
      <w:r>
        <w:rPr>
          <w:rFonts w:hint="eastAsia" w:ascii="Times New Roman" w:hAnsi="Times New Roman" w:cs="Times New Roman"/>
          <w:color w:val="auto"/>
          <w:lang w:val="en-US" w:eastAsia="zh-CN"/>
        </w:rPr>
        <w:t>m；</w:t>
      </w:r>
      <w:r>
        <w:rPr>
          <w:rFonts w:hint="default" w:ascii="Times New Roman" w:hAnsi="Times New Roman" w:cs="Times New Roman"/>
          <w:color w:val="auto"/>
          <w:lang w:val="en-US" w:eastAsia="zh-CN"/>
        </w:rPr>
        <w:t>层顶深度4.60</w:t>
      </w:r>
      <w:r>
        <w:rPr>
          <w:rFonts w:hint="eastAsia" w:ascii="Times New Roman" w:hAnsi="Times New Roman" w:cs="Times New Roman"/>
          <w:color w:val="auto"/>
          <w:lang w:val="en-US" w:eastAsia="zh-CN"/>
        </w:rPr>
        <w:t>m～</w:t>
      </w:r>
      <w:r>
        <w:rPr>
          <w:rFonts w:hint="default" w:ascii="Times New Roman" w:hAnsi="Times New Roman" w:cs="Times New Roman"/>
          <w:color w:val="auto"/>
          <w:lang w:val="en-US" w:eastAsia="zh-CN"/>
        </w:rPr>
        <w:t>47.60</w:t>
      </w:r>
      <w:r>
        <w:rPr>
          <w:rFonts w:hint="eastAsia" w:ascii="Times New Roman" w:hAnsi="Times New Roman" w:cs="Times New Roman"/>
          <w:color w:val="auto"/>
          <w:lang w:val="en-US" w:eastAsia="zh-CN"/>
        </w:rPr>
        <w:t>m</w:t>
      </w:r>
      <w:r>
        <w:rPr>
          <w:rFonts w:hint="default" w:ascii="Times New Roman" w:hAnsi="Times New Roman" w:cs="Times New Roman"/>
          <w:color w:val="auto"/>
          <w:lang w:val="en-US" w:eastAsia="zh-CN"/>
        </w:rPr>
        <w:t>，层顶标高</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275.12</w:t>
      </w:r>
      <w:r>
        <w:rPr>
          <w:rFonts w:hint="eastAsia" w:ascii="Times New Roman" w:hAnsi="Times New Roman" w:cs="Times New Roman"/>
          <w:color w:val="auto"/>
          <w:lang w:val="en-US" w:eastAsia="zh-CN"/>
        </w:rPr>
        <w:t>m～+</w:t>
      </w:r>
      <w:r>
        <w:rPr>
          <w:rFonts w:hint="default" w:ascii="Times New Roman" w:hAnsi="Times New Roman" w:cs="Times New Roman"/>
          <w:color w:val="auto"/>
          <w:lang w:val="en-US" w:eastAsia="zh-CN"/>
        </w:rPr>
        <w:t>331.20</w:t>
      </w:r>
      <w:r>
        <w:rPr>
          <w:rFonts w:hint="eastAsia" w:ascii="Times New Roman" w:hAnsi="Times New Roman" w:cs="Times New Roman"/>
          <w:color w:val="auto"/>
          <w:lang w:val="en-US" w:eastAsia="zh-CN"/>
        </w:rPr>
        <w:t>m</w:t>
      </w:r>
      <w:r>
        <w:rPr>
          <w:rFonts w:hint="default" w:ascii="Times New Roman" w:hAnsi="Times New Roman" w:cs="Times New Roman"/>
          <w:color w:val="auto"/>
          <w:lang w:val="en-US" w:eastAsia="zh-CN"/>
        </w:rPr>
        <w:t>。该层取岩样6组，饱和单轴抗压强度19.07MPa</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29.73MPa，饱和单轴抗压强度标准值f</w:t>
      </w:r>
      <w:r>
        <w:rPr>
          <w:rFonts w:hint="default" w:ascii="Times New Roman" w:hAnsi="Times New Roman" w:cs="Times New Roman"/>
          <w:color w:val="auto"/>
          <w:vertAlign w:val="subscript"/>
          <w:lang w:val="en-US" w:eastAsia="zh-CN"/>
        </w:rPr>
        <w:t>rk</w:t>
      </w:r>
      <w:r>
        <w:rPr>
          <w:rFonts w:hint="default" w:ascii="Times New Roman" w:hAnsi="Times New Roman" w:cs="Times New Roman"/>
          <w:color w:val="auto"/>
          <w:lang w:val="en-US" w:eastAsia="zh-CN"/>
        </w:rPr>
        <w:t>=21.62MPa，为较软岩，岩石质量等级为</w:t>
      </w:r>
      <w:r>
        <w:rPr>
          <w:rFonts w:hint="eastAsia" w:ascii="宋体" w:hAnsi="宋体" w:eastAsia="宋体" w:cs="宋体"/>
          <w:color w:val="auto"/>
          <w:lang w:val="en-US" w:eastAsia="zh-CN"/>
        </w:rPr>
        <w:t>Ⅳ</w:t>
      </w:r>
      <w:r>
        <w:rPr>
          <w:rFonts w:hint="default" w:ascii="Times New Roman" w:hAnsi="Times New Roman" w:cs="Times New Roman"/>
          <w:color w:val="auto"/>
          <w:lang w:val="en-US" w:eastAsia="zh-CN"/>
        </w:rPr>
        <w:t>级。本次勘察未揭穿该层。</w:t>
      </w:r>
    </w:p>
    <w:p w14:paraId="75B614F8">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尾矿坝主要揭露的地层为</w:t>
      </w:r>
      <w:r>
        <w:rPr>
          <w:rFonts w:hint="default" w:ascii="Times New Roman" w:hAnsi="Times New Roman" w:eastAsia="微软雅黑" w:cs="Times New Roman"/>
          <w:color w:val="auto"/>
          <w:lang w:val="en-US" w:eastAsia="zh-CN"/>
        </w:rPr>
        <w:t>①</w:t>
      </w:r>
      <w:r>
        <w:rPr>
          <w:rFonts w:hint="default" w:ascii="Times New Roman" w:hAnsi="Times New Roman" w:cs="Times New Roman"/>
          <w:color w:val="auto"/>
          <w:lang w:val="en-US" w:eastAsia="zh-CN"/>
        </w:rPr>
        <w:t>尾砾砂、</w:t>
      </w:r>
      <w:r>
        <w:rPr>
          <w:rFonts w:hint="default" w:ascii="Times New Roman" w:hAnsi="Times New Roman" w:eastAsia="微软雅黑" w:cs="Times New Roman"/>
          <w:color w:val="auto"/>
          <w:lang w:val="en-US" w:eastAsia="zh-CN"/>
        </w:rPr>
        <w:t>②</w:t>
      </w:r>
      <w:r>
        <w:rPr>
          <w:rFonts w:hint="default" w:ascii="Times New Roman" w:hAnsi="Times New Roman" w:cs="Times New Roman"/>
          <w:color w:val="auto"/>
          <w:lang w:val="en-US" w:eastAsia="zh-CN"/>
        </w:rPr>
        <w:t>尾细砂、</w:t>
      </w:r>
      <w:r>
        <w:rPr>
          <w:rFonts w:hint="default" w:ascii="Times New Roman" w:hAnsi="Times New Roman" w:eastAsia="微软雅黑" w:cs="Times New Roman"/>
          <w:color w:val="auto"/>
          <w:lang w:val="en-US" w:eastAsia="zh-CN"/>
        </w:rPr>
        <w:t>③</w:t>
      </w:r>
      <w:r>
        <w:rPr>
          <w:rFonts w:hint="default" w:ascii="Times New Roman" w:hAnsi="Times New Roman" w:cs="Times New Roman"/>
          <w:color w:val="auto"/>
          <w:lang w:val="en-US" w:eastAsia="zh-CN"/>
        </w:rPr>
        <w:t>填碎石、</w:t>
      </w:r>
      <w:r>
        <w:rPr>
          <w:rFonts w:hint="default" w:ascii="Times New Roman" w:hAnsi="Times New Roman" w:eastAsia="微软雅黑" w:cs="Times New Roman"/>
          <w:color w:val="auto"/>
          <w:lang w:val="en-US" w:eastAsia="zh-CN"/>
        </w:rPr>
        <w:t>④</w:t>
      </w:r>
      <w:r>
        <w:rPr>
          <w:rFonts w:hint="default" w:ascii="Times New Roman" w:hAnsi="Times New Roman" w:cs="Times New Roman"/>
          <w:color w:val="auto"/>
          <w:lang w:val="en-US" w:eastAsia="zh-CN"/>
        </w:rPr>
        <w:t>初期坝填土</w:t>
      </w:r>
      <w:r>
        <w:rPr>
          <w:rFonts w:hint="eastAsia" w:ascii="Times New Roman" w:hAnsi="Times New Roman" w:cs="Times New Roman"/>
          <w:color w:val="auto"/>
          <w:lang w:val="en-US" w:eastAsia="zh-CN"/>
        </w:rPr>
        <w:t>、</w:t>
      </w:r>
      <w:r>
        <w:rPr>
          <w:rFonts w:hint="default" w:ascii="Times New Roman" w:hAnsi="Times New Roman" w:eastAsia="微软雅黑" w:cs="Times New Roman"/>
          <w:color w:val="auto"/>
          <w:lang w:val="en-US" w:eastAsia="zh-CN"/>
        </w:rPr>
        <w:t>⑥</w:t>
      </w:r>
      <w:r>
        <w:rPr>
          <w:rFonts w:hint="default" w:ascii="Times New Roman" w:hAnsi="Times New Roman" w:cs="Times New Roman"/>
          <w:color w:val="auto"/>
          <w:lang w:val="en-US" w:eastAsia="zh-CN"/>
        </w:rPr>
        <w:t>砾质黏性土、</w:t>
      </w:r>
      <w:r>
        <w:rPr>
          <w:rFonts w:hint="default" w:ascii="Times New Roman" w:hAnsi="Times New Roman" w:eastAsia="微软雅黑" w:cs="Times New Roman"/>
          <w:color w:val="auto"/>
          <w:lang w:val="en-US" w:eastAsia="zh-CN"/>
        </w:rPr>
        <w:t>⑦</w:t>
      </w:r>
      <w:r>
        <w:rPr>
          <w:rFonts w:hint="default" w:ascii="Times New Roman" w:hAnsi="Times New Roman" w:cs="Times New Roman"/>
          <w:color w:val="auto"/>
          <w:lang w:val="en-US" w:eastAsia="zh-CN"/>
        </w:rPr>
        <w:t>全风化花岗岩、</w:t>
      </w:r>
      <w:r>
        <w:rPr>
          <w:rFonts w:hint="default" w:ascii="Times New Roman" w:hAnsi="Times New Roman" w:eastAsia="微软雅黑" w:cs="Times New Roman"/>
          <w:color w:val="auto"/>
          <w:lang w:val="en-US" w:eastAsia="zh-CN"/>
        </w:rPr>
        <w:t>⑧</w:t>
      </w:r>
      <w:r>
        <w:rPr>
          <w:rFonts w:hint="default" w:ascii="Times New Roman" w:hAnsi="Times New Roman" w:cs="Times New Roman"/>
          <w:color w:val="auto"/>
          <w:lang w:val="en-US" w:eastAsia="zh-CN"/>
        </w:rPr>
        <w:t>强风化花岗岩</w:t>
      </w:r>
      <w:r>
        <w:rPr>
          <w:rFonts w:hint="eastAsia" w:ascii="Times New Roman" w:hAnsi="Times New Roman" w:cs="Times New Roman"/>
          <w:color w:val="auto"/>
          <w:lang w:val="en-US" w:eastAsia="zh-CN"/>
        </w:rPr>
        <w:t>及</w:t>
      </w:r>
      <w:r>
        <w:rPr>
          <w:rFonts w:hint="default" w:ascii="Times New Roman" w:hAnsi="Times New Roman" w:eastAsia="微软雅黑" w:cs="Times New Roman"/>
          <w:color w:val="auto"/>
          <w:lang w:val="en-US" w:eastAsia="zh-CN"/>
        </w:rPr>
        <w:t>⑨</w:t>
      </w:r>
      <w:r>
        <w:rPr>
          <w:rFonts w:hint="default" w:ascii="Times New Roman" w:hAnsi="Times New Roman" w:cs="Times New Roman"/>
          <w:color w:val="auto"/>
          <w:lang w:val="en-US" w:eastAsia="zh-CN"/>
        </w:rPr>
        <w:t>中风化花岗岩。</w:t>
      </w:r>
    </w:p>
    <w:p w14:paraId="528F75D7">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副坝主要揭露的地层为</w:t>
      </w:r>
      <w:r>
        <w:rPr>
          <w:rFonts w:hint="default" w:ascii="Times New Roman" w:hAnsi="Times New Roman" w:eastAsia="微软雅黑" w:cs="Times New Roman"/>
          <w:color w:val="auto"/>
          <w:lang w:val="en-US" w:eastAsia="zh-CN"/>
        </w:rPr>
        <w:t>①</w:t>
      </w:r>
      <w:r>
        <w:rPr>
          <w:rFonts w:hint="default" w:ascii="Times New Roman" w:hAnsi="Times New Roman" w:cs="Times New Roman"/>
          <w:color w:val="auto"/>
          <w:lang w:val="en-US" w:eastAsia="zh-CN"/>
        </w:rPr>
        <w:t>尾砾砂、</w:t>
      </w:r>
      <w:r>
        <w:rPr>
          <w:rFonts w:hint="default" w:ascii="Times New Roman" w:hAnsi="Times New Roman" w:eastAsia="微软雅黑" w:cs="Times New Roman"/>
          <w:color w:val="auto"/>
          <w:lang w:val="en-US" w:eastAsia="zh-CN"/>
        </w:rPr>
        <w:t>②</w:t>
      </w:r>
      <w:r>
        <w:rPr>
          <w:rFonts w:hint="default" w:ascii="Times New Roman" w:hAnsi="Times New Roman" w:cs="Times New Roman"/>
          <w:color w:val="auto"/>
          <w:lang w:val="en-US" w:eastAsia="zh-CN"/>
        </w:rPr>
        <w:t>尾细砂、</w:t>
      </w:r>
      <w:r>
        <w:rPr>
          <w:rFonts w:hint="default" w:ascii="Times New Roman" w:hAnsi="Times New Roman" w:eastAsia="微软雅黑" w:cs="Times New Roman"/>
          <w:color w:val="auto"/>
          <w:lang w:val="en-US" w:eastAsia="zh-CN"/>
        </w:rPr>
        <w:t>③</w:t>
      </w:r>
      <w:r>
        <w:rPr>
          <w:rFonts w:hint="default" w:ascii="Times New Roman" w:hAnsi="Times New Roman" w:cs="Times New Roman"/>
          <w:color w:val="auto"/>
          <w:lang w:val="en-US" w:eastAsia="zh-CN"/>
        </w:rPr>
        <w:t>填碎石、</w:t>
      </w:r>
      <w:r>
        <w:rPr>
          <w:rFonts w:hint="default" w:ascii="Times New Roman" w:hAnsi="Times New Roman" w:eastAsia="微软雅黑" w:cs="Times New Roman"/>
          <w:color w:val="auto"/>
          <w:lang w:val="en-US" w:eastAsia="zh-CN"/>
        </w:rPr>
        <w:t>⑥</w:t>
      </w:r>
      <w:r>
        <w:rPr>
          <w:rFonts w:hint="default" w:ascii="Times New Roman" w:hAnsi="Times New Roman" w:cs="Times New Roman"/>
          <w:color w:val="auto"/>
          <w:lang w:val="en-US" w:eastAsia="zh-CN"/>
        </w:rPr>
        <w:t>砾质黏性土、</w:t>
      </w:r>
      <w:r>
        <w:rPr>
          <w:rFonts w:hint="default" w:ascii="Times New Roman" w:hAnsi="Times New Roman" w:eastAsia="微软雅黑" w:cs="Times New Roman"/>
          <w:color w:val="auto"/>
          <w:lang w:val="en-US" w:eastAsia="zh-CN"/>
        </w:rPr>
        <w:t>⑦</w:t>
      </w:r>
      <w:r>
        <w:rPr>
          <w:rFonts w:hint="default" w:ascii="Times New Roman" w:hAnsi="Times New Roman" w:cs="Times New Roman"/>
          <w:color w:val="auto"/>
          <w:lang w:val="en-US" w:eastAsia="zh-CN"/>
        </w:rPr>
        <w:t>全风化花岗岩、</w:t>
      </w:r>
      <w:r>
        <w:rPr>
          <w:rFonts w:hint="default" w:ascii="Times New Roman" w:hAnsi="Times New Roman" w:eastAsia="微软雅黑" w:cs="Times New Roman"/>
          <w:color w:val="auto"/>
          <w:lang w:val="en-US" w:eastAsia="zh-CN"/>
        </w:rPr>
        <w:t>⑧</w:t>
      </w:r>
      <w:r>
        <w:rPr>
          <w:rFonts w:hint="default" w:ascii="Times New Roman" w:hAnsi="Times New Roman" w:cs="Times New Roman"/>
          <w:color w:val="auto"/>
          <w:lang w:val="en-US" w:eastAsia="zh-CN"/>
        </w:rPr>
        <w:t>强风化花岗岩、</w:t>
      </w:r>
      <w:r>
        <w:rPr>
          <w:rFonts w:hint="default" w:ascii="Times New Roman" w:hAnsi="Times New Roman" w:eastAsia="微软雅黑" w:cs="Times New Roman"/>
          <w:color w:val="auto"/>
          <w:lang w:val="en-US" w:eastAsia="zh-CN"/>
        </w:rPr>
        <w:t>⑨</w:t>
      </w:r>
      <w:r>
        <w:rPr>
          <w:rFonts w:hint="default" w:ascii="Times New Roman" w:hAnsi="Times New Roman" w:cs="Times New Roman"/>
          <w:color w:val="auto"/>
          <w:lang w:val="en-US" w:eastAsia="zh-CN"/>
        </w:rPr>
        <w:t>中风化花岗岩。</w:t>
      </w:r>
    </w:p>
    <w:p w14:paraId="0BA1B420">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溢流坝主要揭露的地层为</w:t>
      </w:r>
      <w:r>
        <w:rPr>
          <w:rFonts w:hint="default" w:ascii="Times New Roman" w:hAnsi="Times New Roman" w:eastAsia="微软雅黑" w:cs="Times New Roman"/>
          <w:color w:val="auto"/>
          <w:lang w:val="en-US" w:eastAsia="zh-CN"/>
        </w:rPr>
        <w:t>①</w:t>
      </w:r>
      <w:r>
        <w:rPr>
          <w:rFonts w:hint="default" w:ascii="Times New Roman" w:hAnsi="Times New Roman" w:cs="Times New Roman"/>
          <w:color w:val="auto"/>
          <w:lang w:val="en-US" w:eastAsia="zh-CN"/>
        </w:rPr>
        <w:t>尾砾砂、</w:t>
      </w:r>
      <w:r>
        <w:rPr>
          <w:rFonts w:hint="default" w:ascii="Times New Roman" w:hAnsi="Times New Roman" w:eastAsia="微软雅黑" w:cs="Times New Roman"/>
          <w:color w:val="auto"/>
          <w:lang w:val="en-US" w:eastAsia="zh-CN"/>
        </w:rPr>
        <w:t>②</w:t>
      </w:r>
      <w:r>
        <w:rPr>
          <w:rFonts w:hint="default" w:ascii="Times New Roman" w:hAnsi="Times New Roman" w:cs="Times New Roman"/>
          <w:color w:val="auto"/>
          <w:lang w:val="en-US" w:eastAsia="zh-CN"/>
        </w:rPr>
        <w:t>尾细砂、</w:t>
      </w:r>
      <w:r>
        <w:rPr>
          <w:rFonts w:hint="default" w:ascii="Times New Roman" w:hAnsi="Times New Roman" w:eastAsia="微软雅黑" w:cs="Times New Roman"/>
          <w:color w:val="auto"/>
          <w:lang w:val="en-US" w:eastAsia="zh-CN"/>
        </w:rPr>
        <w:t>②</w:t>
      </w:r>
      <w:r>
        <w:rPr>
          <w:rFonts w:hint="default" w:ascii="Times New Roman" w:hAnsi="Times New Roman" w:cs="Times New Roman"/>
          <w:color w:val="auto"/>
          <w:lang w:val="en-US" w:eastAsia="zh-CN"/>
        </w:rPr>
        <w:t>1尾粉质黏土、</w:t>
      </w:r>
      <w:r>
        <w:rPr>
          <w:rFonts w:hint="default" w:ascii="Times New Roman" w:hAnsi="Times New Roman" w:eastAsia="微软雅黑" w:cs="Times New Roman"/>
          <w:color w:val="auto"/>
          <w:lang w:val="en-US" w:eastAsia="zh-CN"/>
        </w:rPr>
        <w:t>⑧</w:t>
      </w:r>
      <w:r>
        <w:rPr>
          <w:rFonts w:hint="default" w:ascii="Times New Roman" w:hAnsi="Times New Roman" w:cs="Times New Roman"/>
          <w:color w:val="auto"/>
          <w:lang w:val="en-US" w:eastAsia="zh-CN"/>
        </w:rPr>
        <w:t>强风化花岗岩、</w:t>
      </w:r>
      <w:r>
        <w:rPr>
          <w:rFonts w:hint="default" w:ascii="Times New Roman" w:hAnsi="Times New Roman" w:eastAsia="微软雅黑" w:cs="Times New Roman"/>
          <w:color w:val="auto"/>
          <w:lang w:val="en-US" w:eastAsia="zh-CN"/>
        </w:rPr>
        <w:t>⑨</w:t>
      </w:r>
      <w:r>
        <w:rPr>
          <w:rFonts w:hint="default" w:ascii="Times New Roman" w:hAnsi="Times New Roman" w:cs="Times New Roman"/>
          <w:color w:val="auto"/>
          <w:lang w:val="en-US" w:eastAsia="zh-CN"/>
        </w:rPr>
        <w:t>中风化花岗岩。</w:t>
      </w:r>
    </w:p>
    <w:p w14:paraId="033DFA4D">
      <w:pPr>
        <w:pStyle w:val="4"/>
        <w:bidi w:val="0"/>
        <w:rPr>
          <w:rFonts w:hint="eastAsia"/>
          <w:color w:val="auto"/>
          <w:lang w:val="en-US" w:eastAsia="zh-CN"/>
        </w:rPr>
      </w:pPr>
      <w:bookmarkStart w:id="98" w:name="_Toc20711"/>
      <w:bookmarkStart w:id="99" w:name="_Toc27502"/>
      <w:bookmarkStart w:id="100" w:name="_Toc25621"/>
      <w:r>
        <w:rPr>
          <w:rFonts w:hint="eastAsia"/>
          <w:color w:val="auto"/>
          <w:lang w:val="en-US" w:eastAsia="zh-CN"/>
        </w:rPr>
        <w:t>2.4.3 水文地质条件</w:t>
      </w:r>
      <w:bookmarkEnd w:id="98"/>
      <w:bookmarkEnd w:id="99"/>
      <w:bookmarkEnd w:id="100"/>
    </w:p>
    <w:p w14:paraId="680B00AC">
      <w:pPr>
        <w:bidi w:val="0"/>
        <w:rPr>
          <w:rFonts w:hint="default"/>
          <w:b/>
          <w:bCs/>
          <w:color w:val="auto"/>
          <w:lang w:val="en-US" w:eastAsia="zh-CN"/>
        </w:rPr>
      </w:pPr>
      <w:r>
        <w:rPr>
          <w:rFonts w:hint="eastAsia"/>
          <w:b/>
          <w:bCs/>
          <w:color w:val="auto"/>
          <w:lang w:val="en-US" w:eastAsia="zh-CN"/>
        </w:rPr>
        <w:t>1. 地表水</w:t>
      </w:r>
    </w:p>
    <w:p w14:paraId="5BC12084">
      <w:pPr>
        <w:bidi w:val="0"/>
        <w:rPr>
          <w:rFonts w:hint="eastAsia"/>
          <w:color w:val="auto"/>
          <w:lang w:val="en-US" w:eastAsia="zh-CN"/>
        </w:rPr>
      </w:pPr>
      <w:r>
        <w:rPr>
          <w:rFonts w:hint="eastAsia"/>
          <w:color w:val="auto"/>
          <w:lang w:val="en-US" w:eastAsia="zh-CN"/>
        </w:rPr>
        <w:t>尾矿库所在的岿美山镇境内属珠江水系，岿美山河是东江源头之一，由左拔、板埠、寨头三条坑水交汇而成，由南而北流人老城河后汇入东江河，境内河道长38.6km，通过勘察期间观测，在本区域内的地表水体的动态变化明显受季节控制且与大气降雨关系极为密切，暴雨猛涨，雨止即降，具有暴涨暴落的山区型河流特点。</w:t>
      </w:r>
    </w:p>
    <w:p w14:paraId="27B555DF">
      <w:pPr>
        <w:bidi w:val="0"/>
        <w:rPr>
          <w:rFonts w:hint="eastAsia"/>
          <w:color w:val="auto"/>
          <w:lang w:val="en-US" w:eastAsia="zh-CN"/>
        </w:rPr>
      </w:pPr>
      <w:r>
        <w:rPr>
          <w:rFonts w:hint="eastAsia"/>
          <w:color w:val="auto"/>
          <w:lang w:val="en-US" w:eastAsia="zh-CN"/>
        </w:rPr>
        <w:t>库区为狭长的北南向沟谷组成，谷地中有暂时性的小溪流，旱季干涸，接受大气降水的补给，由北向南向排泄，具有就地补给、就地排泄的特点。库区汇水面积约7.05km</w:t>
      </w:r>
      <w:r>
        <w:rPr>
          <w:rFonts w:hint="eastAsia"/>
          <w:color w:val="auto"/>
          <w:vertAlign w:val="superscript"/>
          <w:lang w:val="en-US" w:eastAsia="zh-CN"/>
        </w:rPr>
        <w:t>2</w:t>
      </w:r>
      <w:r>
        <w:rPr>
          <w:rFonts w:hint="eastAsia"/>
          <w:color w:val="auto"/>
          <w:lang w:val="en-US" w:eastAsia="zh-CN"/>
        </w:rPr>
        <w:t>。</w:t>
      </w:r>
    </w:p>
    <w:p w14:paraId="62C36F6B">
      <w:pPr>
        <w:bidi w:val="0"/>
        <w:rPr>
          <w:rFonts w:hint="default"/>
          <w:b/>
          <w:bCs/>
          <w:color w:val="auto"/>
          <w:lang w:val="en-US" w:eastAsia="zh-CN"/>
        </w:rPr>
      </w:pPr>
      <w:r>
        <w:rPr>
          <w:rFonts w:hint="eastAsia"/>
          <w:b/>
          <w:bCs/>
          <w:color w:val="auto"/>
          <w:lang w:val="en-US" w:eastAsia="zh-CN"/>
        </w:rPr>
        <w:t>2. 地下水类型</w:t>
      </w:r>
    </w:p>
    <w:p w14:paraId="64733CB3">
      <w:pPr>
        <w:bidi w:val="0"/>
        <w:rPr>
          <w:rFonts w:hint="eastAsia"/>
          <w:color w:val="auto"/>
          <w:lang w:val="en-US" w:eastAsia="zh-CN"/>
        </w:rPr>
      </w:pPr>
      <w:r>
        <w:rPr>
          <w:rFonts w:hint="eastAsia"/>
          <w:color w:val="auto"/>
          <w:lang w:val="en-US" w:eastAsia="zh-CN"/>
        </w:rPr>
        <w:t>根据区域水文地质条件及本次勘察查明，场地地下水类型可分为松散岩类孔隙水、基岩裂隙水两种类型，现分述如下：</w:t>
      </w:r>
    </w:p>
    <w:p w14:paraId="5CA2EDA9">
      <w:pPr>
        <w:bidi w:val="0"/>
        <w:rPr>
          <w:rFonts w:hint="eastAsia"/>
          <w:color w:val="auto"/>
          <w:lang w:val="en-US" w:eastAsia="zh-CN"/>
        </w:rPr>
      </w:pPr>
      <w:r>
        <w:rPr>
          <w:rFonts w:hint="eastAsia"/>
          <w:color w:val="auto"/>
          <w:lang w:val="en-US" w:eastAsia="zh-CN"/>
        </w:rPr>
        <w:t>（1）松散岩类孔隙潜水</w:t>
      </w:r>
    </w:p>
    <w:p w14:paraId="09C9C8F7">
      <w:pPr>
        <w:bidi w:val="0"/>
        <w:rPr>
          <w:rFonts w:hint="eastAsia"/>
          <w:color w:val="auto"/>
          <w:lang w:val="en-US" w:eastAsia="zh-CN"/>
        </w:rPr>
      </w:pPr>
      <w:r>
        <w:rPr>
          <w:rFonts w:hint="eastAsia"/>
          <w:color w:val="auto"/>
          <w:lang w:val="en-US" w:eastAsia="zh-CN"/>
        </w:rPr>
        <w:t>尾矿库库区第四系松散沉积物分布广泛，岩性主要为采选矿形成的尾砂土、筑坝填碎石、填筑土以及残积砾质黏性土，孔隙水主要为孔隙潜水。补给来源主要为库区地表水体和大气降水，水位随季节性变化而变化，水位线受浸润线影响，库内与坝脚水位起伏较大。勘察期间属丰水季节，稳定水位埋深0.00m～23.00m，稳定水位标高+290.35m～+336.08m。</w:t>
      </w:r>
    </w:p>
    <w:p w14:paraId="6D11F5B0">
      <w:pPr>
        <w:bidi w:val="0"/>
        <w:rPr>
          <w:rFonts w:hint="eastAsia"/>
          <w:color w:val="auto"/>
          <w:lang w:val="en-US" w:eastAsia="zh-CN"/>
        </w:rPr>
      </w:pPr>
      <w:r>
        <w:rPr>
          <w:rFonts w:hint="eastAsia"/>
          <w:color w:val="auto"/>
          <w:lang w:val="en-US" w:eastAsia="zh-CN"/>
        </w:rPr>
        <w:t>（2）基岩裂隙水</w:t>
      </w:r>
    </w:p>
    <w:p w14:paraId="020D1878">
      <w:pPr>
        <w:bidi w:val="0"/>
        <w:rPr>
          <w:rFonts w:hint="eastAsia"/>
          <w:color w:val="auto"/>
          <w:lang w:val="en-US" w:eastAsia="zh-CN"/>
        </w:rPr>
      </w:pPr>
      <w:r>
        <w:rPr>
          <w:rFonts w:hint="eastAsia"/>
          <w:color w:val="auto"/>
          <w:lang w:val="en-US" w:eastAsia="zh-CN"/>
        </w:rPr>
        <w:t>主要赋存于花岗岩风化裂隙之中，含水层无明确界限，埋深和厚度很不稳定，其透水性主要取决于岩石裂隙发育程度、岩石风化程度和含泥量。风化程度越高、裂隙充填程度越大，渗透系数则越低。基岩风化裂隙水为微承压水。勘察深度范围内未见明显基岩裂隙水。</w:t>
      </w:r>
    </w:p>
    <w:p w14:paraId="05FAC0AE">
      <w:pPr>
        <w:bidi w:val="0"/>
        <w:rPr>
          <w:rFonts w:hint="eastAsia"/>
          <w:b/>
          <w:bCs/>
          <w:color w:val="auto"/>
          <w:lang w:val="en-US" w:eastAsia="zh-CN"/>
        </w:rPr>
      </w:pPr>
      <w:r>
        <w:rPr>
          <w:rFonts w:hint="eastAsia"/>
          <w:b/>
          <w:bCs/>
          <w:color w:val="auto"/>
          <w:lang w:val="en-US" w:eastAsia="zh-CN"/>
        </w:rPr>
        <w:t>3. 补径排条件</w:t>
      </w:r>
    </w:p>
    <w:p w14:paraId="137EFD51">
      <w:pPr>
        <w:bidi w:val="0"/>
        <w:rPr>
          <w:rFonts w:hint="default"/>
          <w:color w:val="auto"/>
          <w:lang w:val="en-US" w:eastAsia="zh-CN"/>
        </w:rPr>
      </w:pPr>
      <w:r>
        <w:rPr>
          <w:rFonts w:hint="default"/>
          <w:color w:val="auto"/>
          <w:lang w:val="en-US" w:eastAsia="zh-CN"/>
        </w:rPr>
        <w:t>本区地表水和地下水均受大气降雨补给，每年雨季的3月</w:t>
      </w:r>
      <w:r>
        <w:rPr>
          <w:rFonts w:hint="eastAsia"/>
          <w:color w:val="auto"/>
          <w:lang w:val="en-US" w:eastAsia="zh-CN"/>
        </w:rPr>
        <w:t>～</w:t>
      </w:r>
      <w:r>
        <w:rPr>
          <w:rFonts w:hint="default"/>
          <w:color w:val="auto"/>
          <w:lang w:val="en-US" w:eastAsia="zh-CN"/>
        </w:rPr>
        <w:t>7月是地下水获得补给的主要季节。地表风化带首先接受降雨补给，由于地形陡峻，地下水排泄条件良好，因而风化带普遍呈透水而不含水的岩层，只有在地形较低处会形成不厚的含水层。构造裂隙含水带则靠风化层和大气降雨补给，在地形较低的地段向沟谷排泄。</w:t>
      </w:r>
    </w:p>
    <w:p w14:paraId="0E855D1F">
      <w:pPr>
        <w:pStyle w:val="4"/>
        <w:bidi w:val="0"/>
        <w:rPr>
          <w:rFonts w:hint="eastAsia"/>
          <w:color w:val="auto"/>
          <w:lang w:val="en-US" w:eastAsia="zh-CN"/>
        </w:rPr>
      </w:pPr>
      <w:bookmarkStart w:id="101" w:name="_Toc10147"/>
      <w:bookmarkStart w:id="102" w:name="_Toc14639"/>
      <w:bookmarkStart w:id="103" w:name="_Toc13259"/>
      <w:r>
        <w:rPr>
          <w:rFonts w:hint="eastAsia"/>
          <w:color w:val="auto"/>
          <w:lang w:val="en-US" w:eastAsia="zh-CN"/>
        </w:rPr>
        <w:t>2.4.4 不良地质作用</w:t>
      </w:r>
      <w:bookmarkEnd w:id="101"/>
      <w:bookmarkEnd w:id="102"/>
      <w:bookmarkEnd w:id="103"/>
    </w:p>
    <w:p w14:paraId="12049403">
      <w:pPr>
        <w:bidi w:val="0"/>
        <w:rPr>
          <w:rFonts w:hint="eastAsia"/>
          <w:color w:val="auto"/>
          <w:lang w:val="en-US" w:eastAsia="zh-CN"/>
        </w:rPr>
      </w:pPr>
      <w:r>
        <w:rPr>
          <w:rFonts w:hint="eastAsia"/>
          <w:color w:val="auto"/>
          <w:lang w:val="en-US" w:eastAsia="zh-CN"/>
        </w:rPr>
        <w:t>库区范围内未见对库区地形、地貌和植被状况有较大改造的人类活动。尾矿库两侧山体植被较茂密，随地形变化。场地地势总体开阔，场地内无山体崩塌、泥石流、地面塌陷、活动性断层、岩溶土洞等不良地质作用，场地不良地质不发育，场地边坡处于基本稳定状态，仅偶见小冲沟或局部掉块；现状场地内及附近区域无对工程造成危害的滑坡、泥石流、崩塌等地质灾害现象。未揭露暗埋滨塘、土洞等不良地质现象存在。</w:t>
      </w:r>
    </w:p>
    <w:p w14:paraId="02AB570A">
      <w:pPr>
        <w:bidi w:val="0"/>
        <w:rPr>
          <w:rFonts w:hint="eastAsia"/>
          <w:color w:val="auto"/>
          <w:lang w:val="en-US" w:eastAsia="zh-CN"/>
        </w:rPr>
      </w:pPr>
      <w:r>
        <w:rPr>
          <w:rFonts w:hint="eastAsia"/>
          <w:color w:val="auto"/>
          <w:lang w:val="en-US" w:eastAsia="zh-CN"/>
        </w:rPr>
        <w:t>坝基及堆积坝区域勘察深度范围内未揭露特殊性岩土及软弱夹层。</w:t>
      </w:r>
    </w:p>
    <w:p w14:paraId="48ABFDE4">
      <w:pPr>
        <w:pStyle w:val="4"/>
        <w:bidi w:val="0"/>
        <w:rPr>
          <w:rFonts w:hint="default"/>
          <w:color w:val="auto"/>
          <w:lang w:val="en-US" w:eastAsia="zh-CN"/>
        </w:rPr>
      </w:pPr>
      <w:bookmarkStart w:id="104" w:name="_Toc8692"/>
      <w:r>
        <w:rPr>
          <w:rFonts w:hint="eastAsia"/>
          <w:color w:val="auto"/>
          <w:lang w:val="en-US" w:eastAsia="zh-CN"/>
        </w:rPr>
        <w:t>2.4.5 工程（水文）地质勘察建议</w:t>
      </w:r>
      <w:bookmarkEnd w:id="104"/>
    </w:p>
    <w:p w14:paraId="414B00DE">
      <w:pPr>
        <w:rPr>
          <w:rFonts w:hint="eastAsia"/>
          <w:color w:val="auto"/>
          <w:lang w:val="en-US" w:eastAsia="zh-CN"/>
        </w:rPr>
      </w:pPr>
      <w:r>
        <w:rPr>
          <w:rFonts w:hint="eastAsia"/>
          <w:color w:val="auto"/>
          <w:lang w:val="en-US" w:eastAsia="zh-CN"/>
        </w:rPr>
        <w:t>1. 浸润线的变化观测等应坚持长期连续进行，作好记录并进行分析，根据实测浸润线复核坝体稳定性，以便进行稳定性验算，确保坝体安全。</w:t>
      </w:r>
    </w:p>
    <w:p w14:paraId="5C0D37A0">
      <w:pPr>
        <w:rPr>
          <w:rFonts w:hint="eastAsia"/>
          <w:color w:val="auto"/>
          <w:lang w:val="en-US" w:eastAsia="zh-CN"/>
        </w:rPr>
      </w:pPr>
      <w:r>
        <w:rPr>
          <w:rFonts w:hint="eastAsia"/>
          <w:color w:val="auto"/>
          <w:lang w:val="en-US" w:eastAsia="zh-CN"/>
        </w:rPr>
        <w:t>2. 库内的自然斜坡较稳定，发生泥石流的可能性为低易发。但还需采取必要的防护措施，尤其植被需保护好，以防自然斜坡失稳诱发地质灾害对尾矿库稳定性产生影响。</w:t>
      </w:r>
    </w:p>
    <w:p w14:paraId="6CF5885A">
      <w:pPr>
        <w:rPr>
          <w:rFonts w:hint="eastAsia"/>
          <w:color w:val="auto"/>
          <w:lang w:val="en-US" w:eastAsia="zh-CN"/>
        </w:rPr>
      </w:pPr>
      <w:r>
        <w:rPr>
          <w:rFonts w:hint="eastAsia"/>
          <w:color w:val="auto"/>
          <w:lang w:val="en-US" w:eastAsia="zh-CN"/>
        </w:rPr>
        <w:t>3. 拟建主排洪明渠不具备天然地基条件，需采用地基处理。结合拟建渠道上部结构形式、场区工程地质条件及周边环境约束。ZZK27～ZZK21钻孔段基底以2尾细砂层为主，厚度3m～12.5m，地基加固可选用振冲碎石挤密桩、水泥土搅拌桩、高压旋喷桩，振冲碎石挤密桩可同步加密砂土，为本段优先工艺；ZZK20～溢洪段基底以</w:t>
      </w:r>
      <w:r>
        <w:rPr>
          <w:rFonts w:hint="default" w:ascii="Times New Roman" w:hAnsi="Times New Roman" w:eastAsia="微软雅黑" w:cs="Times New Roman"/>
          <w:color w:val="auto"/>
          <w:lang w:val="en-US" w:eastAsia="zh-CN"/>
        </w:rPr>
        <w:t>②</w:t>
      </w:r>
      <w:r>
        <w:rPr>
          <w:rFonts w:hint="default" w:ascii="Times New Roman" w:hAnsi="Times New Roman" w:cs="Times New Roman"/>
          <w:color w:val="auto"/>
          <w:lang w:val="en-US" w:eastAsia="zh-CN"/>
        </w:rPr>
        <w:t>1尾粉质黏土</w:t>
      </w:r>
      <w:r>
        <w:rPr>
          <w:rFonts w:hint="eastAsia"/>
          <w:color w:val="auto"/>
          <w:lang w:val="en-US" w:eastAsia="zh-CN"/>
        </w:rPr>
        <w:t>为主，层厚度一般大于7m，振冲施工易出现垮孔、成桩质量难以保障，建议采用水泥土搅拌桩、高压旋喷桩进行加固。除上述处理措施外，也可考虑抛石夯实置换，施工前应先进行试验区试验，检验其施工工艺及施工效果后，方可采用此方法，拟建主排洪明渠渠道基础建议选用整体性较好筏板基础，以加固完成后的复合地基作为基础持力层。地基处理平面加固宽度、竖向处理深度应经承载力、沉降及稳定性验算确定；加固桩必须穿透全场区</w:t>
      </w:r>
      <w:r>
        <w:rPr>
          <w:rFonts w:hint="default" w:ascii="Times New Roman" w:hAnsi="Times New Roman" w:eastAsia="微软雅黑" w:cs="Times New Roman"/>
          <w:color w:val="auto"/>
          <w:lang w:val="en-US" w:eastAsia="zh-CN"/>
        </w:rPr>
        <w:t>②</w:t>
      </w:r>
      <w:r>
        <w:rPr>
          <w:rFonts w:hint="eastAsia"/>
          <w:color w:val="auto"/>
          <w:lang w:val="en-US" w:eastAsia="zh-CN"/>
        </w:rPr>
        <w:t>层尾细砂、</w:t>
      </w:r>
      <w:r>
        <w:rPr>
          <w:rFonts w:hint="default" w:ascii="Times New Roman" w:hAnsi="Times New Roman" w:eastAsia="微软雅黑" w:cs="Times New Roman"/>
          <w:color w:val="auto"/>
          <w:lang w:val="en-US" w:eastAsia="zh-CN"/>
        </w:rPr>
        <w:t>②</w:t>
      </w:r>
      <w:r>
        <w:rPr>
          <w:rFonts w:hint="default" w:ascii="Times New Roman" w:hAnsi="Times New Roman" w:cs="Times New Roman"/>
          <w:color w:val="auto"/>
          <w:lang w:val="en-US" w:eastAsia="zh-CN"/>
        </w:rPr>
        <w:t>1</w:t>
      </w:r>
      <w:r>
        <w:rPr>
          <w:rFonts w:hint="eastAsia"/>
          <w:color w:val="auto"/>
          <w:lang w:val="en-US" w:eastAsia="zh-CN"/>
        </w:rPr>
        <w:t>层尾粉质黏土层，桩端进入下部尾砾砂持力层。设计时应保证桩端嵌入尾砾砂层深度不小于2倍桩径。地基加固施工完毕后，应通过现场浅层平板载荷试验，核验复合地基承载力指标是否满足设计控制标准。</w:t>
      </w:r>
    </w:p>
    <w:p w14:paraId="711F7120">
      <w:pPr>
        <w:rPr>
          <w:rFonts w:hint="eastAsia"/>
          <w:color w:val="auto"/>
          <w:lang w:val="en-US" w:eastAsia="zh-CN"/>
        </w:rPr>
      </w:pPr>
      <w:r>
        <w:rPr>
          <w:rFonts w:hint="eastAsia"/>
          <w:color w:val="auto"/>
          <w:lang w:val="en-US" w:eastAsia="zh-CN"/>
        </w:rPr>
        <w:t>4. 拟建主排洪明渠基坑开挖深度约2.0m，开挖断面范围内分布</w:t>
      </w:r>
      <w:r>
        <w:rPr>
          <w:rFonts w:hint="default" w:ascii="Times New Roman" w:hAnsi="Times New Roman" w:eastAsia="微软雅黑" w:cs="Times New Roman"/>
          <w:color w:val="auto"/>
          <w:lang w:val="en-US" w:eastAsia="zh-CN"/>
        </w:rPr>
        <w:t>②</w:t>
      </w:r>
      <w:r>
        <w:rPr>
          <w:rFonts w:hint="eastAsia"/>
          <w:color w:val="auto"/>
          <w:lang w:val="en-US" w:eastAsia="zh-CN"/>
        </w:rPr>
        <w:t>层尾细砂、</w:t>
      </w:r>
      <w:r>
        <w:rPr>
          <w:rFonts w:hint="default" w:ascii="Times New Roman" w:hAnsi="Times New Roman" w:eastAsia="微软雅黑" w:cs="Times New Roman"/>
          <w:color w:val="auto"/>
          <w:lang w:val="en-US" w:eastAsia="zh-CN"/>
        </w:rPr>
        <w:t>②</w:t>
      </w:r>
      <w:r>
        <w:rPr>
          <w:rFonts w:hint="default" w:ascii="Times New Roman" w:hAnsi="Times New Roman" w:cs="Times New Roman"/>
          <w:color w:val="auto"/>
          <w:lang w:val="en-US" w:eastAsia="zh-CN"/>
        </w:rPr>
        <w:t>1</w:t>
      </w:r>
      <w:r>
        <w:rPr>
          <w:rFonts w:hint="eastAsia"/>
          <w:color w:val="auto"/>
          <w:lang w:val="en-US" w:eastAsia="zh-CN"/>
        </w:rPr>
        <w:t>层尾粉质黏土；场区地表常年积水，水深约0.1m～0.5m，地下水补给充沛，基坑施工易发生涌水、管涌、流沙及侧壁滑移失稳等，施工阶段需配套地表截排水、基坑支护、人工降水综合措施。建议施工前期先行修筑砂袋围堰，隔离、导排场地表层积水;基坑侧壁主体建议采用拉森钢板桩闭合支护，于钢板桩支护体系两侧布设井点降水系统，提前降低坑内地下水位，形成干作业施工条件。</w:t>
      </w:r>
    </w:p>
    <w:p w14:paraId="2FA11054">
      <w:pPr>
        <w:rPr>
          <w:rFonts w:hint="eastAsia"/>
          <w:color w:val="auto"/>
          <w:lang w:val="en-US" w:eastAsia="zh-CN"/>
        </w:rPr>
      </w:pPr>
      <w:r>
        <w:rPr>
          <w:rFonts w:hint="eastAsia"/>
          <w:color w:val="auto"/>
          <w:lang w:val="en-US" w:eastAsia="zh-CN"/>
        </w:rPr>
        <w:t>5. 尾矿库尾矿坝现状坝体稳定性，需设计部门作进一步分析验算。</w:t>
      </w:r>
    </w:p>
    <w:p w14:paraId="2E10A3D4">
      <w:pPr>
        <w:rPr>
          <w:rFonts w:hint="eastAsia"/>
          <w:color w:val="auto"/>
          <w:lang w:val="en-US" w:eastAsia="zh-CN"/>
        </w:rPr>
      </w:pPr>
      <w:r>
        <w:rPr>
          <w:rFonts w:hint="eastAsia"/>
          <w:color w:val="auto"/>
          <w:lang w:val="en-US" w:eastAsia="zh-CN"/>
        </w:rPr>
        <w:t>6. 对尾矿库要加强管理，坝体周围及库区内严禁滥挖、乱采，库区上游的废渣要合理堆放，以防止在暴雨发生时导致滑坡、坍塌、泥石流，溃坝等事故的发生。</w:t>
      </w:r>
    </w:p>
    <w:p w14:paraId="0A94041E">
      <w:pPr>
        <w:pStyle w:val="3"/>
        <w:bidi w:val="0"/>
        <w:rPr>
          <w:rFonts w:hint="default"/>
          <w:color w:val="auto"/>
          <w:lang w:val="en-US" w:eastAsia="zh-CN"/>
        </w:rPr>
      </w:pPr>
      <w:bookmarkStart w:id="105" w:name="_Toc12772"/>
      <w:bookmarkStart w:id="106" w:name="_Toc5382"/>
      <w:r>
        <w:rPr>
          <w:rFonts w:hint="eastAsia"/>
          <w:color w:val="auto"/>
          <w:lang w:val="en-US" w:eastAsia="zh-CN"/>
        </w:rPr>
        <w:t>2.5 尾矿库现状</w:t>
      </w:r>
      <w:bookmarkEnd w:id="105"/>
      <w:bookmarkEnd w:id="106"/>
    </w:p>
    <w:p w14:paraId="28401549">
      <w:pPr>
        <w:pStyle w:val="4"/>
        <w:bidi w:val="0"/>
        <w:rPr>
          <w:rFonts w:hint="default"/>
          <w:color w:val="auto"/>
          <w:lang w:val="en-US" w:eastAsia="zh-CN"/>
        </w:rPr>
      </w:pPr>
      <w:bookmarkStart w:id="107" w:name="_Toc27397"/>
      <w:bookmarkStart w:id="108" w:name="_Toc8798"/>
      <w:bookmarkStart w:id="109" w:name="_Toc31587"/>
      <w:r>
        <w:rPr>
          <w:rFonts w:hint="default"/>
          <w:color w:val="auto"/>
          <w:lang w:val="en-US" w:eastAsia="zh-CN"/>
        </w:rPr>
        <w:t>2.5.1</w:t>
      </w:r>
      <w:r>
        <w:rPr>
          <w:rFonts w:hint="eastAsia"/>
          <w:color w:val="auto"/>
          <w:lang w:val="en-US" w:eastAsia="zh-CN"/>
        </w:rPr>
        <w:t xml:space="preserve"> </w:t>
      </w:r>
      <w:r>
        <w:rPr>
          <w:rFonts w:hint="default"/>
          <w:color w:val="auto"/>
          <w:lang w:val="en-US" w:eastAsia="zh-CN"/>
        </w:rPr>
        <w:t>库容、等别及防洪标准</w:t>
      </w:r>
      <w:bookmarkEnd w:id="107"/>
      <w:bookmarkEnd w:id="108"/>
      <w:bookmarkEnd w:id="109"/>
    </w:p>
    <w:p w14:paraId="41CA2671">
      <w:pPr>
        <w:bidi w:val="0"/>
        <w:rPr>
          <w:rFonts w:hint="eastAsia"/>
          <w:color w:val="auto"/>
        </w:rPr>
      </w:pPr>
      <w:r>
        <w:rPr>
          <w:color w:val="auto"/>
        </w:rPr>
        <w:t>本次</w:t>
      </w:r>
      <w:r>
        <w:rPr>
          <w:rFonts w:hint="eastAsia"/>
          <w:color w:val="auto"/>
          <w:lang w:val="en-US" w:eastAsia="zh-CN"/>
        </w:rPr>
        <w:t>企业提供的</w:t>
      </w:r>
      <w:r>
        <w:rPr>
          <w:color w:val="auto"/>
        </w:rPr>
        <w:t>现状</w:t>
      </w:r>
      <w:r>
        <w:rPr>
          <w:rFonts w:hint="eastAsia"/>
          <w:color w:val="auto"/>
          <w:lang w:val="en-US" w:eastAsia="zh-CN"/>
        </w:rPr>
        <w:t>图纸</w:t>
      </w:r>
      <w:r>
        <w:rPr>
          <w:rFonts w:hint="eastAsia"/>
          <w:color w:val="auto"/>
        </w:rPr>
        <w:t>采用1985年国家高程基准和2000国家坐标系</w:t>
      </w:r>
      <w:r>
        <w:rPr>
          <w:rFonts w:hint="eastAsia"/>
          <w:color w:val="auto"/>
          <w:lang w:eastAsia="zh-CN"/>
        </w:rPr>
        <w:t>，</w:t>
      </w:r>
      <w:r>
        <w:rPr>
          <w:rFonts w:hint="eastAsia"/>
          <w:color w:val="auto"/>
          <w:lang w:val="en-US" w:eastAsia="zh-CN"/>
        </w:rPr>
        <w:t>根据现有图纸与以往图纸进行比对，</w:t>
      </w:r>
      <w:r>
        <w:rPr>
          <w:rFonts w:hint="eastAsia"/>
          <w:color w:val="auto"/>
        </w:rPr>
        <w:t>认定原设计高程系统</w:t>
      </w:r>
      <w:r>
        <w:rPr>
          <w:rFonts w:hint="eastAsia"/>
          <w:color w:val="auto"/>
          <w:lang w:val="en-US" w:eastAsia="zh-CN"/>
        </w:rPr>
        <w:t>比</w:t>
      </w:r>
      <w:r>
        <w:rPr>
          <w:rFonts w:hint="eastAsia"/>
          <w:color w:val="auto"/>
        </w:rPr>
        <w:t>1985国家高程基准</w:t>
      </w:r>
      <w:r>
        <w:rPr>
          <w:rFonts w:hint="eastAsia"/>
          <w:color w:val="auto"/>
          <w:lang w:val="en-US" w:eastAsia="zh-CN"/>
        </w:rPr>
        <w:t>高</w:t>
      </w:r>
      <w:r>
        <w:rPr>
          <w:rFonts w:hint="eastAsia"/>
          <w:color w:val="auto"/>
        </w:rPr>
        <w:t>8.7m。</w:t>
      </w:r>
    </w:p>
    <w:p w14:paraId="1BF19522">
      <w:pPr>
        <w:bidi w:val="0"/>
        <w:rPr>
          <w:rFonts w:hint="default"/>
          <w:color w:val="auto"/>
          <w:lang w:val="en-US" w:eastAsia="zh-CN"/>
        </w:rPr>
      </w:pPr>
      <w:r>
        <w:rPr>
          <w:rFonts w:hint="eastAsia"/>
          <w:color w:val="auto"/>
          <w:lang w:val="en-US" w:eastAsia="zh-CN"/>
        </w:rPr>
        <w:t>岿美山尾矿库</w:t>
      </w:r>
      <w:r>
        <w:rPr>
          <w:rFonts w:hint="default"/>
          <w:color w:val="auto"/>
          <w:lang w:val="en-US" w:eastAsia="zh-CN"/>
        </w:rPr>
        <w:t>原设计最终堆积高程</w:t>
      </w:r>
      <w:r>
        <w:rPr>
          <w:rFonts w:hint="default" w:ascii="Times New Roman" w:hAnsi="Times New Roman" w:cs="Times New Roman"/>
          <w:color w:val="auto"/>
          <w:lang w:val="en-US" w:eastAsia="zh-CN"/>
        </w:rPr>
        <w:t>为</w:t>
      </w:r>
      <w:r>
        <w:rPr>
          <w:rFonts w:hint="eastAsia"/>
          <w:color w:val="auto"/>
          <w:lang w:val="en-US" w:eastAsia="zh-CN"/>
        </w:rPr>
        <w:t>+</w:t>
      </w:r>
      <w:r>
        <w:rPr>
          <w:rFonts w:hint="default"/>
          <w:color w:val="auto"/>
          <w:lang w:val="en-US" w:eastAsia="zh-CN"/>
        </w:rPr>
        <w:t>345.0m，尾矿库总坝高46.0m，总库容310.8</w:t>
      </w:r>
      <w:r>
        <w:rPr>
          <w:rFonts w:hint="eastAsia" w:ascii="Times New Roman" w:hAnsi="Times New Roman" w:eastAsia="宋体" w:cs="Times New Roman"/>
          <w:color w:val="auto"/>
          <w:lang w:val="en-US" w:eastAsia="zh-CN"/>
        </w:rPr>
        <w:t>×</w:t>
      </w:r>
      <w:r>
        <w:rPr>
          <w:rFonts w:hint="default"/>
          <w:color w:val="auto"/>
          <w:lang w:val="en-US" w:eastAsia="zh-CN"/>
        </w:rPr>
        <w:t>10</w:t>
      </w:r>
      <w:r>
        <w:rPr>
          <w:rFonts w:hint="default" w:ascii="Times New Roman" w:hAnsi="Times New Roman" w:cs="Times New Roman"/>
          <w:color w:val="auto"/>
          <w:vertAlign w:val="superscript"/>
          <w:lang w:val="en-US" w:eastAsia="zh-CN"/>
        </w:rPr>
        <w:t>4</w:t>
      </w:r>
      <w:r>
        <w:rPr>
          <w:rFonts w:hint="default" w:ascii="Times New Roman" w:hAnsi="Times New Roman" w:cs="Times New Roman"/>
          <w:color w:val="auto"/>
          <w:lang w:val="en-US" w:eastAsia="zh-CN"/>
        </w:rPr>
        <w:t>m</w:t>
      </w:r>
      <w:r>
        <w:rPr>
          <w:rFonts w:hint="default" w:ascii="Times New Roman" w:hAnsi="Times New Roman" w:cs="Times New Roman"/>
          <w:color w:val="auto"/>
          <w:vertAlign w:val="superscript"/>
          <w:lang w:val="en-US" w:eastAsia="zh-CN"/>
        </w:rPr>
        <w:t>3</w:t>
      </w:r>
      <w:r>
        <w:rPr>
          <w:rFonts w:hint="default"/>
          <w:color w:val="auto"/>
          <w:lang w:val="en-US" w:eastAsia="zh-CN"/>
        </w:rPr>
        <w:t>，有效库容301.5</w:t>
      </w:r>
      <w:r>
        <w:rPr>
          <w:rFonts w:hint="eastAsia" w:ascii="Times New Roman" w:hAnsi="Times New Roman" w:eastAsia="宋体" w:cs="Times New Roman"/>
          <w:color w:val="auto"/>
          <w:lang w:val="en-US" w:eastAsia="zh-CN"/>
        </w:rPr>
        <w:t>×</w:t>
      </w:r>
      <w:r>
        <w:rPr>
          <w:rFonts w:hint="default"/>
          <w:color w:val="auto"/>
          <w:lang w:val="en-US" w:eastAsia="zh-CN"/>
        </w:rPr>
        <w:t>10</w:t>
      </w:r>
      <w:r>
        <w:rPr>
          <w:rFonts w:hint="default" w:ascii="Times New Roman" w:hAnsi="Times New Roman" w:cs="Times New Roman"/>
          <w:color w:val="auto"/>
          <w:vertAlign w:val="superscript"/>
          <w:lang w:val="en-US" w:eastAsia="zh-CN"/>
        </w:rPr>
        <w:t>4</w:t>
      </w:r>
      <w:r>
        <w:rPr>
          <w:rFonts w:hint="default" w:ascii="Times New Roman" w:hAnsi="Times New Roman" w:cs="Times New Roman"/>
          <w:color w:val="auto"/>
          <w:lang w:val="en-US" w:eastAsia="zh-CN"/>
        </w:rPr>
        <w:t>m</w:t>
      </w:r>
      <w:r>
        <w:rPr>
          <w:rFonts w:hint="default" w:ascii="Times New Roman" w:hAnsi="Times New Roman" w:cs="Times New Roman"/>
          <w:color w:val="auto"/>
          <w:vertAlign w:val="superscript"/>
          <w:lang w:val="en-US" w:eastAsia="zh-CN"/>
        </w:rPr>
        <w:t>3</w:t>
      </w:r>
      <w:r>
        <w:rPr>
          <w:rFonts w:hint="default"/>
          <w:color w:val="auto"/>
          <w:lang w:val="en-US" w:eastAsia="zh-CN"/>
        </w:rPr>
        <w:t>，为四等库。</w:t>
      </w:r>
    </w:p>
    <w:p w14:paraId="71F44602">
      <w:pPr>
        <w:bidi w:val="0"/>
        <w:rPr>
          <w:rFonts w:hint="default" w:ascii="Times New Roman" w:hAnsi="Times New Roman" w:cs="Times New Roman"/>
          <w:color w:val="auto"/>
          <w:lang w:val="en-US" w:eastAsia="zh-CN"/>
        </w:rPr>
      </w:pPr>
      <w:r>
        <w:rPr>
          <w:rFonts w:hint="eastAsia"/>
          <w:color w:val="auto"/>
          <w:lang w:val="en-US" w:eastAsia="zh-CN"/>
        </w:rPr>
        <w:t>岿美山尾矿库</w:t>
      </w:r>
      <w:r>
        <w:rPr>
          <w:rFonts w:hint="default" w:ascii="Times New Roman" w:hAnsi="Times New Roman" w:cs="Times New Roman"/>
          <w:color w:val="auto"/>
          <w:lang w:val="en-US" w:eastAsia="zh-CN"/>
        </w:rPr>
        <w:t>目前主坝堆积坝坝顶高程为+335.6m，主坝总坝高为45.3m，即将达到最终设计堆积高程</w:t>
      </w:r>
      <w:r>
        <w:rPr>
          <w:rFonts w:hint="eastAsia" w:cs="Times New Roman"/>
          <w:color w:val="auto"/>
          <w:lang w:val="en-US" w:eastAsia="zh-CN"/>
        </w:rPr>
        <w:t>（+336.3m）</w:t>
      </w:r>
      <w:r>
        <w:rPr>
          <w:rFonts w:hint="default" w:ascii="Times New Roman" w:hAnsi="Times New Roman" w:cs="Times New Roman"/>
          <w:color w:val="auto"/>
          <w:lang w:val="en-US" w:eastAsia="zh-CN"/>
        </w:rPr>
        <w:t>，已排尾砂量251.8</w:t>
      </w:r>
      <w:r>
        <w:rPr>
          <w:rFonts w:hint="eastAsia" w:ascii="Times New Roman" w:hAnsi="Times New Roman" w:eastAsia="宋体" w:cs="Times New Roman"/>
          <w:color w:val="auto"/>
          <w:lang w:val="en-US" w:eastAsia="zh-CN"/>
        </w:rPr>
        <w:t>×</w:t>
      </w:r>
      <w:r>
        <w:rPr>
          <w:rFonts w:hint="default" w:ascii="Times New Roman" w:hAnsi="Times New Roman" w:cs="Times New Roman"/>
          <w:color w:val="auto"/>
          <w:lang w:val="en-US" w:eastAsia="zh-CN"/>
        </w:rPr>
        <w:t>10</w:t>
      </w:r>
      <w:r>
        <w:rPr>
          <w:rFonts w:hint="default" w:ascii="Times New Roman" w:hAnsi="Times New Roman" w:cs="Times New Roman"/>
          <w:color w:val="auto"/>
          <w:vertAlign w:val="superscript"/>
          <w:lang w:val="en-US" w:eastAsia="zh-CN"/>
        </w:rPr>
        <w:t>4</w:t>
      </w:r>
      <w:r>
        <w:rPr>
          <w:rFonts w:hint="default" w:ascii="Times New Roman" w:hAnsi="Times New Roman" w:cs="Times New Roman"/>
          <w:color w:val="auto"/>
          <w:lang w:val="en-US" w:eastAsia="zh-CN"/>
        </w:rPr>
        <w:t>m</w:t>
      </w:r>
      <w:r>
        <w:rPr>
          <w:rFonts w:hint="default" w:ascii="Times New Roman" w:hAnsi="Times New Roman" w:cs="Times New Roman"/>
          <w:color w:val="auto"/>
          <w:vertAlign w:val="superscript"/>
          <w:lang w:val="en-US" w:eastAsia="zh-CN"/>
        </w:rPr>
        <w:t>3</w:t>
      </w:r>
      <w:r>
        <w:rPr>
          <w:rFonts w:hint="default" w:ascii="Times New Roman" w:hAnsi="Times New Roman" w:cs="Times New Roman"/>
          <w:color w:val="auto"/>
          <w:lang w:val="en-US" w:eastAsia="zh-CN"/>
        </w:rPr>
        <w:t>，</w:t>
      </w:r>
      <w:r>
        <w:rPr>
          <w:rFonts w:hint="default"/>
          <w:color w:val="auto"/>
          <w:lang w:val="en-US" w:eastAsia="zh-CN"/>
        </w:rPr>
        <w:t>按照《尾矿设施设计规范》（GB50863-2013）</w:t>
      </w:r>
      <w:r>
        <w:rPr>
          <w:rFonts w:hint="eastAsia"/>
          <w:color w:val="auto"/>
          <w:lang w:val="en-US" w:eastAsia="zh-CN"/>
        </w:rPr>
        <w:t>和《尾矿</w:t>
      </w:r>
      <w:r>
        <w:rPr>
          <w:rFonts w:hint="eastAsia"/>
          <w:color w:val="auto"/>
          <w:lang w:val="en-US" w:eastAsia="zh-CN"/>
        </w:rPr>
        <w:t>库安全规程》</w:t>
      </w:r>
      <w:r>
        <w:rPr>
          <w:rFonts w:hint="default"/>
          <w:color w:val="auto"/>
          <w:lang w:val="en-US" w:eastAsia="zh-CN"/>
        </w:rPr>
        <w:t>（GB</w:t>
      </w:r>
      <w:r>
        <w:rPr>
          <w:rFonts w:hint="eastAsia"/>
          <w:color w:val="auto"/>
          <w:lang w:val="en-US" w:eastAsia="zh-CN"/>
        </w:rPr>
        <w:t>39496</w:t>
      </w:r>
      <w:r>
        <w:rPr>
          <w:rFonts w:hint="default"/>
          <w:color w:val="auto"/>
          <w:lang w:val="en-US" w:eastAsia="zh-CN"/>
        </w:rPr>
        <w:t>-20</w:t>
      </w:r>
      <w:r>
        <w:rPr>
          <w:rFonts w:hint="eastAsia"/>
          <w:color w:val="auto"/>
          <w:lang w:val="en-US" w:eastAsia="zh-CN"/>
        </w:rPr>
        <w:t>20</w:t>
      </w:r>
      <w:r>
        <w:rPr>
          <w:rFonts w:hint="default"/>
          <w:color w:val="auto"/>
          <w:lang w:val="en-US" w:eastAsia="zh-CN"/>
        </w:rPr>
        <w:t>）</w:t>
      </w:r>
      <w:r>
        <w:rPr>
          <w:rFonts w:hint="eastAsia"/>
          <w:color w:val="auto"/>
          <w:lang w:val="en-US" w:eastAsia="zh-CN"/>
        </w:rPr>
        <w:t>中</w:t>
      </w:r>
      <w:r>
        <w:rPr>
          <w:rFonts w:hint="default"/>
          <w:color w:val="auto"/>
          <w:lang w:val="en-US" w:eastAsia="zh-CN"/>
        </w:rPr>
        <w:t>尾矿库等级划分的规定，</w:t>
      </w:r>
      <w:r>
        <w:rPr>
          <w:rFonts w:hint="eastAsia"/>
          <w:color w:val="auto"/>
          <w:lang w:val="en-US" w:eastAsia="zh-CN"/>
        </w:rPr>
        <w:t>岿美山尾矿库</w:t>
      </w:r>
      <w:r>
        <w:rPr>
          <w:rFonts w:hint="default"/>
          <w:color w:val="auto"/>
          <w:lang w:val="en-US" w:eastAsia="zh-CN"/>
        </w:rPr>
        <w:t>为</w:t>
      </w:r>
      <w:r>
        <w:rPr>
          <w:rFonts w:hint="eastAsia"/>
          <w:color w:val="auto"/>
          <w:lang w:val="en-US" w:eastAsia="zh-CN"/>
        </w:rPr>
        <w:t>四</w:t>
      </w:r>
      <w:r>
        <w:rPr>
          <w:rFonts w:hint="default"/>
          <w:color w:val="auto"/>
          <w:lang w:val="en-US" w:eastAsia="zh-CN"/>
        </w:rPr>
        <w:t>等</w:t>
      </w:r>
      <w:r>
        <w:rPr>
          <w:rFonts w:hint="eastAsia"/>
          <w:color w:val="auto"/>
          <w:lang w:val="en-US" w:eastAsia="zh-CN"/>
        </w:rPr>
        <w:t>库</w:t>
      </w:r>
      <w:r>
        <w:rPr>
          <w:rFonts w:hint="default" w:ascii="Times New Roman" w:hAnsi="Times New Roman" w:cs="Times New Roman"/>
          <w:color w:val="auto"/>
          <w:lang w:val="en-US" w:eastAsia="zh-CN"/>
        </w:rPr>
        <w:t>，因下游1公里范围内有居民，提等至三等库管理。</w:t>
      </w:r>
    </w:p>
    <w:p w14:paraId="60CA8724">
      <w:pPr>
        <w:pStyle w:val="4"/>
        <w:bidi w:val="0"/>
        <w:rPr>
          <w:rFonts w:hint="eastAsia"/>
          <w:color w:val="auto"/>
          <w:lang w:val="en-US" w:eastAsia="zh-CN"/>
        </w:rPr>
      </w:pPr>
      <w:bookmarkStart w:id="110" w:name="_Toc22854"/>
      <w:bookmarkStart w:id="111" w:name="_Toc24961"/>
      <w:r>
        <w:rPr>
          <w:rFonts w:hint="eastAsia"/>
          <w:color w:val="auto"/>
          <w:lang w:val="en-US" w:eastAsia="zh-CN"/>
        </w:rPr>
        <w:t xml:space="preserve">2.5.2 </w:t>
      </w:r>
      <w:bookmarkStart w:id="112" w:name="_Toc26092"/>
      <w:bookmarkStart w:id="113" w:name="_Toc22562988"/>
      <w:r>
        <w:rPr>
          <w:rFonts w:hint="eastAsia" w:eastAsia="黑体"/>
          <w:bCs/>
          <w:color w:val="auto"/>
          <w:sz w:val="28"/>
          <w:szCs w:val="28"/>
        </w:rPr>
        <w:t>尾矿坝</w:t>
      </w:r>
      <w:bookmarkEnd w:id="110"/>
      <w:bookmarkEnd w:id="111"/>
      <w:bookmarkEnd w:id="112"/>
      <w:bookmarkEnd w:id="113"/>
    </w:p>
    <w:p w14:paraId="4CC6F914">
      <w:pPr>
        <w:rPr>
          <w:rFonts w:hint="default" w:cs="Times New Roman"/>
          <w:b/>
          <w:bCs/>
          <w:color w:val="auto"/>
          <w:lang w:val="en-US" w:eastAsia="zh-CN"/>
        </w:rPr>
      </w:pPr>
      <w:r>
        <w:rPr>
          <w:rFonts w:hint="default" w:ascii="Times New Roman" w:hAnsi="Times New Roman" w:cs="Times New Roman"/>
          <w:b/>
          <w:bCs/>
          <w:color w:val="auto"/>
          <w:lang w:val="en-US" w:eastAsia="zh-CN"/>
        </w:rPr>
        <w:t>一、</w:t>
      </w:r>
      <w:r>
        <w:rPr>
          <w:rFonts w:hint="eastAsia"/>
          <w:b/>
          <w:bCs/>
          <w:color w:val="auto"/>
          <w:lang w:val="en-US" w:eastAsia="zh-CN"/>
        </w:rPr>
        <w:t>初期坝</w:t>
      </w:r>
    </w:p>
    <w:p w14:paraId="279DCFBA">
      <w:pPr>
        <w:bidi w:val="0"/>
        <w:rPr>
          <w:rFonts w:hint="default"/>
          <w:color w:val="auto"/>
          <w:lang w:val="en-US" w:eastAsia="zh-CN"/>
        </w:rPr>
      </w:pPr>
      <w:r>
        <w:rPr>
          <w:rFonts w:hint="eastAsia"/>
          <w:color w:val="auto"/>
          <w:lang w:val="en-US" w:eastAsia="zh-CN"/>
        </w:rPr>
        <w:t xml:space="preserve">1. </w:t>
      </w:r>
      <w:r>
        <w:rPr>
          <w:rFonts w:hint="default"/>
          <w:color w:val="auto"/>
          <w:lang w:val="en-US" w:eastAsia="zh-CN"/>
        </w:rPr>
        <w:t>设计情况</w:t>
      </w:r>
    </w:p>
    <w:p w14:paraId="1C613E80">
      <w:pPr>
        <w:bidi w:val="0"/>
        <w:rPr>
          <w:rFonts w:hint="eastAsia"/>
          <w:color w:val="auto"/>
          <w:lang w:val="en-US" w:eastAsia="zh-CN"/>
        </w:rPr>
      </w:pPr>
      <w:r>
        <w:rPr>
          <w:rFonts w:hint="eastAsia"/>
          <w:color w:val="auto"/>
          <w:lang w:val="en-US" w:eastAsia="zh-CN"/>
        </w:rPr>
        <w:t>《隐患治理安全专篇》初期坝治理：</w:t>
      </w:r>
    </w:p>
    <w:p w14:paraId="0B69CEBD">
      <w:pPr>
        <w:bidi w:val="0"/>
        <w:rPr>
          <w:rFonts w:hint="eastAsia"/>
          <w:color w:val="auto"/>
          <w:lang w:val="en-US" w:eastAsia="zh-CN"/>
        </w:rPr>
      </w:pPr>
      <w:r>
        <w:rPr>
          <w:rFonts w:hint="eastAsia"/>
          <w:color w:val="auto"/>
          <w:lang w:val="en-US" w:eastAsia="zh-CN"/>
        </w:rPr>
        <w:t>初期坝右坝段以及尾砂堆积坝部分已被采矿废石覆盖，废石堆顶部高程约+330.0m，其下游边坡过陡，平均堆积边坡为1</w:t>
      </w:r>
      <w:r>
        <w:rPr>
          <w:rFonts w:hint="eastAsia"/>
          <w:color w:val="auto"/>
        </w:rPr>
        <w:t>∶</w:t>
      </w:r>
      <w:r>
        <w:rPr>
          <w:rFonts w:hint="eastAsia"/>
          <w:color w:val="auto"/>
          <w:lang w:val="en-US" w:eastAsia="zh-CN"/>
        </w:rPr>
        <w:t>1.3，设计要求将其削坡处理，削坡后边坡不得陡于1</w:t>
      </w:r>
      <w:r>
        <w:rPr>
          <w:rFonts w:hint="eastAsia"/>
          <w:color w:val="auto"/>
        </w:rPr>
        <w:t>∶</w:t>
      </w:r>
      <w:r>
        <w:rPr>
          <w:rFonts w:hint="eastAsia"/>
          <w:color w:val="auto"/>
          <w:lang w:val="en-US" w:eastAsia="zh-CN"/>
        </w:rPr>
        <w:t>1.6，以确保废石堆稳定安全。废石堆削坡时应先从顶部开始，从上至下逐级分台阶往下削坡，每级台阶削坡高度5.0m，一级削坡完成后应平推2.0m作为马道，再往下进行下一级削坡作业。使废石堆构成为尾矿库的反压平台，提高尾矿坝安全性。</w:t>
      </w:r>
    </w:p>
    <w:p w14:paraId="07FFE615">
      <w:pPr>
        <w:bidi w:val="0"/>
        <w:rPr>
          <w:rFonts w:hint="default"/>
          <w:color w:val="auto"/>
          <w:lang w:val="en-US" w:eastAsia="zh-CN"/>
        </w:rPr>
      </w:pPr>
      <w:r>
        <w:rPr>
          <w:rFonts w:hint="eastAsia"/>
          <w:color w:val="auto"/>
          <w:lang w:val="en-US" w:eastAsia="zh-CN"/>
        </w:rPr>
        <w:t xml:space="preserve">2. </w:t>
      </w:r>
      <w:r>
        <w:rPr>
          <w:rFonts w:hint="default"/>
          <w:color w:val="auto"/>
          <w:lang w:val="en-US" w:eastAsia="zh-CN"/>
        </w:rPr>
        <w:t>现场检查情况</w:t>
      </w:r>
    </w:p>
    <w:p w14:paraId="7CCDCCC7">
      <w:pPr>
        <w:bidi w:val="0"/>
        <w:rPr>
          <w:rFonts w:hint="eastAsia" w:ascii="Times New Roman" w:hAnsi="Times New Roman" w:eastAsia="宋体" w:cs="Times New Roman"/>
          <w:color w:val="auto"/>
          <w:lang w:val="en-US" w:eastAsia="zh-CN"/>
        </w:rPr>
      </w:pPr>
      <w:r>
        <w:rPr>
          <w:rFonts w:hint="eastAsia"/>
          <w:color w:val="auto"/>
          <w:lang w:val="en-US" w:eastAsia="zh-CN"/>
        </w:rPr>
        <w:t>现场检查和查阅图纸，现状初期坝坝顶高程为+306.7m，顶宽10m～16m，初期坝高16.4m，初期坝为土石混合坝，上部主要为</w:t>
      </w:r>
      <w:r>
        <w:rPr>
          <w:rFonts w:hint="eastAsia" w:ascii="Times New Roman" w:hAnsi="Times New Roman" w:eastAsia="宋体" w:cs="Times New Roman"/>
          <w:color w:val="auto"/>
          <w:lang w:val="en-US" w:eastAsia="zh-CN"/>
        </w:rPr>
        <w:t>选矿碎石，下游坡面长</w:t>
      </w:r>
      <w:r>
        <w:rPr>
          <w:rFonts w:hint="eastAsia" w:cs="Times New Roman"/>
          <w:color w:val="auto"/>
          <w:lang w:val="en-US" w:eastAsia="zh-CN"/>
        </w:rPr>
        <w:t>满</w:t>
      </w:r>
      <w:r>
        <w:rPr>
          <w:rFonts w:hint="eastAsia" w:ascii="Times New Roman" w:hAnsi="Times New Roman" w:eastAsia="宋体" w:cs="Times New Roman"/>
          <w:color w:val="auto"/>
          <w:lang w:val="en-US" w:eastAsia="zh-CN"/>
        </w:rPr>
        <w:t>茅草，于</w:t>
      </w:r>
      <w:r>
        <w:rPr>
          <w:rFonts w:hint="eastAsia" w:cs="Times New Roman"/>
          <w:color w:val="auto"/>
          <w:lang w:val="en-US" w:eastAsia="zh-CN"/>
        </w:rPr>
        <w:t>+</w:t>
      </w:r>
      <w:r>
        <w:rPr>
          <w:rFonts w:hint="eastAsia" w:ascii="Times New Roman" w:hAnsi="Times New Roman" w:eastAsia="宋体" w:cs="Times New Roman"/>
          <w:color w:val="auto"/>
          <w:lang w:val="en-US" w:eastAsia="zh-CN"/>
        </w:rPr>
        <w:t>303.7m、</w:t>
      </w:r>
      <w:r>
        <w:rPr>
          <w:rFonts w:hint="eastAsia" w:cs="Times New Roman"/>
          <w:color w:val="auto"/>
          <w:lang w:val="en-US" w:eastAsia="zh-CN"/>
        </w:rPr>
        <w:t>+</w:t>
      </w:r>
      <w:r>
        <w:rPr>
          <w:rFonts w:hint="eastAsia" w:ascii="Times New Roman" w:hAnsi="Times New Roman" w:eastAsia="宋体" w:cs="Times New Roman"/>
          <w:color w:val="auto"/>
          <w:lang w:val="en-US" w:eastAsia="zh-CN"/>
        </w:rPr>
        <w:t>300.0m高程设</w:t>
      </w:r>
      <w:r>
        <w:rPr>
          <w:rFonts w:hint="eastAsia" w:cs="Times New Roman"/>
          <w:color w:val="auto"/>
          <w:lang w:val="en-US" w:eastAsia="zh-CN"/>
        </w:rPr>
        <w:t>有</w:t>
      </w:r>
      <w:r>
        <w:rPr>
          <w:rFonts w:hint="eastAsia" w:ascii="Times New Roman" w:hAnsi="Times New Roman" w:eastAsia="宋体" w:cs="Times New Roman"/>
          <w:color w:val="auto"/>
          <w:lang w:val="en-US" w:eastAsia="zh-CN"/>
        </w:rPr>
        <w:t>马道，下游坡比从上至下分别为</w:t>
      </w:r>
    </w:p>
    <w:p w14:paraId="4DB31C0B">
      <w:pPr>
        <w:bidi w:val="0"/>
        <w:ind w:left="0" w:leftChars="0" w:firstLine="0" w:firstLineChars="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w:t>
      </w:r>
      <w:r>
        <w:rPr>
          <w:rFonts w:hint="eastAsia" w:ascii="宋体" w:hAnsi="宋体"/>
          <w:color w:val="auto"/>
          <w:szCs w:val="28"/>
        </w:rPr>
        <w:t>∶</w:t>
      </w:r>
      <w:r>
        <w:rPr>
          <w:rFonts w:hint="eastAsia" w:ascii="Times New Roman" w:hAnsi="Times New Roman" w:eastAsia="宋体" w:cs="Times New Roman"/>
          <w:color w:val="auto"/>
          <w:lang w:val="en-US" w:eastAsia="zh-CN"/>
        </w:rPr>
        <w:t>1.38、1</w:t>
      </w:r>
      <w:r>
        <w:rPr>
          <w:rFonts w:hint="eastAsia" w:ascii="宋体" w:hAnsi="宋体"/>
          <w:color w:val="auto"/>
          <w:szCs w:val="28"/>
        </w:rPr>
        <w:t>∶</w:t>
      </w:r>
      <w:r>
        <w:rPr>
          <w:rFonts w:hint="eastAsia" w:ascii="Times New Roman" w:hAnsi="Times New Roman" w:eastAsia="宋体" w:cs="Times New Roman"/>
          <w:color w:val="auto"/>
          <w:lang w:val="en-US" w:eastAsia="zh-CN"/>
        </w:rPr>
        <w:t>0.96、1</w:t>
      </w:r>
      <w:r>
        <w:rPr>
          <w:rFonts w:hint="eastAsia" w:ascii="宋体" w:hAnsi="宋体"/>
          <w:color w:val="auto"/>
          <w:szCs w:val="28"/>
        </w:rPr>
        <w:t>∶</w:t>
      </w:r>
      <w:r>
        <w:rPr>
          <w:rFonts w:hint="eastAsia" w:ascii="Times New Roman" w:hAnsi="Times New Roman" w:eastAsia="宋体" w:cs="Times New Roman"/>
          <w:color w:val="auto"/>
          <w:lang w:val="en-US" w:eastAsia="zh-CN"/>
        </w:rPr>
        <w:t>2.06，下游平均坡比为1</w:t>
      </w:r>
      <w:r>
        <w:rPr>
          <w:rFonts w:hint="eastAsia" w:ascii="宋体" w:hAnsi="宋体"/>
          <w:color w:val="auto"/>
          <w:szCs w:val="28"/>
        </w:rPr>
        <w:t>∶</w:t>
      </w:r>
      <w:r>
        <w:rPr>
          <w:rFonts w:hint="eastAsia" w:ascii="Times New Roman" w:hAnsi="Times New Roman" w:eastAsia="宋体" w:cs="Times New Roman"/>
          <w:color w:val="auto"/>
          <w:lang w:val="en-US" w:eastAsia="zh-CN"/>
        </w:rPr>
        <w:t>2.56。</w:t>
      </w:r>
    </w:p>
    <w:p w14:paraId="535F6D48">
      <w:pPr>
        <w:rPr>
          <w:rFonts w:hint="default" w:cs="Times New Roman"/>
          <w:b/>
          <w:bCs/>
          <w:color w:val="auto"/>
          <w:lang w:val="en-US" w:eastAsia="zh-CN"/>
        </w:rPr>
      </w:pPr>
      <w:r>
        <w:rPr>
          <w:rFonts w:hint="eastAsia" w:ascii="Times New Roman" w:hAnsi="Times New Roman" w:cs="Times New Roman"/>
          <w:b/>
          <w:bCs/>
          <w:color w:val="auto"/>
          <w:lang w:val="en-US" w:eastAsia="zh-CN"/>
        </w:rPr>
        <w:t>二</w:t>
      </w:r>
      <w:r>
        <w:rPr>
          <w:rFonts w:hint="default" w:ascii="Times New Roman" w:hAnsi="Times New Roman" w:cs="Times New Roman"/>
          <w:b/>
          <w:bCs/>
          <w:color w:val="auto"/>
          <w:lang w:val="en-US" w:eastAsia="zh-CN"/>
        </w:rPr>
        <w:t>、</w:t>
      </w:r>
      <w:r>
        <w:rPr>
          <w:rFonts w:hint="eastAsia"/>
          <w:b/>
          <w:bCs/>
          <w:color w:val="auto"/>
          <w:lang w:val="en-US" w:eastAsia="zh-CN"/>
        </w:rPr>
        <w:t>堆积坝</w:t>
      </w:r>
    </w:p>
    <w:p w14:paraId="328741EE">
      <w:pPr>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w:t>
      </w:r>
      <w:r>
        <w:rPr>
          <w:rFonts w:hint="eastAsia" w:ascii="Times New Roman" w:hAnsi="Times New Roman" w:eastAsia="宋体" w:cs="Times New Roman"/>
          <w:color w:val="auto"/>
          <w:lang w:val="en-US" w:eastAsia="zh-CN"/>
        </w:rPr>
        <w:t xml:space="preserve"> </w:t>
      </w:r>
      <w:r>
        <w:rPr>
          <w:rFonts w:hint="default" w:ascii="Times New Roman" w:hAnsi="Times New Roman" w:eastAsia="宋体" w:cs="Times New Roman"/>
          <w:color w:val="auto"/>
          <w:lang w:val="en-US" w:eastAsia="zh-CN"/>
        </w:rPr>
        <w:t>设计情况</w:t>
      </w:r>
    </w:p>
    <w:p w14:paraId="02D737BB">
      <w:pPr>
        <w:bidi w:val="0"/>
        <w:rPr>
          <w:rFonts w:hint="eastAsia"/>
          <w:color w:val="auto"/>
          <w:lang w:val="en-US" w:eastAsia="zh-CN"/>
        </w:rPr>
      </w:pPr>
      <w:r>
        <w:rPr>
          <w:rFonts w:hint="eastAsia"/>
          <w:color w:val="auto"/>
          <w:lang w:val="en-US" w:eastAsia="zh-CN"/>
        </w:rPr>
        <w:t>《隐患治理安全专篇》堆积坝治理：</w:t>
      </w:r>
    </w:p>
    <w:p w14:paraId="794763C8">
      <w:pPr>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（1）护坡：为防止雨水冲刷尾砂堆积坝坡面，应在堆积坝外坡现有裸露处覆盖30cm厚山皮土，以后尾砂堆积坝上升过程中也应及时覆盖30cm粘土并植草护坡。</w:t>
      </w:r>
    </w:p>
    <w:p w14:paraId="2638324A">
      <w:pPr>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（2）水沟：为了收集坝内渗流出水及天然降水，应沿堆积坡与两岸山坡结合处的山坡上设置坝肩截水沟，并在堆积坝下游坝面上设置坝坡排水沟。均采用浆砌石结构，坝肩排水沟横断面为矩形，B</w:t>
      </w:r>
      <w:r>
        <w:rPr>
          <w:rFonts w:hint="eastAsia" w:ascii="Times New Roman" w:hAnsi="Times New Roman" w:eastAsia="宋体" w:cs="Times New Roman"/>
          <w:color w:val="auto"/>
          <w:lang w:val="en-US" w:eastAsia="zh-CN"/>
        </w:rPr>
        <w:t>×</w:t>
      </w:r>
      <w:r>
        <w:rPr>
          <w:rFonts w:hint="default" w:ascii="Times New Roman" w:hAnsi="Times New Roman" w:eastAsia="宋体" w:cs="Times New Roman"/>
          <w:color w:val="auto"/>
          <w:lang w:val="en-US" w:eastAsia="zh-CN"/>
        </w:rPr>
        <w:t>H=0.4m</w:t>
      </w:r>
      <w:r>
        <w:rPr>
          <w:rFonts w:hint="eastAsia" w:ascii="Times New Roman" w:hAnsi="Times New Roman" w:eastAsia="宋体" w:cs="Times New Roman"/>
          <w:color w:val="auto"/>
          <w:lang w:val="en-US" w:eastAsia="zh-CN"/>
        </w:rPr>
        <w:t>×</w:t>
      </w:r>
      <w:r>
        <w:rPr>
          <w:rFonts w:hint="default" w:ascii="Times New Roman" w:hAnsi="Times New Roman" w:eastAsia="宋体" w:cs="Times New Roman"/>
          <w:color w:val="auto"/>
          <w:lang w:val="en-US" w:eastAsia="zh-CN"/>
        </w:rPr>
        <w:t>0.4m。坝面排水沟分横沟和纵沟，横沟沿尾矿坝马道内侧布置，排水纵坡1%；纵沟沿坝坡每50m设置一条，纵、横沟均为矩形断面，B</w:t>
      </w:r>
      <w:r>
        <w:rPr>
          <w:rFonts w:hint="eastAsia" w:ascii="Times New Roman" w:hAnsi="Times New Roman" w:eastAsia="宋体" w:cs="Times New Roman"/>
          <w:color w:val="auto"/>
          <w:lang w:val="en-US" w:eastAsia="zh-CN"/>
        </w:rPr>
        <w:t>×</w:t>
      </w:r>
      <w:r>
        <w:rPr>
          <w:rFonts w:hint="default" w:ascii="Times New Roman" w:hAnsi="Times New Roman" w:eastAsia="宋体" w:cs="Times New Roman"/>
          <w:color w:val="auto"/>
          <w:lang w:val="en-US" w:eastAsia="zh-CN"/>
        </w:rPr>
        <w:t>H=0.30m</w:t>
      </w:r>
      <w:r>
        <w:rPr>
          <w:rFonts w:hint="eastAsia" w:ascii="Times New Roman" w:hAnsi="Times New Roman" w:eastAsia="宋体" w:cs="Times New Roman"/>
          <w:color w:val="auto"/>
          <w:lang w:val="en-US" w:eastAsia="zh-CN"/>
        </w:rPr>
        <w:t>×</w:t>
      </w:r>
      <w:r>
        <w:rPr>
          <w:rFonts w:hint="default" w:ascii="Times New Roman" w:hAnsi="Times New Roman" w:eastAsia="宋体" w:cs="Times New Roman"/>
          <w:color w:val="auto"/>
          <w:lang w:val="en-US" w:eastAsia="zh-CN"/>
        </w:rPr>
        <w:t>0.30m，沟内侧采用M5水泥砂浆抹面，厚2cm。同时必须将排水沟内淤积物清理干净使水流顺畅，并与新建的坝面排水沟连接。</w:t>
      </w:r>
    </w:p>
    <w:p w14:paraId="58652CD7">
      <w:pPr>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（3）水平管排渗：为了能够有效地降低坝体浸润线，加速尾砂固结，有利于堆积坝体的稳定性，应在</w:t>
      </w:r>
      <w:r>
        <w:rPr>
          <w:rFonts w:hint="eastAsia" w:cs="Times New Roman"/>
          <w:color w:val="auto"/>
          <w:lang w:val="en-US" w:eastAsia="zh-CN"/>
        </w:rPr>
        <w:t>+</w:t>
      </w:r>
      <w:r>
        <w:rPr>
          <w:rFonts w:hint="default" w:ascii="Times New Roman" w:hAnsi="Times New Roman" w:eastAsia="宋体" w:cs="Times New Roman"/>
          <w:color w:val="auto"/>
          <w:lang w:val="en-US" w:eastAsia="zh-CN"/>
        </w:rPr>
        <w:t>329.0m高程处打水平排渗管，水平排渗管长L＝70.0m，管径D=90mm，排渗管靠库内一端20.0m段开孔，每周开6孔，梅花形布置，孔径1.0cm，孔距10.0cm。开孔段需用400g/m</w:t>
      </w:r>
      <w:r>
        <w:rPr>
          <w:rFonts w:hint="default" w:ascii="Times New Roman" w:hAnsi="Times New Roman" w:eastAsia="宋体" w:cs="Times New Roman"/>
          <w:color w:val="auto"/>
          <w:vertAlign w:val="superscript"/>
          <w:lang w:val="en-US" w:eastAsia="zh-CN"/>
        </w:rPr>
        <w:t>2</w:t>
      </w:r>
      <w:r>
        <w:rPr>
          <w:rFonts w:hint="default" w:ascii="Times New Roman" w:hAnsi="Times New Roman" w:eastAsia="宋体" w:cs="Times New Roman"/>
          <w:color w:val="auto"/>
          <w:lang w:val="en-US" w:eastAsia="zh-CN"/>
        </w:rPr>
        <w:t>土工布包裹。排渗管出口端与坝坡排水沟相接。</w:t>
      </w:r>
    </w:p>
    <w:p w14:paraId="609D1C98">
      <w:pPr>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（4）滩面排渗层：尾矿库尾砂现状堆积高程为</w:t>
      </w:r>
      <w:r>
        <w:rPr>
          <w:rFonts w:hint="eastAsia" w:cs="Times New Roman"/>
          <w:color w:val="auto"/>
          <w:lang w:val="en-US" w:eastAsia="zh-CN"/>
        </w:rPr>
        <w:t>+</w:t>
      </w:r>
      <w:r>
        <w:rPr>
          <w:rFonts w:hint="default" w:ascii="Times New Roman" w:hAnsi="Times New Roman" w:eastAsia="宋体" w:cs="Times New Roman"/>
          <w:color w:val="auto"/>
          <w:lang w:val="en-US" w:eastAsia="zh-CN"/>
        </w:rPr>
        <w:t>336.0m，尾砂最终堆积高程为</w:t>
      </w:r>
      <w:r>
        <w:rPr>
          <w:rFonts w:hint="eastAsia" w:cs="Times New Roman"/>
          <w:color w:val="auto"/>
          <w:lang w:val="en-US" w:eastAsia="zh-CN"/>
        </w:rPr>
        <w:t>+</w:t>
      </w:r>
      <w:r>
        <w:rPr>
          <w:rFonts w:hint="default" w:ascii="Times New Roman" w:hAnsi="Times New Roman" w:eastAsia="宋体" w:cs="Times New Roman"/>
          <w:color w:val="auto"/>
          <w:lang w:val="en-US" w:eastAsia="zh-CN"/>
        </w:rPr>
        <w:t>345.0m，为确保尾矿库以后堆积运行过程中渗流稳定，设计拟在尾砂堆积坝</w:t>
      </w:r>
      <w:r>
        <w:rPr>
          <w:rFonts w:hint="eastAsia" w:cs="Times New Roman"/>
          <w:color w:val="auto"/>
          <w:lang w:val="en-US" w:eastAsia="zh-CN"/>
        </w:rPr>
        <w:t>+</w:t>
      </w:r>
      <w:r>
        <w:rPr>
          <w:rFonts w:hint="default" w:ascii="Times New Roman" w:hAnsi="Times New Roman" w:eastAsia="宋体" w:cs="Times New Roman"/>
          <w:color w:val="auto"/>
          <w:lang w:val="en-US" w:eastAsia="zh-CN"/>
        </w:rPr>
        <w:t>336.0m滩面设水平排渗层，水平排渗层由400g/m</w:t>
      </w:r>
      <w:r>
        <w:rPr>
          <w:rFonts w:hint="default" w:ascii="Times New Roman" w:hAnsi="Times New Roman" w:eastAsia="宋体" w:cs="Times New Roman"/>
          <w:color w:val="auto"/>
          <w:vertAlign w:val="superscript"/>
          <w:lang w:val="en-US" w:eastAsia="zh-CN"/>
        </w:rPr>
        <w:t>2</w:t>
      </w:r>
      <w:r>
        <w:rPr>
          <w:rFonts w:hint="default" w:ascii="Times New Roman" w:hAnsi="Times New Roman" w:eastAsia="宋体" w:cs="Times New Roman"/>
          <w:color w:val="auto"/>
          <w:lang w:val="en-US" w:eastAsia="zh-CN"/>
        </w:rPr>
        <w:t>土工布包1000</w:t>
      </w:r>
      <w:r>
        <w:rPr>
          <w:rFonts w:hint="eastAsia"/>
          <w:color w:val="auto"/>
        </w:rPr>
        <w:t>×</w:t>
      </w:r>
      <w:r>
        <w:rPr>
          <w:rFonts w:hint="default" w:ascii="Times New Roman" w:hAnsi="Times New Roman" w:eastAsia="宋体" w:cs="Times New Roman"/>
          <w:color w:val="auto"/>
          <w:lang w:val="en-US" w:eastAsia="zh-CN"/>
        </w:rPr>
        <w:t>10mm型土工席垫组成，土工席垫内包一内径D=100mmHDPE花管，再通过D=100mm的排水管将渗透水引出堆积坝外，排水HDPE管长L＝50m。</w:t>
      </w:r>
    </w:p>
    <w:p w14:paraId="312001CB">
      <w:pPr>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（5）放矿：该尾矿库最终尾砂堆积高程为</w:t>
      </w:r>
      <w:r>
        <w:rPr>
          <w:rFonts w:hint="eastAsia" w:cs="Times New Roman"/>
          <w:color w:val="auto"/>
          <w:lang w:val="en-US" w:eastAsia="zh-CN"/>
        </w:rPr>
        <w:t>+</w:t>
      </w:r>
      <w:r>
        <w:rPr>
          <w:rFonts w:hint="default" w:ascii="Times New Roman" w:hAnsi="Times New Roman" w:eastAsia="宋体" w:cs="Times New Roman"/>
          <w:color w:val="auto"/>
          <w:lang w:val="en-US" w:eastAsia="zh-CN"/>
        </w:rPr>
        <w:t>345.0m，在以后尾矿库运行过程中应规范放矿，严格按照尾矿库上游法堆坝。尾砂平均堆积边坡</w:t>
      </w:r>
    </w:p>
    <w:p w14:paraId="2786B68D">
      <w:pPr>
        <w:bidi w:val="0"/>
        <w:ind w:left="0" w:leftChars="0"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w:t>
      </w:r>
      <w:r>
        <w:rPr>
          <w:rFonts w:hint="eastAsia" w:ascii="宋体" w:hAnsi="宋体"/>
          <w:color w:val="auto"/>
          <w:szCs w:val="28"/>
        </w:rPr>
        <w:t>∶</w:t>
      </w:r>
      <w:r>
        <w:rPr>
          <w:rFonts w:hint="default" w:ascii="Times New Roman" w:hAnsi="Times New Roman" w:eastAsia="宋体" w:cs="Times New Roman"/>
          <w:color w:val="auto"/>
          <w:lang w:val="en-US" w:eastAsia="zh-CN"/>
        </w:rPr>
        <w:t>4.0，尾砂滩面平均坡度不得低于1％。尾砂每级子坝高度2.0m，坝顶宽度2.0m，上下游边坡均为1</w:t>
      </w:r>
      <w:r>
        <w:rPr>
          <w:rFonts w:hint="eastAsia" w:ascii="宋体" w:hAnsi="宋体"/>
          <w:color w:val="auto"/>
          <w:szCs w:val="28"/>
        </w:rPr>
        <w:t>∶</w:t>
      </w:r>
      <w:r>
        <w:rPr>
          <w:rFonts w:hint="default" w:ascii="Times New Roman" w:hAnsi="Times New Roman" w:eastAsia="宋体" w:cs="Times New Roman"/>
          <w:color w:val="auto"/>
          <w:lang w:val="en-US" w:eastAsia="zh-CN"/>
        </w:rPr>
        <w:t>2.5。</w:t>
      </w:r>
    </w:p>
    <w:p w14:paraId="438FCD30">
      <w:pPr>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w:t>
      </w:r>
      <w:r>
        <w:rPr>
          <w:rFonts w:hint="eastAsia" w:ascii="Times New Roman" w:hAnsi="Times New Roman" w:eastAsia="宋体" w:cs="Times New Roman"/>
          <w:color w:val="auto"/>
          <w:lang w:val="en-US" w:eastAsia="zh-CN"/>
        </w:rPr>
        <w:t xml:space="preserve"> </w:t>
      </w:r>
      <w:r>
        <w:rPr>
          <w:rFonts w:hint="default" w:ascii="Times New Roman" w:hAnsi="Times New Roman" w:eastAsia="宋体" w:cs="Times New Roman"/>
          <w:color w:val="auto"/>
          <w:lang w:val="en-US" w:eastAsia="zh-CN"/>
        </w:rPr>
        <w:t>现场检查情况</w:t>
      </w:r>
    </w:p>
    <w:p w14:paraId="0C4C2FFC">
      <w:pPr>
        <w:bidi w:val="0"/>
        <w:rPr>
          <w:rFonts w:hint="eastAsia"/>
          <w:color w:val="auto"/>
          <w:lang w:val="en-US" w:eastAsia="zh-CN"/>
        </w:rPr>
      </w:pPr>
      <w:r>
        <w:rPr>
          <w:rFonts w:hint="eastAsia"/>
          <w:color w:val="auto"/>
          <w:lang w:val="en-US" w:eastAsia="zh-CN"/>
        </w:rPr>
        <w:t>现场检查和查阅图纸，现状堆积坝坝顶高程为+335.6m，库内滩顶高程为334.3m，堆积坝高28.9m，共有5级子坝，分别于+309.5m、+321.9m、+327.4m、+332.2m高程设马道，下游坡比从上至下分别为1</w:t>
      </w:r>
      <w:r>
        <w:rPr>
          <w:rFonts w:hint="eastAsia" w:ascii="宋体" w:hAnsi="宋体"/>
          <w:color w:val="auto"/>
          <w:szCs w:val="28"/>
        </w:rPr>
        <w:t>∶</w:t>
      </w:r>
      <w:r>
        <w:rPr>
          <w:rFonts w:hint="eastAsia"/>
          <w:color w:val="auto"/>
          <w:lang w:val="en-US" w:eastAsia="zh-CN"/>
        </w:rPr>
        <w:t>4.34、1</w:t>
      </w:r>
      <w:r>
        <w:rPr>
          <w:rFonts w:hint="eastAsia" w:ascii="宋体" w:hAnsi="宋体"/>
          <w:color w:val="auto"/>
          <w:szCs w:val="28"/>
        </w:rPr>
        <w:t>∶</w:t>
      </w:r>
      <w:r>
        <w:rPr>
          <w:rFonts w:hint="eastAsia"/>
          <w:color w:val="auto"/>
          <w:lang w:val="en-US" w:eastAsia="zh-CN"/>
        </w:rPr>
        <w:t>4.95、1</w:t>
      </w:r>
      <w:r>
        <w:rPr>
          <w:rFonts w:hint="eastAsia" w:ascii="宋体" w:hAnsi="宋体"/>
          <w:color w:val="auto"/>
          <w:szCs w:val="28"/>
        </w:rPr>
        <w:t>∶</w:t>
      </w:r>
      <w:r>
        <w:rPr>
          <w:rFonts w:hint="eastAsia"/>
          <w:color w:val="auto"/>
          <w:lang w:val="en-US" w:eastAsia="zh-CN"/>
        </w:rPr>
        <w:t>3.82、1</w:t>
      </w:r>
      <w:r>
        <w:rPr>
          <w:rFonts w:hint="eastAsia" w:ascii="宋体" w:hAnsi="宋体"/>
          <w:color w:val="auto"/>
          <w:szCs w:val="28"/>
        </w:rPr>
        <w:t>∶</w:t>
      </w:r>
      <w:r>
        <w:rPr>
          <w:rFonts w:hint="eastAsia"/>
          <w:color w:val="auto"/>
          <w:lang w:val="en-US" w:eastAsia="zh-CN"/>
        </w:rPr>
        <w:t>4.38、1</w:t>
      </w:r>
      <w:r>
        <w:rPr>
          <w:rFonts w:hint="eastAsia" w:ascii="宋体" w:hAnsi="宋体"/>
          <w:color w:val="auto"/>
          <w:szCs w:val="28"/>
        </w:rPr>
        <w:t>∶</w:t>
      </w:r>
      <w:r>
        <w:rPr>
          <w:rFonts w:hint="eastAsia"/>
          <w:color w:val="auto"/>
          <w:lang w:val="en-US" w:eastAsia="zh-CN"/>
        </w:rPr>
        <w:t>2.34，堆积坝下游平均坡比为1</w:t>
      </w:r>
      <w:r>
        <w:rPr>
          <w:rFonts w:hint="eastAsia" w:ascii="宋体" w:hAnsi="宋体"/>
          <w:color w:val="auto"/>
          <w:szCs w:val="28"/>
        </w:rPr>
        <w:t>∶</w:t>
      </w:r>
      <w:r>
        <w:rPr>
          <w:rFonts w:hint="eastAsia"/>
          <w:color w:val="auto"/>
          <w:lang w:val="en-US" w:eastAsia="zh-CN"/>
        </w:rPr>
        <w:t>5.18，堆积坝下游采用选矿碎石覆盖，修建有坝面排水沟及坝肩沟，最上游一级堆积坝下游局部有冲刷拉沟现象，除此之外坡面未发现变形、裂缝、沉陷等不良地质现象，坝体运行状况正常。</w:t>
      </w:r>
    </w:p>
    <w:p w14:paraId="4256BD3D">
      <w:pPr>
        <w:bidi w:val="0"/>
        <w:rPr>
          <w:rFonts w:hint="eastAsia"/>
          <w:color w:val="auto"/>
          <w:lang w:val="en-US" w:eastAsia="zh-CN"/>
        </w:rPr>
      </w:pPr>
      <w:r>
        <w:rPr>
          <w:rFonts w:hint="eastAsia"/>
          <w:color w:val="auto"/>
        </w:rPr>
        <w:t>初期坝以及尾砂堆积坝右坝段部分已被选矿碎石覆盖，碎石堆顶高程</w:t>
      </w:r>
      <w:r>
        <w:rPr>
          <w:rFonts w:hint="eastAsia"/>
          <w:color w:val="auto"/>
          <w:lang w:val="en-US" w:eastAsia="zh-CN"/>
        </w:rPr>
        <w:t>+</w:t>
      </w:r>
      <w:r>
        <w:rPr>
          <w:rFonts w:hint="eastAsia"/>
          <w:color w:val="auto"/>
        </w:rPr>
        <w:t>324m～</w:t>
      </w:r>
      <w:r>
        <w:rPr>
          <w:rFonts w:hint="eastAsia"/>
          <w:color w:val="auto"/>
          <w:lang w:val="en-US" w:eastAsia="zh-CN"/>
        </w:rPr>
        <w:t>+</w:t>
      </w:r>
      <w:r>
        <w:rPr>
          <w:rFonts w:hint="eastAsia"/>
          <w:color w:val="auto"/>
        </w:rPr>
        <w:t>330m，最高处高程约</w:t>
      </w:r>
      <w:r>
        <w:rPr>
          <w:rFonts w:hint="eastAsia"/>
          <w:color w:val="auto"/>
          <w:lang w:val="en-US" w:eastAsia="zh-CN"/>
        </w:rPr>
        <w:t>+</w:t>
      </w:r>
      <w:r>
        <w:rPr>
          <w:rFonts w:hint="eastAsia"/>
          <w:color w:val="auto"/>
        </w:rPr>
        <w:t>330.0m，碎石堆下游平均坡比为1</w:t>
      </w:r>
      <w:r>
        <w:rPr>
          <w:rFonts w:hint="eastAsia" w:ascii="宋体" w:hAnsi="宋体"/>
          <w:color w:val="auto"/>
          <w:szCs w:val="28"/>
        </w:rPr>
        <w:t>∶</w:t>
      </w:r>
      <w:r>
        <w:rPr>
          <w:rFonts w:hint="eastAsia"/>
          <w:color w:val="auto"/>
        </w:rPr>
        <w:t>2.05，现状碎石堆坡脚采用块石护坡，处于稳定状态。</w:t>
      </w:r>
    </w:p>
    <w:p w14:paraId="623A287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eastAsia" w:cs="Times New Roman"/>
          <w:b/>
          <w:bCs/>
          <w:color w:val="auto"/>
          <w:lang w:val="en-US" w:eastAsia="zh-CN"/>
        </w:rPr>
        <w:t>三</w:t>
      </w:r>
      <w:r>
        <w:rPr>
          <w:rFonts w:hint="default" w:ascii="Times New Roman" w:hAnsi="Times New Roman" w:cs="Times New Roman"/>
          <w:b/>
          <w:bCs/>
          <w:color w:val="auto"/>
          <w:lang w:val="en-US" w:eastAsia="zh-CN"/>
        </w:rPr>
        <w:t>、</w:t>
      </w:r>
      <w:r>
        <w:rPr>
          <w:rFonts w:hint="eastAsia" w:cs="Times New Roman"/>
          <w:b/>
          <w:bCs/>
          <w:color w:val="auto"/>
          <w:lang w:val="en-US" w:eastAsia="zh-CN"/>
        </w:rPr>
        <w:t>副坝</w:t>
      </w:r>
    </w:p>
    <w:p w14:paraId="36CB9A2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default"/>
          <w:color w:val="auto"/>
          <w:lang w:val="en-US" w:eastAsia="zh-CN"/>
        </w:rPr>
      </w:pPr>
      <w:r>
        <w:rPr>
          <w:rFonts w:hint="default" w:ascii="Times New Roman" w:hAnsi="Times New Roman" w:eastAsia="宋体"/>
          <w:color w:val="auto"/>
          <w:kern w:val="2"/>
          <w:sz w:val="28"/>
          <w:szCs w:val="24"/>
          <w:lang w:val="en-US" w:eastAsia="zh-CN" w:bidi="ar-SA"/>
        </w:rPr>
        <w:t>1.</w:t>
      </w:r>
      <w:r>
        <w:rPr>
          <w:rFonts w:hint="eastAsia"/>
          <w:color w:val="auto"/>
          <w:kern w:val="2"/>
          <w:sz w:val="28"/>
          <w:szCs w:val="24"/>
          <w:lang w:val="en-US" w:eastAsia="zh-CN" w:bidi="ar-SA"/>
        </w:rPr>
        <w:t xml:space="preserve"> </w:t>
      </w:r>
      <w:r>
        <w:rPr>
          <w:rFonts w:hint="default"/>
          <w:color w:val="auto"/>
          <w:lang w:val="en-US" w:eastAsia="zh-CN"/>
        </w:rPr>
        <w:t>设计情况</w:t>
      </w:r>
    </w:p>
    <w:p w14:paraId="5FD9824F">
      <w:pPr>
        <w:bidi w:val="0"/>
        <w:rPr>
          <w:rFonts w:hint="eastAsia"/>
          <w:color w:val="auto"/>
          <w:lang w:val="en-US" w:eastAsia="zh-CN"/>
        </w:rPr>
      </w:pPr>
      <w:r>
        <w:rPr>
          <w:rFonts w:hint="eastAsia"/>
          <w:color w:val="auto"/>
          <w:lang w:val="en-US" w:eastAsia="zh-CN"/>
        </w:rPr>
        <w:t>《隐患治理安全专篇》</w:t>
      </w:r>
      <w:r>
        <w:rPr>
          <w:rFonts w:hint="default"/>
          <w:color w:val="auto"/>
          <w:lang w:val="en-US" w:eastAsia="zh-CN"/>
        </w:rPr>
        <w:t>副坝</w:t>
      </w:r>
      <w:r>
        <w:rPr>
          <w:rFonts w:hint="eastAsia"/>
          <w:color w:val="auto"/>
          <w:lang w:val="en-US" w:eastAsia="zh-CN"/>
        </w:rPr>
        <w:t>：</w:t>
      </w:r>
    </w:p>
    <w:p w14:paraId="7E8CF3C1">
      <w:pPr>
        <w:bidi w:val="0"/>
        <w:rPr>
          <w:rFonts w:hint="default"/>
          <w:color w:val="auto"/>
          <w:lang w:val="en-US" w:eastAsia="zh-CN"/>
        </w:rPr>
      </w:pPr>
      <w:r>
        <w:rPr>
          <w:rFonts w:hint="eastAsia"/>
          <w:color w:val="auto"/>
          <w:lang w:val="en-US" w:eastAsia="zh-CN"/>
        </w:rPr>
        <w:t>根据地形条件为确保尾矿库安全顺利的堆积至+345.0m高程，需在原已建溢洪道的垭口建一座副坝。副坝采用碾压堆石坝，坝顶高程+345.0m，坝底原地面高程+330m，清基1m后坝底高程+329m，清去两岸山坡草皮、腐植土、浮土及上部的残坡积层。坝高15.0m，坝顶宽度6.0m，坝顶轴线长124.2m，上游坝坡1</w:t>
      </w:r>
      <w:r>
        <w:rPr>
          <w:rFonts w:hint="eastAsia" w:ascii="宋体" w:hAnsi="宋体"/>
          <w:color w:val="auto"/>
          <w:szCs w:val="28"/>
        </w:rPr>
        <w:t>∶</w:t>
      </w:r>
      <w:r>
        <w:rPr>
          <w:rFonts w:hint="eastAsia"/>
          <w:color w:val="auto"/>
          <w:lang w:val="en-US" w:eastAsia="zh-CN"/>
        </w:rPr>
        <w:t>1.6，下游坝坡1</w:t>
      </w:r>
      <w:r>
        <w:rPr>
          <w:rFonts w:hint="eastAsia" w:ascii="宋体" w:hAnsi="宋体"/>
          <w:color w:val="auto"/>
          <w:szCs w:val="28"/>
        </w:rPr>
        <w:t>∶</w:t>
      </w:r>
      <w:r>
        <w:rPr>
          <w:rFonts w:hint="eastAsia"/>
          <w:color w:val="auto"/>
          <w:lang w:val="en-US" w:eastAsia="zh-CN"/>
        </w:rPr>
        <w:t>1.75。上游边坡设粘土斜墙防渗，斜墙顶部厚3.0m，底部厚4.6m，斜墙上0.3m厚块石护坡，下游边坡采用块石护坡，厚0.5m。</w:t>
      </w:r>
    </w:p>
    <w:p w14:paraId="271BF828">
      <w:pPr>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w:t>
      </w:r>
      <w:r>
        <w:rPr>
          <w:rFonts w:hint="eastAsia" w:ascii="Times New Roman" w:hAnsi="Times New Roman" w:eastAsia="宋体" w:cs="Times New Roman"/>
          <w:color w:val="auto"/>
          <w:lang w:val="en-US" w:eastAsia="zh-CN"/>
        </w:rPr>
        <w:t xml:space="preserve"> </w:t>
      </w:r>
      <w:r>
        <w:rPr>
          <w:rFonts w:hint="default" w:ascii="Times New Roman" w:hAnsi="Times New Roman" w:eastAsia="宋体" w:cs="Times New Roman"/>
          <w:color w:val="auto"/>
          <w:lang w:val="en-US" w:eastAsia="zh-CN"/>
        </w:rPr>
        <w:t>现场检查情况</w:t>
      </w:r>
    </w:p>
    <w:p w14:paraId="3AE6885F">
      <w:pPr>
        <w:bidi w:val="0"/>
        <w:rPr>
          <w:rFonts w:hint="eastAsia" w:cs="Times New Roman"/>
          <w:color w:val="auto"/>
          <w:lang w:val="en-US" w:eastAsia="zh-CN"/>
        </w:rPr>
      </w:pPr>
      <w:r>
        <w:rPr>
          <w:rFonts w:hint="eastAsia" w:ascii="Times New Roman" w:hAnsi="Times New Roman" w:eastAsia="宋体" w:cs="Times New Roman"/>
          <w:color w:val="auto"/>
          <w:lang w:val="en-US" w:eastAsia="zh-CN"/>
        </w:rPr>
        <w:t>现场检查</w:t>
      </w:r>
      <w:r>
        <w:rPr>
          <w:rFonts w:hint="eastAsia" w:cs="Times New Roman"/>
          <w:color w:val="auto"/>
          <w:lang w:val="en-US" w:eastAsia="zh-CN"/>
        </w:rPr>
        <w:t>和查阅图纸</w:t>
      </w:r>
      <w:r>
        <w:rPr>
          <w:rFonts w:hint="eastAsia" w:ascii="Times New Roman" w:hAnsi="Times New Roman" w:eastAsia="宋体" w:cs="Times New Roman"/>
          <w:color w:val="auto"/>
          <w:lang w:val="en-US" w:eastAsia="zh-CN"/>
        </w:rPr>
        <w:t>，</w:t>
      </w:r>
      <w:r>
        <w:rPr>
          <w:rFonts w:hint="eastAsia" w:cs="Times New Roman"/>
          <w:color w:val="auto"/>
          <w:lang w:val="en-US" w:eastAsia="zh-CN"/>
        </w:rPr>
        <w:t>现</w:t>
      </w:r>
      <w:r>
        <w:rPr>
          <w:rFonts w:hint="eastAsia" w:cs="Times New Roman"/>
          <w:color w:val="auto"/>
          <w:lang w:val="en-US" w:eastAsia="zh-CN"/>
        </w:rPr>
        <w:t>状</w:t>
      </w:r>
      <w:r>
        <w:rPr>
          <w:rFonts w:hint="eastAsia" w:ascii="Times New Roman" w:hAnsi="Times New Roman" w:eastAsia="宋体" w:cs="Times New Roman"/>
          <w:color w:val="auto"/>
          <w:lang w:val="en-US" w:eastAsia="zh-CN"/>
        </w:rPr>
        <w:t>副坝位于尾矿库右岸垭口处，为一次性碾压碎石坝，现状坝顶高程为</w:t>
      </w:r>
      <w:r>
        <w:rPr>
          <w:rFonts w:hint="eastAsia" w:cs="Times New Roman"/>
          <w:color w:val="auto"/>
          <w:lang w:val="en-US" w:eastAsia="zh-CN"/>
        </w:rPr>
        <w:t>+</w:t>
      </w:r>
      <w:r>
        <w:rPr>
          <w:rFonts w:hint="eastAsia" w:ascii="Times New Roman" w:hAnsi="Times New Roman" w:eastAsia="宋体" w:cs="Times New Roman"/>
          <w:color w:val="auto"/>
          <w:lang w:val="en-US" w:eastAsia="zh-CN"/>
        </w:rPr>
        <w:t>336.5m</w:t>
      </w:r>
      <w:r>
        <w:rPr>
          <w:rFonts w:hint="eastAsia" w:cs="Times New Roman"/>
          <w:color w:val="auto"/>
          <w:lang w:val="en-US" w:eastAsia="zh-CN"/>
        </w:rPr>
        <w:t>（较设计高程高0.2m）</w:t>
      </w:r>
      <w:r>
        <w:rPr>
          <w:rFonts w:hint="eastAsia" w:ascii="Times New Roman" w:hAnsi="Times New Roman" w:eastAsia="宋体" w:cs="Times New Roman"/>
          <w:color w:val="auto"/>
          <w:lang w:val="en-US" w:eastAsia="zh-CN"/>
        </w:rPr>
        <w:t>，工勘揭示以砾质粘性土为持力层，层顶高程为</w:t>
      </w:r>
      <w:r>
        <w:rPr>
          <w:rFonts w:hint="eastAsia" w:cs="Times New Roman"/>
          <w:color w:val="auto"/>
          <w:lang w:val="en-US" w:eastAsia="zh-CN"/>
        </w:rPr>
        <w:t>+</w:t>
      </w:r>
      <w:r>
        <w:rPr>
          <w:rFonts w:hint="eastAsia" w:ascii="Times New Roman" w:hAnsi="Times New Roman" w:eastAsia="宋体" w:cs="Times New Roman"/>
          <w:color w:val="auto"/>
          <w:lang w:val="en-US" w:eastAsia="zh-CN"/>
        </w:rPr>
        <w:t>317.3m，副坝总坝高19.2m</w:t>
      </w:r>
      <w:r>
        <w:rPr>
          <w:rFonts w:hint="eastAsia" w:cs="Times New Roman"/>
          <w:color w:val="auto"/>
          <w:lang w:val="en-US" w:eastAsia="zh-CN"/>
        </w:rPr>
        <w:t>（较设计高度高4.2m）</w:t>
      </w:r>
      <w:r>
        <w:rPr>
          <w:rFonts w:hint="eastAsia" w:ascii="Times New Roman" w:hAnsi="Times New Roman" w:eastAsia="宋体" w:cs="Times New Roman"/>
          <w:color w:val="auto"/>
          <w:lang w:val="en-US" w:eastAsia="zh-CN"/>
        </w:rPr>
        <w:t>，现状坝顶宽4.0m</w:t>
      </w:r>
      <w:r>
        <w:rPr>
          <w:rFonts w:hint="eastAsia" w:cs="Times New Roman"/>
          <w:color w:val="auto"/>
          <w:lang w:val="en-US" w:eastAsia="zh-CN"/>
        </w:rPr>
        <w:t>（较设计</w:t>
      </w:r>
      <w:r>
        <w:rPr>
          <w:rFonts w:hint="eastAsia"/>
          <w:color w:val="auto"/>
          <w:lang w:val="en-US" w:eastAsia="zh-CN"/>
        </w:rPr>
        <w:t>宽度窄</w:t>
      </w:r>
      <w:r>
        <w:rPr>
          <w:rFonts w:hint="eastAsia" w:cs="Times New Roman"/>
          <w:color w:val="auto"/>
          <w:lang w:val="en-US" w:eastAsia="zh-CN"/>
        </w:rPr>
        <w:t>2m）</w:t>
      </w:r>
      <w:r>
        <w:rPr>
          <w:rFonts w:hint="eastAsia" w:ascii="Times New Roman" w:hAnsi="Times New Roman" w:eastAsia="宋体" w:cs="Times New Roman"/>
          <w:color w:val="auto"/>
          <w:lang w:val="en-US" w:eastAsia="zh-CN"/>
        </w:rPr>
        <w:t>，上游坡比为</w:t>
      </w:r>
      <w:r>
        <w:rPr>
          <w:rFonts w:hint="eastAsia" w:ascii="Times New Roman" w:hAnsi="Times New Roman" w:eastAsia="宋体" w:cs="Times New Roman"/>
          <w:color w:val="auto"/>
          <w:lang w:val="en-US" w:eastAsia="zh-CN"/>
        </w:rPr>
        <w:t>1</w:t>
      </w:r>
      <w:r>
        <w:rPr>
          <w:rFonts w:hint="eastAsia" w:ascii="宋体" w:hAnsi="宋体"/>
          <w:color w:val="auto"/>
          <w:szCs w:val="28"/>
        </w:rPr>
        <w:t>∶</w:t>
      </w:r>
      <w:r>
        <w:rPr>
          <w:rFonts w:hint="eastAsia" w:ascii="Times New Roman" w:hAnsi="Times New Roman" w:eastAsia="宋体" w:cs="Times New Roman"/>
          <w:color w:val="auto"/>
          <w:lang w:val="en-US" w:eastAsia="zh-CN"/>
        </w:rPr>
        <w:t>1.6，下游分别于</w:t>
      </w:r>
      <w:r>
        <w:rPr>
          <w:rFonts w:hint="eastAsia" w:cs="Times New Roman"/>
          <w:color w:val="auto"/>
          <w:lang w:val="en-US" w:eastAsia="zh-CN"/>
        </w:rPr>
        <w:t>+</w:t>
      </w:r>
      <w:r>
        <w:rPr>
          <w:rFonts w:hint="eastAsia" w:ascii="Times New Roman" w:hAnsi="Times New Roman" w:eastAsia="宋体" w:cs="Times New Roman"/>
          <w:color w:val="auto"/>
          <w:lang w:val="en-US" w:eastAsia="zh-CN"/>
        </w:rPr>
        <w:t>327.7m、</w:t>
      </w:r>
      <w:r>
        <w:rPr>
          <w:rFonts w:hint="eastAsia" w:cs="Times New Roman"/>
          <w:color w:val="auto"/>
          <w:lang w:val="en-US" w:eastAsia="zh-CN"/>
        </w:rPr>
        <w:t>+</w:t>
      </w:r>
      <w:r>
        <w:rPr>
          <w:rFonts w:hint="eastAsia" w:ascii="Times New Roman" w:hAnsi="Times New Roman" w:eastAsia="宋体" w:cs="Times New Roman"/>
          <w:color w:val="auto"/>
          <w:lang w:val="en-US" w:eastAsia="zh-CN"/>
        </w:rPr>
        <w:t>320.5m高程设马道，下游坝坡坡比从上到下分别为1</w:t>
      </w:r>
      <w:r>
        <w:rPr>
          <w:rFonts w:hint="eastAsia" w:ascii="宋体" w:hAnsi="宋体"/>
          <w:color w:val="auto"/>
          <w:szCs w:val="28"/>
        </w:rPr>
        <w:t>∶</w:t>
      </w:r>
      <w:r>
        <w:rPr>
          <w:rFonts w:hint="eastAsia" w:ascii="Times New Roman" w:hAnsi="Times New Roman" w:eastAsia="宋体" w:cs="Times New Roman"/>
          <w:color w:val="auto"/>
          <w:lang w:val="en-US" w:eastAsia="zh-CN"/>
        </w:rPr>
        <w:t>1.62、1</w:t>
      </w:r>
      <w:r>
        <w:rPr>
          <w:rFonts w:hint="eastAsia" w:ascii="宋体" w:hAnsi="宋体"/>
          <w:color w:val="auto"/>
          <w:szCs w:val="28"/>
        </w:rPr>
        <w:t>∶</w:t>
      </w:r>
      <w:r>
        <w:rPr>
          <w:rFonts w:hint="eastAsia" w:ascii="Times New Roman" w:hAnsi="Times New Roman" w:eastAsia="宋体" w:cs="Times New Roman"/>
          <w:color w:val="auto"/>
          <w:lang w:val="en-US" w:eastAsia="zh-CN"/>
        </w:rPr>
        <w:t>1.8、1</w:t>
      </w:r>
      <w:r>
        <w:rPr>
          <w:rFonts w:hint="eastAsia" w:ascii="宋体" w:hAnsi="宋体"/>
          <w:color w:val="auto"/>
          <w:szCs w:val="28"/>
        </w:rPr>
        <w:t>∶</w:t>
      </w:r>
      <w:r>
        <w:rPr>
          <w:rFonts w:hint="eastAsia" w:ascii="Times New Roman" w:hAnsi="Times New Roman" w:eastAsia="宋体" w:cs="Times New Roman"/>
          <w:color w:val="auto"/>
          <w:lang w:val="en-US" w:eastAsia="zh-CN"/>
        </w:rPr>
        <w:t>1.85，平均坡比1</w:t>
      </w:r>
      <w:r>
        <w:rPr>
          <w:rFonts w:hint="eastAsia" w:ascii="宋体" w:hAnsi="宋体"/>
          <w:color w:val="auto"/>
          <w:szCs w:val="28"/>
        </w:rPr>
        <w:t>∶</w:t>
      </w:r>
      <w:r>
        <w:rPr>
          <w:rFonts w:hint="eastAsia" w:ascii="Times New Roman" w:hAnsi="Times New Roman" w:eastAsia="宋体" w:cs="Times New Roman"/>
          <w:color w:val="auto"/>
          <w:lang w:val="en-US" w:eastAsia="zh-CN"/>
        </w:rPr>
        <w:t>1.92，下游坡面采用干砌块石护坡，右坝肩设置有上坝台阶</w:t>
      </w:r>
      <w:r>
        <w:rPr>
          <w:rFonts w:hint="eastAsia" w:cs="Times New Roman"/>
          <w:color w:val="auto"/>
          <w:lang w:val="en-US" w:eastAsia="zh-CN"/>
        </w:rPr>
        <w:t>。</w:t>
      </w:r>
    </w:p>
    <w:p w14:paraId="163E140C">
      <w:pPr>
        <w:bidi w:val="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经现场查看，副坝下游坡面未发现变形、裂缝、沉陷等不良地质现象，坝体运行状况正常。副坝下游坡脚为溢流坝下游明渠消力池和污水处理设施。</w:t>
      </w:r>
    </w:p>
    <w:p w14:paraId="31A906BA">
      <w:pPr>
        <w:pStyle w:val="4"/>
        <w:bidi w:val="0"/>
        <w:rPr>
          <w:rFonts w:hint="default"/>
          <w:color w:val="auto"/>
          <w:lang w:val="en-US" w:eastAsia="zh-CN"/>
        </w:rPr>
      </w:pPr>
      <w:bookmarkStart w:id="114" w:name="_Toc8186"/>
      <w:bookmarkStart w:id="115" w:name="_Toc16037"/>
      <w:r>
        <w:rPr>
          <w:rFonts w:hint="eastAsia"/>
          <w:color w:val="auto"/>
          <w:lang w:val="en-US" w:eastAsia="zh-CN"/>
        </w:rPr>
        <w:t>2.5.3 排洪（水）设施</w:t>
      </w:r>
      <w:bookmarkEnd w:id="114"/>
      <w:bookmarkEnd w:id="115"/>
    </w:p>
    <w:p w14:paraId="7D0A713C">
      <w:pPr>
        <w:bidi w:val="0"/>
        <w:rPr>
          <w:b/>
          <w:bCs/>
          <w:color w:val="auto"/>
        </w:rPr>
      </w:pPr>
      <w:r>
        <w:rPr>
          <w:rFonts w:hint="eastAsia"/>
          <w:b/>
          <w:bCs/>
          <w:color w:val="auto"/>
          <w:lang w:val="en-US" w:eastAsia="zh-CN"/>
        </w:rPr>
        <w:t>一、排洪（水）系统</w:t>
      </w:r>
    </w:p>
    <w:p w14:paraId="5187791B">
      <w:pPr>
        <w:bidi w:val="0"/>
        <w:rPr>
          <w:rFonts w:hint="default"/>
          <w:color w:val="auto"/>
          <w:lang w:val="en-US" w:eastAsia="zh-CN"/>
        </w:rPr>
      </w:pPr>
      <w:r>
        <w:rPr>
          <w:rFonts w:hint="eastAsia"/>
          <w:color w:val="auto"/>
          <w:lang w:val="en-US" w:eastAsia="zh-CN"/>
        </w:rPr>
        <w:t>1</w:t>
      </w:r>
      <w:r>
        <w:rPr>
          <w:rFonts w:hint="default"/>
          <w:color w:val="auto"/>
          <w:lang w:val="en-US" w:eastAsia="zh-CN"/>
        </w:rPr>
        <w:t>.</w:t>
      </w:r>
      <w:r>
        <w:rPr>
          <w:rFonts w:hint="eastAsia"/>
          <w:color w:val="auto"/>
          <w:lang w:val="en-US" w:eastAsia="zh-CN"/>
        </w:rPr>
        <w:t xml:space="preserve"> </w:t>
      </w:r>
      <w:r>
        <w:rPr>
          <w:rFonts w:hint="default"/>
          <w:color w:val="auto"/>
          <w:lang w:val="en-US" w:eastAsia="zh-CN"/>
        </w:rPr>
        <w:t>设计情况</w:t>
      </w:r>
    </w:p>
    <w:p w14:paraId="20DEDAF2">
      <w:pPr>
        <w:bidi w:val="0"/>
        <w:rPr>
          <w:rFonts w:hint="eastAsia"/>
          <w:color w:val="auto"/>
          <w:lang w:val="en-US" w:eastAsia="zh-CN"/>
        </w:rPr>
      </w:pPr>
      <w:r>
        <w:rPr>
          <w:rFonts w:hint="eastAsia"/>
          <w:color w:val="auto"/>
          <w:lang w:val="en-US" w:eastAsia="zh-CN"/>
        </w:rPr>
        <w:t>《隐患治理安全专篇》新建排水系统：</w:t>
      </w:r>
    </w:p>
    <w:p w14:paraId="755F691B">
      <w:pPr>
        <w:bidi w:val="0"/>
        <w:rPr>
          <w:rFonts w:hint="eastAsia"/>
          <w:color w:val="auto"/>
          <w:lang w:val="en-US" w:eastAsia="zh-CN"/>
        </w:rPr>
      </w:pPr>
      <w:r>
        <w:rPr>
          <w:rFonts w:hint="eastAsia"/>
          <w:color w:val="auto"/>
          <w:lang w:val="en-US" w:eastAsia="zh-CN"/>
        </w:rPr>
        <w:t>新建溢流坝位于主坝对面老溢洪道西北面约130m的垭口内，采用混凝土结构，分为溢流坝段和非溢流坝段，溢流坝段顶标高为+342.0m，顶宽4.3m，长27.5m，上游边坡垂直，下游边坡为1</w:t>
      </w:r>
      <w:r>
        <w:rPr>
          <w:rFonts w:hint="eastAsia" w:ascii="宋体" w:hAnsi="宋体"/>
          <w:color w:val="auto"/>
          <w:szCs w:val="28"/>
        </w:rPr>
        <w:t>∶</w:t>
      </w:r>
      <w:r>
        <w:rPr>
          <w:rFonts w:hint="eastAsia"/>
          <w:color w:val="auto"/>
          <w:lang w:val="en-US" w:eastAsia="zh-CN"/>
        </w:rPr>
        <w:t>1.1。</w:t>
      </w:r>
      <w:r>
        <w:rPr>
          <w:rFonts w:hint="eastAsia"/>
          <w:color w:val="auto"/>
        </w:rPr>
        <w:t>经水力计算溢流坝段需分8格，每格宽3.0m，才能安全排走设计频率洪峰。每格之间设混凝土支墩，支墩宽度为0.5m。</w:t>
      </w:r>
      <w:r>
        <w:rPr>
          <w:rFonts w:hint="eastAsia"/>
          <w:color w:val="auto"/>
          <w:lang w:val="en-US" w:eastAsia="zh-CN"/>
        </w:rPr>
        <w:t>溢流坝段建设将随库内尾矿上升而逐渐加高，先采用叠梁式砼挡板一层层不断抬高，砼挡板B×L×H＝0.1m×3.0m×0.2m，始终控制叠梁式砼挡板比坝前尾砂高0.5m。砼挡板之后采用混凝土逐层加高，每次加高高度为1.0m，砼挡板与混凝土加高层之间高差不得大于1.2m，直至溢流坝段最终顶标高为+342.0m。溢流坝段底板为C20钢筋混凝土结构，厚0.5m，底板顶面标高为+333.0m，底板以下基础采用C15碎石混凝土进行回填密实。</w:t>
      </w:r>
    </w:p>
    <w:p w14:paraId="6DD0D0B2">
      <w:pPr>
        <w:bidi w:val="0"/>
        <w:rPr>
          <w:rFonts w:hint="eastAsia"/>
          <w:color w:val="auto"/>
          <w:lang w:val="en-US" w:eastAsia="zh-CN"/>
        </w:rPr>
      </w:pPr>
      <w:r>
        <w:rPr>
          <w:rFonts w:hint="eastAsia"/>
          <w:color w:val="auto"/>
          <w:lang w:val="en-US" w:eastAsia="zh-CN"/>
        </w:rPr>
        <w:t>非溢流坝段顶标高为+345.0m，顶宽3.8m，长25.1m，上游边坡垂直，下游边坡为1</w:t>
      </w:r>
      <w:r>
        <w:rPr>
          <w:rFonts w:hint="eastAsia" w:ascii="宋体" w:hAnsi="宋体"/>
          <w:color w:val="auto"/>
          <w:szCs w:val="28"/>
        </w:rPr>
        <w:t>∶</w:t>
      </w:r>
      <w:r>
        <w:rPr>
          <w:rFonts w:hint="eastAsia"/>
          <w:color w:val="auto"/>
          <w:lang w:val="en-US" w:eastAsia="zh-CN"/>
        </w:rPr>
        <w:t>0.9。</w:t>
      </w:r>
    </w:p>
    <w:p w14:paraId="0114B069">
      <w:pPr>
        <w:bidi w:val="0"/>
        <w:rPr>
          <w:rFonts w:hint="eastAsia"/>
          <w:color w:val="auto"/>
          <w:lang w:val="en-US" w:eastAsia="zh-CN"/>
        </w:rPr>
      </w:pPr>
      <w:r>
        <w:rPr>
          <w:rFonts w:hint="eastAsia"/>
          <w:color w:val="auto"/>
          <w:lang w:val="en-US" w:eastAsia="zh-CN"/>
        </w:rPr>
        <w:t>为方便日常管理，在溢洪坝坝顶设置C20钢筋混凝土工作桥，工作桥设吊装叠梁式挡板的手动葫芦，桥面标高+345.2m，工作桥面板宽2.6m，厚200mm，桥面上下游均设置铁栏杆，铁栏杆高为1.1m。</w:t>
      </w:r>
    </w:p>
    <w:p w14:paraId="73BFB6DE">
      <w:pPr>
        <w:bidi w:val="0"/>
        <w:rPr>
          <w:rFonts w:hint="eastAsia"/>
          <w:color w:val="auto"/>
          <w:lang w:val="en-US" w:eastAsia="zh-CN"/>
        </w:rPr>
      </w:pPr>
      <w:r>
        <w:rPr>
          <w:rFonts w:hint="eastAsia"/>
          <w:color w:val="auto"/>
          <w:lang w:val="en-US" w:eastAsia="zh-CN"/>
        </w:rPr>
        <w:t>溢洪坝上游库底设HDPE土工膜防渗层，防渗层向库内延伸20.0m，膜厚1.0mm，土工膜上下设排渗层，膜下排渗层由碎石0.3m厚、细砂0.2m厚、400g/m</w:t>
      </w:r>
      <w:r>
        <w:rPr>
          <w:rFonts w:hint="eastAsia"/>
          <w:color w:val="auto"/>
          <w:vertAlign w:val="superscript"/>
          <w:lang w:val="en-US" w:eastAsia="zh-CN"/>
        </w:rPr>
        <w:t>2</w:t>
      </w:r>
      <w:r>
        <w:rPr>
          <w:rFonts w:hint="eastAsia"/>
          <w:color w:val="auto"/>
          <w:lang w:val="en-US" w:eastAsia="zh-CN"/>
        </w:rPr>
        <w:t>土工布组成，膜上排渗层由1000mm×10mm型土工席垫外包400g/m</w:t>
      </w:r>
      <w:r>
        <w:rPr>
          <w:rFonts w:hint="eastAsia"/>
          <w:color w:val="auto"/>
          <w:vertAlign w:val="superscript"/>
          <w:lang w:val="en-US" w:eastAsia="zh-CN"/>
        </w:rPr>
        <w:t>2</w:t>
      </w:r>
      <w:r>
        <w:rPr>
          <w:rFonts w:hint="eastAsia"/>
          <w:color w:val="auto"/>
          <w:lang w:val="en-US" w:eastAsia="zh-CN"/>
        </w:rPr>
        <w:t>土工布组成。膜上下排渗层靠溢流坝一端均需与φ=200塑料盲沟连接，再通过排水钢管将渗透水引出坝外。</w:t>
      </w:r>
    </w:p>
    <w:p w14:paraId="202A0728">
      <w:pPr>
        <w:bidi w:val="0"/>
        <w:rPr>
          <w:rFonts w:hint="eastAsia"/>
          <w:color w:val="auto"/>
          <w:lang w:val="en-US" w:eastAsia="zh-CN"/>
        </w:rPr>
      </w:pPr>
      <w:r>
        <w:rPr>
          <w:rFonts w:hint="eastAsia"/>
          <w:color w:val="auto"/>
          <w:lang w:val="en-US" w:eastAsia="zh-CN"/>
        </w:rPr>
        <w:t>溢流坝与泄流槽连接下游河沟，泄流槽横断面B×H=10m×1.5m，坡度为0.11，采用C20钢筋混凝土结构，溢流坝下游两岸山体的边坡采用M7.5浆砌块石护坡，M7.5浆砌块石护坡高为2.5m，厚度1.0m。泄流槽出口设一消力池，消力池横断面B×H=10m×2.5m，为C20钢筋混凝土结构。</w:t>
      </w:r>
      <w:r>
        <w:rPr>
          <w:rFonts w:hint="eastAsia"/>
          <w:color w:val="auto"/>
        </w:rPr>
        <w:t>为确保钢筋混凝土结构的耐久性，要求混凝土结构外表面均须刷防腐蚀材料。</w:t>
      </w:r>
    </w:p>
    <w:p w14:paraId="51375936">
      <w:pPr>
        <w:bidi w:val="0"/>
        <w:rPr>
          <w:rFonts w:hint="default"/>
          <w:color w:val="auto"/>
          <w:lang w:val="en-US" w:eastAsia="zh-CN"/>
        </w:rPr>
      </w:pPr>
      <w:r>
        <w:rPr>
          <w:rFonts w:hint="default"/>
          <w:color w:val="auto"/>
          <w:lang w:val="en-US" w:eastAsia="zh-CN"/>
        </w:rPr>
        <w:t>2.</w:t>
      </w:r>
      <w:r>
        <w:rPr>
          <w:rFonts w:hint="eastAsia"/>
          <w:color w:val="auto"/>
          <w:lang w:val="en-US" w:eastAsia="zh-CN"/>
        </w:rPr>
        <w:t xml:space="preserve"> </w:t>
      </w:r>
      <w:r>
        <w:rPr>
          <w:rFonts w:hint="default"/>
          <w:color w:val="auto"/>
          <w:lang w:val="en-US" w:eastAsia="zh-CN"/>
        </w:rPr>
        <w:t>现场检查情况</w:t>
      </w:r>
    </w:p>
    <w:p w14:paraId="52DF0CFF">
      <w:pPr>
        <w:bidi w:val="0"/>
        <w:rPr>
          <w:rFonts w:hint="eastAsia"/>
          <w:color w:val="auto"/>
          <w:lang w:val="en-US" w:eastAsia="zh-CN"/>
        </w:rPr>
      </w:pPr>
      <w:r>
        <w:rPr>
          <w:rFonts w:hint="eastAsia"/>
          <w:color w:val="auto"/>
          <w:lang w:val="en-US" w:eastAsia="zh-CN"/>
        </w:rPr>
        <w:t>现场检查和查阅图纸，现状尾矿库采用溢流坝排洪排水，溢流坝位于副坝西北面约130m处，为混凝土结构，分为溢流坝段和非溢流坝段，非溢流坝段顶高程为+336.3m，溢流坝处有8格泄水口，泄水口之间为钢筋混凝土支墩，支墩宽度为0.5</w:t>
      </w:r>
      <w:r>
        <w:rPr>
          <w:rFonts w:hint="eastAsia"/>
          <w:color w:val="auto"/>
          <w:lang w:val="en-US" w:eastAsia="zh-CN"/>
        </w:rPr>
        <w:t>m，泄水口净宽3.0m，现溢流坝顶高程为+330.8m（</w:t>
      </w:r>
      <w:r>
        <w:rPr>
          <w:rFonts w:hint="eastAsia" w:cs="Times New Roman"/>
          <w:color w:val="auto"/>
          <w:lang w:val="en-US" w:eastAsia="zh-CN"/>
        </w:rPr>
        <w:t>较设计高程低2.5m</w:t>
      </w:r>
      <w:r>
        <w:rPr>
          <w:rFonts w:hint="eastAsia"/>
          <w:color w:val="auto"/>
          <w:lang w:val="en-US" w:eastAsia="zh-CN"/>
        </w:rPr>
        <w:t>），混凝土挡板顶高程为+331.8m，高于溢流坝顶1.0m；根据工勘揭示，溢流坝底部采用全风化花岗岩层为持力层，层顶高程为+319.3m，最大坝高为17.0m</w:t>
      </w:r>
      <w:r>
        <w:rPr>
          <w:rFonts w:hint="eastAsia" w:cs="Times New Roman"/>
          <w:color w:val="auto"/>
          <w:lang w:val="en-US" w:eastAsia="zh-CN"/>
        </w:rPr>
        <w:t>（较设计高度高5m）</w:t>
      </w:r>
      <w:r>
        <w:rPr>
          <w:rFonts w:hint="eastAsia"/>
          <w:color w:val="auto"/>
          <w:lang w:val="en-US" w:eastAsia="zh-CN"/>
        </w:rPr>
        <w:t>，溢流坝段坝高为11.5m</w:t>
      </w:r>
      <w:r>
        <w:rPr>
          <w:rFonts w:hint="eastAsia" w:cs="Times New Roman"/>
          <w:color w:val="auto"/>
          <w:lang w:val="en-US" w:eastAsia="zh-CN"/>
        </w:rPr>
        <w:t>（较设计高度高2.5m）</w:t>
      </w:r>
      <w:r>
        <w:rPr>
          <w:rFonts w:hint="eastAsia"/>
          <w:color w:val="auto"/>
          <w:lang w:val="en-US" w:eastAsia="zh-CN"/>
        </w:rPr>
        <w:t>，现状溢流坝无裂缝、坍</w:t>
      </w:r>
      <w:r>
        <w:rPr>
          <w:rFonts w:hint="eastAsia"/>
          <w:color w:val="auto"/>
          <w:lang w:val="en-US" w:eastAsia="zh-CN"/>
        </w:rPr>
        <w:t>塌、变形等不良现象，运行正常。</w:t>
      </w:r>
    </w:p>
    <w:p w14:paraId="4A5A70C8">
      <w:pPr>
        <w:bidi w:val="0"/>
        <w:rPr>
          <w:rFonts w:hint="default"/>
          <w:color w:val="auto"/>
          <w:lang w:val="en-US" w:eastAsia="zh-CN"/>
        </w:rPr>
      </w:pPr>
      <w:r>
        <w:rPr>
          <w:rFonts w:hint="eastAsia"/>
          <w:b/>
          <w:bCs/>
          <w:color w:val="auto"/>
          <w:lang w:val="en-US" w:eastAsia="zh-CN"/>
        </w:rPr>
        <w:t>二、检测情况</w:t>
      </w:r>
    </w:p>
    <w:p w14:paraId="0A8B3525">
      <w:pPr>
        <w:numPr>
          <w:ilvl w:val="0"/>
          <w:numId w:val="0"/>
        </w:numPr>
        <w:ind w:left="0" w:leftChars="0" w:firstLine="560" w:firstLineChars="200"/>
        <w:rPr>
          <w:rFonts w:hint="default"/>
          <w:color w:val="auto"/>
          <w:lang w:val="en-US" w:eastAsia="zh-CN"/>
        </w:rPr>
      </w:pPr>
      <w:r>
        <w:rPr>
          <w:rFonts w:hint="default"/>
          <w:color w:val="auto"/>
          <w:lang w:val="en-US" w:eastAsia="zh-CN"/>
        </w:rPr>
        <w:t>2024年</w:t>
      </w:r>
      <w:r>
        <w:rPr>
          <w:rFonts w:hint="eastAsia"/>
          <w:color w:val="auto"/>
          <w:lang w:val="en-US" w:eastAsia="zh-CN"/>
        </w:rPr>
        <w:t>5</w:t>
      </w:r>
      <w:r>
        <w:rPr>
          <w:rFonts w:hint="default"/>
          <w:color w:val="auto"/>
          <w:lang w:val="en-US" w:eastAsia="zh-CN"/>
        </w:rPr>
        <w:t>月，</w:t>
      </w:r>
      <w:r>
        <w:rPr>
          <w:rFonts w:hint="eastAsia"/>
          <w:color w:val="auto"/>
        </w:rPr>
        <w:t>江西岿美山钨业有限公司</w:t>
      </w:r>
      <w:r>
        <w:rPr>
          <w:rFonts w:hint="default"/>
          <w:color w:val="auto"/>
          <w:lang w:val="en-US" w:eastAsia="zh-CN"/>
        </w:rPr>
        <w:t>委托</w:t>
      </w:r>
      <w:r>
        <w:rPr>
          <w:rFonts w:hint="eastAsia"/>
          <w:color w:val="auto"/>
          <w:lang w:val="en-US" w:eastAsia="zh-CN"/>
        </w:rPr>
        <w:t>新余建和</w:t>
      </w:r>
      <w:r>
        <w:rPr>
          <w:rFonts w:hint="default"/>
          <w:color w:val="auto"/>
          <w:lang w:val="en-US" w:eastAsia="zh-CN"/>
        </w:rPr>
        <w:t>检测有限</w:t>
      </w:r>
      <w:r>
        <w:rPr>
          <w:rFonts w:hint="eastAsia"/>
          <w:color w:val="auto"/>
          <w:lang w:val="en-US" w:eastAsia="zh-CN"/>
        </w:rPr>
        <w:t>责任</w:t>
      </w:r>
      <w:r>
        <w:rPr>
          <w:rFonts w:hint="default"/>
          <w:color w:val="auto"/>
          <w:lang w:val="en-US" w:eastAsia="zh-CN"/>
        </w:rPr>
        <w:t>公司对</w:t>
      </w:r>
      <w:r>
        <w:rPr>
          <w:rFonts w:hint="eastAsia"/>
          <w:color w:val="auto"/>
        </w:rPr>
        <w:t>岿美山</w:t>
      </w:r>
      <w:r>
        <w:rPr>
          <w:rFonts w:hint="default"/>
          <w:color w:val="auto"/>
          <w:lang w:val="en-US" w:eastAsia="zh-CN"/>
        </w:rPr>
        <w:t>尾矿库排洪系统进行了检测，出具了《</w:t>
      </w:r>
      <w:r>
        <w:rPr>
          <w:rFonts w:hint="eastAsia" w:cs="Times New Roman"/>
          <w:strike w:val="0"/>
          <w:dstrike w:val="0"/>
          <w:color w:val="auto"/>
          <w:lang w:eastAsia="zh-CN"/>
        </w:rPr>
        <w:t>江西岿美山钨业有限公司尾矿库排洪构筑物检测报告</w:t>
      </w:r>
      <w:r>
        <w:rPr>
          <w:rFonts w:hint="default"/>
          <w:color w:val="auto"/>
          <w:lang w:val="en-US" w:eastAsia="zh-CN"/>
        </w:rPr>
        <w:t>》，检测成果表明：</w:t>
      </w:r>
      <w:r>
        <w:rPr>
          <w:rFonts w:hint="eastAsia"/>
          <w:color w:val="auto"/>
          <w:lang w:val="en-US" w:eastAsia="zh-CN"/>
        </w:rPr>
        <w:t>（1）</w:t>
      </w:r>
      <w:r>
        <w:rPr>
          <w:rFonts w:hint="default"/>
          <w:color w:val="auto"/>
          <w:lang w:val="en-US" w:eastAsia="zh-CN"/>
        </w:rPr>
        <w:t>排洪构筑物工程所检测的9组混凝土</w:t>
      </w:r>
      <w:r>
        <w:rPr>
          <w:rFonts w:hint="eastAsia"/>
          <w:color w:val="auto"/>
          <w:lang w:val="en-US" w:eastAsia="zh-CN"/>
        </w:rPr>
        <w:t>（</w:t>
      </w:r>
      <w:r>
        <w:rPr>
          <w:rFonts w:hint="default"/>
          <w:color w:val="auto"/>
          <w:lang w:val="en-US" w:eastAsia="zh-CN"/>
        </w:rPr>
        <w:t>回弹法</w:t>
      </w:r>
      <w:r>
        <w:rPr>
          <w:rFonts w:hint="eastAsia"/>
          <w:color w:val="auto"/>
          <w:lang w:val="en-US" w:eastAsia="zh-CN"/>
        </w:rPr>
        <w:t>）</w:t>
      </w:r>
      <w:r>
        <w:rPr>
          <w:rFonts w:hint="default"/>
          <w:color w:val="auto"/>
          <w:lang w:val="en-US" w:eastAsia="zh-CN"/>
        </w:rPr>
        <w:t>的抗压强度均大于设计值，满足设计要求</w:t>
      </w:r>
      <w:r>
        <w:rPr>
          <w:rFonts w:hint="eastAsia"/>
          <w:color w:val="auto"/>
          <w:lang w:val="en-US" w:eastAsia="zh-CN"/>
        </w:rPr>
        <w:t>；（2）</w:t>
      </w:r>
      <w:r>
        <w:rPr>
          <w:rFonts w:hint="default"/>
          <w:color w:val="auto"/>
          <w:lang w:val="en-US" w:eastAsia="zh-CN"/>
        </w:rPr>
        <w:t>排洪构筑物工程所检测的9组钢筋混凝土保护层厚度</w:t>
      </w:r>
      <w:r>
        <w:rPr>
          <w:rFonts w:hint="eastAsia"/>
          <w:color w:val="auto"/>
          <w:lang w:val="en-US" w:eastAsia="zh-CN"/>
        </w:rPr>
        <w:t>（</w:t>
      </w:r>
      <w:r>
        <w:rPr>
          <w:rFonts w:hint="default"/>
          <w:color w:val="auto"/>
          <w:lang w:val="en-US" w:eastAsia="zh-CN"/>
        </w:rPr>
        <w:t>电磁感应法</w:t>
      </w:r>
      <w:r>
        <w:rPr>
          <w:rFonts w:hint="eastAsia"/>
          <w:color w:val="auto"/>
          <w:lang w:val="en-US" w:eastAsia="zh-CN"/>
        </w:rPr>
        <w:t>）</w:t>
      </w:r>
      <w:r>
        <w:rPr>
          <w:rFonts w:hint="default"/>
          <w:color w:val="auto"/>
          <w:lang w:val="en-US" w:eastAsia="zh-CN"/>
        </w:rPr>
        <w:t>的实测值均满足设计或规范要求。</w:t>
      </w:r>
    </w:p>
    <w:p w14:paraId="2EC14D15">
      <w:pPr>
        <w:pStyle w:val="4"/>
        <w:bidi w:val="0"/>
        <w:rPr>
          <w:rFonts w:hint="eastAsia"/>
          <w:color w:val="auto"/>
          <w:lang w:val="en-US" w:eastAsia="zh-CN"/>
        </w:rPr>
      </w:pPr>
      <w:bookmarkStart w:id="116" w:name="_Toc15431"/>
      <w:r>
        <w:rPr>
          <w:rFonts w:hint="eastAsia"/>
          <w:color w:val="auto"/>
          <w:lang w:val="en-US" w:eastAsia="zh-CN"/>
        </w:rPr>
        <w:t>2.5.4 上游废石、废砂治理</w:t>
      </w:r>
      <w:bookmarkEnd w:id="116"/>
    </w:p>
    <w:p w14:paraId="75C244B1">
      <w:pPr>
        <w:rPr>
          <w:rFonts w:hint="default"/>
          <w:color w:val="auto"/>
          <w:lang w:val="en-US" w:eastAsia="zh-CN"/>
        </w:rPr>
      </w:pPr>
      <w:r>
        <w:rPr>
          <w:rFonts w:hint="default"/>
          <w:color w:val="auto"/>
          <w:lang w:val="en-US" w:eastAsia="zh-CN"/>
        </w:rPr>
        <w:t>1. 设计情况</w:t>
      </w:r>
    </w:p>
    <w:p w14:paraId="6BEA2A2C">
      <w:pPr>
        <w:bidi w:val="0"/>
        <w:rPr>
          <w:rFonts w:hint="eastAsia"/>
          <w:color w:val="auto"/>
          <w:lang w:val="en-US" w:eastAsia="zh-CN"/>
        </w:rPr>
      </w:pPr>
      <w:r>
        <w:rPr>
          <w:rFonts w:hint="eastAsia"/>
          <w:color w:val="auto"/>
          <w:lang w:val="en-US" w:eastAsia="zh-CN"/>
        </w:rPr>
        <w:t>《隐患治理安全专篇》上游废石、废砂治理：</w:t>
      </w:r>
    </w:p>
    <w:p w14:paraId="5B35D60E">
      <w:pPr>
        <w:rPr>
          <w:rFonts w:hint="default"/>
          <w:color w:val="auto"/>
          <w:lang w:val="en-US" w:eastAsia="zh-CN"/>
        </w:rPr>
      </w:pPr>
      <w:r>
        <w:rPr>
          <w:rFonts w:hint="default"/>
          <w:color w:val="auto"/>
          <w:lang w:val="en-US" w:eastAsia="zh-CN"/>
        </w:rPr>
        <w:t>为减少废石场流失泥石影响下游河道和尾矿库的安全使用，需在废石场下游沟谷分别设置三座拦渣库，从沟谷上游至下游拦渣库分别称之为1号拦渣库、2号拦渣库、3号拦渣库。</w:t>
      </w:r>
    </w:p>
    <w:p w14:paraId="54A60707">
      <w:pPr>
        <w:rPr>
          <w:rFonts w:hint="default"/>
          <w:color w:val="auto"/>
          <w:lang w:val="en-US" w:eastAsia="zh-CN"/>
        </w:rPr>
      </w:pPr>
      <w:r>
        <w:rPr>
          <w:rFonts w:hint="default"/>
          <w:color w:val="auto"/>
          <w:lang w:val="en-US" w:eastAsia="zh-CN"/>
        </w:rPr>
        <w:t>（1）拦渣库</w:t>
      </w:r>
    </w:p>
    <w:p w14:paraId="7C7368D6">
      <w:pPr>
        <w:rPr>
          <w:rFonts w:hint="default"/>
          <w:color w:val="auto"/>
          <w:lang w:val="en-US" w:eastAsia="zh-CN"/>
        </w:rPr>
      </w:pPr>
      <w:r>
        <w:rPr>
          <w:rFonts w:hint="default"/>
          <w:color w:val="auto"/>
          <w:lang w:val="en-US" w:eastAsia="zh-CN"/>
        </w:rPr>
        <w:t>根据拦渣库拦挡泥砂的要求，1号拦渣库上游排放废石的窿口分别有</w:t>
      </w:r>
      <w:r>
        <w:rPr>
          <w:rFonts w:hint="eastAsia"/>
          <w:color w:val="auto"/>
          <w:lang w:val="en-US" w:eastAsia="zh-CN"/>
        </w:rPr>
        <w:t>+</w:t>
      </w:r>
      <w:r>
        <w:rPr>
          <w:rFonts w:hint="default"/>
          <w:color w:val="auto"/>
          <w:lang w:val="en-US" w:eastAsia="zh-CN"/>
        </w:rPr>
        <w:t>473</w:t>
      </w:r>
      <w:r>
        <w:rPr>
          <w:rFonts w:hint="eastAsia"/>
          <w:color w:val="auto"/>
          <w:lang w:val="en-US" w:eastAsia="zh-CN"/>
        </w:rPr>
        <w:t>m</w:t>
      </w:r>
      <w:r>
        <w:rPr>
          <w:rFonts w:hint="default"/>
          <w:color w:val="auto"/>
          <w:lang w:val="en-US" w:eastAsia="zh-CN"/>
        </w:rPr>
        <w:t>、</w:t>
      </w:r>
      <w:r>
        <w:rPr>
          <w:rFonts w:hint="eastAsia"/>
          <w:color w:val="auto"/>
          <w:lang w:val="en-US" w:eastAsia="zh-CN"/>
        </w:rPr>
        <w:t>+</w:t>
      </w:r>
      <w:r>
        <w:rPr>
          <w:rFonts w:hint="default"/>
          <w:color w:val="auto"/>
          <w:lang w:val="en-US" w:eastAsia="zh-CN"/>
        </w:rPr>
        <w:t>495</w:t>
      </w:r>
      <w:r>
        <w:rPr>
          <w:rFonts w:hint="eastAsia"/>
          <w:color w:val="auto"/>
          <w:lang w:val="en-US" w:eastAsia="zh-CN"/>
        </w:rPr>
        <w:t>m</w:t>
      </w:r>
      <w:r>
        <w:rPr>
          <w:rFonts w:hint="default"/>
          <w:color w:val="auto"/>
          <w:lang w:val="en-US" w:eastAsia="zh-CN"/>
        </w:rPr>
        <w:t>、</w:t>
      </w:r>
      <w:r>
        <w:rPr>
          <w:rFonts w:hint="eastAsia"/>
          <w:color w:val="auto"/>
          <w:lang w:val="en-US" w:eastAsia="zh-CN"/>
        </w:rPr>
        <w:t>+</w:t>
      </w:r>
      <w:r>
        <w:rPr>
          <w:rFonts w:hint="default"/>
          <w:color w:val="auto"/>
          <w:lang w:val="en-US" w:eastAsia="zh-CN"/>
        </w:rPr>
        <w:t>525</w:t>
      </w:r>
      <w:r>
        <w:rPr>
          <w:rFonts w:hint="eastAsia"/>
          <w:color w:val="auto"/>
          <w:lang w:val="en-US" w:eastAsia="zh-CN"/>
        </w:rPr>
        <w:t>m</w:t>
      </w:r>
      <w:r>
        <w:rPr>
          <w:rFonts w:hint="default"/>
          <w:color w:val="auto"/>
          <w:lang w:val="en-US" w:eastAsia="zh-CN"/>
        </w:rPr>
        <w:t>、</w:t>
      </w:r>
      <w:r>
        <w:rPr>
          <w:rFonts w:hint="eastAsia"/>
          <w:color w:val="auto"/>
          <w:lang w:val="en-US" w:eastAsia="zh-CN"/>
        </w:rPr>
        <w:t>+</w:t>
      </w:r>
      <w:r>
        <w:rPr>
          <w:rFonts w:hint="default"/>
          <w:color w:val="auto"/>
          <w:lang w:val="en-US" w:eastAsia="zh-CN"/>
        </w:rPr>
        <w:t>575</w:t>
      </w:r>
      <w:r>
        <w:rPr>
          <w:rFonts w:hint="eastAsia"/>
          <w:color w:val="auto"/>
          <w:lang w:val="en-US" w:eastAsia="zh-CN"/>
        </w:rPr>
        <w:t>m</w:t>
      </w:r>
      <w:r>
        <w:rPr>
          <w:rFonts w:hint="default"/>
          <w:color w:val="auto"/>
          <w:lang w:val="en-US" w:eastAsia="zh-CN"/>
        </w:rPr>
        <w:t>、</w:t>
      </w:r>
      <w:r>
        <w:rPr>
          <w:rFonts w:hint="eastAsia"/>
          <w:color w:val="auto"/>
          <w:lang w:val="en-US" w:eastAsia="zh-CN"/>
        </w:rPr>
        <w:t>+</w:t>
      </w:r>
      <w:r>
        <w:rPr>
          <w:rFonts w:hint="default"/>
          <w:color w:val="auto"/>
          <w:lang w:val="en-US" w:eastAsia="zh-CN"/>
        </w:rPr>
        <w:t>568</w:t>
      </w:r>
      <w:r>
        <w:rPr>
          <w:rFonts w:hint="eastAsia"/>
          <w:color w:val="auto"/>
          <w:lang w:val="en-US" w:eastAsia="zh-CN"/>
        </w:rPr>
        <w:t>m</w:t>
      </w:r>
      <w:r>
        <w:rPr>
          <w:rFonts w:hint="default"/>
          <w:color w:val="auto"/>
          <w:lang w:val="en-US" w:eastAsia="zh-CN"/>
        </w:rPr>
        <w:t>、</w:t>
      </w:r>
      <w:r>
        <w:rPr>
          <w:rFonts w:hint="eastAsia"/>
          <w:color w:val="auto"/>
          <w:lang w:val="en-US" w:eastAsia="zh-CN"/>
        </w:rPr>
        <w:t>+</w:t>
      </w:r>
      <w:r>
        <w:rPr>
          <w:rFonts w:hint="default"/>
          <w:color w:val="auto"/>
          <w:lang w:val="en-US" w:eastAsia="zh-CN"/>
        </w:rPr>
        <w:t>620</w:t>
      </w:r>
      <w:r>
        <w:rPr>
          <w:rFonts w:hint="eastAsia"/>
          <w:color w:val="auto"/>
          <w:lang w:val="en-US" w:eastAsia="zh-CN"/>
        </w:rPr>
        <w:t>m</w:t>
      </w:r>
      <w:r>
        <w:rPr>
          <w:rFonts w:hint="default"/>
          <w:color w:val="auto"/>
          <w:lang w:val="en-US" w:eastAsia="zh-CN"/>
        </w:rPr>
        <w:t>、</w:t>
      </w:r>
      <w:r>
        <w:rPr>
          <w:rFonts w:hint="eastAsia"/>
          <w:color w:val="auto"/>
          <w:lang w:val="en-US" w:eastAsia="zh-CN"/>
        </w:rPr>
        <w:t>+</w:t>
      </w:r>
      <w:r>
        <w:rPr>
          <w:rFonts w:hint="default"/>
          <w:color w:val="auto"/>
          <w:lang w:val="en-US" w:eastAsia="zh-CN"/>
        </w:rPr>
        <w:t>625</w:t>
      </w:r>
      <w:r>
        <w:rPr>
          <w:rFonts w:hint="eastAsia"/>
          <w:color w:val="auto"/>
          <w:lang w:val="en-US" w:eastAsia="zh-CN"/>
        </w:rPr>
        <w:t>m</w:t>
      </w:r>
      <w:r>
        <w:rPr>
          <w:rFonts w:hint="default"/>
          <w:color w:val="auto"/>
          <w:lang w:val="en-US" w:eastAsia="zh-CN"/>
        </w:rPr>
        <w:t>，所排废石总量为33.5</w:t>
      </w:r>
      <w:r>
        <w:rPr>
          <w:rFonts w:hint="eastAsia" w:ascii="Times New Roman" w:hAnsi="Times New Roman" w:eastAsia="宋体" w:cs="Times New Roman"/>
          <w:color w:val="auto"/>
          <w:lang w:val="en-US" w:eastAsia="zh-CN"/>
        </w:rPr>
        <w:t>×</w:t>
      </w:r>
      <w:r>
        <w:rPr>
          <w:rFonts w:hint="default" w:ascii="Times New Roman" w:hAnsi="Times New Roman" w:cs="Times New Roman"/>
          <w:color w:val="auto"/>
          <w:lang w:val="en-US" w:eastAsia="zh-CN"/>
        </w:rPr>
        <w:t>10</w:t>
      </w:r>
      <w:r>
        <w:rPr>
          <w:rFonts w:hint="default" w:ascii="Times New Roman" w:hAnsi="Times New Roman" w:cs="Times New Roman"/>
          <w:color w:val="auto"/>
          <w:vertAlign w:val="superscript"/>
          <w:lang w:val="en-US" w:eastAsia="zh-CN"/>
        </w:rPr>
        <w:t>4</w:t>
      </w:r>
      <w:r>
        <w:rPr>
          <w:rFonts w:hint="default" w:ascii="Times New Roman" w:hAnsi="Times New Roman" w:cs="Times New Roman"/>
          <w:color w:val="auto"/>
          <w:lang w:val="en-US" w:eastAsia="zh-CN"/>
        </w:rPr>
        <w:t>m</w:t>
      </w:r>
      <w:r>
        <w:rPr>
          <w:rFonts w:hint="default" w:ascii="Times New Roman" w:hAnsi="Times New Roman" w:cs="Times New Roman"/>
          <w:color w:val="auto"/>
          <w:vertAlign w:val="superscript"/>
          <w:lang w:val="en-US" w:eastAsia="zh-CN"/>
        </w:rPr>
        <w:t>3</w:t>
      </w:r>
      <w:r>
        <w:rPr>
          <w:rFonts w:hint="default"/>
          <w:color w:val="auto"/>
          <w:lang w:val="en-US" w:eastAsia="zh-CN"/>
        </w:rPr>
        <w:t>，1号拦渣库所需库容为6.7</w:t>
      </w:r>
      <w:r>
        <w:rPr>
          <w:rFonts w:hint="eastAsia" w:ascii="Times New Roman" w:hAnsi="Times New Roman" w:eastAsia="宋体" w:cs="Times New Roman"/>
          <w:color w:val="auto"/>
          <w:lang w:val="en-US" w:eastAsia="zh-CN"/>
        </w:rPr>
        <w:t>×</w:t>
      </w:r>
      <w:r>
        <w:rPr>
          <w:rFonts w:hint="default" w:ascii="Times New Roman" w:hAnsi="Times New Roman" w:cs="Times New Roman"/>
          <w:color w:val="auto"/>
          <w:lang w:val="en-US" w:eastAsia="zh-CN"/>
        </w:rPr>
        <w:t>10</w:t>
      </w:r>
      <w:r>
        <w:rPr>
          <w:rFonts w:hint="default" w:ascii="Times New Roman" w:hAnsi="Times New Roman" w:cs="Times New Roman"/>
          <w:color w:val="auto"/>
          <w:vertAlign w:val="superscript"/>
          <w:lang w:val="en-US" w:eastAsia="zh-CN"/>
        </w:rPr>
        <w:t>4</w:t>
      </w:r>
      <w:r>
        <w:rPr>
          <w:rFonts w:hint="default" w:ascii="Times New Roman" w:hAnsi="Times New Roman" w:cs="Times New Roman"/>
          <w:color w:val="auto"/>
          <w:lang w:val="en-US" w:eastAsia="zh-CN"/>
        </w:rPr>
        <w:t>m</w:t>
      </w:r>
      <w:r>
        <w:rPr>
          <w:rFonts w:hint="default" w:ascii="Times New Roman" w:hAnsi="Times New Roman" w:cs="Times New Roman"/>
          <w:color w:val="auto"/>
          <w:vertAlign w:val="superscript"/>
          <w:lang w:val="en-US" w:eastAsia="zh-CN"/>
        </w:rPr>
        <w:t>3</w:t>
      </w:r>
      <w:r>
        <w:rPr>
          <w:rFonts w:hint="default"/>
          <w:color w:val="auto"/>
          <w:lang w:val="en-US" w:eastAsia="zh-CN"/>
        </w:rPr>
        <w:t>。2号拦渣库上游排放废石的窿口分别有</w:t>
      </w:r>
      <w:r>
        <w:rPr>
          <w:rFonts w:hint="eastAsia"/>
          <w:color w:val="auto"/>
          <w:lang w:val="en-US" w:eastAsia="zh-CN"/>
        </w:rPr>
        <w:t>+</w:t>
      </w:r>
      <w:r>
        <w:rPr>
          <w:rFonts w:hint="default"/>
          <w:color w:val="auto"/>
          <w:lang w:val="en-US" w:eastAsia="zh-CN"/>
        </w:rPr>
        <w:t>518</w:t>
      </w:r>
      <w:r>
        <w:rPr>
          <w:rFonts w:hint="eastAsia"/>
          <w:color w:val="auto"/>
          <w:lang w:val="en-US" w:eastAsia="zh-CN"/>
        </w:rPr>
        <w:t>m</w:t>
      </w:r>
      <w:r>
        <w:rPr>
          <w:rFonts w:hint="default"/>
          <w:color w:val="auto"/>
          <w:lang w:val="en-US" w:eastAsia="zh-CN"/>
        </w:rPr>
        <w:t>、</w:t>
      </w:r>
      <w:r>
        <w:rPr>
          <w:rFonts w:hint="eastAsia"/>
          <w:color w:val="auto"/>
          <w:lang w:val="en-US" w:eastAsia="zh-CN"/>
        </w:rPr>
        <w:t>+</w:t>
      </w:r>
      <w:r>
        <w:rPr>
          <w:rFonts w:hint="default"/>
          <w:color w:val="auto"/>
          <w:lang w:val="en-US" w:eastAsia="zh-CN"/>
        </w:rPr>
        <w:t>595</w:t>
      </w:r>
      <w:r>
        <w:rPr>
          <w:rFonts w:hint="eastAsia"/>
          <w:color w:val="auto"/>
          <w:lang w:val="en-US" w:eastAsia="zh-CN"/>
        </w:rPr>
        <w:t>m</w:t>
      </w:r>
      <w:r>
        <w:rPr>
          <w:rFonts w:hint="default"/>
          <w:color w:val="auto"/>
          <w:lang w:val="en-US" w:eastAsia="zh-CN"/>
        </w:rPr>
        <w:t>、</w:t>
      </w:r>
      <w:r>
        <w:rPr>
          <w:rFonts w:hint="eastAsia"/>
          <w:color w:val="auto"/>
          <w:lang w:val="en-US" w:eastAsia="zh-CN"/>
        </w:rPr>
        <w:t>+</w:t>
      </w:r>
      <w:r>
        <w:rPr>
          <w:rFonts w:hint="default"/>
          <w:color w:val="auto"/>
          <w:lang w:val="en-US" w:eastAsia="zh-CN"/>
        </w:rPr>
        <w:t>645</w:t>
      </w:r>
      <w:r>
        <w:rPr>
          <w:rFonts w:hint="eastAsia"/>
          <w:color w:val="auto"/>
          <w:lang w:val="en-US" w:eastAsia="zh-CN"/>
        </w:rPr>
        <w:t>m</w:t>
      </w:r>
      <w:r>
        <w:rPr>
          <w:rFonts w:hint="default"/>
          <w:color w:val="auto"/>
          <w:lang w:val="en-US" w:eastAsia="zh-CN"/>
        </w:rPr>
        <w:t>、</w:t>
      </w:r>
      <w:r>
        <w:rPr>
          <w:rFonts w:hint="eastAsia"/>
          <w:color w:val="auto"/>
          <w:lang w:val="en-US" w:eastAsia="zh-CN"/>
        </w:rPr>
        <w:t>+</w:t>
      </w:r>
      <w:r>
        <w:rPr>
          <w:rFonts w:hint="default"/>
          <w:color w:val="auto"/>
          <w:lang w:val="en-US" w:eastAsia="zh-CN"/>
        </w:rPr>
        <w:t>694</w:t>
      </w:r>
      <w:r>
        <w:rPr>
          <w:rFonts w:hint="eastAsia"/>
          <w:color w:val="auto"/>
          <w:lang w:val="en-US" w:eastAsia="zh-CN"/>
        </w:rPr>
        <w:t>m</w:t>
      </w:r>
      <w:r>
        <w:rPr>
          <w:rFonts w:hint="default"/>
          <w:color w:val="auto"/>
          <w:lang w:val="en-US" w:eastAsia="zh-CN"/>
        </w:rPr>
        <w:t>、</w:t>
      </w:r>
      <w:r>
        <w:rPr>
          <w:rFonts w:hint="eastAsia"/>
          <w:color w:val="auto"/>
          <w:lang w:val="en-US" w:eastAsia="zh-CN"/>
        </w:rPr>
        <w:t>+</w:t>
      </w:r>
      <w:r>
        <w:rPr>
          <w:rFonts w:hint="default"/>
          <w:color w:val="auto"/>
          <w:lang w:val="en-US" w:eastAsia="zh-CN"/>
        </w:rPr>
        <w:t>668</w:t>
      </w:r>
      <w:r>
        <w:rPr>
          <w:rFonts w:hint="eastAsia"/>
          <w:color w:val="auto"/>
          <w:lang w:val="en-US" w:eastAsia="zh-CN"/>
        </w:rPr>
        <w:t>m</w:t>
      </w:r>
      <w:r>
        <w:rPr>
          <w:rFonts w:hint="default"/>
          <w:color w:val="auto"/>
          <w:lang w:val="en-US" w:eastAsia="zh-CN"/>
        </w:rPr>
        <w:t>、</w:t>
      </w:r>
      <w:r>
        <w:rPr>
          <w:rFonts w:hint="eastAsia"/>
          <w:color w:val="auto"/>
          <w:lang w:val="en-US" w:eastAsia="zh-CN"/>
        </w:rPr>
        <w:t>+</w:t>
      </w:r>
      <w:r>
        <w:rPr>
          <w:rFonts w:hint="default"/>
          <w:color w:val="auto"/>
          <w:lang w:val="en-US" w:eastAsia="zh-CN"/>
        </w:rPr>
        <w:t>728</w:t>
      </w:r>
      <w:r>
        <w:rPr>
          <w:rFonts w:hint="eastAsia"/>
          <w:color w:val="auto"/>
          <w:lang w:val="en-US" w:eastAsia="zh-CN"/>
        </w:rPr>
        <w:t>m</w:t>
      </w:r>
      <w:r>
        <w:rPr>
          <w:rFonts w:hint="default"/>
          <w:color w:val="auto"/>
          <w:lang w:val="en-US" w:eastAsia="zh-CN"/>
        </w:rPr>
        <w:t>，所排废石总量为18.7</w:t>
      </w:r>
      <w:r>
        <w:rPr>
          <w:rFonts w:hint="eastAsia" w:ascii="Times New Roman" w:hAnsi="Times New Roman" w:eastAsia="宋体" w:cs="Times New Roman"/>
          <w:color w:val="auto"/>
          <w:lang w:val="en-US" w:eastAsia="zh-CN"/>
        </w:rPr>
        <w:t>×</w:t>
      </w:r>
      <w:r>
        <w:rPr>
          <w:rFonts w:hint="default" w:ascii="Times New Roman" w:hAnsi="Times New Roman" w:cs="Times New Roman"/>
          <w:color w:val="auto"/>
          <w:lang w:val="en-US" w:eastAsia="zh-CN"/>
        </w:rPr>
        <w:t>10</w:t>
      </w:r>
      <w:r>
        <w:rPr>
          <w:rFonts w:hint="default" w:ascii="Times New Roman" w:hAnsi="Times New Roman" w:cs="Times New Roman"/>
          <w:color w:val="auto"/>
          <w:vertAlign w:val="superscript"/>
          <w:lang w:val="en-US" w:eastAsia="zh-CN"/>
        </w:rPr>
        <w:t>4</w:t>
      </w:r>
      <w:r>
        <w:rPr>
          <w:rFonts w:hint="default" w:ascii="Times New Roman" w:hAnsi="Times New Roman" w:cs="Times New Roman"/>
          <w:color w:val="auto"/>
          <w:lang w:val="en-US" w:eastAsia="zh-CN"/>
        </w:rPr>
        <w:t>m</w:t>
      </w:r>
      <w:r>
        <w:rPr>
          <w:rFonts w:hint="default" w:ascii="Times New Roman" w:hAnsi="Times New Roman" w:cs="Times New Roman"/>
          <w:color w:val="auto"/>
          <w:vertAlign w:val="superscript"/>
          <w:lang w:val="en-US" w:eastAsia="zh-CN"/>
        </w:rPr>
        <w:t>3</w:t>
      </w:r>
      <w:r>
        <w:rPr>
          <w:rFonts w:hint="default"/>
          <w:color w:val="auto"/>
          <w:lang w:val="en-US" w:eastAsia="zh-CN"/>
        </w:rPr>
        <w:t>，2号拦渣库所需库容为3.74</w:t>
      </w:r>
      <w:r>
        <w:rPr>
          <w:rFonts w:hint="eastAsia" w:ascii="Times New Roman" w:hAnsi="Times New Roman" w:eastAsia="宋体" w:cs="Times New Roman"/>
          <w:color w:val="auto"/>
          <w:lang w:val="en-US" w:eastAsia="zh-CN"/>
        </w:rPr>
        <w:t>×</w:t>
      </w:r>
      <w:r>
        <w:rPr>
          <w:rFonts w:hint="default" w:ascii="Times New Roman" w:hAnsi="Times New Roman" w:cs="Times New Roman"/>
          <w:color w:val="auto"/>
          <w:lang w:val="en-US" w:eastAsia="zh-CN"/>
        </w:rPr>
        <w:t>10</w:t>
      </w:r>
      <w:r>
        <w:rPr>
          <w:rFonts w:hint="default" w:ascii="Times New Roman" w:hAnsi="Times New Roman" w:cs="Times New Roman"/>
          <w:color w:val="auto"/>
          <w:vertAlign w:val="superscript"/>
          <w:lang w:val="en-US" w:eastAsia="zh-CN"/>
        </w:rPr>
        <w:t>4</w:t>
      </w:r>
      <w:r>
        <w:rPr>
          <w:rFonts w:hint="default" w:ascii="Times New Roman" w:hAnsi="Times New Roman" w:cs="Times New Roman"/>
          <w:color w:val="auto"/>
          <w:lang w:val="en-US" w:eastAsia="zh-CN"/>
        </w:rPr>
        <w:t>m</w:t>
      </w:r>
      <w:r>
        <w:rPr>
          <w:rFonts w:hint="default" w:ascii="Times New Roman" w:hAnsi="Times New Roman" w:cs="Times New Roman"/>
          <w:color w:val="auto"/>
          <w:vertAlign w:val="superscript"/>
          <w:lang w:val="en-US" w:eastAsia="zh-CN"/>
        </w:rPr>
        <w:t>3</w:t>
      </w:r>
      <w:r>
        <w:rPr>
          <w:rFonts w:hint="default"/>
          <w:color w:val="auto"/>
          <w:lang w:val="en-US" w:eastAsia="zh-CN"/>
        </w:rPr>
        <w:t>。3号拦渣库上游排放废石的窿口有</w:t>
      </w:r>
      <w:r>
        <w:rPr>
          <w:rFonts w:hint="eastAsia"/>
          <w:color w:val="auto"/>
          <w:lang w:val="en-US" w:eastAsia="zh-CN"/>
        </w:rPr>
        <w:t>+</w:t>
      </w:r>
      <w:r>
        <w:rPr>
          <w:rFonts w:hint="default"/>
          <w:color w:val="auto"/>
          <w:lang w:val="en-US" w:eastAsia="zh-CN"/>
        </w:rPr>
        <w:t>360</w:t>
      </w:r>
      <w:r>
        <w:rPr>
          <w:rFonts w:hint="eastAsia"/>
          <w:color w:val="auto"/>
          <w:lang w:val="en-US" w:eastAsia="zh-CN"/>
        </w:rPr>
        <w:t>m</w:t>
      </w:r>
      <w:r>
        <w:rPr>
          <w:rFonts w:hint="default"/>
          <w:color w:val="auto"/>
          <w:lang w:val="en-US" w:eastAsia="zh-CN"/>
        </w:rPr>
        <w:t>、</w:t>
      </w:r>
      <w:r>
        <w:rPr>
          <w:rFonts w:hint="eastAsia"/>
          <w:color w:val="auto"/>
          <w:lang w:val="en-US" w:eastAsia="zh-CN"/>
        </w:rPr>
        <w:t>+</w:t>
      </w:r>
      <w:r>
        <w:rPr>
          <w:rFonts w:hint="default"/>
          <w:color w:val="auto"/>
          <w:lang w:val="en-US" w:eastAsia="zh-CN"/>
        </w:rPr>
        <w:t>400</w:t>
      </w:r>
      <w:r>
        <w:rPr>
          <w:rFonts w:hint="eastAsia"/>
          <w:color w:val="auto"/>
          <w:lang w:val="en-US" w:eastAsia="zh-CN"/>
        </w:rPr>
        <w:t>m</w:t>
      </w:r>
      <w:r>
        <w:rPr>
          <w:rFonts w:hint="default"/>
          <w:color w:val="auto"/>
          <w:lang w:val="en-US" w:eastAsia="zh-CN"/>
        </w:rPr>
        <w:t>、</w:t>
      </w:r>
      <w:r>
        <w:rPr>
          <w:rFonts w:hint="eastAsia"/>
          <w:color w:val="auto"/>
          <w:lang w:val="en-US" w:eastAsia="zh-CN"/>
        </w:rPr>
        <w:t>+</w:t>
      </w:r>
      <w:r>
        <w:rPr>
          <w:rFonts w:hint="default"/>
          <w:color w:val="auto"/>
          <w:lang w:val="en-US" w:eastAsia="zh-CN"/>
        </w:rPr>
        <w:t>425</w:t>
      </w:r>
      <w:r>
        <w:rPr>
          <w:rFonts w:hint="eastAsia"/>
          <w:color w:val="auto"/>
          <w:lang w:val="en-US" w:eastAsia="zh-CN"/>
        </w:rPr>
        <w:t>m</w:t>
      </w:r>
      <w:r>
        <w:rPr>
          <w:rFonts w:hint="default"/>
          <w:color w:val="auto"/>
          <w:lang w:val="en-US" w:eastAsia="zh-CN"/>
        </w:rPr>
        <w:t>、</w:t>
      </w:r>
      <w:r>
        <w:rPr>
          <w:rFonts w:hint="eastAsia"/>
          <w:color w:val="auto"/>
          <w:lang w:val="en-US" w:eastAsia="zh-CN"/>
        </w:rPr>
        <w:t>+</w:t>
      </w:r>
      <w:r>
        <w:rPr>
          <w:rFonts w:hint="default"/>
          <w:color w:val="auto"/>
          <w:lang w:val="en-US" w:eastAsia="zh-CN"/>
        </w:rPr>
        <w:t>450</w:t>
      </w:r>
      <w:r>
        <w:rPr>
          <w:rFonts w:hint="eastAsia"/>
          <w:color w:val="auto"/>
          <w:lang w:val="en-US" w:eastAsia="zh-CN"/>
        </w:rPr>
        <w:t>m</w:t>
      </w:r>
      <w:r>
        <w:rPr>
          <w:rFonts w:hint="default"/>
          <w:color w:val="auto"/>
          <w:lang w:val="en-US" w:eastAsia="zh-CN"/>
        </w:rPr>
        <w:t>、</w:t>
      </w:r>
      <w:r>
        <w:rPr>
          <w:rFonts w:hint="eastAsia"/>
          <w:color w:val="auto"/>
          <w:lang w:val="en-US" w:eastAsia="zh-CN"/>
        </w:rPr>
        <w:t>+</w:t>
      </w:r>
      <w:r>
        <w:rPr>
          <w:rFonts w:hint="default"/>
          <w:color w:val="auto"/>
          <w:lang w:val="en-US" w:eastAsia="zh-CN"/>
        </w:rPr>
        <w:t>473</w:t>
      </w:r>
      <w:r>
        <w:rPr>
          <w:rFonts w:hint="eastAsia"/>
          <w:color w:val="auto"/>
          <w:lang w:val="en-US" w:eastAsia="zh-CN"/>
        </w:rPr>
        <w:t>m</w:t>
      </w:r>
      <w:r>
        <w:rPr>
          <w:rFonts w:hint="default"/>
          <w:color w:val="auto"/>
          <w:lang w:val="en-US" w:eastAsia="zh-CN"/>
        </w:rPr>
        <w:t>，所排废石总量为2.88</w:t>
      </w:r>
      <w:r>
        <w:rPr>
          <w:rFonts w:hint="eastAsia" w:ascii="Times New Roman" w:hAnsi="Times New Roman" w:eastAsia="宋体" w:cs="Times New Roman"/>
          <w:color w:val="auto"/>
          <w:lang w:val="en-US" w:eastAsia="zh-CN"/>
        </w:rPr>
        <w:t>×</w:t>
      </w:r>
      <w:r>
        <w:rPr>
          <w:rFonts w:hint="default" w:ascii="Times New Roman" w:hAnsi="Times New Roman" w:cs="Times New Roman"/>
          <w:color w:val="auto"/>
          <w:lang w:val="en-US" w:eastAsia="zh-CN"/>
        </w:rPr>
        <w:t>10</w:t>
      </w:r>
      <w:r>
        <w:rPr>
          <w:rFonts w:hint="default" w:ascii="Times New Roman" w:hAnsi="Times New Roman" w:cs="Times New Roman"/>
          <w:color w:val="auto"/>
          <w:vertAlign w:val="superscript"/>
          <w:lang w:val="en-US" w:eastAsia="zh-CN"/>
        </w:rPr>
        <w:t>4</w:t>
      </w:r>
      <w:r>
        <w:rPr>
          <w:rFonts w:hint="default" w:ascii="Times New Roman" w:hAnsi="Times New Roman" w:cs="Times New Roman"/>
          <w:color w:val="auto"/>
          <w:lang w:val="en-US" w:eastAsia="zh-CN"/>
        </w:rPr>
        <w:t>m</w:t>
      </w:r>
      <w:r>
        <w:rPr>
          <w:rFonts w:hint="default" w:ascii="Times New Roman" w:hAnsi="Times New Roman" w:cs="Times New Roman"/>
          <w:color w:val="auto"/>
          <w:vertAlign w:val="superscript"/>
          <w:lang w:val="en-US" w:eastAsia="zh-CN"/>
        </w:rPr>
        <w:t>3</w:t>
      </w:r>
      <w:r>
        <w:rPr>
          <w:rFonts w:hint="default"/>
          <w:color w:val="auto"/>
          <w:lang w:val="en-US" w:eastAsia="zh-CN"/>
        </w:rPr>
        <w:t>，3号拦渣库所需库容为0.58</w:t>
      </w:r>
      <w:r>
        <w:rPr>
          <w:rFonts w:hint="eastAsia" w:ascii="Times New Roman" w:hAnsi="Times New Roman" w:eastAsia="宋体" w:cs="Times New Roman"/>
          <w:color w:val="auto"/>
          <w:lang w:val="en-US" w:eastAsia="zh-CN"/>
        </w:rPr>
        <w:t>×</w:t>
      </w:r>
      <w:r>
        <w:rPr>
          <w:rFonts w:hint="default" w:ascii="Times New Roman" w:hAnsi="Times New Roman" w:cs="Times New Roman"/>
          <w:color w:val="auto"/>
          <w:lang w:val="en-US" w:eastAsia="zh-CN"/>
        </w:rPr>
        <w:t>10</w:t>
      </w:r>
      <w:r>
        <w:rPr>
          <w:rFonts w:hint="default" w:ascii="Times New Roman" w:hAnsi="Times New Roman" w:cs="Times New Roman"/>
          <w:color w:val="auto"/>
          <w:vertAlign w:val="superscript"/>
          <w:lang w:val="en-US" w:eastAsia="zh-CN"/>
        </w:rPr>
        <w:t>4</w:t>
      </w:r>
      <w:r>
        <w:rPr>
          <w:rFonts w:hint="default" w:ascii="Times New Roman" w:hAnsi="Times New Roman" w:cs="Times New Roman"/>
          <w:color w:val="auto"/>
          <w:lang w:val="en-US" w:eastAsia="zh-CN"/>
        </w:rPr>
        <w:t>m</w:t>
      </w:r>
      <w:r>
        <w:rPr>
          <w:rFonts w:hint="default" w:ascii="Times New Roman" w:hAnsi="Times New Roman" w:cs="Times New Roman"/>
          <w:color w:val="auto"/>
          <w:vertAlign w:val="superscript"/>
          <w:lang w:val="en-US" w:eastAsia="zh-CN"/>
        </w:rPr>
        <w:t>3</w:t>
      </w:r>
      <w:r>
        <w:rPr>
          <w:rFonts w:hint="default"/>
          <w:color w:val="auto"/>
          <w:lang w:val="en-US" w:eastAsia="zh-CN"/>
        </w:rPr>
        <w:t>。1号拦渣坝坝高6.0m，库容为8.5</w:t>
      </w:r>
      <w:r>
        <w:rPr>
          <w:rFonts w:hint="eastAsia" w:ascii="Times New Roman" w:hAnsi="Times New Roman" w:eastAsia="宋体" w:cs="Times New Roman"/>
          <w:color w:val="auto"/>
          <w:lang w:val="en-US" w:eastAsia="zh-CN"/>
        </w:rPr>
        <w:t>×</w:t>
      </w:r>
      <w:r>
        <w:rPr>
          <w:rFonts w:hint="default" w:ascii="Times New Roman" w:hAnsi="Times New Roman" w:cs="Times New Roman"/>
          <w:color w:val="auto"/>
          <w:lang w:val="en-US" w:eastAsia="zh-CN"/>
        </w:rPr>
        <w:t>10</w:t>
      </w:r>
      <w:r>
        <w:rPr>
          <w:rFonts w:hint="default" w:ascii="Times New Roman" w:hAnsi="Times New Roman" w:cs="Times New Roman"/>
          <w:color w:val="auto"/>
          <w:vertAlign w:val="superscript"/>
          <w:lang w:val="en-US" w:eastAsia="zh-CN"/>
        </w:rPr>
        <w:t>4</w:t>
      </w:r>
      <w:r>
        <w:rPr>
          <w:rFonts w:hint="default" w:ascii="Times New Roman" w:hAnsi="Times New Roman" w:cs="Times New Roman"/>
          <w:color w:val="auto"/>
          <w:lang w:val="en-US" w:eastAsia="zh-CN"/>
        </w:rPr>
        <w:t>m</w:t>
      </w:r>
      <w:r>
        <w:rPr>
          <w:rFonts w:hint="default" w:ascii="Times New Roman" w:hAnsi="Times New Roman" w:cs="Times New Roman"/>
          <w:color w:val="auto"/>
          <w:vertAlign w:val="superscript"/>
          <w:lang w:val="en-US" w:eastAsia="zh-CN"/>
        </w:rPr>
        <w:t>3</w:t>
      </w:r>
      <w:r>
        <w:rPr>
          <w:rFonts w:hint="default"/>
          <w:color w:val="auto"/>
          <w:lang w:val="en-US" w:eastAsia="zh-CN"/>
        </w:rPr>
        <w:t>；2号拦渣坝坝高12.0m，库容为5.62</w:t>
      </w:r>
      <w:r>
        <w:rPr>
          <w:rFonts w:hint="eastAsia" w:ascii="Times New Roman" w:hAnsi="Times New Roman" w:eastAsia="宋体" w:cs="Times New Roman"/>
          <w:color w:val="auto"/>
          <w:lang w:val="en-US" w:eastAsia="zh-CN"/>
        </w:rPr>
        <w:t>×</w:t>
      </w:r>
      <w:r>
        <w:rPr>
          <w:rFonts w:hint="default" w:ascii="Times New Roman" w:hAnsi="Times New Roman" w:cs="Times New Roman"/>
          <w:color w:val="auto"/>
          <w:lang w:val="en-US" w:eastAsia="zh-CN"/>
        </w:rPr>
        <w:t>10</w:t>
      </w:r>
      <w:r>
        <w:rPr>
          <w:rFonts w:hint="default" w:ascii="Times New Roman" w:hAnsi="Times New Roman" w:cs="Times New Roman"/>
          <w:color w:val="auto"/>
          <w:vertAlign w:val="superscript"/>
          <w:lang w:val="en-US" w:eastAsia="zh-CN"/>
        </w:rPr>
        <w:t>4</w:t>
      </w:r>
      <w:r>
        <w:rPr>
          <w:rFonts w:hint="default" w:ascii="Times New Roman" w:hAnsi="Times New Roman" w:cs="Times New Roman"/>
          <w:color w:val="auto"/>
          <w:lang w:val="en-US" w:eastAsia="zh-CN"/>
        </w:rPr>
        <w:t>m</w:t>
      </w:r>
      <w:r>
        <w:rPr>
          <w:rFonts w:hint="default" w:ascii="Times New Roman" w:hAnsi="Times New Roman" w:cs="Times New Roman"/>
          <w:color w:val="auto"/>
          <w:vertAlign w:val="superscript"/>
          <w:lang w:val="en-US" w:eastAsia="zh-CN"/>
        </w:rPr>
        <w:t>3</w:t>
      </w:r>
      <w:r>
        <w:rPr>
          <w:rFonts w:hint="default"/>
          <w:color w:val="auto"/>
          <w:lang w:val="en-US" w:eastAsia="zh-CN"/>
        </w:rPr>
        <w:t>；3号拦渣坝坝高5.0m，库容为3.98</w:t>
      </w:r>
      <w:r>
        <w:rPr>
          <w:rFonts w:hint="eastAsia" w:ascii="Times New Roman" w:hAnsi="Times New Roman" w:eastAsia="宋体" w:cs="Times New Roman"/>
          <w:color w:val="auto"/>
          <w:lang w:val="en-US" w:eastAsia="zh-CN"/>
        </w:rPr>
        <w:t>×</w:t>
      </w:r>
      <w:r>
        <w:rPr>
          <w:rFonts w:hint="default" w:ascii="Times New Roman" w:hAnsi="Times New Roman" w:cs="Times New Roman"/>
          <w:color w:val="auto"/>
          <w:lang w:val="en-US" w:eastAsia="zh-CN"/>
        </w:rPr>
        <w:t>10</w:t>
      </w:r>
      <w:r>
        <w:rPr>
          <w:rFonts w:hint="default" w:ascii="Times New Roman" w:hAnsi="Times New Roman" w:cs="Times New Roman"/>
          <w:color w:val="auto"/>
          <w:vertAlign w:val="superscript"/>
          <w:lang w:val="en-US" w:eastAsia="zh-CN"/>
        </w:rPr>
        <w:t>4</w:t>
      </w:r>
      <w:r>
        <w:rPr>
          <w:rFonts w:hint="default" w:ascii="Times New Roman" w:hAnsi="Times New Roman" w:cs="Times New Roman"/>
          <w:color w:val="auto"/>
          <w:lang w:val="en-US" w:eastAsia="zh-CN"/>
        </w:rPr>
        <w:t>m</w:t>
      </w:r>
      <w:r>
        <w:rPr>
          <w:rFonts w:hint="default" w:ascii="Times New Roman" w:hAnsi="Times New Roman" w:cs="Times New Roman"/>
          <w:color w:val="auto"/>
          <w:vertAlign w:val="superscript"/>
          <w:lang w:val="en-US" w:eastAsia="zh-CN"/>
        </w:rPr>
        <w:t>3</w:t>
      </w:r>
      <w:r>
        <w:rPr>
          <w:rFonts w:hint="default"/>
          <w:color w:val="auto"/>
          <w:lang w:val="en-US" w:eastAsia="zh-CN"/>
        </w:rPr>
        <w:t>。</w:t>
      </w:r>
    </w:p>
    <w:p w14:paraId="04933064">
      <w:pPr>
        <w:rPr>
          <w:rFonts w:hint="default"/>
          <w:color w:val="auto"/>
          <w:lang w:val="en-US" w:eastAsia="zh-CN"/>
        </w:rPr>
      </w:pPr>
      <w:r>
        <w:rPr>
          <w:rFonts w:hint="default"/>
          <w:color w:val="auto"/>
          <w:lang w:val="en-US" w:eastAsia="zh-CN"/>
        </w:rPr>
        <w:t>（2）拦渣坝</w:t>
      </w:r>
    </w:p>
    <w:p w14:paraId="652BF333">
      <w:pPr>
        <w:rPr>
          <w:rFonts w:hint="default"/>
          <w:color w:val="auto"/>
          <w:lang w:val="en-US" w:eastAsia="zh-CN"/>
        </w:rPr>
      </w:pPr>
      <w:r>
        <w:rPr>
          <w:rFonts w:hint="default"/>
          <w:color w:val="auto"/>
          <w:lang w:val="en-US" w:eastAsia="zh-CN"/>
        </w:rPr>
        <w:t>1号拦渣库、2号拦渣库、3号拦渣库分别建有1号拦渣坝、2号拦渣坝、3号拦渣坝，坝址区为低山丘陵峡谷地貌，两岸山体雄厚，河谷深切呈</w:t>
      </w:r>
      <w:r>
        <w:rPr>
          <w:rFonts w:hint="eastAsia"/>
          <w:color w:val="auto"/>
          <w:lang w:val="en-US" w:eastAsia="zh-CN"/>
        </w:rPr>
        <w:t>“</w:t>
      </w:r>
      <w:r>
        <w:rPr>
          <w:rFonts w:hint="eastAsia" w:ascii="宋体" w:hAnsi="宋体" w:eastAsia="宋体" w:cs="宋体"/>
          <w:color w:val="auto"/>
          <w:lang w:val="en-US" w:eastAsia="zh-CN"/>
        </w:rPr>
        <w:t>Ⅴ</w:t>
      </w:r>
      <w:r>
        <w:rPr>
          <w:rFonts w:hint="eastAsia"/>
          <w:color w:val="auto"/>
          <w:lang w:val="en-US" w:eastAsia="zh-CN"/>
        </w:rPr>
        <w:t>”</w:t>
      </w:r>
      <w:r>
        <w:rPr>
          <w:rFonts w:hint="default"/>
          <w:color w:val="auto"/>
          <w:lang w:val="en-US" w:eastAsia="zh-CN"/>
        </w:rPr>
        <w:t>字型，两岸地形基本对称，现状无山体滑坡、崩塌等地质灾害，适合建筑拦渣坝。根据现场实际情况，为节省投资，就近取材，三座拦渣坝坝型均采用碾压堆石坝。其中1号拦渣坝位于岿美山沟内的495窿口下游直线距离约500m，坝顶高程</w:t>
      </w:r>
      <w:r>
        <w:rPr>
          <w:rFonts w:hint="eastAsia"/>
          <w:color w:val="auto"/>
          <w:lang w:val="en-US" w:eastAsia="zh-CN"/>
        </w:rPr>
        <w:t>+</w:t>
      </w:r>
      <w:r>
        <w:rPr>
          <w:rFonts w:hint="default"/>
          <w:color w:val="auto"/>
          <w:lang w:val="en-US" w:eastAsia="zh-CN"/>
        </w:rPr>
        <w:t>472.0m，清基后基底高程</w:t>
      </w:r>
      <w:r>
        <w:rPr>
          <w:rFonts w:hint="eastAsia"/>
          <w:color w:val="auto"/>
          <w:lang w:val="en-US" w:eastAsia="zh-CN"/>
        </w:rPr>
        <w:t>+</w:t>
      </w:r>
      <w:r>
        <w:rPr>
          <w:rFonts w:hint="default"/>
          <w:color w:val="auto"/>
          <w:lang w:val="en-US" w:eastAsia="zh-CN"/>
        </w:rPr>
        <w:t>466.0m，坝高6.0m，坝轴线长39.9m，坝顶宽4.0m，上游坝坡1</w:t>
      </w:r>
      <w:r>
        <w:rPr>
          <w:rFonts w:hint="eastAsia" w:ascii="宋体" w:hAnsi="宋体"/>
          <w:color w:val="auto"/>
          <w:szCs w:val="28"/>
        </w:rPr>
        <w:t>∶</w:t>
      </w:r>
      <w:r>
        <w:rPr>
          <w:rFonts w:hint="default"/>
          <w:color w:val="auto"/>
          <w:lang w:val="en-US" w:eastAsia="zh-CN"/>
        </w:rPr>
        <w:t>1.6，下游坝坡1</w:t>
      </w:r>
      <w:r>
        <w:rPr>
          <w:rFonts w:hint="eastAsia" w:ascii="宋体" w:hAnsi="宋体"/>
          <w:color w:val="auto"/>
          <w:szCs w:val="28"/>
        </w:rPr>
        <w:t>∶</w:t>
      </w:r>
      <w:r>
        <w:rPr>
          <w:rFonts w:hint="default"/>
          <w:color w:val="auto"/>
          <w:lang w:val="en-US" w:eastAsia="zh-CN"/>
        </w:rPr>
        <w:t>1.75；2号拦渣坝位于淘金坑沟口，坝顶高程</w:t>
      </w:r>
      <w:r>
        <w:rPr>
          <w:rFonts w:hint="eastAsia"/>
          <w:color w:val="auto"/>
          <w:lang w:val="en-US" w:eastAsia="zh-CN"/>
        </w:rPr>
        <w:t>+</w:t>
      </w:r>
      <w:r>
        <w:rPr>
          <w:rFonts w:hint="default"/>
          <w:color w:val="auto"/>
          <w:lang w:val="en-US" w:eastAsia="zh-CN"/>
        </w:rPr>
        <w:t>448.0m，清基后基底高程</w:t>
      </w:r>
      <w:r>
        <w:rPr>
          <w:rFonts w:hint="eastAsia"/>
          <w:color w:val="auto"/>
          <w:lang w:val="en-US" w:eastAsia="zh-CN"/>
        </w:rPr>
        <w:t>+</w:t>
      </w:r>
      <w:r>
        <w:rPr>
          <w:rFonts w:hint="default"/>
          <w:color w:val="auto"/>
          <w:lang w:val="en-US" w:eastAsia="zh-CN"/>
        </w:rPr>
        <w:t>436.0m，坝高12.0m，坝轴线长48.5m，坝顶宽4.0m，上游坝坡1</w:t>
      </w:r>
      <w:r>
        <w:rPr>
          <w:rFonts w:hint="eastAsia" w:ascii="宋体" w:hAnsi="宋体"/>
          <w:color w:val="auto"/>
          <w:szCs w:val="28"/>
        </w:rPr>
        <w:t>∶</w:t>
      </w:r>
      <w:r>
        <w:rPr>
          <w:rFonts w:hint="default"/>
          <w:color w:val="auto"/>
          <w:lang w:val="en-US" w:eastAsia="zh-CN"/>
        </w:rPr>
        <w:t>1.6，下游坝坡1</w:t>
      </w:r>
      <w:r>
        <w:rPr>
          <w:rFonts w:hint="eastAsia" w:ascii="宋体" w:hAnsi="宋体"/>
          <w:color w:val="auto"/>
          <w:szCs w:val="28"/>
        </w:rPr>
        <w:t>∶</w:t>
      </w:r>
      <w:r>
        <w:rPr>
          <w:rFonts w:hint="default"/>
          <w:color w:val="auto"/>
          <w:lang w:val="en-US" w:eastAsia="zh-CN"/>
        </w:rPr>
        <w:t>1.75；3号拦渣坝位于360窿口下游直线距离越300m，坝顶高程</w:t>
      </w:r>
      <w:r>
        <w:rPr>
          <w:rFonts w:hint="eastAsia"/>
          <w:color w:val="auto"/>
          <w:lang w:val="en-US" w:eastAsia="zh-CN"/>
        </w:rPr>
        <w:t>+</w:t>
      </w:r>
      <w:r>
        <w:rPr>
          <w:rFonts w:hint="default"/>
          <w:color w:val="auto"/>
          <w:lang w:val="en-US" w:eastAsia="zh-CN"/>
        </w:rPr>
        <w:t>345.0m，清基后基底高程</w:t>
      </w:r>
      <w:r>
        <w:rPr>
          <w:rFonts w:hint="eastAsia"/>
          <w:color w:val="auto"/>
          <w:lang w:val="en-US" w:eastAsia="zh-CN"/>
        </w:rPr>
        <w:t>+</w:t>
      </w:r>
      <w:r>
        <w:rPr>
          <w:rFonts w:hint="default"/>
          <w:color w:val="auto"/>
          <w:lang w:val="en-US" w:eastAsia="zh-CN"/>
        </w:rPr>
        <w:t>340.0m，坝高5.0m，坝轴线长52.5m，坝顶宽4.0m，上游坝坡1</w:t>
      </w:r>
      <w:r>
        <w:rPr>
          <w:rFonts w:hint="eastAsia" w:ascii="宋体" w:hAnsi="宋体"/>
          <w:color w:val="auto"/>
          <w:szCs w:val="28"/>
        </w:rPr>
        <w:t>∶</w:t>
      </w:r>
      <w:r>
        <w:rPr>
          <w:rFonts w:hint="default"/>
          <w:color w:val="auto"/>
          <w:lang w:val="en-US" w:eastAsia="zh-CN"/>
        </w:rPr>
        <w:t>1.6，下游坝坡1</w:t>
      </w:r>
      <w:r>
        <w:rPr>
          <w:rFonts w:hint="eastAsia" w:ascii="宋体" w:hAnsi="宋体"/>
          <w:color w:val="auto"/>
          <w:szCs w:val="28"/>
        </w:rPr>
        <w:t>∶</w:t>
      </w:r>
      <w:r>
        <w:rPr>
          <w:rFonts w:hint="default"/>
          <w:color w:val="auto"/>
          <w:lang w:val="en-US" w:eastAsia="zh-CN"/>
        </w:rPr>
        <w:t>1.75。</w:t>
      </w:r>
    </w:p>
    <w:p w14:paraId="045D7D18">
      <w:pPr>
        <w:rPr>
          <w:rFonts w:hint="default"/>
          <w:color w:val="auto"/>
          <w:lang w:val="en-US" w:eastAsia="zh-CN"/>
        </w:rPr>
      </w:pPr>
      <w:r>
        <w:rPr>
          <w:rFonts w:hint="default"/>
          <w:color w:val="auto"/>
          <w:lang w:val="en-US" w:eastAsia="zh-CN"/>
        </w:rPr>
        <w:t>（3）拦渣库溢洪道</w:t>
      </w:r>
    </w:p>
    <w:p w14:paraId="049C7BA9">
      <w:pPr>
        <w:rPr>
          <w:rFonts w:hint="default"/>
          <w:color w:val="auto"/>
          <w:lang w:val="en-US" w:eastAsia="zh-CN"/>
        </w:rPr>
      </w:pPr>
      <w:r>
        <w:rPr>
          <w:rFonts w:hint="default"/>
          <w:color w:val="auto"/>
          <w:lang w:val="en-US" w:eastAsia="zh-CN"/>
        </w:rPr>
        <w:t>拦渣库排洪构筑物为永久溢洪道，溢洪道由进口段、溢流堰、陡槽段组成，为钢筋混凝土结构。1号拦渣库溢洪道总长26.7m，进水口矩形断面B</w:t>
      </w:r>
      <w:r>
        <w:rPr>
          <w:rFonts w:hint="eastAsia" w:ascii="Times New Roman" w:hAnsi="Times New Roman" w:eastAsia="宋体" w:cs="Times New Roman"/>
          <w:color w:val="auto"/>
          <w:lang w:val="en-US" w:eastAsia="zh-CN"/>
        </w:rPr>
        <w:t>×</w:t>
      </w:r>
      <w:r>
        <w:rPr>
          <w:rFonts w:hint="default"/>
          <w:color w:val="auto"/>
          <w:lang w:val="en-US" w:eastAsia="zh-CN"/>
        </w:rPr>
        <w:t>H=7.0m</w:t>
      </w:r>
      <w:r>
        <w:rPr>
          <w:rFonts w:hint="eastAsia" w:ascii="Times New Roman" w:hAnsi="Times New Roman" w:eastAsia="宋体" w:cs="Times New Roman"/>
          <w:color w:val="auto"/>
          <w:lang w:val="en-US" w:eastAsia="zh-CN"/>
        </w:rPr>
        <w:t>×</w:t>
      </w:r>
      <w:r>
        <w:rPr>
          <w:rFonts w:hint="default"/>
          <w:color w:val="auto"/>
          <w:lang w:val="en-US" w:eastAsia="zh-CN"/>
        </w:rPr>
        <w:t>3.0m；溢流堰进水口宽7.0m，堰顶高程</w:t>
      </w:r>
      <w:r>
        <w:rPr>
          <w:rFonts w:hint="eastAsia"/>
          <w:color w:val="auto"/>
          <w:lang w:val="en-US" w:eastAsia="zh-CN"/>
        </w:rPr>
        <w:t>+</w:t>
      </w:r>
      <w:r>
        <w:rPr>
          <w:rFonts w:hint="default"/>
          <w:color w:val="auto"/>
          <w:lang w:val="en-US" w:eastAsia="zh-CN"/>
        </w:rPr>
        <w:t>472.0m；2号拦渣库溢洪道总长48.4m，进水口为矩形断面B</w:t>
      </w:r>
      <w:r>
        <w:rPr>
          <w:rFonts w:hint="eastAsia" w:ascii="Times New Roman" w:hAnsi="Times New Roman" w:eastAsia="宋体" w:cs="Times New Roman"/>
          <w:color w:val="auto"/>
          <w:lang w:val="en-US" w:eastAsia="zh-CN"/>
        </w:rPr>
        <w:t>×</w:t>
      </w:r>
      <w:r>
        <w:rPr>
          <w:rFonts w:hint="default"/>
          <w:color w:val="auto"/>
          <w:lang w:val="en-US" w:eastAsia="zh-CN"/>
        </w:rPr>
        <w:t>H=11.0m</w:t>
      </w:r>
      <w:r>
        <w:rPr>
          <w:rFonts w:hint="eastAsia" w:ascii="Times New Roman" w:hAnsi="Times New Roman" w:eastAsia="宋体" w:cs="Times New Roman"/>
          <w:color w:val="auto"/>
          <w:lang w:val="en-US" w:eastAsia="zh-CN"/>
        </w:rPr>
        <w:t>×</w:t>
      </w:r>
      <w:r>
        <w:rPr>
          <w:rFonts w:hint="default"/>
          <w:color w:val="auto"/>
          <w:lang w:val="en-US" w:eastAsia="zh-CN"/>
        </w:rPr>
        <w:t>3.0m；溢流堰进水口宽11.0m，堰顶高程</w:t>
      </w:r>
      <w:r>
        <w:rPr>
          <w:rFonts w:hint="eastAsia"/>
          <w:color w:val="auto"/>
          <w:lang w:val="en-US" w:eastAsia="zh-CN"/>
        </w:rPr>
        <w:t>+</w:t>
      </w:r>
      <w:r>
        <w:rPr>
          <w:rFonts w:hint="default"/>
          <w:color w:val="auto"/>
          <w:lang w:val="en-US" w:eastAsia="zh-CN"/>
        </w:rPr>
        <w:t>448.0m；3号拦渣库溢洪道总长46.9m，进水口为矩形断面B</w:t>
      </w:r>
      <w:r>
        <w:rPr>
          <w:rFonts w:hint="eastAsia" w:ascii="Times New Roman" w:hAnsi="Times New Roman" w:eastAsia="宋体" w:cs="Times New Roman"/>
          <w:color w:val="auto"/>
          <w:lang w:val="en-US" w:eastAsia="zh-CN"/>
        </w:rPr>
        <w:t>×</w:t>
      </w:r>
      <w:r>
        <w:rPr>
          <w:rFonts w:hint="default"/>
          <w:color w:val="auto"/>
          <w:lang w:val="en-US" w:eastAsia="zh-CN"/>
        </w:rPr>
        <w:t>H=17.0m</w:t>
      </w:r>
      <w:r>
        <w:rPr>
          <w:rFonts w:hint="eastAsia" w:ascii="Times New Roman" w:hAnsi="Times New Roman" w:eastAsia="宋体" w:cs="Times New Roman"/>
          <w:color w:val="auto"/>
          <w:lang w:val="en-US" w:eastAsia="zh-CN"/>
        </w:rPr>
        <w:t>×</w:t>
      </w:r>
      <w:r>
        <w:rPr>
          <w:rFonts w:hint="default"/>
          <w:color w:val="auto"/>
          <w:lang w:val="en-US" w:eastAsia="zh-CN"/>
        </w:rPr>
        <w:t>3.0m；溢流堰进水口宽17.0m，堰顶高程</w:t>
      </w:r>
      <w:r>
        <w:rPr>
          <w:rFonts w:hint="eastAsia"/>
          <w:color w:val="auto"/>
          <w:lang w:val="en-US" w:eastAsia="zh-CN"/>
        </w:rPr>
        <w:t>+</w:t>
      </w:r>
      <w:r>
        <w:rPr>
          <w:rFonts w:hint="default"/>
          <w:color w:val="auto"/>
          <w:lang w:val="en-US" w:eastAsia="zh-CN"/>
        </w:rPr>
        <w:t>345.0m。溢洪道陡槽段出口接消力池，为钢筋混凝土结构，其中1号拦渣库消力池长4.0m，宽4.0m，深2.5m；2号拦渣库消力池长4.0m，宽4.0m，深2.5m；3号拦渣库消力池长4.0m，宽4.0m，深2.5m。溢洪道溢流洪水经消力池消能后排入下游水系。</w:t>
      </w:r>
    </w:p>
    <w:p w14:paraId="3449DE22">
      <w:pPr>
        <w:bidi w:val="0"/>
        <w:rPr>
          <w:rFonts w:hint="default"/>
          <w:color w:val="auto"/>
          <w:lang w:val="en-US" w:eastAsia="zh-CN"/>
        </w:rPr>
      </w:pPr>
      <w:r>
        <w:rPr>
          <w:rFonts w:hint="eastAsia"/>
          <w:color w:val="auto"/>
          <w:lang w:val="en-US" w:eastAsia="zh-CN"/>
        </w:rPr>
        <w:t xml:space="preserve">2. </w:t>
      </w:r>
      <w:r>
        <w:rPr>
          <w:rFonts w:hint="default"/>
          <w:color w:val="auto"/>
          <w:lang w:val="en-US" w:eastAsia="zh-CN"/>
        </w:rPr>
        <w:t>现场检查情况</w:t>
      </w:r>
    </w:p>
    <w:p w14:paraId="3F481D59">
      <w:pPr>
        <w:rPr>
          <w:rFonts w:hint="default"/>
          <w:color w:val="auto"/>
          <w:lang w:val="en-US" w:eastAsia="zh-CN"/>
        </w:rPr>
      </w:pPr>
      <w:r>
        <w:rPr>
          <w:rFonts w:hint="default"/>
          <w:color w:val="auto"/>
          <w:lang w:val="en-US" w:eastAsia="zh-CN"/>
        </w:rPr>
        <w:t>现1号和2号拦渣坝已冲毁，3号拦渣坝上下游已淤满，现矿山已全部停产，江西省地质环境调查研究院有限公司受企业委托已于2023年6月编制完成了矿山生态修复施工图设计，编制范围为3号拦渣坝以上区域，正在实施，根据生态修复施工图，3号拦渣坝以上区域将全部清淤至原河床底，上游生态修复实施后，将降低对下游尾矿库的影响。</w:t>
      </w:r>
      <w:r>
        <w:rPr>
          <w:rFonts w:hint="eastAsia"/>
          <w:color w:val="auto"/>
          <w:lang w:val="en-US" w:eastAsia="zh-CN"/>
        </w:rPr>
        <w:t>现场检查时，正处于生态修复施工过程中，部分已完工。</w:t>
      </w:r>
    </w:p>
    <w:p w14:paraId="03146B04">
      <w:pPr>
        <w:pStyle w:val="4"/>
        <w:bidi w:val="0"/>
        <w:rPr>
          <w:rFonts w:hint="default"/>
          <w:color w:val="auto"/>
          <w:lang w:val="en-US" w:eastAsia="zh-CN"/>
        </w:rPr>
      </w:pPr>
      <w:bookmarkStart w:id="117" w:name="_Toc15893"/>
      <w:bookmarkStart w:id="118" w:name="_Toc26219"/>
      <w:r>
        <w:rPr>
          <w:rFonts w:hint="eastAsia"/>
          <w:color w:val="auto"/>
          <w:lang w:val="en-US" w:eastAsia="zh-CN"/>
        </w:rPr>
        <w:t>2.5.5 安全监测设施</w:t>
      </w:r>
      <w:bookmarkEnd w:id="117"/>
      <w:bookmarkEnd w:id="118"/>
    </w:p>
    <w:p w14:paraId="419510CB">
      <w:pPr>
        <w:rPr>
          <w:rFonts w:hint="default"/>
          <w:color w:val="auto"/>
          <w:lang w:val="en-US" w:eastAsia="zh-CN"/>
        </w:rPr>
      </w:pPr>
      <w:r>
        <w:rPr>
          <w:rFonts w:hint="default"/>
          <w:color w:val="auto"/>
          <w:lang w:val="en-US" w:eastAsia="zh-CN"/>
        </w:rPr>
        <w:t>现状尾矿库设置有人工监测设施和在线监测设施。</w:t>
      </w:r>
    </w:p>
    <w:p w14:paraId="73BC6793">
      <w:pPr>
        <w:rPr>
          <w:rFonts w:hint="default"/>
          <w:color w:val="auto"/>
          <w:lang w:val="en-US" w:eastAsia="zh-CN"/>
        </w:rPr>
      </w:pPr>
      <w:r>
        <w:rPr>
          <w:rFonts w:hint="default"/>
          <w:color w:val="auto"/>
          <w:lang w:val="en-US" w:eastAsia="zh-CN"/>
        </w:rPr>
        <w:t>人工监测设施主要有位于初期坝、堆积坝、副坝和溢流坝上的6个位移观测点和4个浸润线观测孔，位于两坝肩的4个位移观测基点。</w:t>
      </w:r>
    </w:p>
    <w:p w14:paraId="1FB60E77">
      <w:pPr>
        <w:rPr>
          <w:rFonts w:hint="default"/>
          <w:color w:val="auto"/>
          <w:lang w:val="en-US" w:eastAsia="zh-CN"/>
        </w:rPr>
      </w:pPr>
      <w:r>
        <w:rPr>
          <w:rFonts w:hint="default"/>
          <w:color w:val="auto"/>
          <w:lang w:val="en-US" w:eastAsia="zh-CN"/>
        </w:rPr>
        <w:t>现状尾矿坝上设置在线监测设施，主要有表面位移监测、内部位移、浸润线监测、视频监测、降雨量监测和库水位监测。尾矿库主坝上布置有4个表面位移观测点、1个内部位移监测点、6个浸润线观测点和2个视频监测、副坝和溢流坝各布置有1个视频监测；降雨量监测点布置在尾矿库右岸值班室处；溢流坝前设置有库水位监测设施。</w:t>
      </w:r>
    </w:p>
    <w:p w14:paraId="1B6E2B18">
      <w:pPr>
        <w:rPr>
          <w:rFonts w:hint="default"/>
          <w:strike w:val="0"/>
          <w:dstrike w:val="0"/>
          <w:color w:val="auto"/>
          <w:lang w:val="en-US" w:eastAsia="zh-CN"/>
        </w:rPr>
      </w:pPr>
      <w:r>
        <w:rPr>
          <w:rFonts w:hint="eastAsia"/>
          <w:color w:val="auto"/>
          <w:lang w:val="en-US" w:eastAsia="zh-CN"/>
        </w:rPr>
        <w:t>根据</w:t>
      </w:r>
      <w:r>
        <w:rPr>
          <w:rFonts w:hint="eastAsia"/>
          <w:color w:val="auto"/>
        </w:rPr>
        <w:t>江西岿美山钨业有限公司</w:t>
      </w:r>
      <w:r>
        <w:rPr>
          <w:rFonts w:hint="eastAsia"/>
          <w:color w:val="auto"/>
          <w:lang w:val="en-US" w:eastAsia="zh-CN"/>
        </w:rPr>
        <w:t>提供尾矿库的</w:t>
      </w:r>
      <w:r>
        <w:rPr>
          <w:rFonts w:hint="default"/>
          <w:strike w:val="0"/>
          <w:dstrike w:val="0"/>
          <w:color w:val="auto"/>
          <w:lang w:val="en-US" w:eastAsia="zh-CN"/>
        </w:rPr>
        <w:t>坝体位移沉降、浸润线、库水位观测记录</w:t>
      </w:r>
      <w:r>
        <w:rPr>
          <w:rFonts w:hint="eastAsia"/>
          <w:strike w:val="0"/>
          <w:dstrike w:val="0"/>
          <w:color w:val="auto"/>
          <w:lang w:val="en-US" w:eastAsia="zh-CN"/>
        </w:rPr>
        <w:t>，</w:t>
      </w:r>
      <w:r>
        <w:rPr>
          <w:rFonts w:hint="default"/>
          <w:strike w:val="0"/>
          <w:dstrike w:val="0"/>
          <w:color w:val="auto"/>
          <w:lang w:val="en-US" w:eastAsia="zh-CN"/>
        </w:rPr>
        <w:t>从坝体位移沉降、浸润线观测记录来看，坝体已固结、稳定，观测值变化、波动偏小，</w:t>
      </w:r>
      <w:r>
        <w:rPr>
          <w:rFonts w:hint="eastAsia"/>
          <w:strike w:val="0"/>
          <w:dstrike w:val="0"/>
          <w:color w:val="auto"/>
          <w:lang w:val="en-US" w:eastAsia="zh-CN"/>
        </w:rPr>
        <w:t>位移沉降在±3mm之间，</w:t>
      </w:r>
      <w:r>
        <w:rPr>
          <w:rFonts w:hint="default"/>
          <w:strike w:val="0"/>
          <w:dstrike w:val="0"/>
          <w:color w:val="auto"/>
          <w:lang w:val="en-US" w:eastAsia="zh-CN"/>
        </w:rPr>
        <w:t>浸润线埋深在</w:t>
      </w:r>
      <w:r>
        <w:rPr>
          <w:rFonts w:hint="eastAsia"/>
          <w:strike w:val="0"/>
          <w:dstrike w:val="0"/>
          <w:color w:val="auto"/>
          <w:lang w:val="en-US" w:eastAsia="zh-CN"/>
        </w:rPr>
        <w:t>8.71</w:t>
      </w:r>
      <w:r>
        <w:rPr>
          <w:rFonts w:hint="default"/>
          <w:strike w:val="0"/>
          <w:dstrike w:val="0"/>
          <w:color w:val="auto"/>
          <w:lang w:val="en-US" w:eastAsia="zh-CN"/>
        </w:rPr>
        <w:t>m～</w:t>
      </w:r>
      <w:r>
        <w:rPr>
          <w:rFonts w:hint="eastAsia"/>
          <w:strike w:val="0"/>
          <w:dstrike w:val="0"/>
          <w:color w:val="auto"/>
          <w:lang w:val="en-US" w:eastAsia="zh-CN"/>
        </w:rPr>
        <w:t>10.10</w:t>
      </w:r>
      <w:r>
        <w:rPr>
          <w:rFonts w:hint="default"/>
          <w:strike w:val="0"/>
          <w:dstrike w:val="0"/>
          <w:color w:val="auto"/>
          <w:lang w:val="en-US" w:eastAsia="zh-CN"/>
        </w:rPr>
        <w:t>m之间，符合规范值要求。</w:t>
      </w:r>
    </w:p>
    <w:p w14:paraId="076904DD">
      <w:pPr>
        <w:rPr>
          <w:rFonts w:hint="default"/>
          <w:color w:val="auto"/>
          <w:lang w:val="en-US" w:eastAsia="zh-CN"/>
        </w:rPr>
      </w:pPr>
      <w:r>
        <w:rPr>
          <w:rFonts w:hint="default"/>
          <w:color w:val="auto"/>
          <w:lang w:val="en-US" w:eastAsia="zh-CN"/>
        </w:rPr>
        <w:t>现场检查时，</w:t>
      </w:r>
      <w:r>
        <w:rPr>
          <w:rFonts w:hint="eastAsia"/>
          <w:color w:val="auto"/>
        </w:rPr>
        <w:t>岿美山</w:t>
      </w:r>
      <w:r>
        <w:rPr>
          <w:rFonts w:hint="default"/>
          <w:color w:val="auto"/>
          <w:lang w:val="en-US" w:eastAsia="zh-CN"/>
        </w:rPr>
        <w:t>尾矿库</w:t>
      </w:r>
      <w:r>
        <w:rPr>
          <w:rFonts w:hint="eastAsia"/>
          <w:color w:val="auto"/>
          <w:lang w:val="en-US" w:eastAsia="zh-CN"/>
        </w:rPr>
        <w:t>在线监测设备运行正常。</w:t>
      </w:r>
    </w:p>
    <w:p w14:paraId="2392F632">
      <w:pPr>
        <w:rPr>
          <w:rFonts w:hint="default"/>
          <w:color w:val="auto"/>
          <w:lang w:val="en-US" w:eastAsia="zh-CN"/>
        </w:rPr>
      </w:pPr>
      <w:r>
        <w:rPr>
          <w:rFonts w:hint="eastAsia"/>
          <w:color w:val="auto"/>
        </w:rPr>
        <w:t>岿美山</w:t>
      </w:r>
      <w:r>
        <w:rPr>
          <w:rFonts w:hint="default"/>
          <w:color w:val="auto"/>
          <w:lang w:val="en-US" w:eastAsia="zh-CN"/>
        </w:rPr>
        <w:t>尾矿库在线监测系统</w:t>
      </w:r>
      <w:r>
        <w:rPr>
          <w:rFonts w:hint="eastAsia"/>
          <w:color w:val="auto"/>
          <w:lang w:val="en-US" w:eastAsia="zh-CN"/>
        </w:rPr>
        <w:t>已</w:t>
      </w:r>
      <w:r>
        <w:rPr>
          <w:rFonts w:hint="default"/>
          <w:color w:val="auto"/>
          <w:lang w:val="en-US" w:eastAsia="zh-CN"/>
        </w:rPr>
        <w:t>接入了省级尾矿库安全生产风险监测预警平台，实现了数据共享、互联互通；与国家灾害风险综合监测预警信息平台的对接，实现了环境监测、安全监管数据共享。</w:t>
      </w:r>
    </w:p>
    <w:p w14:paraId="4F09190F">
      <w:pPr>
        <w:pStyle w:val="4"/>
        <w:bidi w:val="0"/>
        <w:rPr>
          <w:rFonts w:hint="eastAsia" w:ascii="Times New Roman" w:hAnsi="Times New Roman" w:eastAsia="宋体" w:cs="Times New Roman"/>
          <w:color w:val="auto"/>
          <w:lang w:val="en-US" w:eastAsia="zh-CN"/>
        </w:rPr>
      </w:pPr>
      <w:bookmarkStart w:id="119" w:name="_Toc10359"/>
      <w:bookmarkStart w:id="120" w:name="_Toc31933"/>
      <w:r>
        <w:rPr>
          <w:rFonts w:hint="eastAsia"/>
          <w:color w:val="auto"/>
          <w:lang w:val="en-US" w:eastAsia="zh-CN"/>
        </w:rPr>
        <w:t xml:space="preserve">2.5.6 </w:t>
      </w:r>
      <w:r>
        <w:rPr>
          <w:rFonts w:hint="eastAsia" w:ascii="Times New Roman" w:hAnsi="Times New Roman" w:eastAsia="宋体" w:cs="Times New Roman"/>
          <w:color w:val="auto"/>
          <w:lang w:val="en-US" w:eastAsia="zh-CN"/>
        </w:rPr>
        <w:t>辅助设施</w:t>
      </w:r>
      <w:bookmarkEnd w:id="119"/>
      <w:bookmarkEnd w:id="120"/>
    </w:p>
    <w:p w14:paraId="29E9E7C7">
      <w:pPr>
        <w:rPr>
          <w:rFonts w:hint="default"/>
          <w:color w:val="auto"/>
          <w:lang w:val="en-US" w:eastAsia="zh-CN"/>
        </w:rPr>
      </w:pPr>
      <w:r>
        <w:rPr>
          <w:rFonts w:hint="default"/>
          <w:color w:val="auto"/>
          <w:lang w:val="en-US" w:eastAsia="zh-CN"/>
        </w:rPr>
        <w:t>1</w:t>
      </w:r>
      <w:r>
        <w:rPr>
          <w:rFonts w:hint="eastAsia"/>
          <w:color w:val="auto"/>
          <w:lang w:val="en-US" w:eastAsia="zh-CN"/>
        </w:rPr>
        <w:t>. 照明</w:t>
      </w:r>
      <w:r>
        <w:rPr>
          <w:rFonts w:hint="default"/>
          <w:color w:val="auto"/>
          <w:lang w:val="en-US" w:eastAsia="zh-CN"/>
        </w:rPr>
        <w:t>：尾矿库设置了照明设施。</w:t>
      </w:r>
    </w:p>
    <w:p w14:paraId="2C6DC8B3">
      <w:pPr>
        <w:rPr>
          <w:rFonts w:hint="default"/>
          <w:color w:val="auto"/>
          <w:lang w:val="en-US" w:eastAsia="zh-CN"/>
        </w:rPr>
      </w:pPr>
      <w:r>
        <w:rPr>
          <w:rFonts w:hint="default"/>
          <w:color w:val="auto"/>
          <w:lang w:val="en-US" w:eastAsia="zh-CN"/>
        </w:rPr>
        <w:t>2</w:t>
      </w:r>
      <w:r>
        <w:rPr>
          <w:rFonts w:hint="eastAsia"/>
          <w:color w:val="auto"/>
          <w:lang w:val="en-US" w:eastAsia="zh-CN"/>
        </w:rPr>
        <w:t xml:space="preserve">. </w:t>
      </w:r>
      <w:r>
        <w:rPr>
          <w:rFonts w:hint="default"/>
          <w:color w:val="auto"/>
          <w:lang w:val="en-US" w:eastAsia="zh-CN"/>
        </w:rPr>
        <w:t>通讯：尾矿库工作人员采用移动电话通讯。</w:t>
      </w:r>
    </w:p>
    <w:p w14:paraId="4E230D9B">
      <w:pPr>
        <w:rPr>
          <w:rFonts w:hint="default"/>
          <w:color w:val="auto"/>
          <w:lang w:val="en-US" w:eastAsia="zh-CN"/>
        </w:rPr>
      </w:pPr>
      <w:r>
        <w:rPr>
          <w:rFonts w:hint="eastAsia"/>
          <w:color w:val="auto"/>
          <w:lang w:val="en-US" w:eastAsia="zh-CN"/>
        </w:rPr>
        <w:t>3. 值班室：尾矿库在主坝的右侧设有库区值班房，应急救援物资不足。</w:t>
      </w:r>
    </w:p>
    <w:p w14:paraId="3B619709">
      <w:pPr>
        <w:rPr>
          <w:rFonts w:hint="default"/>
          <w:color w:val="auto"/>
          <w:lang w:val="en-US" w:eastAsia="zh-CN"/>
        </w:rPr>
      </w:pPr>
      <w:r>
        <w:rPr>
          <w:rFonts w:hint="eastAsia"/>
          <w:color w:val="auto"/>
          <w:lang w:val="en-US" w:eastAsia="zh-CN"/>
        </w:rPr>
        <w:t>4. 安全标志</w:t>
      </w:r>
      <w:r>
        <w:rPr>
          <w:rFonts w:hint="default"/>
          <w:color w:val="auto"/>
          <w:lang w:val="en-US" w:eastAsia="zh-CN"/>
        </w:rPr>
        <w:t>：库区范围内布置安全标志不足。</w:t>
      </w:r>
    </w:p>
    <w:p w14:paraId="3F9D39C1">
      <w:pPr>
        <w:rPr>
          <w:rFonts w:hint="default"/>
          <w:color w:val="auto"/>
          <w:lang w:val="en-US" w:eastAsia="zh-CN"/>
        </w:rPr>
      </w:pPr>
      <w:r>
        <w:rPr>
          <w:rFonts w:hint="eastAsia"/>
          <w:color w:val="auto"/>
          <w:lang w:val="en-US" w:eastAsia="zh-CN"/>
        </w:rPr>
        <w:t>5. 库区道路：</w:t>
      </w:r>
      <w:r>
        <w:rPr>
          <w:rFonts w:hint="eastAsia" w:ascii="Times New Roman" w:eastAsia="宋体"/>
          <w:color w:val="auto"/>
          <w:lang w:val="en-US" w:eastAsia="zh-CN"/>
        </w:rPr>
        <w:t>有道路通往尾矿库坝顶</w:t>
      </w:r>
      <w:r>
        <w:rPr>
          <w:rFonts w:hint="eastAsia"/>
          <w:color w:val="auto"/>
          <w:lang w:val="en-US" w:eastAsia="zh-CN"/>
        </w:rPr>
        <w:t>。</w:t>
      </w:r>
    </w:p>
    <w:p w14:paraId="745279B8">
      <w:pPr>
        <w:pStyle w:val="3"/>
        <w:bidi w:val="0"/>
        <w:rPr>
          <w:rFonts w:hint="default"/>
          <w:color w:val="auto"/>
          <w:lang w:val="en-US" w:eastAsia="zh-CN"/>
        </w:rPr>
      </w:pPr>
      <w:bookmarkStart w:id="121" w:name="_Toc23547"/>
      <w:bookmarkStart w:id="122" w:name="_Toc4460"/>
      <w:r>
        <w:rPr>
          <w:rFonts w:hint="eastAsia"/>
          <w:color w:val="auto"/>
          <w:lang w:val="en-US" w:eastAsia="zh-CN"/>
        </w:rPr>
        <w:t xml:space="preserve">2.6 </w:t>
      </w:r>
      <w:r>
        <w:rPr>
          <w:rFonts w:hint="default" w:ascii="Times New Roman" w:hAnsi="Times New Roman" w:cs="Times New Roman"/>
          <w:color w:val="auto"/>
          <w:lang w:val="en-US" w:eastAsia="zh-CN"/>
        </w:rPr>
        <w:t>尾矿库安全管理</w:t>
      </w:r>
      <w:bookmarkEnd w:id="121"/>
      <w:bookmarkEnd w:id="122"/>
    </w:p>
    <w:p w14:paraId="74B9F737">
      <w:pPr>
        <w:pStyle w:val="4"/>
        <w:bidi w:val="0"/>
        <w:rPr>
          <w:rFonts w:hint="default"/>
          <w:color w:val="auto"/>
          <w:lang w:val="en-US" w:eastAsia="zh-CN"/>
        </w:rPr>
      </w:pPr>
      <w:bookmarkStart w:id="123" w:name="_Toc30285"/>
      <w:bookmarkStart w:id="124" w:name="_Toc5047"/>
      <w:bookmarkStart w:id="125" w:name="_Toc29417"/>
      <w:bookmarkStart w:id="126" w:name="_Toc30642"/>
      <w:bookmarkStart w:id="127" w:name="_Toc19361"/>
      <w:bookmarkStart w:id="128" w:name="_Toc20241"/>
      <w:r>
        <w:rPr>
          <w:rFonts w:hint="default"/>
          <w:color w:val="auto"/>
          <w:lang w:val="en-US" w:eastAsia="zh-CN"/>
        </w:rPr>
        <w:t>2.</w:t>
      </w:r>
      <w:r>
        <w:rPr>
          <w:rFonts w:hint="eastAsia"/>
          <w:color w:val="auto"/>
          <w:lang w:val="en-US" w:eastAsia="zh-CN"/>
        </w:rPr>
        <w:t>6</w:t>
      </w:r>
      <w:r>
        <w:rPr>
          <w:rFonts w:hint="default"/>
          <w:color w:val="auto"/>
          <w:lang w:val="en-US" w:eastAsia="zh-CN"/>
        </w:rPr>
        <w:t>.1</w:t>
      </w:r>
      <w:r>
        <w:rPr>
          <w:rFonts w:hint="eastAsia"/>
          <w:color w:val="auto"/>
          <w:lang w:val="en-US" w:eastAsia="zh-CN"/>
        </w:rPr>
        <w:t xml:space="preserve"> </w:t>
      </w:r>
      <w:r>
        <w:rPr>
          <w:rFonts w:hint="default"/>
          <w:color w:val="auto"/>
          <w:lang w:val="en-US" w:eastAsia="zh-CN"/>
        </w:rPr>
        <w:t>安全机构设置</w:t>
      </w:r>
      <w:bookmarkEnd w:id="123"/>
      <w:bookmarkEnd w:id="124"/>
      <w:bookmarkEnd w:id="125"/>
      <w:bookmarkEnd w:id="126"/>
      <w:bookmarkEnd w:id="127"/>
      <w:bookmarkEnd w:id="128"/>
    </w:p>
    <w:p w14:paraId="37C8BB99">
      <w:pPr>
        <w:spacing w:line="360" w:lineRule="auto"/>
        <w:ind w:firstLine="560" w:firstLineChars="200"/>
        <w:rPr>
          <w:rFonts w:hint="default" w:ascii="宋体" w:hAnsi="ËÎÌå" w:cs="宋体"/>
          <w:color w:val="auto"/>
          <w:kern w:val="0"/>
          <w:sz w:val="28"/>
          <w:szCs w:val="28"/>
          <w:lang w:val="en-US"/>
        </w:rPr>
      </w:pPr>
      <w:r>
        <w:rPr>
          <w:rFonts w:hint="eastAsia" w:ascii="宋体" w:hAnsi="ËÎÌå" w:cs="宋体"/>
          <w:color w:val="auto"/>
          <w:kern w:val="0"/>
          <w:sz w:val="28"/>
          <w:szCs w:val="28"/>
        </w:rPr>
        <w:t>江西岿美山钨业有限公司设</w:t>
      </w:r>
      <w:r>
        <w:rPr>
          <w:rFonts w:hint="default" w:ascii="Times New Roman" w:hAnsi="Times New Roman" w:cs="Times New Roman"/>
          <w:color w:val="auto"/>
          <w:kern w:val="0"/>
          <w:sz w:val="28"/>
          <w:szCs w:val="28"/>
        </w:rPr>
        <w:t>有安全生产委员会</w:t>
      </w:r>
      <w:r>
        <w:rPr>
          <w:rFonts w:hint="default" w:ascii="Times New Roman" w:hAnsi="Times New Roman" w:cs="Times New Roman"/>
          <w:color w:val="auto"/>
          <w:kern w:val="0"/>
          <w:sz w:val="28"/>
          <w:szCs w:val="28"/>
          <w:lang w:eastAsia="zh-CN"/>
        </w:rPr>
        <w:t>（</w:t>
      </w:r>
      <w:r>
        <w:rPr>
          <w:rFonts w:hint="default" w:ascii="Times New Roman" w:hAnsi="Times New Roman" w:cs="Times New Roman"/>
          <w:color w:val="auto"/>
          <w:kern w:val="0"/>
          <w:sz w:val="28"/>
          <w:szCs w:val="28"/>
          <w:lang w:val="en-US" w:eastAsia="zh-CN"/>
        </w:rPr>
        <w:t>2023年</w:t>
      </w:r>
      <w:r>
        <w:rPr>
          <w:rFonts w:hint="default" w:ascii="Times New Roman" w:hAnsi="Times New Roman" w:cs="Times New Roman"/>
          <w:color w:val="auto"/>
          <w:kern w:val="0"/>
          <w:sz w:val="28"/>
          <w:szCs w:val="28"/>
          <w:lang w:eastAsia="zh-CN"/>
        </w:rPr>
        <w:t>）</w:t>
      </w:r>
      <w:r>
        <w:rPr>
          <w:rFonts w:hint="default" w:ascii="Times New Roman" w:hAnsi="Times New Roman" w:cs="Times New Roman"/>
          <w:color w:val="auto"/>
          <w:kern w:val="0"/>
          <w:sz w:val="28"/>
          <w:szCs w:val="28"/>
        </w:rPr>
        <w:t>，由</w:t>
      </w:r>
      <w:r>
        <w:rPr>
          <w:rFonts w:hint="eastAsia" w:ascii="宋体" w:hAnsi="ËÎÌå" w:cs="宋体"/>
          <w:color w:val="auto"/>
          <w:kern w:val="0"/>
          <w:sz w:val="28"/>
          <w:szCs w:val="28"/>
          <w:lang w:val="en-US" w:eastAsia="zh-CN"/>
        </w:rPr>
        <w:t>公司</w:t>
      </w:r>
      <w:r>
        <w:rPr>
          <w:rFonts w:hint="eastAsia" w:ascii="宋体" w:hAnsi="ËÎÌå" w:cs="宋体"/>
          <w:color w:val="auto"/>
          <w:kern w:val="0"/>
          <w:sz w:val="28"/>
          <w:szCs w:val="28"/>
        </w:rPr>
        <w:t>领导和科室部门负责人组成。</w:t>
      </w:r>
      <w:r>
        <w:rPr>
          <w:rFonts w:hint="eastAsia" w:ascii="宋体" w:hAnsi="ËÎÌå" w:cs="宋体"/>
          <w:color w:val="auto"/>
          <w:kern w:val="0"/>
          <w:sz w:val="28"/>
          <w:szCs w:val="28"/>
          <w:lang w:val="en-US" w:eastAsia="zh-CN"/>
        </w:rPr>
        <w:t>安委会下设办公室，办公室设在</w:t>
      </w:r>
      <w:r>
        <w:rPr>
          <w:rFonts w:hint="eastAsia" w:ascii="宋体" w:hAnsi="ËÎÌå" w:cs="宋体"/>
          <w:color w:val="auto"/>
          <w:kern w:val="0"/>
          <w:sz w:val="28"/>
          <w:szCs w:val="28"/>
        </w:rPr>
        <w:t>安全</w:t>
      </w:r>
      <w:r>
        <w:rPr>
          <w:rFonts w:hint="eastAsia" w:ascii="宋体" w:hAnsi="ËÎÌå" w:cs="宋体"/>
          <w:color w:val="auto"/>
          <w:kern w:val="0"/>
          <w:sz w:val="28"/>
          <w:szCs w:val="28"/>
          <w:lang w:val="en-US" w:eastAsia="zh-CN"/>
        </w:rPr>
        <w:t>生产</w:t>
      </w:r>
      <w:r>
        <w:rPr>
          <w:rFonts w:hint="eastAsia" w:ascii="宋体" w:hAnsi="ËÎÌå" w:cs="宋体"/>
          <w:color w:val="auto"/>
          <w:kern w:val="0"/>
          <w:sz w:val="28"/>
          <w:szCs w:val="28"/>
        </w:rPr>
        <w:t>科，负责</w:t>
      </w:r>
      <w:r>
        <w:rPr>
          <w:rFonts w:hint="eastAsia" w:ascii="宋体" w:hAnsi="ËÎÌå" w:cs="宋体"/>
          <w:color w:val="auto"/>
          <w:kern w:val="0"/>
          <w:sz w:val="28"/>
          <w:szCs w:val="28"/>
          <w:lang w:val="en-US" w:eastAsia="zh-CN"/>
        </w:rPr>
        <w:t>日常</w:t>
      </w:r>
      <w:r>
        <w:rPr>
          <w:rFonts w:hint="eastAsia" w:ascii="宋体" w:hAnsi="ËÎÌå" w:cs="宋体"/>
          <w:color w:val="auto"/>
          <w:kern w:val="0"/>
          <w:sz w:val="28"/>
          <w:szCs w:val="28"/>
        </w:rPr>
        <w:t>工作</w:t>
      </w:r>
      <w:r>
        <w:rPr>
          <w:rFonts w:hint="eastAsia" w:ascii="宋体" w:hAnsi="ËÎÌå" w:cs="宋体"/>
          <w:color w:val="auto"/>
          <w:kern w:val="0"/>
          <w:sz w:val="28"/>
          <w:szCs w:val="28"/>
          <w:lang w:val="en-US" w:eastAsia="zh-CN"/>
        </w:rPr>
        <w:t>的开展</w:t>
      </w:r>
      <w:r>
        <w:rPr>
          <w:rFonts w:hint="eastAsia" w:ascii="宋体" w:hAnsi="ËÎÌå" w:cs="宋体"/>
          <w:color w:val="auto"/>
          <w:kern w:val="0"/>
          <w:sz w:val="28"/>
          <w:szCs w:val="28"/>
          <w:lang w:eastAsia="zh-CN"/>
        </w:rPr>
        <w:t>。</w:t>
      </w:r>
      <w:r>
        <w:rPr>
          <w:rFonts w:hint="default" w:ascii="Times New Roman" w:hAnsi="Times New Roman" w:cs="Times New Roman"/>
          <w:color w:val="auto"/>
          <w:kern w:val="0"/>
          <w:sz w:val="28"/>
          <w:szCs w:val="28"/>
          <w:lang w:val="en-US" w:eastAsia="zh-CN"/>
        </w:rPr>
        <w:t>目前江西岿美山钨业有限公司现有</w:t>
      </w:r>
      <w:r>
        <w:rPr>
          <w:rFonts w:hint="eastAsia" w:ascii="Times New Roman" w:hAnsi="Times New Roman" w:cs="Times New Roman"/>
          <w:color w:val="auto"/>
          <w:kern w:val="0"/>
          <w:sz w:val="28"/>
          <w:szCs w:val="28"/>
          <w:lang w:val="en-US" w:eastAsia="zh-CN"/>
        </w:rPr>
        <w:t>员工</w:t>
      </w:r>
      <w:r>
        <w:rPr>
          <w:rFonts w:hint="default" w:ascii="Times New Roman" w:hAnsi="Times New Roman" w:cs="Times New Roman"/>
          <w:color w:val="auto"/>
          <w:kern w:val="0"/>
          <w:sz w:val="28"/>
          <w:szCs w:val="28"/>
          <w:lang w:val="en-US" w:eastAsia="zh-CN"/>
        </w:rPr>
        <w:t>24人左右，</w:t>
      </w:r>
      <w:r>
        <w:rPr>
          <w:rFonts w:hint="eastAsia" w:ascii="Times New Roman" w:hAnsi="Times New Roman" w:cs="Times New Roman"/>
          <w:color w:val="auto"/>
          <w:kern w:val="0"/>
          <w:sz w:val="28"/>
          <w:szCs w:val="28"/>
          <w:lang w:val="en-US" w:eastAsia="zh-CN"/>
        </w:rPr>
        <w:t>人员</w:t>
      </w:r>
      <w:r>
        <w:rPr>
          <w:rFonts w:hint="default" w:ascii="Times New Roman" w:hAnsi="Times New Roman" w:cs="Times New Roman"/>
          <w:color w:val="auto"/>
          <w:kern w:val="0"/>
          <w:sz w:val="28"/>
          <w:szCs w:val="28"/>
          <w:lang w:val="en-US" w:eastAsia="zh-CN"/>
        </w:rPr>
        <w:t>在动态调整中，</w:t>
      </w:r>
      <w:r>
        <w:rPr>
          <w:rFonts w:hint="eastAsia" w:ascii="Times New Roman" w:hAnsi="Times New Roman" w:cs="Times New Roman"/>
          <w:color w:val="auto"/>
          <w:kern w:val="0"/>
          <w:sz w:val="28"/>
          <w:szCs w:val="28"/>
          <w:lang w:val="en-US" w:eastAsia="zh-CN"/>
        </w:rPr>
        <w:t>后续具体留任</w:t>
      </w:r>
      <w:r>
        <w:rPr>
          <w:rFonts w:hint="default" w:ascii="Times New Roman" w:hAnsi="Times New Roman" w:cs="Times New Roman"/>
          <w:color w:val="auto"/>
          <w:kern w:val="0"/>
          <w:sz w:val="28"/>
          <w:szCs w:val="28"/>
          <w:lang w:val="en-US" w:eastAsia="zh-CN"/>
        </w:rPr>
        <w:t>人员</w:t>
      </w:r>
      <w:r>
        <w:rPr>
          <w:rFonts w:hint="eastAsia" w:ascii="Times New Roman" w:hAnsi="Times New Roman" w:cs="Times New Roman"/>
          <w:color w:val="auto"/>
          <w:kern w:val="0"/>
          <w:sz w:val="28"/>
          <w:szCs w:val="28"/>
          <w:lang w:val="en-US" w:eastAsia="zh-CN"/>
        </w:rPr>
        <w:t>待定</w:t>
      </w:r>
      <w:r>
        <w:rPr>
          <w:rFonts w:hint="default" w:ascii="Times New Roman" w:hAnsi="Times New Roman" w:cs="Times New Roman"/>
          <w:color w:val="auto"/>
          <w:kern w:val="0"/>
          <w:sz w:val="28"/>
          <w:szCs w:val="28"/>
          <w:lang w:val="en-US" w:eastAsia="zh-CN"/>
        </w:rPr>
        <w:t>。</w:t>
      </w:r>
    </w:p>
    <w:p w14:paraId="073BDF7D">
      <w:pPr>
        <w:pStyle w:val="4"/>
        <w:bidi w:val="0"/>
        <w:rPr>
          <w:rFonts w:hint="default"/>
          <w:color w:val="auto"/>
          <w:lang w:val="en-US" w:eastAsia="zh-CN"/>
        </w:rPr>
      </w:pPr>
      <w:bookmarkStart w:id="129" w:name="_Toc5665"/>
      <w:bookmarkStart w:id="130" w:name="_Toc26109"/>
      <w:bookmarkStart w:id="131" w:name="_Toc12525"/>
      <w:bookmarkStart w:id="132" w:name="_Toc8741"/>
      <w:bookmarkStart w:id="133" w:name="_Toc10834"/>
      <w:bookmarkStart w:id="134" w:name="_Toc7798"/>
      <w:r>
        <w:rPr>
          <w:rFonts w:hint="default"/>
          <w:color w:val="auto"/>
          <w:lang w:val="en-US" w:eastAsia="zh-CN"/>
        </w:rPr>
        <w:t>2.</w:t>
      </w:r>
      <w:r>
        <w:rPr>
          <w:rFonts w:hint="eastAsia"/>
          <w:color w:val="auto"/>
          <w:lang w:val="en-US" w:eastAsia="zh-CN"/>
        </w:rPr>
        <w:t>6</w:t>
      </w:r>
      <w:r>
        <w:rPr>
          <w:rFonts w:hint="default"/>
          <w:color w:val="auto"/>
          <w:lang w:val="en-US" w:eastAsia="zh-CN"/>
        </w:rPr>
        <w:t>.2</w:t>
      </w:r>
      <w:r>
        <w:rPr>
          <w:rFonts w:hint="eastAsia"/>
          <w:color w:val="auto"/>
          <w:lang w:val="en-US" w:eastAsia="zh-CN"/>
        </w:rPr>
        <w:t xml:space="preserve"> </w:t>
      </w:r>
      <w:r>
        <w:rPr>
          <w:rFonts w:hint="default"/>
          <w:color w:val="auto"/>
          <w:lang w:val="en-US" w:eastAsia="zh-CN"/>
        </w:rPr>
        <w:t>安全生产管理</w:t>
      </w:r>
      <w:r>
        <w:rPr>
          <w:rFonts w:hint="eastAsia"/>
          <w:color w:val="auto"/>
          <w:lang w:val="en-US" w:eastAsia="zh-CN"/>
        </w:rPr>
        <w:t>规章</w:t>
      </w:r>
      <w:r>
        <w:rPr>
          <w:rFonts w:hint="default"/>
          <w:color w:val="auto"/>
          <w:lang w:val="en-US" w:eastAsia="zh-CN"/>
        </w:rPr>
        <w:t>制度</w:t>
      </w:r>
      <w:bookmarkEnd w:id="129"/>
      <w:bookmarkEnd w:id="130"/>
      <w:bookmarkEnd w:id="131"/>
      <w:bookmarkEnd w:id="132"/>
      <w:bookmarkEnd w:id="133"/>
      <w:bookmarkEnd w:id="134"/>
    </w:p>
    <w:p w14:paraId="116379B6">
      <w:pPr>
        <w:rPr>
          <w:rFonts w:hint="default"/>
          <w:strike w:val="0"/>
          <w:dstrike w:val="0"/>
          <w:color w:val="auto"/>
          <w:lang w:val="en-US" w:eastAsia="zh-CN"/>
        </w:rPr>
      </w:pPr>
      <w:r>
        <w:rPr>
          <w:rFonts w:hint="eastAsia"/>
          <w:color w:val="auto"/>
        </w:rPr>
        <w:t>岿美山钨矿已于2018年初停产</w:t>
      </w:r>
      <w:r>
        <w:rPr>
          <w:rFonts w:hint="eastAsia"/>
          <w:color w:val="auto"/>
          <w:lang w:eastAsia="zh-CN"/>
        </w:rPr>
        <w:t>，</w:t>
      </w:r>
      <w:r>
        <w:rPr>
          <w:rFonts w:hint="eastAsia"/>
          <w:color w:val="auto"/>
          <w:lang w:val="en-US" w:eastAsia="zh-CN"/>
        </w:rPr>
        <w:t>目前</w:t>
      </w:r>
      <w:r>
        <w:rPr>
          <w:rFonts w:hint="eastAsia"/>
          <w:color w:val="auto"/>
        </w:rPr>
        <w:t>岿美山</w:t>
      </w:r>
      <w:r>
        <w:rPr>
          <w:rFonts w:hint="eastAsia"/>
          <w:color w:val="auto"/>
          <w:lang w:val="en-US" w:eastAsia="zh-CN"/>
        </w:rPr>
        <w:t>尾矿库也进入了闭库程序，</w:t>
      </w:r>
      <w:r>
        <w:rPr>
          <w:rFonts w:hint="default"/>
          <w:strike w:val="0"/>
          <w:dstrike w:val="0"/>
          <w:color w:val="auto"/>
          <w:lang w:val="en-US" w:eastAsia="zh-CN"/>
        </w:rPr>
        <w:t>江西岿美山钨业有限公司</w:t>
      </w:r>
      <w:r>
        <w:rPr>
          <w:rFonts w:hint="eastAsia"/>
          <w:strike w:val="0"/>
          <w:dstrike w:val="0"/>
          <w:color w:val="auto"/>
          <w:lang w:val="en-US" w:eastAsia="zh-CN"/>
        </w:rPr>
        <w:t>现被纳入江西西华山（荡坪）钨业有限公司统一管理，</w:t>
      </w:r>
      <w:r>
        <w:rPr>
          <w:rFonts w:hint="default"/>
          <w:strike w:val="0"/>
          <w:dstrike w:val="0"/>
          <w:color w:val="auto"/>
          <w:lang w:val="en-US" w:eastAsia="zh-CN"/>
        </w:rPr>
        <w:t>安全生产责任制</w:t>
      </w:r>
      <w:r>
        <w:rPr>
          <w:rFonts w:hint="eastAsia"/>
          <w:strike w:val="0"/>
          <w:dstrike w:val="0"/>
          <w:color w:val="auto"/>
          <w:lang w:val="en-US" w:eastAsia="zh-CN"/>
        </w:rPr>
        <w:t>、</w:t>
      </w:r>
      <w:r>
        <w:rPr>
          <w:rFonts w:hint="default"/>
          <w:strike w:val="0"/>
          <w:dstrike w:val="0"/>
          <w:color w:val="auto"/>
          <w:lang w:val="en-US" w:eastAsia="zh-CN"/>
        </w:rPr>
        <w:t>安全管理规章制度和岗位安全操作规程</w:t>
      </w:r>
      <w:r>
        <w:rPr>
          <w:rFonts w:hint="eastAsia"/>
          <w:strike w:val="0"/>
          <w:dstrike w:val="0"/>
          <w:color w:val="auto"/>
          <w:lang w:val="en-US" w:eastAsia="zh-CN"/>
        </w:rPr>
        <w:t>参照江西西华山（荡坪）钨业有限公司</w:t>
      </w:r>
      <w:r>
        <w:rPr>
          <w:rFonts w:hint="default"/>
          <w:strike w:val="0"/>
          <w:dstrike w:val="0"/>
          <w:color w:val="auto"/>
          <w:lang w:val="en-US" w:eastAsia="zh-CN"/>
        </w:rPr>
        <w:t>。</w:t>
      </w:r>
    </w:p>
    <w:p w14:paraId="21FC9090">
      <w:pPr>
        <w:pStyle w:val="4"/>
        <w:bidi w:val="0"/>
        <w:rPr>
          <w:rFonts w:hint="default"/>
          <w:color w:val="auto"/>
          <w:lang w:val="en-US" w:eastAsia="zh-CN"/>
        </w:rPr>
      </w:pPr>
      <w:bookmarkStart w:id="135" w:name="_Toc9814"/>
      <w:bookmarkStart w:id="136" w:name="_Toc28479"/>
      <w:bookmarkStart w:id="137" w:name="_Toc26884"/>
      <w:bookmarkStart w:id="138" w:name="_Toc30555"/>
      <w:bookmarkStart w:id="139" w:name="_Toc27827"/>
      <w:bookmarkStart w:id="140" w:name="_Toc1384"/>
      <w:bookmarkStart w:id="141" w:name="_Toc9058"/>
      <w:bookmarkStart w:id="142" w:name="_Toc26412"/>
      <w:bookmarkStart w:id="143" w:name="_Toc16377"/>
      <w:bookmarkStart w:id="144" w:name="_Toc11412"/>
      <w:bookmarkStart w:id="145" w:name="_Toc25003"/>
      <w:bookmarkStart w:id="146" w:name="_Toc16379"/>
      <w:r>
        <w:rPr>
          <w:rFonts w:hint="default"/>
          <w:color w:val="auto"/>
          <w:lang w:val="en-US" w:eastAsia="zh-CN"/>
        </w:rPr>
        <w:t>2.</w:t>
      </w:r>
      <w:r>
        <w:rPr>
          <w:rFonts w:hint="eastAsia"/>
          <w:color w:val="auto"/>
          <w:lang w:val="en-US" w:eastAsia="zh-CN"/>
        </w:rPr>
        <w:t>6</w:t>
      </w:r>
      <w:r>
        <w:rPr>
          <w:rFonts w:hint="default"/>
          <w:color w:val="auto"/>
          <w:lang w:val="en-US" w:eastAsia="zh-CN"/>
        </w:rPr>
        <w:t>.3</w:t>
      </w:r>
      <w:r>
        <w:rPr>
          <w:rFonts w:hint="eastAsia"/>
          <w:color w:val="auto"/>
          <w:lang w:val="en-US" w:eastAsia="zh-CN"/>
        </w:rPr>
        <w:t xml:space="preserve"> </w:t>
      </w:r>
      <w:r>
        <w:rPr>
          <w:rFonts w:hint="default"/>
          <w:color w:val="auto"/>
          <w:lang w:val="en-US" w:eastAsia="zh-CN"/>
        </w:rPr>
        <w:t>安全生产应急救援与措施</w:t>
      </w:r>
      <w:bookmarkEnd w:id="135"/>
      <w:bookmarkEnd w:id="136"/>
      <w:bookmarkEnd w:id="137"/>
      <w:bookmarkEnd w:id="138"/>
      <w:bookmarkEnd w:id="139"/>
      <w:bookmarkEnd w:id="140"/>
    </w:p>
    <w:p w14:paraId="6CE6BC2C">
      <w:pPr>
        <w:rPr>
          <w:rFonts w:hint="default"/>
          <w:color w:val="auto"/>
          <w:lang w:val="en-US" w:eastAsia="zh-CN"/>
        </w:rPr>
      </w:pPr>
      <w:r>
        <w:rPr>
          <w:rFonts w:hint="eastAsia"/>
          <w:color w:val="auto"/>
          <w:lang w:val="en-US" w:eastAsia="zh-CN"/>
        </w:rPr>
        <w:t xml:space="preserve">1. </w:t>
      </w:r>
      <w:r>
        <w:rPr>
          <w:rFonts w:hint="default"/>
          <w:color w:val="auto"/>
          <w:lang w:val="en-US" w:eastAsia="zh-CN"/>
        </w:rPr>
        <w:t>应急救援预案</w:t>
      </w:r>
    </w:p>
    <w:p w14:paraId="5CB40C4E">
      <w:pPr>
        <w:rPr>
          <w:rFonts w:hint="default"/>
          <w:color w:val="auto"/>
          <w:lang w:val="en-US" w:eastAsia="zh-CN"/>
        </w:rPr>
      </w:pPr>
      <w:r>
        <w:rPr>
          <w:rFonts w:hint="default"/>
          <w:strike w:val="0"/>
          <w:dstrike w:val="0"/>
          <w:color w:val="auto"/>
          <w:lang w:val="en-US" w:eastAsia="zh-CN"/>
        </w:rPr>
        <w:t>江西岿美山钨业有限公司</w:t>
      </w:r>
      <w:r>
        <w:rPr>
          <w:rFonts w:hint="default"/>
          <w:color w:val="auto"/>
          <w:lang w:val="en-US" w:eastAsia="zh-CN"/>
        </w:rPr>
        <w:t>于202</w:t>
      </w:r>
      <w:r>
        <w:rPr>
          <w:rFonts w:hint="eastAsia"/>
          <w:color w:val="auto"/>
          <w:lang w:val="en-US" w:eastAsia="zh-CN"/>
        </w:rPr>
        <w:t>3</w:t>
      </w:r>
      <w:r>
        <w:rPr>
          <w:rFonts w:hint="default"/>
          <w:color w:val="auto"/>
          <w:lang w:val="en-US" w:eastAsia="zh-CN"/>
        </w:rPr>
        <w:t>年</w:t>
      </w:r>
      <w:r>
        <w:rPr>
          <w:rFonts w:hint="eastAsia"/>
          <w:color w:val="auto"/>
          <w:lang w:val="en-US" w:eastAsia="zh-CN"/>
        </w:rPr>
        <w:t>5</w:t>
      </w:r>
      <w:r>
        <w:rPr>
          <w:rFonts w:hint="default"/>
          <w:color w:val="auto"/>
          <w:lang w:val="en-US" w:eastAsia="zh-CN"/>
        </w:rPr>
        <w:t>月编制了《</w:t>
      </w:r>
      <w:r>
        <w:rPr>
          <w:rFonts w:hint="default"/>
          <w:strike w:val="0"/>
          <w:dstrike w:val="0"/>
          <w:color w:val="auto"/>
          <w:lang w:val="en-US" w:eastAsia="zh-CN"/>
        </w:rPr>
        <w:t>江西岿美山钨业有限公司</w:t>
      </w:r>
      <w:r>
        <w:rPr>
          <w:rFonts w:hint="default"/>
          <w:color w:val="auto"/>
          <w:lang w:val="en-US" w:eastAsia="zh-CN"/>
        </w:rPr>
        <w:t>生产安全事故应急预案》</w:t>
      </w:r>
      <w:r>
        <w:rPr>
          <w:rFonts w:hint="eastAsia"/>
          <w:color w:val="auto"/>
          <w:lang w:val="en-US" w:eastAsia="zh-CN"/>
        </w:rPr>
        <w:t>，</w:t>
      </w:r>
      <w:r>
        <w:rPr>
          <w:rFonts w:hint="default"/>
          <w:color w:val="auto"/>
          <w:lang w:val="en-US" w:eastAsia="zh-CN"/>
        </w:rPr>
        <w:t>该应急救援预案于202</w:t>
      </w:r>
      <w:r>
        <w:rPr>
          <w:rFonts w:hint="eastAsia"/>
          <w:color w:val="auto"/>
          <w:lang w:val="en-US" w:eastAsia="zh-CN"/>
        </w:rPr>
        <w:t>3</w:t>
      </w:r>
      <w:r>
        <w:rPr>
          <w:rFonts w:hint="default"/>
          <w:color w:val="auto"/>
          <w:lang w:val="en-US" w:eastAsia="zh-CN"/>
        </w:rPr>
        <w:t>年</w:t>
      </w:r>
      <w:r>
        <w:rPr>
          <w:rFonts w:hint="eastAsia"/>
          <w:color w:val="auto"/>
          <w:lang w:val="en-US" w:eastAsia="zh-CN"/>
        </w:rPr>
        <w:t>5</w:t>
      </w:r>
      <w:r>
        <w:rPr>
          <w:rFonts w:hint="default"/>
          <w:color w:val="auto"/>
          <w:lang w:val="en-US" w:eastAsia="zh-CN"/>
        </w:rPr>
        <w:t>月</w:t>
      </w:r>
      <w:r>
        <w:rPr>
          <w:rFonts w:hint="eastAsia"/>
          <w:color w:val="auto"/>
          <w:lang w:val="en-US" w:eastAsia="zh-CN"/>
        </w:rPr>
        <w:t>5</w:t>
      </w:r>
      <w:r>
        <w:rPr>
          <w:rFonts w:hint="default"/>
          <w:color w:val="auto"/>
          <w:lang w:val="en-US" w:eastAsia="zh-CN"/>
        </w:rPr>
        <w:t>日经</w:t>
      </w:r>
      <w:r>
        <w:rPr>
          <w:rFonts w:hint="eastAsia"/>
          <w:color w:val="auto"/>
          <w:lang w:val="en-US" w:eastAsia="zh-CN"/>
        </w:rPr>
        <w:t>定南县应急管理局</w:t>
      </w:r>
      <w:r>
        <w:rPr>
          <w:rFonts w:hint="default"/>
          <w:color w:val="auto"/>
          <w:lang w:val="en-US" w:eastAsia="zh-CN"/>
        </w:rPr>
        <w:t>备案，备案</w:t>
      </w:r>
      <w:r>
        <w:rPr>
          <w:rFonts w:hint="eastAsia"/>
          <w:color w:val="auto"/>
          <w:lang w:val="en-US" w:eastAsia="zh-CN"/>
        </w:rPr>
        <w:t>编</w:t>
      </w:r>
      <w:r>
        <w:rPr>
          <w:rFonts w:hint="default"/>
          <w:color w:val="auto"/>
          <w:lang w:val="en-US" w:eastAsia="zh-CN"/>
        </w:rPr>
        <w:t>号为360</w:t>
      </w:r>
      <w:r>
        <w:rPr>
          <w:rFonts w:hint="eastAsia"/>
          <w:color w:val="auto"/>
          <w:lang w:val="en-US" w:eastAsia="zh-CN"/>
        </w:rPr>
        <w:t>728</w:t>
      </w:r>
      <w:r>
        <w:rPr>
          <w:rFonts w:hint="default"/>
          <w:color w:val="auto"/>
          <w:lang w:val="en-US" w:eastAsia="zh-CN"/>
        </w:rPr>
        <w:t>-20</w:t>
      </w:r>
      <w:r>
        <w:rPr>
          <w:rFonts w:hint="eastAsia"/>
          <w:color w:val="auto"/>
          <w:lang w:val="en-US" w:eastAsia="zh-CN"/>
        </w:rPr>
        <w:t>23</w:t>
      </w:r>
      <w:r>
        <w:rPr>
          <w:rFonts w:hint="default"/>
          <w:color w:val="auto"/>
          <w:lang w:val="en-US" w:eastAsia="zh-CN"/>
        </w:rPr>
        <w:t>-00</w:t>
      </w:r>
      <w:r>
        <w:rPr>
          <w:rFonts w:hint="eastAsia"/>
          <w:color w:val="auto"/>
          <w:lang w:val="en-US" w:eastAsia="zh-CN"/>
        </w:rPr>
        <w:t>08</w:t>
      </w:r>
      <w:r>
        <w:rPr>
          <w:rFonts w:hint="default"/>
          <w:color w:val="auto"/>
          <w:lang w:val="en-US" w:eastAsia="zh-CN"/>
        </w:rPr>
        <w:t>。</w:t>
      </w:r>
    </w:p>
    <w:p w14:paraId="41FCA1DC">
      <w:pPr>
        <w:rPr>
          <w:rFonts w:hint="default"/>
          <w:color w:val="auto"/>
          <w:lang w:val="en-US" w:eastAsia="zh-CN"/>
        </w:rPr>
      </w:pPr>
      <w:r>
        <w:rPr>
          <w:rFonts w:hint="eastAsia"/>
          <w:color w:val="auto"/>
          <w:lang w:val="en-US" w:eastAsia="zh-CN"/>
        </w:rPr>
        <w:t>目前该应急预案已过期，</w:t>
      </w:r>
      <w:r>
        <w:rPr>
          <w:rFonts w:hint="default"/>
          <w:strike w:val="0"/>
          <w:dstrike w:val="0"/>
          <w:color w:val="auto"/>
          <w:lang w:val="en-US" w:eastAsia="zh-CN"/>
        </w:rPr>
        <w:t>江西岿美山钨业有限公司</w:t>
      </w:r>
      <w:r>
        <w:rPr>
          <w:rFonts w:hint="eastAsia"/>
          <w:strike w:val="0"/>
          <w:dstrike w:val="0"/>
          <w:color w:val="auto"/>
          <w:lang w:val="en-US" w:eastAsia="zh-CN"/>
        </w:rPr>
        <w:t>后续应根据闭库设计完善</w:t>
      </w:r>
      <w:r>
        <w:rPr>
          <w:rFonts w:hint="eastAsia"/>
          <w:color w:val="auto"/>
          <w:lang w:val="en-US" w:eastAsia="zh-CN"/>
        </w:rPr>
        <w:t>闭库期间的</w:t>
      </w:r>
      <w:r>
        <w:rPr>
          <w:rFonts w:hint="eastAsia"/>
          <w:strike w:val="0"/>
          <w:dstrike w:val="0"/>
          <w:color w:val="auto"/>
          <w:lang w:val="en-US" w:eastAsia="zh-CN"/>
        </w:rPr>
        <w:t>应急预案。</w:t>
      </w:r>
    </w:p>
    <w:p w14:paraId="186BE848">
      <w:pPr>
        <w:rPr>
          <w:rFonts w:hint="default"/>
          <w:color w:val="auto"/>
          <w:lang w:val="en-US" w:eastAsia="zh-CN"/>
        </w:rPr>
      </w:pPr>
      <w:r>
        <w:rPr>
          <w:rFonts w:hint="eastAsia"/>
          <w:color w:val="auto"/>
          <w:lang w:val="en-US" w:eastAsia="zh-CN"/>
        </w:rPr>
        <w:t xml:space="preserve">2. </w:t>
      </w:r>
      <w:r>
        <w:rPr>
          <w:rFonts w:hint="default"/>
          <w:color w:val="auto"/>
          <w:lang w:val="en-US" w:eastAsia="zh-CN"/>
        </w:rPr>
        <w:t>事故应急救援队伍</w:t>
      </w:r>
    </w:p>
    <w:p w14:paraId="5B59D57D">
      <w:pPr>
        <w:rPr>
          <w:rFonts w:hint="default" w:ascii="Times New Roman" w:hAnsi="Times New Roman" w:eastAsia="宋体" w:cs="Times New Roman"/>
          <w:color w:val="auto"/>
          <w:lang w:val="zh-CN" w:eastAsia="zh-CN"/>
        </w:rPr>
      </w:pPr>
      <w:r>
        <w:rPr>
          <w:rFonts w:hint="eastAsia"/>
          <w:strike w:val="0"/>
          <w:dstrike w:val="0"/>
          <w:color w:val="auto"/>
          <w:lang w:val="en-US" w:eastAsia="zh-CN"/>
        </w:rPr>
        <w:t>由于</w:t>
      </w:r>
      <w:r>
        <w:rPr>
          <w:rFonts w:hint="eastAsia"/>
          <w:color w:val="auto"/>
        </w:rPr>
        <w:t>岿美山钨矿</w:t>
      </w:r>
      <w:r>
        <w:rPr>
          <w:rFonts w:hint="eastAsia"/>
          <w:color w:val="auto"/>
          <w:lang w:val="en-US" w:eastAsia="zh-CN"/>
        </w:rPr>
        <w:t>处于停产，目前</w:t>
      </w:r>
      <w:r>
        <w:rPr>
          <w:rFonts w:hint="default"/>
          <w:strike w:val="0"/>
          <w:dstrike w:val="0"/>
          <w:color w:val="auto"/>
          <w:lang w:val="en-US" w:eastAsia="zh-CN"/>
        </w:rPr>
        <w:t>江西岿美山钨业有限公司</w:t>
      </w:r>
      <w:r>
        <w:rPr>
          <w:rFonts w:hint="eastAsia" w:ascii="Times New Roman" w:hAnsi="Times New Roman" w:eastAsia="宋体" w:cs="Times New Roman"/>
          <w:color w:val="auto"/>
          <w:lang w:val="en-US" w:eastAsia="zh-CN"/>
        </w:rPr>
        <w:t>未签订矿山救护服务</w:t>
      </w:r>
      <w:r>
        <w:rPr>
          <w:rFonts w:hint="default" w:ascii="Times New Roman" w:hAnsi="Times New Roman" w:eastAsia="宋体" w:cs="Times New Roman"/>
          <w:color w:val="auto"/>
          <w:lang w:val="zh-CN" w:eastAsia="zh-CN"/>
        </w:rPr>
        <w:t>协议</w:t>
      </w:r>
      <w:r>
        <w:rPr>
          <w:rFonts w:hint="eastAsia" w:ascii="Times New Roman" w:hAnsi="Times New Roman" w:eastAsia="宋体" w:cs="Times New Roman"/>
          <w:color w:val="auto"/>
          <w:lang w:val="en-US" w:eastAsia="zh-CN"/>
        </w:rPr>
        <w:t>书</w:t>
      </w:r>
      <w:r>
        <w:rPr>
          <w:rFonts w:hint="default" w:ascii="Times New Roman" w:hAnsi="Times New Roman" w:eastAsia="宋体" w:cs="Times New Roman"/>
          <w:color w:val="auto"/>
          <w:lang w:val="zh-CN" w:eastAsia="zh-CN"/>
        </w:rPr>
        <w:t>。</w:t>
      </w:r>
    </w:p>
    <w:p w14:paraId="59F66AAF">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3. 应急演练</w:t>
      </w:r>
    </w:p>
    <w:p w14:paraId="382033E6">
      <w:pPr>
        <w:rPr>
          <w:rFonts w:hint="default"/>
          <w:color w:val="auto"/>
          <w:lang w:val="en-US" w:eastAsia="zh-CN"/>
        </w:rPr>
      </w:pPr>
      <w:r>
        <w:rPr>
          <w:rFonts w:hint="default"/>
          <w:color w:val="auto"/>
          <w:lang w:val="en-US" w:eastAsia="zh-CN"/>
        </w:rPr>
        <w:t>202</w:t>
      </w:r>
      <w:r>
        <w:rPr>
          <w:rFonts w:hint="eastAsia"/>
          <w:color w:val="auto"/>
          <w:lang w:val="en-US" w:eastAsia="zh-CN"/>
        </w:rPr>
        <w:t>6</w:t>
      </w:r>
      <w:r>
        <w:rPr>
          <w:rFonts w:hint="default"/>
          <w:color w:val="auto"/>
          <w:lang w:val="en-US" w:eastAsia="zh-CN"/>
        </w:rPr>
        <w:t>年</w:t>
      </w:r>
      <w:r>
        <w:rPr>
          <w:rFonts w:hint="eastAsia"/>
          <w:color w:val="auto"/>
          <w:lang w:val="en-US" w:eastAsia="zh-CN"/>
        </w:rPr>
        <w:t>3</w:t>
      </w:r>
      <w:r>
        <w:rPr>
          <w:rFonts w:hint="default"/>
          <w:color w:val="auto"/>
          <w:lang w:val="en-US" w:eastAsia="zh-CN"/>
        </w:rPr>
        <w:t>月</w:t>
      </w:r>
      <w:r>
        <w:rPr>
          <w:rFonts w:hint="eastAsia"/>
          <w:color w:val="auto"/>
          <w:lang w:val="en-US" w:eastAsia="zh-CN"/>
        </w:rPr>
        <w:t>26日</w:t>
      </w:r>
      <w:r>
        <w:rPr>
          <w:rFonts w:hint="default"/>
          <w:color w:val="auto"/>
          <w:lang w:val="en-US" w:eastAsia="zh-CN"/>
        </w:rPr>
        <w:t>，</w:t>
      </w:r>
      <w:r>
        <w:rPr>
          <w:rFonts w:hint="default"/>
          <w:strike w:val="0"/>
          <w:dstrike w:val="0"/>
          <w:color w:val="auto"/>
          <w:lang w:val="en-US" w:eastAsia="zh-CN"/>
        </w:rPr>
        <w:t>江西岿美山钨业有限公司</w:t>
      </w:r>
      <w:r>
        <w:rPr>
          <w:rFonts w:hint="default"/>
          <w:color w:val="auto"/>
          <w:lang w:val="en-US" w:eastAsia="zh-CN"/>
        </w:rPr>
        <w:t>进行</w:t>
      </w:r>
      <w:r>
        <w:rPr>
          <w:rFonts w:hint="default" w:ascii="Times New Roman" w:hAnsi="Times New Roman" w:eastAsia="宋体" w:cs="Times New Roman"/>
          <w:color w:val="auto"/>
          <w:sz w:val="28"/>
          <w:szCs w:val="28"/>
          <w:lang w:val="en-US" w:eastAsia="zh-CN"/>
        </w:rPr>
        <w:t>了</w:t>
      </w:r>
      <w:r>
        <w:rPr>
          <w:rFonts w:hint="eastAsia" w:ascii="Times New Roman" w:hAnsi="Times New Roman" w:eastAsia="宋体" w:cs="Times New Roman"/>
          <w:strike w:val="0"/>
          <w:dstrike w:val="0"/>
          <w:color w:val="auto"/>
          <w:lang w:val="en-US" w:eastAsia="zh-CN"/>
        </w:rPr>
        <w:t>尾矿库</w:t>
      </w:r>
      <w:r>
        <w:rPr>
          <w:rFonts w:hint="default"/>
          <w:color w:val="auto"/>
          <w:lang w:val="en-US" w:eastAsia="zh-CN"/>
        </w:rPr>
        <w:t>漫坝事故应急演练，演练结束后，进行了评估、总结，保留有影像资料和相关记录。</w:t>
      </w:r>
    </w:p>
    <w:p w14:paraId="4D172B24">
      <w:pPr>
        <w:pStyle w:val="4"/>
        <w:bidi w:val="0"/>
        <w:rPr>
          <w:rFonts w:hint="default"/>
          <w:color w:val="auto"/>
          <w:lang w:val="en-US" w:eastAsia="zh-CN"/>
        </w:rPr>
      </w:pPr>
      <w:r>
        <w:rPr>
          <w:rFonts w:hint="default"/>
          <w:color w:val="auto"/>
          <w:lang w:val="en-US" w:eastAsia="zh-CN"/>
        </w:rPr>
        <w:t>2.</w:t>
      </w:r>
      <w:r>
        <w:rPr>
          <w:rFonts w:hint="eastAsia"/>
          <w:color w:val="auto"/>
          <w:lang w:val="en-US" w:eastAsia="zh-CN"/>
        </w:rPr>
        <w:t>6</w:t>
      </w:r>
      <w:r>
        <w:rPr>
          <w:rFonts w:hint="default"/>
          <w:color w:val="auto"/>
          <w:lang w:val="en-US" w:eastAsia="zh-CN"/>
        </w:rPr>
        <w:t>.4</w:t>
      </w:r>
      <w:r>
        <w:rPr>
          <w:rFonts w:hint="eastAsia"/>
          <w:color w:val="auto"/>
          <w:lang w:val="en-US" w:eastAsia="zh-CN"/>
        </w:rPr>
        <w:t xml:space="preserve"> </w:t>
      </w:r>
      <w:r>
        <w:rPr>
          <w:rFonts w:hint="default"/>
          <w:color w:val="auto"/>
          <w:lang w:val="en-US" w:eastAsia="zh-CN"/>
        </w:rPr>
        <w:t>安全教育培训</w:t>
      </w:r>
      <w:bookmarkEnd w:id="141"/>
      <w:bookmarkEnd w:id="142"/>
      <w:bookmarkEnd w:id="143"/>
      <w:bookmarkEnd w:id="144"/>
      <w:bookmarkEnd w:id="145"/>
      <w:bookmarkEnd w:id="146"/>
    </w:p>
    <w:p w14:paraId="1B28B89D">
      <w:pPr>
        <w:rPr>
          <w:rFonts w:hint="default"/>
          <w:color w:val="auto"/>
          <w:lang w:val="en-US" w:eastAsia="zh-CN"/>
        </w:rPr>
      </w:pPr>
      <w:r>
        <w:rPr>
          <w:rFonts w:hint="eastAsia"/>
          <w:color w:val="auto"/>
          <w:lang w:val="en-US" w:eastAsia="zh-CN"/>
        </w:rPr>
        <w:t>目前</w:t>
      </w:r>
      <w:r>
        <w:rPr>
          <w:rFonts w:hint="default"/>
          <w:strike w:val="0"/>
          <w:dstrike w:val="0"/>
          <w:color w:val="auto"/>
          <w:lang w:val="en-US" w:eastAsia="zh-CN"/>
        </w:rPr>
        <w:t>岿美山</w:t>
      </w:r>
      <w:r>
        <w:rPr>
          <w:rFonts w:hint="default"/>
          <w:color w:val="auto"/>
          <w:lang w:val="en-US" w:eastAsia="zh-CN"/>
        </w:rPr>
        <w:t>尾矿库</w:t>
      </w:r>
      <w:r>
        <w:rPr>
          <w:rFonts w:hint="eastAsia"/>
          <w:color w:val="auto"/>
          <w:lang w:val="en-US" w:eastAsia="zh-CN"/>
        </w:rPr>
        <w:t>暂无有效的</w:t>
      </w:r>
      <w:r>
        <w:rPr>
          <w:rFonts w:hint="default"/>
          <w:color w:val="auto"/>
          <w:lang w:val="en-US" w:eastAsia="zh-CN"/>
        </w:rPr>
        <w:t>主要负责人</w:t>
      </w:r>
      <w:r>
        <w:rPr>
          <w:rFonts w:hint="eastAsia"/>
          <w:color w:val="auto"/>
          <w:lang w:val="en-US" w:eastAsia="zh-CN"/>
        </w:rPr>
        <w:t>、</w:t>
      </w:r>
      <w:r>
        <w:rPr>
          <w:rFonts w:hint="default"/>
          <w:color w:val="auto"/>
          <w:lang w:val="en-US" w:eastAsia="zh-CN"/>
        </w:rPr>
        <w:t>安全管理人员</w:t>
      </w:r>
      <w:r>
        <w:rPr>
          <w:rFonts w:hint="eastAsia"/>
          <w:color w:val="auto"/>
          <w:lang w:val="en-US" w:eastAsia="zh-CN"/>
        </w:rPr>
        <w:t>证件，</w:t>
      </w:r>
      <w:r>
        <w:rPr>
          <w:rFonts w:hint="default"/>
          <w:color w:val="auto"/>
          <w:lang w:val="en-US" w:eastAsia="zh-CN"/>
        </w:rPr>
        <w:t>尾矿工</w:t>
      </w:r>
      <w:r>
        <w:rPr>
          <w:rFonts w:hint="eastAsia"/>
          <w:color w:val="auto"/>
          <w:lang w:val="en-US" w:eastAsia="zh-CN"/>
        </w:rPr>
        <w:t>仅有1</w:t>
      </w:r>
      <w:r>
        <w:rPr>
          <w:rFonts w:hint="default"/>
          <w:color w:val="auto"/>
          <w:lang w:val="en-US" w:eastAsia="zh-CN"/>
        </w:rPr>
        <w:t>人做到了持证上岗。</w:t>
      </w:r>
    </w:p>
    <w:p w14:paraId="31E8D0E0">
      <w:pPr>
        <w:bidi w:val="0"/>
        <w:ind w:left="0" w:leftChars="0" w:firstLine="0" w:firstLineChars="0"/>
        <w:jc w:val="center"/>
        <w:rPr>
          <w:rFonts w:hint="default"/>
          <w:strike w:val="0"/>
          <w:dstrike w:val="0"/>
          <w:color w:val="auto"/>
          <w:lang w:val="en-US" w:eastAsia="zh-CN"/>
        </w:rPr>
      </w:pPr>
      <w:r>
        <w:rPr>
          <w:rFonts w:hint="eastAsia" w:ascii="Times New Roman" w:eastAsia="宋体"/>
          <w:strike w:val="0"/>
          <w:dstrike w:val="0"/>
          <w:color w:val="auto"/>
          <w:lang w:val="en-US" w:eastAsia="zh-CN"/>
        </w:rPr>
        <w:t>表2.8-1 人员证件清单</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9"/>
        <w:gridCol w:w="896"/>
        <w:gridCol w:w="706"/>
        <w:gridCol w:w="2274"/>
        <w:gridCol w:w="1053"/>
        <w:gridCol w:w="2628"/>
      </w:tblGrid>
      <w:tr w14:paraId="37E22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729" w:type="dxa"/>
            <w:noWrap w:val="0"/>
            <w:vAlign w:val="center"/>
          </w:tcPr>
          <w:p w14:paraId="547FE58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strike w:val="0"/>
                <w:dstrike w:val="0"/>
                <w:color w:val="auto"/>
                <w:sz w:val="21"/>
                <w:szCs w:val="21"/>
                <w:vertAlign w:val="baseline"/>
                <w:lang w:val="en-US" w:eastAsia="zh-CN"/>
              </w:rPr>
            </w:pPr>
            <w:r>
              <w:rPr>
                <w:rFonts w:hint="eastAsia" w:ascii="Times New Roman" w:eastAsia="宋体"/>
                <w:strike w:val="0"/>
                <w:dstrike w:val="0"/>
                <w:color w:val="auto"/>
                <w:sz w:val="21"/>
                <w:szCs w:val="21"/>
                <w:vertAlign w:val="baseline"/>
                <w:lang w:val="en-US" w:eastAsia="zh-CN"/>
              </w:rPr>
              <w:t>尾矿作业人员</w:t>
            </w:r>
          </w:p>
        </w:tc>
        <w:tc>
          <w:tcPr>
            <w:tcW w:w="896" w:type="dxa"/>
            <w:noWrap w:val="0"/>
            <w:vAlign w:val="center"/>
          </w:tcPr>
          <w:p w14:paraId="35930E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trike w:val="0"/>
                <w:dstrike w:val="0"/>
                <w:color w:val="auto"/>
                <w:sz w:val="21"/>
                <w:szCs w:val="21"/>
                <w:vertAlign w:val="baseline"/>
                <w:lang w:val="en-US" w:eastAsia="zh-CN"/>
              </w:rPr>
            </w:pPr>
            <w:r>
              <w:rPr>
                <w:rFonts w:hint="eastAsia"/>
                <w:strike w:val="0"/>
                <w:dstrike w:val="0"/>
                <w:color w:val="auto"/>
                <w:sz w:val="21"/>
                <w:szCs w:val="21"/>
                <w:vertAlign w:val="baseline"/>
                <w:lang w:val="en-US" w:eastAsia="zh-CN"/>
              </w:rPr>
              <w:t>陈锐</w:t>
            </w:r>
          </w:p>
        </w:tc>
        <w:tc>
          <w:tcPr>
            <w:tcW w:w="706" w:type="dxa"/>
            <w:noWrap w:val="0"/>
            <w:vAlign w:val="center"/>
          </w:tcPr>
          <w:p w14:paraId="3CB55E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trike w:val="0"/>
                <w:dstrike w:val="0"/>
                <w:color w:val="auto"/>
                <w:sz w:val="21"/>
                <w:szCs w:val="21"/>
                <w:vertAlign w:val="baseline"/>
                <w:lang w:val="en-US" w:eastAsia="zh-CN"/>
              </w:rPr>
            </w:pPr>
            <w:r>
              <w:rPr>
                <w:rFonts w:hint="default"/>
                <w:strike w:val="0"/>
                <w:dstrike w:val="0"/>
                <w:color w:val="auto"/>
                <w:sz w:val="21"/>
                <w:szCs w:val="21"/>
                <w:vertAlign w:val="baseline"/>
                <w:lang w:val="en-US" w:eastAsia="zh-CN"/>
              </w:rPr>
              <w:t>证号</w:t>
            </w:r>
          </w:p>
        </w:tc>
        <w:tc>
          <w:tcPr>
            <w:tcW w:w="2274" w:type="dxa"/>
            <w:noWrap w:val="0"/>
            <w:vAlign w:val="center"/>
          </w:tcPr>
          <w:p w14:paraId="28CE8F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sz w:val="21"/>
                <w:szCs w:val="21"/>
                <w:vertAlign w:val="baseline"/>
                <w:lang w:val="en-US" w:eastAsia="zh-CN"/>
              </w:rPr>
            </w:pPr>
            <w:r>
              <w:rPr>
                <w:rFonts w:hint="default" w:ascii="Times New Roman" w:hAnsi="Times New Roman" w:eastAsia="宋体" w:cs="Times New Roman"/>
                <w:strike w:val="0"/>
                <w:dstrike w:val="0"/>
                <w:color w:val="auto"/>
                <w:sz w:val="21"/>
                <w:szCs w:val="21"/>
                <w:vertAlign w:val="baseline"/>
                <w:lang w:val="en-US" w:eastAsia="zh-CN"/>
              </w:rPr>
              <w:t>T360728199303120315</w:t>
            </w:r>
          </w:p>
        </w:tc>
        <w:tc>
          <w:tcPr>
            <w:tcW w:w="1053" w:type="dxa"/>
            <w:noWrap w:val="0"/>
            <w:vAlign w:val="center"/>
          </w:tcPr>
          <w:p w14:paraId="7B682E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trike w:val="0"/>
                <w:dstrike w:val="0"/>
                <w:color w:val="auto"/>
                <w:sz w:val="21"/>
                <w:szCs w:val="21"/>
                <w:vertAlign w:val="baseline"/>
                <w:lang w:val="en-US" w:eastAsia="zh-CN"/>
              </w:rPr>
            </w:pPr>
            <w:r>
              <w:rPr>
                <w:rFonts w:hint="eastAsia" w:ascii="Times New Roman" w:eastAsia="宋体"/>
                <w:strike w:val="0"/>
                <w:dstrike w:val="0"/>
                <w:color w:val="auto"/>
                <w:sz w:val="21"/>
                <w:szCs w:val="21"/>
                <w:vertAlign w:val="baseline"/>
                <w:lang w:val="en-US" w:eastAsia="zh-CN"/>
              </w:rPr>
              <w:t>有效期</w:t>
            </w:r>
          </w:p>
        </w:tc>
        <w:tc>
          <w:tcPr>
            <w:tcW w:w="2628" w:type="dxa"/>
            <w:noWrap w:val="0"/>
            <w:vAlign w:val="center"/>
          </w:tcPr>
          <w:p w14:paraId="5630BB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trike w:val="0"/>
                <w:dstrike w:val="0"/>
                <w:color w:val="auto"/>
                <w:sz w:val="21"/>
                <w:szCs w:val="21"/>
                <w:vertAlign w:val="baseline"/>
                <w:lang w:val="en-US" w:eastAsia="zh-CN"/>
              </w:rPr>
            </w:pPr>
            <w:r>
              <w:rPr>
                <w:rFonts w:hint="eastAsia" w:ascii="Times New Roman" w:eastAsia="宋体"/>
                <w:strike w:val="0"/>
                <w:dstrike w:val="0"/>
                <w:color w:val="auto"/>
                <w:sz w:val="21"/>
                <w:szCs w:val="21"/>
                <w:vertAlign w:val="baseline"/>
                <w:lang w:val="en-US" w:eastAsia="zh-CN"/>
              </w:rPr>
              <w:t>2020-09-25—2026-09-24</w:t>
            </w:r>
          </w:p>
        </w:tc>
      </w:tr>
    </w:tbl>
    <w:p w14:paraId="41A1351E">
      <w:pPr>
        <w:pStyle w:val="4"/>
        <w:bidi w:val="0"/>
        <w:rPr>
          <w:rFonts w:hint="default"/>
          <w:color w:val="auto"/>
          <w:lang w:val="en-US" w:eastAsia="zh-CN"/>
        </w:rPr>
      </w:pPr>
      <w:bookmarkStart w:id="147" w:name="_Toc25836"/>
      <w:bookmarkStart w:id="148" w:name="_Toc31311"/>
      <w:bookmarkStart w:id="149" w:name="_Toc32176"/>
      <w:bookmarkStart w:id="150" w:name="_Toc5519"/>
      <w:bookmarkStart w:id="151" w:name="_Toc18553"/>
      <w:bookmarkStart w:id="152" w:name="_Toc19310"/>
      <w:r>
        <w:rPr>
          <w:rFonts w:hint="default"/>
          <w:color w:val="auto"/>
          <w:lang w:val="en-US" w:eastAsia="zh-CN"/>
        </w:rPr>
        <w:t>2.</w:t>
      </w:r>
      <w:r>
        <w:rPr>
          <w:rFonts w:hint="eastAsia"/>
          <w:color w:val="auto"/>
          <w:lang w:val="en-US" w:eastAsia="zh-CN"/>
        </w:rPr>
        <w:t>6</w:t>
      </w:r>
      <w:r>
        <w:rPr>
          <w:rFonts w:hint="default"/>
          <w:color w:val="auto"/>
          <w:lang w:val="en-US" w:eastAsia="zh-CN"/>
        </w:rPr>
        <w:t>.5</w:t>
      </w:r>
      <w:r>
        <w:rPr>
          <w:rFonts w:hint="eastAsia"/>
          <w:color w:val="auto"/>
          <w:lang w:val="en-US" w:eastAsia="zh-CN"/>
        </w:rPr>
        <w:t xml:space="preserve"> </w:t>
      </w:r>
      <w:r>
        <w:rPr>
          <w:rFonts w:hint="default"/>
          <w:color w:val="auto"/>
          <w:lang w:val="en-US" w:eastAsia="zh-CN"/>
        </w:rPr>
        <w:t>安全措施费用</w:t>
      </w:r>
      <w:bookmarkEnd w:id="147"/>
      <w:bookmarkEnd w:id="148"/>
      <w:bookmarkEnd w:id="149"/>
      <w:bookmarkEnd w:id="150"/>
      <w:bookmarkEnd w:id="151"/>
      <w:bookmarkEnd w:id="152"/>
    </w:p>
    <w:p w14:paraId="356F43CE">
      <w:pPr>
        <w:rPr>
          <w:rFonts w:hint="default"/>
          <w:strike w:val="0"/>
          <w:dstrike w:val="0"/>
          <w:color w:val="auto"/>
          <w:lang w:val="en-US" w:eastAsia="zh-CN"/>
        </w:rPr>
      </w:pPr>
      <w:r>
        <w:rPr>
          <w:rFonts w:hint="default"/>
          <w:color w:val="auto"/>
          <w:lang w:val="en-US" w:eastAsia="zh-CN"/>
        </w:rPr>
        <w:t>岿美山钨矿2018年初停产，尾矿库亦已停止使用</w:t>
      </w:r>
      <w:r>
        <w:rPr>
          <w:rFonts w:hint="eastAsia"/>
          <w:color w:val="auto"/>
          <w:lang w:val="en-US" w:eastAsia="zh-CN"/>
        </w:rPr>
        <w:t>，故未提取安全措施费用</w:t>
      </w:r>
      <w:r>
        <w:rPr>
          <w:rFonts w:hint="default"/>
          <w:strike w:val="0"/>
          <w:dstrike w:val="0"/>
          <w:color w:val="auto"/>
          <w:lang w:val="en-US" w:eastAsia="zh-CN"/>
        </w:rPr>
        <w:t>。</w:t>
      </w:r>
    </w:p>
    <w:p w14:paraId="326F38DB">
      <w:pPr>
        <w:pStyle w:val="4"/>
        <w:bidi w:val="0"/>
        <w:rPr>
          <w:rFonts w:hint="default"/>
          <w:color w:val="auto"/>
          <w:lang w:val="en-US" w:eastAsia="zh-CN"/>
        </w:rPr>
      </w:pPr>
      <w:bookmarkStart w:id="153" w:name="_Toc6679"/>
      <w:bookmarkStart w:id="154" w:name="_Toc31936"/>
      <w:bookmarkStart w:id="155" w:name="_Toc8307"/>
      <w:bookmarkStart w:id="156" w:name="_Toc10358"/>
      <w:bookmarkStart w:id="157" w:name="_Toc26445"/>
      <w:bookmarkStart w:id="158" w:name="_Toc20331"/>
      <w:r>
        <w:rPr>
          <w:rFonts w:hint="default"/>
          <w:color w:val="auto"/>
          <w:lang w:val="en-US" w:eastAsia="zh-CN"/>
        </w:rPr>
        <w:t>2.</w:t>
      </w:r>
      <w:r>
        <w:rPr>
          <w:rFonts w:hint="eastAsia"/>
          <w:color w:val="auto"/>
          <w:lang w:val="en-US" w:eastAsia="zh-CN"/>
        </w:rPr>
        <w:t>6</w:t>
      </w:r>
      <w:r>
        <w:rPr>
          <w:rFonts w:hint="default"/>
          <w:color w:val="auto"/>
          <w:lang w:val="en-US" w:eastAsia="zh-CN"/>
        </w:rPr>
        <w:t>.6</w:t>
      </w:r>
      <w:r>
        <w:rPr>
          <w:rFonts w:hint="eastAsia"/>
          <w:color w:val="auto"/>
          <w:lang w:val="en-US" w:eastAsia="zh-CN"/>
        </w:rPr>
        <w:t xml:space="preserve"> </w:t>
      </w:r>
      <w:r>
        <w:rPr>
          <w:rFonts w:hint="default"/>
          <w:color w:val="auto"/>
          <w:lang w:val="en-US" w:eastAsia="zh-CN"/>
        </w:rPr>
        <w:t>安全检查</w:t>
      </w:r>
      <w:bookmarkEnd w:id="153"/>
      <w:bookmarkEnd w:id="154"/>
      <w:bookmarkEnd w:id="155"/>
      <w:bookmarkEnd w:id="156"/>
      <w:bookmarkEnd w:id="157"/>
      <w:bookmarkEnd w:id="158"/>
    </w:p>
    <w:p w14:paraId="55600166">
      <w:pPr>
        <w:rPr>
          <w:rFonts w:hint="eastAsia"/>
          <w:strike w:val="0"/>
          <w:dstrike w:val="0"/>
          <w:color w:val="auto"/>
          <w:lang w:val="en-US" w:eastAsia="zh-CN"/>
        </w:rPr>
      </w:pPr>
      <w:r>
        <w:rPr>
          <w:rFonts w:hint="default"/>
          <w:strike w:val="0"/>
          <w:dstrike w:val="0"/>
          <w:color w:val="auto"/>
          <w:lang w:val="en-US" w:eastAsia="zh-CN"/>
        </w:rPr>
        <w:t>江西岿美山钨业有限公司</w:t>
      </w:r>
      <w:r>
        <w:rPr>
          <w:rFonts w:hint="eastAsia"/>
          <w:strike w:val="0"/>
          <w:dstrike w:val="0"/>
          <w:color w:val="auto"/>
          <w:lang w:val="en-US" w:eastAsia="zh-CN"/>
        </w:rPr>
        <w:t>定期开展了隐患排查。</w:t>
      </w:r>
    </w:p>
    <w:p w14:paraId="0246138F">
      <w:pPr>
        <w:pStyle w:val="4"/>
        <w:bidi w:val="0"/>
        <w:rPr>
          <w:rFonts w:hint="default"/>
          <w:color w:val="auto"/>
          <w:lang w:val="en-US" w:eastAsia="zh-CN"/>
        </w:rPr>
      </w:pPr>
      <w:bookmarkStart w:id="159" w:name="_Toc14675"/>
      <w:bookmarkStart w:id="160" w:name="_Toc8276"/>
      <w:bookmarkStart w:id="161" w:name="_Toc166"/>
      <w:bookmarkStart w:id="162" w:name="_Toc12485"/>
      <w:bookmarkStart w:id="163" w:name="_Toc4059"/>
      <w:bookmarkStart w:id="164" w:name="_Toc29590"/>
      <w:r>
        <w:rPr>
          <w:rFonts w:hint="default"/>
          <w:color w:val="auto"/>
          <w:lang w:val="en-US" w:eastAsia="zh-CN"/>
        </w:rPr>
        <w:t>2.</w:t>
      </w:r>
      <w:r>
        <w:rPr>
          <w:rFonts w:hint="eastAsia"/>
          <w:color w:val="auto"/>
          <w:lang w:val="en-US" w:eastAsia="zh-CN"/>
        </w:rPr>
        <w:t>6</w:t>
      </w:r>
      <w:r>
        <w:rPr>
          <w:rFonts w:hint="default"/>
          <w:color w:val="auto"/>
          <w:lang w:val="en-US" w:eastAsia="zh-CN"/>
        </w:rPr>
        <w:t>.</w:t>
      </w:r>
      <w:r>
        <w:rPr>
          <w:rFonts w:hint="eastAsia"/>
          <w:color w:val="auto"/>
          <w:lang w:val="en-US" w:eastAsia="zh-CN"/>
        </w:rPr>
        <w:t xml:space="preserve">7 </w:t>
      </w:r>
      <w:r>
        <w:rPr>
          <w:rFonts w:hint="default"/>
          <w:color w:val="auto"/>
          <w:lang w:val="en-US" w:eastAsia="zh-CN"/>
        </w:rPr>
        <w:t>事故情况</w:t>
      </w:r>
      <w:bookmarkEnd w:id="159"/>
      <w:bookmarkEnd w:id="160"/>
      <w:bookmarkEnd w:id="161"/>
      <w:bookmarkEnd w:id="162"/>
      <w:bookmarkEnd w:id="163"/>
      <w:bookmarkEnd w:id="164"/>
    </w:p>
    <w:p w14:paraId="22479838">
      <w:pPr>
        <w:rPr>
          <w:rFonts w:hint="default"/>
          <w:color w:val="auto"/>
          <w:lang w:val="en-US" w:eastAsia="zh-CN"/>
        </w:rPr>
      </w:pPr>
      <w:r>
        <w:rPr>
          <w:rFonts w:hint="default"/>
          <w:color w:val="auto"/>
          <w:lang w:val="en-US" w:eastAsia="zh-CN"/>
        </w:rPr>
        <w:t>岿美山尾矿库</w:t>
      </w:r>
      <w:r>
        <w:rPr>
          <w:rFonts w:hint="eastAsia"/>
          <w:color w:val="auto"/>
          <w:lang w:val="en-US" w:eastAsia="zh-CN"/>
        </w:rPr>
        <w:t>停止使用至今未发生任何安全事故</w:t>
      </w:r>
      <w:r>
        <w:rPr>
          <w:rFonts w:hint="default"/>
          <w:color w:val="auto"/>
          <w:lang w:val="en-US" w:eastAsia="zh-CN"/>
        </w:rPr>
        <w:t>。</w:t>
      </w:r>
    </w:p>
    <w:p w14:paraId="078F2525">
      <w:pPr>
        <w:pStyle w:val="4"/>
        <w:bidi w:val="0"/>
        <w:rPr>
          <w:rFonts w:hint="default"/>
          <w:color w:val="auto"/>
          <w:lang w:val="en-US" w:eastAsia="zh-CN"/>
        </w:rPr>
      </w:pPr>
      <w:bookmarkStart w:id="165" w:name="_Toc26466"/>
      <w:bookmarkStart w:id="166" w:name="_Toc23643"/>
      <w:bookmarkStart w:id="167" w:name="_Toc31948"/>
      <w:bookmarkStart w:id="168" w:name="_Toc16313"/>
      <w:bookmarkStart w:id="169" w:name="_Toc32305"/>
      <w:bookmarkStart w:id="170" w:name="_Toc11951"/>
      <w:r>
        <w:rPr>
          <w:rFonts w:hint="default"/>
          <w:color w:val="auto"/>
          <w:lang w:val="en-US" w:eastAsia="zh-CN"/>
        </w:rPr>
        <w:t>2.</w:t>
      </w:r>
      <w:r>
        <w:rPr>
          <w:rFonts w:hint="eastAsia"/>
          <w:color w:val="auto"/>
          <w:lang w:val="en-US" w:eastAsia="zh-CN"/>
        </w:rPr>
        <w:t>6</w:t>
      </w:r>
      <w:r>
        <w:rPr>
          <w:rFonts w:hint="default"/>
          <w:color w:val="auto"/>
          <w:lang w:val="en-US" w:eastAsia="zh-CN"/>
        </w:rPr>
        <w:t>.</w:t>
      </w:r>
      <w:r>
        <w:rPr>
          <w:rFonts w:hint="eastAsia"/>
          <w:color w:val="auto"/>
          <w:lang w:val="en-US" w:eastAsia="zh-CN"/>
        </w:rPr>
        <w:t xml:space="preserve">8 </w:t>
      </w:r>
      <w:r>
        <w:rPr>
          <w:rFonts w:hint="default"/>
          <w:color w:val="auto"/>
          <w:lang w:val="en-US" w:eastAsia="zh-CN"/>
        </w:rPr>
        <w:t>安全生产责任保险</w:t>
      </w:r>
      <w:bookmarkEnd w:id="165"/>
      <w:bookmarkEnd w:id="166"/>
      <w:bookmarkEnd w:id="167"/>
      <w:bookmarkEnd w:id="168"/>
      <w:bookmarkEnd w:id="169"/>
      <w:bookmarkEnd w:id="170"/>
    </w:p>
    <w:p w14:paraId="3A450CD5">
      <w:pPr>
        <w:rPr>
          <w:rFonts w:hint="default"/>
          <w:strike w:val="0"/>
          <w:dstrike w:val="0"/>
          <w:color w:val="auto"/>
          <w:lang w:val="en-US" w:eastAsia="zh-CN"/>
        </w:rPr>
      </w:pPr>
      <w:r>
        <w:rPr>
          <w:rFonts w:hint="default"/>
          <w:strike w:val="0"/>
          <w:dstrike w:val="0"/>
          <w:color w:val="auto"/>
          <w:lang w:val="en-US" w:eastAsia="zh-CN"/>
        </w:rPr>
        <w:t>江西岿美山钨业有限公司</w:t>
      </w:r>
      <w:r>
        <w:rPr>
          <w:rFonts w:hint="eastAsia"/>
          <w:strike w:val="0"/>
          <w:dstrike w:val="0"/>
          <w:color w:val="auto"/>
          <w:lang w:val="en-US" w:eastAsia="zh-CN"/>
        </w:rPr>
        <w:t>为部分员工</w:t>
      </w:r>
      <w:r>
        <w:rPr>
          <w:rFonts w:hint="default"/>
          <w:strike w:val="0"/>
          <w:dstrike w:val="0"/>
          <w:color w:val="auto"/>
          <w:lang w:val="en-US" w:eastAsia="zh-CN"/>
        </w:rPr>
        <w:t>参加</w:t>
      </w:r>
      <w:r>
        <w:rPr>
          <w:rFonts w:hint="eastAsia"/>
          <w:strike w:val="0"/>
          <w:dstrike w:val="0"/>
          <w:color w:val="auto"/>
          <w:lang w:val="en-US" w:eastAsia="zh-CN"/>
        </w:rPr>
        <w:t>了</w:t>
      </w:r>
      <w:r>
        <w:rPr>
          <w:rFonts w:hint="default"/>
          <w:strike w:val="0"/>
          <w:dstrike w:val="0"/>
          <w:color w:val="auto"/>
          <w:lang w:val="en-US" w:eastAsia="zh-CN"/>
        </w:rPr>
        <w:t>工伤保险</w:t>
      </w:r>
      <w:r>
        <w:rPr>
          <w:rFonts w:hint="eastAsia"/>
          <w:strike w:val="0"/>
          <w:dstrike w:val="0"/>
          <w:color w:val="auto"/>
          <w:lang w:val="en-US" w:eastAsia="zh-CN"/>
        </w:rPr>
        <w:t>。</w:t>
      </w:r>
    </w:p>
    <w:p w14:paraId="27A78BEA">
      <w:pPr>
        <w:pStyle w:val="3"/>
        <w:pageBreakBefore w:val="0"/>
        <w:widowControl w:val="0"/>
        <w:kinsoku/>
        <w:wordWrap/>
        <w:overflowPunct/>
        <w:topLinePunct w:val="0"/>
        <w:autoSpaceDE/>
        <w:autoSpaceDN/>
        <w:bidi w:val="0"/>
        <w:adjustRightInd/>
        <w:snapToGrid/>
        <w:spacing w:line="530" w:lineRule="exact"/>
        <w:textAlignment w:val="auto"/>
        <w:rPr>
          <w:rStyle w:val="38"/>
          <w:rFonts w:hint="eastAsia"/>
          <w:b/>
          <w:bCs/>
          <w:color w:val="auto"/>
          <w:lang w:val="en-US" w:eastAsia="zh-CN"/>
        </w:rPr>
      </w:pPr>
      <w:bookmarkStart w:id="171" w:name="_Toc24926"/>
      <w:bookmarkStart w:id="172" w:name="_Toc20308"/>
      <w:bookmarkStart w:id="173" w:name="_Toc27727"/>
      <w:bookmarkStart w:id="174" w:name="_Toc11047"/>
      <w:r>
        <w:rPr>
          <w:rFonts w:hint="eastAsia"/>
          <w:color w:val="auto"/>
          <w:lang w:val="en-US" w:eastAsia="zh-CN"/>
        </w:rPr>
        <w:t>2</w:t>
      </w:r>
      <w:r>
        <w:rPr>
          <w:rStyle w:val="38"/>
          <w:rFonts w:hint="eastAsia"/>
          <w:b/>
          <w:bCs/>
          <w:color w:val="auto"/>
          <w:lang w:val="en-US" w:eastAsia="zh-CN"/>
        </w:rPr>
        <w:t>.7 隐蔽致灾因素普查</w:t>
      </w:r>
      <w:bookmarkEnd w:id="171"/>
      <w:bookmarkEnd w:id="172"/>
      <w:bookmarkEnd w:id="173"/>
      <w:bookmarkEnd w:id="174"/>
    </w:p>
    <w:p w14:paraId="20ABAFB6">
      <w:pPr>
        <w:rPr>
          <w:rFonts w:hint="eastAsia"/>
          <w:strike w:val="0"/>
          <w:dstrike w:val="0"/>
          <w:color w:val="auto"/>
          <w:lang w:val="en-US" w:eastAsia="zh-CN"/>
        </w:rPr>
      </w:pPr>
      <w:r>
        <w:rPr>
          <w:rFonts w:hint="default"/>
          <w:strike w:val="0"/>
          <w:dstrike w:val="0"/>
          <w:color w:val="auto"/>
          <w:lang w:val="en-US" w:eastAsia="zh-CN"/>
        </w:rPr>
        <w:t>202</w:t>
      </w:r>
      <w:r>
        <w:rPr>
          <w:rFonts w:hint="eastAsia"/>
          <w:strike w:val="0"/>
          <w:dstrike w:val="0"/>
          <w:color w:val="auto"/>
          <w:lang w:val="en-US" w:eastAsia="zh-CN"/>
        </w:rPr>
        <w:t>6</w:t>
      </w:r>
      <w:r>
        <w:rPr>
          <w:rFonts w:hint="default"/>
          <w:strike w:val="0"/>
          <w:dstrike w:val="0"/>
          <w:color w:val="auto"/>
          <w:lang w:val="en-US" w:eastAsia="zh-CN"/>
        </w:rPr>
        <w:t>年</w:t>
      </w:r>
      <w:r>
        <w:rPr>
          <w:rFonts w:hint="eastAsia"/>
          <w:strike w:val="0"/>
          <w:dstrike w:val="0"/>
          <w:color w:val="auto"/>
          <w:lang w:val="en-US" w:eastAsia="zh-CN"/>
        </w:rPr>
        <w:t>6</w:t>
      </w:r>
      <w:r>
        <w:rPr>
          <w:rFonts w:hint="default"/>
          <w:strike w:val="0"/>
          <w:dstrike w:val="0"/>
          <w:color w:val="auto"/>
          <w:lang w:val="en-US" w:eastAsia="zh-CN"/>
        </w:rPr>
        <w:t>月，江西岿美山钨业有限公司</w:t>
      </w:r>
      <w:r>
        <w:rPr>
          <w:rFonts w:hint="eastAsia"/>
          <w:strike w:val="0"/>
          <w:dstrike w:val="0"/>
          <w:color w:val="auto"/>
          <w:lang w:val="en-US" w:eastAsia="zh-CN"/>
        </w:rPr>
        <w:t>委托</w:t>
      </w:r>
      <w:r>
        <w:rPr>
          <w:rFonts w:hint="default"/>
          <w:strike w:val="0"/>
          <w:dstrike w:val="0"/>
          <w:color w:val="auto"/>
          <w:lang w:val="en-US" w:eastAsia="zh-CN"/>
        </w:rPr>
        <w:t>赣州有色冶金研究所有限公司完成</w:t>
      </w:r>
      <w:r>
        <w:rPr>
          <w:rFonts w:hint="eastAsia"/>
          <w:strike w:val="0"/>
          <w:dstrike w:val="0"/>
          <w:color w:val="auto"/>
          <w:lang w:val="en-US" w:eastAsia="zh-CN"/>
        </w:rPr>
        <w:t>了</w:t>
      </w:r>
      <w:r>
        <w:rPr>
          <w:rFonts w:hint="default"/>
          <w:strike w:val="0"/>
          <w:dstrike w:val="0"/>
          <w:color w:val="auto"/>
          <w:lang w:val="en-US" w:eastAsia="zh-CN"/>
        </w:rPr>
        <w:t>尾矿库隐蔽致灾因素普查工作，编制提交了《江西岿美山钨业有限公司岿美山尾矿库隐蔽致灾因素普查报告》</w:t>
      </w:r>
      <w:r>
        <w:rPr>
          <w:rFonts w:hint="eastAsia"/>
          <w:strike w:val="0"/>
          <w:dstrike w:val="0"/>
          <w:color w:val="auto"/>
          <w:lang w:val="en-US" w:eastAsia="zh-CN"/>
        </w:rPr>
        <w:t>（赣州有色冶金研究所有限公司、陕西众海同舟科技有限公司、江西岿美山钨业有限公司）</w:t>
      </w:r>
      <w:r>
        <w:rPr>
          <w:rFonts w:hint="default"/>
          <w:strike w:val="0"/>
          <w:dstrike w:val="0"/>
          <w:color w:val="auto"/>
          <w:lang w:val="en-US" w:eastAsia="zh-CN"/>
        </w:rPr>
        <w:t>，</w:t>
      </w:r>
      <w:r>
        <w:rPr>
          <w:rFonts w:hint="eastAsia"/>
          <w:strike w:val="0"/>
          <w:dstrike w:val="0"/>
          <w:color w:val="auto"/>
          <w:lang w:val="en-US" w:eastAsia="zh-CN"/>
        </w:rPr>
        <w:t>各类因素普查结论如下：</w:t>
      </w:r>
    </w:p>
    <w:p w14:paraId="02D8104E">
      <w:pPr>
        <w:pStyle w:val="13"/>
        <w:rPr>
          <w:rFonts w:hint="default"/>
          <w:color w:val="auto"/>
          <w:lang w:val="en-US" w:eastAsia="zh-CN"/>
        </w:rPr>
      </w:pPr>
      <w:r>
        <w:rPr>
          <w:rFonts w:hint="default"/>
          <w:color w:val="auto"/>
          <w:lang w:val="en-US" w:eastAsia="zh-CN"/>
        </w:rPr>
        <w:t>1.</w:t>
      </w:r>
      <w:r>
        <w:rPr>
          <w:rFonts w:hint="eastAsia"/>
          <w:color w:val="auto"/>
          <w:lang w:val="en-US" w:eastAsia="zh-CN"/>
        </w:rPr>
        <w:t xml:space="preserve"> </w:t>
      </w:r>
      <w:r>
        <w:rPr>
          <w:rFonts w:hint="default"/>
          <w:color w:val="auto"/>
          <w:lang w:val="en-US" w:eastAsia="zh-CN"/>
        </w:rPr>
        <w:t>断层破碎带：通过资料分析、现场调查、物探普查，尾矿库库区及周边200m范围内未发现影响尾矿库安全的断层破碎带与活动断裂。物探显示主坝坝址区下伏基岩横波速度变化均匀，无明显地质结构异常；副坝坝体存在一处低速异常，经钻探（ZZK13）验证为全风化花岗岩层内长期库水入渗导致含水量升高所致，异常范围小、埋深浅，非构造破碎带，对副坝影响较小。</w:t>
      </w:r>
    </w:p>
    <w:p w14:paraId="0FB9A52F">
      <w:pPr>
        <w:pStyle w:val="13"/>
        <w:rPr>
          <w:rFonts w:hint="default"/>
          <w:color w:val="auto"/>
          <w:lang w:val="en-US" w:eastAsia="zh-CN"/>
        </w:rPr>
      </w:pPr>
      <w:r>
        <w:rPr>
          <w:rFonts w:hint="default"/>
          <w:color w:val="auto"/>
          <w:lang w:val="en-US" w:eastAsia="zh-CN"/>
        </w:rPr>
        <w:t>2. 地表水体：库区为狭长的北南向沟谷组成，谷地中有暂时性的小溪流，主要受两侧山体渗流补给，具有山区型河流特征，季节影响变化大，未见对尾矿库有影响的河流、湖泊、水库等大型地表水系，无地表水体致灾因素。</w:t>
      </w:r>
    </w:p>
    <w:p w14:paraId="58F8C418">
      <w:pPr>
        <w:pStyle w:val="13"/>
        <w:rPr>
          <w:rFonts w:hint="default"/>
          <w:color w:val="auto"/>
          <w:lang w:val="en-US" w:eastAsia="zh-CN"/>
        </w:rPr>
      </w:pPr>
      <w:r>
        <w:rPr>
          <w:rFonts w:hint="default"/>
          <w:color w:val="auto"/>
          <w:lang w:val="en-US" w:eastAsia="zh-CN"/>
        </w:rPr>
        <w:t>3. 潜在不稳定岸坡：库区周边X</w:t>
      </w:r>
      <w:r>
        <w:rPr>
          <w:rFonts w:hint="eastAsia" w:asciiTheme="minorEastAsia" w:hAnsiTheme="minorEastAsia" w:eastAsiaTheme="minorEastAsia" w:cstheme="minorEastAsia"/>
          <w:color w:val="auto"/>
          <w:lang w:val="en-US" w:eastAsia="zh-CN"/>
        </w:rPr>
        <w:t>-</w:t>
      </w:r>
      <w:r>
        <w:rPr>
          <w:rFonts w:hint="default"/>
          <w:color w:val="auto"/>
          <w:lang w:val="en-US" w:eastAsia="zh-CN"/>
        </w:rPr>
        <w:t>1、X</w:t>
      </w:r>
      <w:r>
        <w:rPr>
          <w:rFonts w:hint="eastAsia" w:asciiTheme="minorEastAsia" w:hAnsiTheme="minorEastAsia" w:eastAsiaTheme="minorEastAsia" w:cstheme="minorEastAsia"/>
          <w:color w:val="auto"/>
          <w:lang w:val="en-US" w:eastAsia="zh-CN"/>
        </w:rPr>
        <w:t>-</w:t>
      </w:r>
      <w:r>
        <w:rPr>
          <w:rFonts w:hint="default"/>
          <w:color w:val="auto"/>
          <w:lang w:val="en-US" w:eastAsia="zh-CN"/>
        </w:rPr>
        <w:t>2两处自然斜坡稳定性量化评价得分分别为16.40、15.40（F＜16.7，稳定性好），废石堆下伏基岩横波速度变化均匀、无明显地质结构异常，未发现滑坡、坍塌、泥石流、沉陷等不良地质现象，不属于潜在不稳定岸坡。高密度电法在探测区域内共解译8处低阻异常区，其中5处位于坝肩尾砾砂与砾质黏性土交界处，经钻探（ZK27）验证为强透水层与微透水层接触带因渗透性差异导致的地下水局部富集，未形成贯通性渗漏通道，建议加强该区域排水疏导与日常巡检工作；3处位于岸坡砾质黏性土中，异常在地表圈闭、埋深极浅，推测为降雨入渗或浅层滞水，建议增设浅层排水设施，降低表层土体含水量。</w:t>
      </w:r>
    </w:p>
    <w:p w14:paraId="5AAE84FF">
      <w:pPr>
        <w:pStyle w:val="13"/>
        <w:rPr>
          <w:rFonts w:hint="default"/>
          <w:color w:val="auto"/>
          <w:lang w:val="en-US" w:eastAsia="zh-CN"/>
        </w:rPr>
      </w:pPr>
      <w:r>
        <w:rPr>
          <w:rFonts w:hint="default"/>
          <w:color w:val="auto"/>
          <w:lang w:val="en-US" w:eastAsia="zh-CN"/>
        </w:rPr>
        <w:t>4. 泥石流：根据现场走访调查，尾矿库两侧山体未见对尾矿库安全有影响的滑坡、塌方和泥石流等情况，自然条件下发生泥石流的可能性小，危险性小。</w:t>
      </w:r>
    </w:p>
    <w:p w14:paraId="3EA6E2F7">
      <w:pPr>
        <w:pStyle w:val="13"/>
        <w:rPr>
          <w:rFonts w:hint="default"/>
          <w:color w:val="auto"/>
          <w:lang w:val="en-US" w:eastAsia="zh-CN"/>
        </w:rPr>
      </w:pPr>
      <w:r>
        <w:rPr>
          <w:rFonts w:hint="default"/>
          <w:color w:val="auto"/>
          <w:lang w:val="en-US" w:eastAsia="zh-CN"/>
        </w:rPr>
        <w:t>5. 溶洞（含土洞）、采空区：根据以往地质调查及本次现场走访，未发现水洞、溶洞等岩溶现象，两岸山坡及谷底多为残坡积及冲洪积层所覆盖，地貌类型单一，地层结构相对简单；物探剖面未见高阻围岩中出现团块状、不规则的闭合低阻圈闭；未发现采空区、溶洞或土洞等致灾因素。</w:t>
      </w:r>
    </w:p>
    <w:p w14:paraId="04F5CA94">
      <w:pPr>
        <w:pStyle w:val="13"/>
        <w:rPr>
          <w:rFonts w:hint="default"/>
          <w:color w:val="auto"/>
          <w:lang w:val="en-US" w:eastAsia="zh-CN"/>
        </w:rPr>
      </w:pPr>
      <w:r>
        <w:rPr>
          <w:rFonts w:hint="default"/>
          <w:color w:val="auto"/>
          <w:lang w:val="en-US" w:eastAsia="zh-CN"/>
        </w:rPr>
        <w:t>6. 特殊性岩土：根据本次物探结果及以往地勘资料，尾矿库场地内揭露的尾砾砂、尾细砂、填碎石、砾质黏性土、全风化花岗岩、强风化花岗岩、中风化花岗岩，经与《岩土工程勘察规范（2009年版）》（GB 50021-2001）第6章</w:t>
      </w:r>
      <w:r>
        <w:rPr>
          <w:rFonts w:hint="eastAsia" w:asciiTheme="minorEastAsia" w:hAnsiTheme="minorEastAsia" w:eastAsiaTheme="minorEastAsia" w:cstheme="minorEastAsia"/>
          <w:color w:val="auto"/>
          <w:lang w:val="en-US" w:eastAsia="zh-CN"/>
        </w:rPr>
        <w:t>“特殊性岩土”</w:t>
      </w:r>
      <w:r>
        <w:rPr>
          <w:rFonts w:hint="default"/>
          <w:color w:val="auto"/>
          <w:lang w:val="en-US" w:eastAsia="zh-CN"/>
        </w:rPr>
        <w:t>分类标准逐项比对，不属于湿陷性土、红黏土、软土、混合土、填土（一般性填土）、多年冻土、膨胀岩土、盐渍岩土、风化岩与残积土（属正常风化）等特殊性岩土范畴，故判定库区范围内无特殊性岩土。</w:t>
      </w:r>
    </w:p>
    <w:p w14:paraId="1BACE81A">
      <w:pPr>
        <w:pStyle w:val="13"/>
        <w:rPr>
          <w:rFonts w:hint="default"/>
          <w:color w:val="auto"/>
          <w:lang w:val="en-US" w:eastAsia="zh-CN"/>
        </w:rPr>
      </w:pPr>
      <w:r>
        <w:rPr>
          <w:rFonts w:hint="default"/>
          <w:color w:val="auto"/>
          <w:lang w:val="en-US" w:eastAsia="zh-CN"/>
        </w:rPr>
        <w:t>7. 尾矿堆积坝软弱层：根据微动法探测成果，主坝区域WD1测线地层平稳连续，未见软弱层速度标志；WD2测线存在一处低速异常，推测为尾砂堆积不均、局部松散所致，异常范围小、埋深浅。并且从2018年开始至今本尾矿库已经停止排放尾砂，水流下渗减少，判定该异常对堆积坝影响较小。钻探揭露未见多层、软硬相间的尾矿堆积层，亦未发现呈软塑～流塑状态的软弱夹层。</w:t>
      </w:r>
    </w:p>
    <w:p w14:paraId="4B51240B">
      <w:pPr>
        <w:pStyle w:val="13"/>
        <w:rPr>
          <w:rFonts w:hint="default"/>
          <w:color w:val="auto"/>
          <w:lang w:val="en-US" w:eastAsia="zh-CN"/>
        </w:rPr>
      </w:pPr>
      <w:r>
        <w:rPr>
          <w:rFonts w:hint="default"/>
          <w:color w:val="auto"/>
          <w:lang w:val="en-US" w:eastAsia="zh-CN"/>
        </w:rPr>
        <w:t>8. 地下排洪构筑物缺陷：经现场调查，溢流坝、泄水槽、消力池未见裂缝、坍塌、变形等不良现象；2024年由新余建和检测有限责任公司对溢流坝、泄水槽、消力池挡墙进行检测，混凝土强度及钢筋保护层厚度均满足设计及规范要求。微动法WD8测线在溢流坝两侧砾质黏性土层内解译3处低速异常，经钻探（ZZK15、ZZK16）验证，异常与坝体施工回填及长期水位波动形成的局部微裂隙充水有关，非空洞或结构性缺陷。建议闭库设计阶段进一步核实，并在坝体两侧完善排水措施。</w:t>
      </w:r>
    </w:p>
    <w:p w14:paraId="162C0470">
      <w:pPr>
        <w:pStyle w:val="13"/>
        <w:rPr>
          <w:rFonts w:hint="default"/>
          <w:color w:val="auto"/>
          <w:lang w:val="en-US" w:eastAsia="zh-CN"/>
        </w:rPr>
      </w:pPr>
      <w:r>
        <w:rPr>
          <w:rFonts w:hint="default"/>
          <w:color w:val="auto"/>
          <w:lang w:val="en-US" w:eastAsia="zh-CN"/>
        </w:rPr>
        <w:t>综上，岿美山尾矿库不存在断层破碎带、地表水体、溶洞（含土洞）、采空区、特殊性岩土等自然类隐蔽致灾因素；无尾矿堆积坝软弱层致灾因素；自然条件下发生泥石流的可能性小、危险性小；自然斜坡与废石堆稳定性较好，不属于</w:t>
      </w:r>
      <w:r>
        <w:rPr>
          <w:rFonts w:hint="default"/>
          <w:color w:val="auto"/>
          <w:lang w:val="en-US" w:eastAsia="zh-CN"/>
        </w:rPr>
        <w:t>潜在不稳定岸坡。</w:t>
      </w:r>
    </w:p>
    <w:p w14:paraId="129E9E0F">
      <w:pPr>
        <w:pStyle w:val="3"/>
        <w:bidi w:val="0"/>
        <w:rPr>
          <w:rFonts w:hint="default"/>
          <w:color w:val="auto"/>
          <w:lang w:val="en-US" w:eastAsia="zh-CN"/>
        </w:rPr>
      </w:pPr>
      <w:bookmarkStart w:id="175" w:name="_Toc13820"/>
      <w:bookmarkStart w:id="176" w:name="_Toc22493"/>
      <w:r>
        <w:rPr>
          <w:rFonts w:hint="eastAsia"/>
          <w:color w:val="auto"/>
          <w:lang w:val="en-US" w:eastAsia="zh-CN"/>
        </w:rPr>
        <w:t>2.8 周边环境</w:t>
      </w:r>
      <w:bookmarkEnd w:id="175"/>
      <w:bookmarkEnd w:id="176"/>
    </w:p>
    <w:p w14:paraId="63FDB89A">
      <w:pPr>
        <w:bidi w:val="0"/>
        <w:rPr>
          <w:rFonts w:hint="eastAsia"/>
          <w:color w:val="auto"/>
          <w:lang w:val="en-US" w:eastAsia="zh-CN"/>
        </w:rPr>
      </w:pPr>
      <w:r>
        <w:rPr>
          <w:rFonts w:hint="eastAsia"/>
          <w:color w:val="auto"/>
          <w:lang w:val="en-US" w:eastAsia="zh-CN"/>
        </w:rPr>
        <w:t>岿美山尾矿库位于江西省定南县岿美山镇矿区北西侧岿美山河沟内，为山谷型尾矿库，尾矿库距“五河一湖”中赣江最近，直线距离133km，尾矿库下游1km范围内有居民。</w:t>
      </w:r>
    </w:p>
    <w:p w14:paraId="24B424B2">
      <w:pPr>
        <w:bidi w:val="0"/>
        <w:rPr>
          <w:rFonts w:hint="eastAsia"/>
          <w:color w:val="auto"/>
          <w:lang w:val="en-US" w:eastAsia="zh-CN"/>
        </w:rPr>
      </w:pPr>
      <w:r>
        <w:rPr>
          <w:rFonts w:hint="eastAsia"/>
          <w:color w:val="auto"/>
          <w:lang w:val="en-US" w:eastAsia="zh-CN"/>
        </w:rPr>
        <w:t>尾矿库上游为矿区，沿山沟河道两岸多处有窿口和选厂，各窿口的废石随意排入山沟河道，各选厂的尾砂排放不规范，导致大量废石及废砂淤积河道，甚至有大量废石及废砂被洪水冲入岿美山尾矿库内，尾矿库隐患治理设计时在上游修建有三座拦渣坝，现1号和2号拦渣坝已冲毁，3号拦渣坝上下游已淤满，现矿山已全部停产，江西省地质环境调查研究院有限公司受企业委托已于2023年6月编制完成了矿山生态修复施工图设计，编制范围为3号拦渣坝以上区域，正在实施，根据生态修复施工图，3号拦渣坝以上区域将全部清淤至原河床底，上游生态修复实施后，将大大降低对下游尾矿库的影响。</w:t>
      </w:r>
    </w:p>
    <w:p w14:paraId="51FE0F8F">
      <w:pPr>
        <w:bidi w:val="0"/>
        <w:rPr>
          <w:rFonts w:hint="eastAsia"/>
          <w:color w:val="auto"/>
          <w:lang w:val="en-US" w:eastAsia="zh-CN"/>
        </w:rPr>
      </w:pPr>
      <w:r>
        <w:rPr>
          <w:rFonts w:hint="eastAsia"/>
          <w:color w:val="auto"/>
          <w:lang w:val="en-US" w:eastAsia="zh-CN"/>
        </w:rPr>
        <w:t>尾矿库主坝下游200m处为岿美山镇通往定南的公路，公路侧即为由南往北的河流，尾矿库主坝下游500m～900m范围河流右岸分布有5户居民，居民房屋与河流最小高差为5m，现状和闭库后尾矿库防洪及稳定性均满足规范要求，因此对下游居民的影响较小。尾矿库主坝下游1000m范围内无工矿企业、大型水源地、水产基地，无全国和省重点保护名胜古迹，无高等级公路、无铁路及主干通讯线路。</w:t>
      </w:r>
    </w:p>
    <w:p w14:paraId="74D70840">
      <w:pPr>
        <w:bidi w:val="0"/>
        <w:rPr>
          <w:rFonts w:hint="eastAsia"/>
          <w:color w:val="auto"/>
          <w:lang w:val="en-US" w:eastAsia="zh-CN"/>
        </w:rPr>
      </w:pPr>
      <w:r>
        <w:rPr>
          <w:rFonts w:hint="eastAsia"/>
          <w:color w:val="auto"/>
          <w:lang w:val="en-US" w:eastAsia="zh-CN"/>
        </w:rPr>
        <w:t>尾矿库副坝和溢流坝下游有废水处理站、变电站和岿美山镇居民，现状及闭库后尾矿库内洪水主要通过溢流坝及下游明渠排往下游，现状和闭库后副坝及溢流坝稳定性满足规范要求，对下游居民影响较小。</w:t>
      </w:r>
    </w:p>
    <w:p w14:paraId="170994B6">
      <w:pPr>
        <w:bidi w:val="0"/>
        <w:ind w:left="0" w:leftChars="0" w:firstLine="0" w:firstLineChars="0"/>
        <w:jc w:val="center"/>
        <w:rPr>
          <w:rFonts w:hint="eastAsia"/>
          <w:color w:val="auto"/>
          <w:lang w:val="en-US" w:eastAsia="zh-CN"/>
        </w:rPr>
      </w:pPr>
      <w:r>
        <w:rPr>
          <w:color w:val="auto"/>
        </w:rPr>
        <w:drawing>
          <wp:inline distT="0" distB="0" distL="0" distR="0">
            <wp:extent cx="5467350" cy="6296025"/>
            <wp:effectExtent l="0" t="0" r="0" b="9525"/>
            <wp:docPr id="78" name="图片 47" descr="C:\Users\ncuzh\Documents\江西岿美山尾矿库闭库周边环境图（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47" descr="C:\Users\ncuzh\Documents\江西岿美山尾矿库闭库周边环境图（一）.jpg"/>
                    <pic:cNvPicPr>
                      <a:picLocks noChangeAspect="1" noChangeArrowheads="1"/>
                    </pic:cNvPicPr>
                  </pic:nvPicPr>
                  <pic:blipFill>
                    <a:blip r:embed="rId15"/>
                    <a:srcRect t="9225" b="9471"/>
                    <a:stretch>
                      <a:fillRect/>
                    </a:stretch>
                  </pic:blipFill>
                  <pic:spPr>
                    <a:xfrm>
                      <a:off x="0" y="0"/>
                      <a:ext cx="5467350" cy="6296025"/>
                    </a:xfrm>
                    <a:prstGeom prst="rect">
                      <a:avLst/>
                    </a:prstGeom>
                    <a:noFill/>
                    <a:ln w="9525">
                      <a:noFill/>
                      <a:miter lim="800000"/>
                      <a:headEnd/>
                      <a:tailEnd/>
                    </a:ln>
                  </pic:spPr>
                </pic:pic>
              </a:graphicData>
            </a:graphic>
          </wp:inline>
        </w:drawing>
      </w:r>
    </w:p>
    <w:p w14:paraId="12409CAA">
      <w:pPr>
        <w:bidi w:val="0"/>
        <w:ind w:left="0" w:leftChars="0" w:firstLine="0" w:firstLineChars="0"/>
        <w:jc w:val="center"/>
        <w:rPr>
          <w:rFonts w:hint="eastAsia"/>
          <w:color w:val="auto"/>
          <w:lang w:val="en-US" w:eastAsia="zh-CN"/>
        </w:rPr>
      </w:pPr>
      <w:r>
        <w:rPr>
          <w:rFonts w:hint="eastAsia"/>
          <w:color w:val="auto"/>
          <w:lang w:val="en-US" w:eastAsia="zh-CN"/>
        </w:rPr>
        <w:t>图2.9-1 岿美山</w:t>
      </w:r>
      <w:r>
        <w:rPr>
          <w:rFonts w:hint="default"/>
          <w:color w:val="auto"/>
          <w:lang w:val="en-US" w:eastAsia="zh-CN"/>
        </w:rPr>
        <w:t>尾矿库周边环境图</w:t>
      </w:r>
    </w:p>
    <w:p w14:paraId="61DD7249">
      <w:pPr>
        <w:pStyle w:val="3"/>
        <w:bidi w:val="0"/>
        <w:rPr>
          <w:rFonts w:hint="default"/>
          <w:color w:val="auto"/>
          <w:lang w:val="en-US" w:eastAsia="zh-CN"/>
        </w:rPr>
      </w:pPr>
      <w:bookmarkStart w:id="177" w:name="_Toc2540"/>
      <w:r>
        <w:rPr>
          <w:rFonts w:hint="eastAsia"/>
          <w:color w:val="auto"/>
          <w:lang w:val="en-US" w:eastAsia="zh-CN"/>
        </w:rPr>
        <w:t>2.9 可研方案简介</w:t>
      </w:r>
      <w:bookmarkEnd w:id="177"/>
    </w:p>
    <w:p w14:paraId="4D58FF63">
      <w:pPr>
        <w:pStyle w:val="4"/>
        <w:bidi w:val="0"/>
        <w:rPr>
          <w:rFonts w:hint="default"/>
          <w:color w:val="auto"/>
          <w:lang w:val="en-US" w:eastAsia="zh-CN"/>
        </w:rPr>
      </w:pPr>
      <w:bookmarkStart w:id="178" w:name="_Toc31644"/>
      <w:r>
        <w:rPr>
          <w:rFonts w:hint="eastAsia"/>
          <w:color w:val="auto"/>
          <w:lang w:val="en-US" w:eastAsia="zh-CN"/>
        </w:rPr>
        <w:t>2.9.1 滩面整治</w:t>
      </w:r>
      <w:bookmarkEnd w:id="178"/>
    </w:p>
    <w:p w14:paraId="4AB1B8ED">
      <w:pPr>
        <w:rPr>
          <w:rFonts w:hint="eastAsia"/>
          <w:color w:val="auto"/>
          <w:lang w:val="en-US" w:eastAsia="zh-CN"/>
        </w:rPr>
      </w:pPr>
      <w:r>
        <w:rPr>
          <w:rFonts w:hint="eastAsia"/>
          <w:color w:val="auto"/>
          <w:lang w:val="en-US" w:eastAsia="zh-CN"/>
        </w:rPr>
        <w:t>降低主坝顶高程及溢流坝前开挖的尾砂堆存于主坝前，在主坝前形成70m长干滩，干滩1%的坡度坡向坝前70m处，坝前70m处按照1</w:t>
      </w:r>
      <w:r>
        <w:rPr>
          <w:rFonts w:hint="eastAsia"/>
          <w:color w:val="auto"/>
        </w:rPr>
        <w:t>∶</w:t>
      </w:r>
      <w:r>
        <w:rPr>
          <w:rFonts w:hint="eastAsia"/>
          <w:color w:val="auto"/>
          <w:lang w:val="en-US" w:eastAsia="zh-CN"/>
        </w:rPr>
        <w:t>3放坡，再以0.5%的坡度由坝前70m处坡向溢流坝，库尾干滩面沿主排洪明渠以0.5%的坡度坡向溢流坝，尾矿库左岸也以相应的坡度坡向溢流坝，溢流坝前为尾矿库库内最低点；对尾矿库库内积水较深还会产生沉降、塌陷的区域，采用抛石挤淤方法进行处理；修建截水沟、库面排水沟、排水明渠及排洪明渠，将尾矿库库面雨水引入排洪明渠经溢流坝排出库外。库内尾砂按设计坡度整平后覆土30cm撒草籽绿化。</w:t>
      </w:r>
    </w:p>
    <w:p w14:paraId="257344A9">
      <w:pPr>
        <w:pStyle w:val="4"/>
        <w:bidi w:val="0"/>
        <w:rPr>
          <w:rFonts w:hint="eastAsia"/>
          <w:color w:val="auto"/>
          <w:lang w:val="en-US" w:eastAsia="zh-CN"/>
        </w:rPr>
      </w:pPr>
      <w:bookmarkStart w:id="179" w:name="_Toc15783"/>
      <w:r>
        <w:rPr>
          <w:rFonts w:hint="eastAsia"/>
          <w:color w:val="auto"/>
          <w:lang w:val="en-US" w:eastAsia="zh-CN"/>
        </w:rPr>
        <w:t>2.9.2 滩面排水设施</w:t>
      </w:r>
      <w:bookmarkEnd w:id="179"/>
    </w:p>
    <w:p w14:paraId="7DBB915C">
      <w:pPr>
        <w:rPr>
          <w:rFonts w:hint="eastAsia"/>
          <w:color w:val="auto"/>
          <w:lang w:val="en-US" w:eastAsia="zh-CN"/>
        </w:rPr>
      </w:pPr>
      <w:r>
        <w:rPr>
          <w:rFonts w:hint="eastAsia"/>
          <w:color w:val="auto"/>
          <w:lang w:val="en-US" w:eastAsia="zh-CN"/>
        </w:rPr>
        <w:t>尾矿库滩面排水设施有四种：截水沟、库面排水沟、排水明渠和排洪明渠。</w:t>
      </w:r>
    </w:p>
    <w:p w14:paraId="13AD34FD">
      <w:pPr>
        <w:rPr>
          <w:rFonts w:hint="eastAsia"/>
          <w:color w:val="auto"/>
          <w:lang w:val="en-US" w:eastAsia="zh-CN"/>
        </w:rPr>
      </w:pPr>
      <w:r>
        <w:rPr>
          <w:rFonts w:hint="eastAsia"/>
          <w:color w:val="auto"/>
          <w:lang w:val="en-US" w:eastAsia="zh-CN"/>
        </w:rPr>
        <w:t>1 截水沟</w:t>
      </w:r>
    </w:p>
    <w:p w14:paraId="7A41CFD2">
      <w:pPr>
        <w:rPr>
          <w:rFonts w:hint="eastAsia"/>
          <w:color w:val="auto"/>
          <w:lang w:val="en-US" w:eastAsia="zh-CN"/>
        </w:rPr>
      </w:pPr>
      <w:r>
        <w:rPr>
          <w:rFonts w:hint="eastAsia"/>
          <w:color w:val="auto"/>
          <w:lang w:val="en-US" w:eastAsia="zh-CN"/>
        </w:rPr>
        <w:t>截水沟布置于尾矿库周边，用于减少外部雨水进入库内，主排洪明渠兼做右岸截水沟。</w:t>
      </w:r>
    </w:p>
    <w:p w14:paraId="1E85FD72">
      <w:pPr>
        <w:rPr>
          <w:rFonts w:hint="eastAsia"/>
          <w:color w:val="auto"/>
          <w:lang w:val="en-US" w:eastAsia="zh-CN"/>
        </w:rPr>
      </w:pPr>
      <w:r>
        <w:rPr>
          <w:rFonts w:hint="eastAsia"/>
          <w:color w:val="auto"/>
          <w:lang w:val="en-US" w:eastAsia="zh-CN"/>
        </w:rPr>
        <w:t>2 库面排水沟</w:t>
      </w:r>
    </w:p>
    <w:p w14:paraId="06C6E5EE">
      <w:pPr>
        <w:rPr>
          <w:rFonts w:hint="eastAsia"/>
          <w:color w:val="auto"/>
          <w:lang w:val="en-US" w:eastAsia="zh-CN"/>
        </w:rPr>
      </w:pPr>
      <w:r>
        <w:rPr>
          <w:rFonts w:hint="eastAsia"/>
          <w:color w:val="auto"/>
          <w:lang w:val="en-US" w:eastAsia="zh-CN"/>
        </w:rPr>
        <w:t>库面排水沟布置于库内，用于收集库面降雨形成的汇流，使之有序的排入排洪明渠，防止集中水流冲刷坡面覆盖层造成破坏。</w:t>
      </w:r>
    </w:p>
    <w:p w14:paraId="5885135A">
      <w:pPr>
        <w:rPr>
          <w:rFonts w:hint="eastAsia"/>
          <w:color w:val="auto"/>
          <w:lang w:val="en-US" w:eastAsia="zh-CN"/>
        </w:rPr>
      </w:pPr>
      <w:r>
        <w:rPr>
          <w:rFonts w:hint="eastAsia"/>
          <w:color w:val="auto"/>
          <w:lang w:val="en-US" w:eastAsia="zh-CN"/>
        </w:rPr>
        <w:t>3 排水明渠</w:t>
      </w:r>
    </w:p>
    <w:p w14:paraId="77165192">
      <w:pPr>
        <w:rPr>
          <w:rFonts w:hint="eastAsia"/>
          <w:color w:val="auto"/>
          <w:lang w:val="en-US" w:eastAsia="zh-CN"/>
        </w:rPr>
      </w:pPr>
      <w:r>
        <w:rPr>
          <w:rFonts w:hint="eastAsia"/>
          <w:color w:val="auto"/>
          <w:lang w:val="en-US" w:eastAsia="zh-CN"/>
        </w:rPr>
        <w:t>排水明渠布置于尾矿库主坝前70m处，平行与主坝轴线方向布置，排水明渠分别从左右岸坡向排洪明渠2，与排洪明渠2相接。</w:t>
      </w:r>
    </w:p>
    <w:p w14:paraId="1D35889E">
      <w:pPr>
        <w:rPr>
          <w:rFonts w:hint="eastAsia"/>
          <w:color w:val="auto"/>
          <w:lang w:val="en-US" w:eastAsia="zh-CN"/>
        </w:rPr>
      </w:pPr>
      <w:r>
        <w:rPr>
          <w:rFonts w:hint="eastAsia"/>
          <w:color w:val="auto"/>
          <w:lang w:val="en-US" w:eastAsia="zh-CN"/>
        </w:rPr>
        <w:t>4 排洪明渠</w:t>
      </w:r>
    </w:p>
    <w:p w14:paraId="3D28C0CD">
      <w:pPr>
        <w:rPr>
          <w:rFonts w:hint="eastAsia"/>
          <w:color w:val="auto"/>
          <w:lang w:val="en-US" w:eastAsia="zh-CN"/>
        </w:rPr>
      </w:pPr>
      <w:r>
        <w:rPr>
          <w:rFonts w:hint="eastAsia"/>
          <w:color w:val="auto"/>
          <w:lang w:val="en-US" w:eastAsia="zh-CN"/>
        </w:rPr>
        <w:t>库内洪水通过位于尾矿库中部的排洪明渠2和排洪明渠1排至溢流坝排出库外，排洪明渠2由主坝前70m干滩处经尾矿库中部接排洪明渠1再延伸至溢流坝处，从尾矿库左岸设置排洪明渠3接至排洪明渠1，将尾矿库左岸雨水引入排洪明渠1排出库外，在溢流坝处经坝前沉砂池与溢流坝左岸2格泄水口相接。</w:t>
      </w:r>
    </w:p>
    <w:p w14:paraId="6E746823">
      <w:pPr>
        <w:rPr>
          <w:rFonts w:hint="eastAsia"/>
          <w:color w:val="auto"/>
          <w:lang w:val="en-US" w:eastAsia="zh-CN"/>
        </w:rPr>
      </w:pPr>
      <w:r>
        <w:rPr>
          <w:rFonts w:hint="eastAsia"/>
          <w:color w:val="auto"/>
          <w:lang w:val="en-US" w:eastAsia="zh-CN"/>
        </w:rPr>
        <w:t>截水沟、库面排水沟、排水明渠及排洪明渠相连通，形成库面排水网，有效地将库面的雨水汇流至溢流坝处排出库外。</w:t>
      </w:r>
    </w:p>
    <w:p w14:paraId="76A9BCD6">
      <w:pPr>
        <w:pStyle w:val="4"/>
        <w:bidi w:val="0"/>
        <w:rPr>
          <w:rFonts w:hint="default"/>
          <w:color w:val="auto"/>
          <w:lang w:val="en-US" w:eastAsia="zh-CN"/>
        </w:rPr>
      </w:pPr>
      <w:bookmarkStart w:id="180" w:name="_Toc26144"/>
      <w:r>
        <w:rPr>
          <w:rFonts w:hint="eastAsia"/>
          <w:color w:val="auto"/>
          <w:lang w:val="en-US" w:eastAsia="zh-CN"/>
        </w:rPr>
        <w:t>2.9.3 尾矿坝闭库工程措施</w:t>
      </w:r>
      <w:bookmarkEnd w:id="180"/>
    </w:p>
    <w:p w14:paraId="46975AE7">
      <w:pPr>
        <w:rPr>
          <w:rFonts w:hint="default"/>
          <w:color w:val="auto"/>
          <w:lang w:val="en-US" w:eastAsia="zh-CN"/>
        </w:rPr>
      </w:pPr>
      <w:r>
        <w:rPr>
          <w:rFonts w:hint="eastAsia"/>
          <w:color w:val="auto"/>
          <w:lang w:val="en-US" w:eastAsia="zh-CN"/>
        </w:rPr>
        <w:t>1. 主坝整治</w:t>
      </w:r>
    </w:p>
    <w:p w14:paraId="628C5A14">
      <w:pPr>
        <w:bidi w:val="0"/>
        <w:rPr>
          <w:rFonts w:hint="eastAsia"/>
          <w:color w:val="auto"/>
          <w:lang w:val="en-US" w:eastAsia="zh-CN"/>
        </w:rPr>
      </w:pPr>
      <w:r>
        <w:rPr>
          <w:rFonts w:hint="eastAsia"/>
          <w:color w:val="auto"/>
          <w:lang w:val="en-US" w:eastAsia="zh-CN"/>
        </w:rPr>
        <w:t>对初期坝采用碾压块石进行加固，碾压块石压坡体顶高程+306.7m，与初期坝顶平齐，碾压块石压坡体顶宽5.0m，下游坡比均为1</w:t>
      </w:r>
      <w:r>
        <w:rPr>
          <w:rFonts w:hint="eastAsia"/>
          <w:color w:val="auto"/>
        </w:rPr>
        <w:t>∶</w:t>
      </w:r>
      <w:r>
        <w:rPr>
          <w:rFonts w:hint="eastAsia"/>
          <w:color w:val="auto"/>
          <w:lang w:val="en-US" w:eastAsia="zh-CN"/>
        </w:rPr>
        <w:t>2.5，于+300.0m高程设马道，马道宽2.0m。</w:t>
      </w:r>
    </w:p>
    <w:p w14:paraId="1441E5E5">
      <w:pPr>
        <w:bidi w:val="0"/>
        <w:rPr>
          <w:rFonts w:hint="eastAsia"/>
          <w:color w:val="auto"/>
          <w:lang w:val="en-US" w:eastAsia="zh-CN"/>
        </w:rPr>
      </w:pPr>
      <w:r>
        <w:rPr>
          <w:rFonts w:hint="eastAsia"/>
          <w:color w:val="auto"/>
          <w:lang w:val="en-US" w:eastAsia="zh-CN"/>
        </w:rPr>
        <w:t>堆积坝保持现状不变，清除下游茅草，对干滩整治后坝顶及堆积坝下游尾砂裸露处采用碎石进行覆盖护坡，碎石护坡层厚不小于30cm，并修建坝面排水沟。堆积坝整治完成后顶高程为+334.5m，坝顶宽6.0m，坝高44.2m（闭库后），堆积坝下游平均坡比1</w:t>
      </w:r>
      <w:r>
        <w:rPr>
          <w:rFonts w:hint="eastAsia"/>
          <w:color w:val="auto"/>
        </w:rPr>
        <w:t>∶</w:t>
      </w:r>
      <w:r>
        <w:rPr>
          <w:rFonts w:hint="eastAsia"/>
          <w:color w:val="auto"/>
          <w:lang w:val="en-US" w:eastAsia="zh-CN"/>
        </w:rPr>
        <w:t>5.21。</w:t>
      </w:r>
    </w:p>
    <w:p w14:paraId="6F30BF62">
      <w:pPr>
        <w:rPr>
          <w:rFonts w:hint="default"/>
          <w:color w:val="auto"/>
          <w:lang w:val="en-US" w:eastAsia="zh-CN"/>
        </w:rPr>
      </w:pPr>
      <w:r>
        <w:rPr>
          <w:rFonts w:hint="eastAsia"/>
          <w:color w:val="auto"/>
          <w:lang w:val="en-US" w:eastAsia="zh-CN"/>
        </w:rPr>
        <w:t>2. 副坝整治</w:t>
      </w:r>
    </w:p>
    <w:p w14:paraId="469A83F0">
      <w:pPr>
        <w:rPr>
          <w:rFonts w:hint="eastAsia"/>
          <w:color w:val="auto"/>
          <w:lang w:val="en-US" w:eastAsia="zh-CN"/>
        </w:rPr>
      </w:pPr>
      <w:r>
        <w:rPr>
          <w:rFonts w:hint="eastAsia"/>
          <w:color w:val="auto"/>
          <w:lang w:val="en-US" w:eastAsia="zh-CN"/>
        </w:rPr>
        <w:t>现状副坝稳定性满足规范要求，因此保持现状副坝不变，清除坝顶及下游坝面杂草，修复破损的坝肩沟。</w:t>
      </w:r>
    </w:p>
    <w:p w14:paraId="71AEC988">
      <w:pPr>
        <w:rPr>
          <w:rFonts w:hint="default"/>
          <w:color w:val="auto"/>
          <w:lang w:val="en-US" w:eastAsia="zh-CN"/>
        </w:rPr>
      </w:pPr>
      <w:r>
        <w:rPr>
          <w:rFonts w:hint="eastAsia"/>
          <w:color w:val="auto"/>
          <w:lang w:val="en-US" w:eastAsia="zh-CN"/>
        </w:rPr>
        <w:t>3. 溢流坝改造</w:t>
      </w:r>
    </w:p>
    <w:p w14:paraId="4114A488">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现状溢流坝稳定性满足规范要求，闭库时左右岸非溢流坝段保持不变，拆除溢流坝钢筋混凝土支墩并降低溢流坝顶高程与排洪明渠相接。</w:t>
      </w:r>
    </w:p>
    <w:p w14:paraId="4EA0723A">
      <w:pPr>
        <w:pStyle w:val="4"/>
        <w:bidi w:val="0"/>
        <w:rPr>
          <w:rFonts w:hint="default"/>
          <w:color w:val="auto"/>
          <w:lang w:val="en-US" w:eastAsia="zh-CN"/>
        </w:rPr>
      </w:pPr>
      <w:bookmarkStart w:id="181" w:name="_Toc17684"/>
      <w:r>
        <w:rPr>
          <w:rFonts w:hint="eastAsia"/>
          <w:color w:val="auto"/>
          <w:lang w:val="en-US" w:eastAsia="zh-CN"/>
        </w:rPr>
        <w:t>2.9.4 坝面及坝肩排水</w:t>
      </w:r>
      <w:bookmarkEnd w:id="181"/>
    </w:p>
    <w:p w14:paraId="1EA665FD">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现状主坝和副坝两坝肩修建有坝肩沟，堆积坝下游坡面修建有坝面排水沟，现有坝面排水沟和坝肩沟局部有破损和淤积，采用M7.5水泥砂浆砖砌结构进行修复，断面尺寸与现有尺寸一致，沟内侧采用1</w:t>
      </w:r>
      <w:r>
        <w:rPr>
          <w:rFonts w:hint="eastAsia"/>
          <w:color w:val="auto"/>
        </w:rPr>
        <w:t>∶</w:t>
      </w:r>
      <w:r>
        <w:rPr>
          <w:rFonts w:hint="eastAsia" w:ascii="Times New Roman" w:hAnsi="Times New Roman" w:eastAsia="宋体" w:cs="Times New Roman"/>
          <w:color w:val="auto"/>
          <w:lang w:val="en-US" w:eastAsia="zh-CN"/>
        </w:rPr>
        <w:t>3水泥砂浆抹面，厚2cm，清理坝面排水沟和坝肩沟内淤积物。</w:t>
      </w:r>
    </w:p>
    <w:p w14:paraId="305877FD">
      <w:pPr>
        <w:rPr>
          <w:rFonts w:hint="eastAsia"/>
          <w:color w:val="auto"/>
          <w:lang w:val="en-US" w:eastAsia="zh-CN"/>
        </w:rPr>
      </w:pPr>
      <w:r>
        <w:rPr>
          <w:rFonts w:hint="eastAsia"/>
          <w:color w:val="auto"/>
        </w:rPr>
        <w:t>在主坝碾压块石加固体坡脚增设集渗沟，集渗沟内渗水引流至坝下游渗滤液收集池沉淀后排往下游。</w:t>
      </w:r>
    </w:p>
    <w:p w14:paraId="16535E17">
      <w:pPr>
        <w:pStyle w:val="4"/>
        <w:bidi w:val="0"/>
        <w:rPr>
          <w:rFonts w:hint="default"/>
          <w:color w:val="auto"/>
          <w:lang w:val="en-US" w:eastAsia="zh-CN"/>
        </w:rPr>
      </w:pPr>
      <w:bookmarkStart w:id="182" w:name="_Toc29327"/>
      <w:r>
        <w:rPr>
          <w:rFonts w:hint="eastAsia"/>
          <w:color w:val="auto"/>
          <w:lang w:val="en-US" w:eastAsia="zh-CN"/>
        </w:rPr>
        <w:t>2.9.5 地质灾害防护设施</w:t>
      </w:r>
      <w:bookmarkEnd w:id="182"/>
    </w:p>
    <w:p w14:paraId="18EB1BB1">
      <w:pPr>
        <w:rPr>
          <w:rFonts w:hint="eastAsia"/>
          <w:color w:val="auto"/>
          <w:lang w:val="en-US" w:eastAsia="zh-CN"/>
        </w:rPr>
      </w:pPr>
      <w:r>
        <w:rPr>
          <w:rFonts w:hint="eastAsia"/>
          <w:color w:val="auto"/>
          <w:lang w:val="en-US" w:eastAsia="zh-CN"/>
        </w:rPr>
        <w:t>针对闭库后的截水沟岸坡，要求在其坡面上设置草皮护坡，减小水土流失，可以有效控制可能的地质灾害。</w:t>
      </w:r>
    </w:p>
    <w:p w14:paraId="609C3B54">
      <w:pPr>
        <w:pStyle w:val="4"/>
        <w:bidi w:val="0"/>
        <w:rPr>
          <w:rFonts w:hint="default"/>
          <w:color w:val="auto"/>
          <w:lang w:val="en-US" w:eastAsia="zh-CN"/>
        </w:rPr>
      </w:pPr>
      <w:bookmarkStart w:id="183" w:name="_Toc20684"/>
      <w:r>
        <w:rPr>
          <w:rFonts w:hint="eastAsia"/>
          <w:color w:val="auto"/>
          <w:lang w:val="en-US" w:eastAsia="zh-CN"/>
        </w:rPr>
        <w:t>2.9.6 安全监测设施</w:t>
      </w:r>
      <w:bookmarkEnd w:id="183"/>
    </w:p>
    <w:p w14:paraId="1E5BF913">
      <w:pPr>
        <w:rPr>
          <w:rFonts w:hint="eastAsia"/>
          <w:color w:val="auto"/>
          <w:lang w:val="en-US" w:eastAsia="zh-CN"/>
        </w:rPr>
      </w:pPr>
      <w:r>
        <w:rPr>
          <w:rFonts w:hint="eastAsia"/>
          <w:color w:val="auto"/>
          <w:lang w:val="en-US" w:eastAsia="zh-CN"/>
        </w:rPr>
        <w:t>闭库后不再使用在线监测设施，只布置人工观测设施，现有部分人工观测设施利旧。</w:t>
      </w:r>
    </w:p>
    <w:p w14:paraId="72323677">
      <w:pPr>
        <w:pStyle w:val="4"/>
        <w:bidi w:val="0"/>
        <w:rPr>
          <w:rFonts w:hint="eastAsia"/>
          <w:color w:val="auto"/>
          <w:lang w:val="en-US" w:eastAsia="zh-CN"/>
        </w:rPr>
      </w:pPr>
      <w:bookmarkStart w:id="184" w:name="_Toc28921"/>
      <w:r>
        <w:rPr>
          <w:rFonts w:hint="eastAsia"/>
          <w:color w:val="auto"/>
          <w:lang w:val="en-US" w:eastAsia="zh-CN"/>
        </w:rPr>
        <w:t>2.9.7 辅助设施</w:t>
      </w:r>
      <w:bookmarkEnd w:id="184"/>
    </w:p>
    <w:p w14:paraId="5C063F3B">
      <w:pPr>
        <w:rPr>
          <w:rFonts w:hint="default"/>
          <w:color w:val="auto"/>
          <w:lang w:val="en-US" w:eastAsia="zh-CN"/>
        </w:rPr>
      </w:pPr>
      <w:r>
        <w:rPr>
          <w:rFonts w:hint="eastAsia"/>
          <w:color w:val="auto"/>
          <w:lang w:val="en-US" w:eastAsia="zh-CN"/>
        </w:rPr>
        <w:t>1. 上坝道路及检修便道</w:t>
      </w:r>
    </w:p>
    <w:p w14:paraId="009AAFAD">
      <w:pPr>
        <w:rPr>
          <w:rFonts w:hint="eastAsia"/>
          <w:color w:val="auto"/>
          <w:lang w:val="en-US" w:eastAsia="zh-CN"/>
        </w:rPr>
      </w:pPr>
      <w:r>
        <w:rPr>
          <w:rFonts w:hint="eastAsia"/>
          <w:color w:val="auto"/>
          <w:lang w:val="en-US" w:eastAsia="zh-CN"/>
        </w:rPr>
        <w:t>尾矿库右岸现有道路可以直接作为上坝道路，可以直接到达主坝和副坝，经修整后可以继续作为到达尾矿库主坝和副坝的道路；尾矿库现有道路可直接到达溢流坝坝下，闭库后继续使用；利用尾矿库右岸现有道路并延伸至主排洪明渠进口处，作为主排洪明渠施工及检修道路。</w:t>
      </w:r>
    </w:p>
    <w:p w14:paraId="7D476FFE">
      <w:pPr>
        <w:rPr>
          <w:rFonts w:hint="default"/>
          <w:color w:val="auto"/>
          <w:lang w:val="en-US" w:eastAsia="zh-CN"/>
        </w:rPr>
      </w:pPr>
      <w:r>
        <w:rPr>
          <w:rFonts w:hint="eastAsia"/>
          <w:color w:val="auto"/>
          <w:lang w:val="en-US" w:eastAsia="zh-CN"/>
        </w:rPr>
        <w:t>2. 通讯</w:t>
      </w:r>
    </w:p>
    <w:p w14:paraId="64AFC94F">
      <w:pPr>
        <w:rPr>
          <w:rFonts w:hint="eastAsia"/>
          <w:color w:val="auto"/>
          <w:lang w:val="en-US" w:eastAsia="zh-CN"/>
        </w:rPr>
      </w:pPr>
      <w:r>
        <w:rPr>
          <w:rFonts w:hint="eastAsia"/>
          <w:color w:val="auto"/>
          <w:lang w:val="en-US" w:eastAsia="zh-CN"/>
        </w:rPr>
        <w:t>库区移动通讯（手机）信号较稳定，能确保尾矿库值守人员与外界的通讯畅通。</w:t>
      </w:r>
    </w:p>
    <w:p w14:paraId="0EFCCBAD">
      <w:pPr>
        <w:rPr>
          <w:rFonts w:hint="default"/>
          <w:color w:val="auto"/>
          <w:lang w:val="en-US" w:eastAsia="zh-CN"/>
        </w:rPr>
      </w:pPr>
      <w:r>
        <w:rPr>
          <w:rFonts w:hint="eastAsia"/>
          <w:color w:val="auto"/>
          <w:lang w:val="en-US" w:eastAsia="zh-CN"/>
        </w:rPr>
        <w:t>3. 管理房</w:t>
      </w:r>
    </w:p>
    <w:p w14:paraId="3663DA46">
      <w:pPr>
        <w:rPr>
          <w:rFonts w:hint="eastAsia"/>
          <w:color w:val="auto"/>
          <w:lang w:val="en-US" w:eastAsia="zh-CN"/>
        </w:rPr>
      </w:pPr>
      <w:r>
        <w:rPr>
          <w:rFonts w:hint="eastAsia"/>
          <w:color w:val="auto"/>
          <w:lang w:val="en-US" w:eastAsia="zh-CN"/>
        </w:rPr>
        <w:t>按国家职业安全有关规范和规定对尾矿库管理人员设立尾矿库管理房。尾矿库现有管理房设置在尾矿库右岸山体上，尾矿库闭库后继续使用该管理值班房。</w:t>
      </w:r>
    </w:p>
    <w:p w14:paraId="4AD1FF20">
      <w:pPr>
        <w:pStyle w:val="4"/>
        <w:bidi w:val="0"/>
        <w:rPr>
          <w:rFonts w:hint="eastAsia"/>
          <w:color w:val="auto"/>
          <w:lang w:val="en-US" w:eastAsia="zh-CN"/>
        </w:rPr>
      </w:pPr>
      <w:bookmarkStart w:id="185" w:name="_Toc21239"/>
      <w:r>
        <w:rPr>
          <w:rFonts w:hint="eastAsia"/>
          <w:color w:val="auto"/>
          <w:lang w:val="en-US" w:eastAsia="zh-CN"/>
        </w:rPr>
        <w:t>2.9.8 个人安全防护</w:t>
      </w:r>
      <w:bookmarkEnd w:id="185"/>
    </w:p>
    <w:p w14:paraId="4FFA7205">
      <w:pPr>
        <w:rPr>
          <w:rFonts w:hint="eastAsia"/>
          <w:color w:val="auto"/>
          <w:lang w:val="en-US" w:eastAsia="zh-CN"/>
        </w:rPr>
      </w:pPr>
      <w:r>
        <w:rPr>
          <w:rFonts w:hint="eastAsia"/>
          <w:color w:val="auto"/>
          <w:lang w:val="en-US" w:eastAsia="zh-CN"/>
        </w:rPr>
        <w:t>个人安全防护设施配备安全帽、探照灯、通讯设备等，可以满足尾矿库安全管理人员作业要求。</w:t>
      </w:r>
    </w:p>
    <w:p w14:paraId="5EC2952B">
      <w:pPr>
        <w:pStyle w:val="4"/>
        <w:bidi w:val="0"/>
        <w:rPr>
          <w:rFonts w:hint="default"/>
          <w:color w:val="auto"/>
          <w:lang w:val="en-US" w:eastAsia="zh-CN"/>
        </w:rPr>
      </w:pPr>
      <w:bookmarkStart w:id="186" w:name="_Toc19418"/>
      <w:r>
        <w:rPr>
          <w:rFonts w:hint="eastAsia"/>
          <w:color w:val="auto"/>
          <w:lang w:val="en-US" w:eastAsia="zh-CN"/>
        </w:rPr>
        <w:t>2.9.9 安全标志</w:t>
      </w:r>
      <w:bookmarkEnd w:id="186"/>
    </w:p>
    <w:p w14:paraId="0AE23097">
      <w:pPr>
        <w:rPr>
          <w:rFonts w:hint="eastAsia"/>
          <w:color w:val="auto"/>
          <w:lang w:val="en-US" w:eastAsia="zh-CN"/>
        </w:rPr>
      </w:pPr>
      <w:r>
        <w:rPr>
          <w:rFonts w:hint="eastAsia"/>
          <w:color w:val="auto"/>
          <w:lang w:val="en-US" w:eastAsia="zh-CN"/>
        </w:rPr>
        <w:t>尾矿库周边存在较多危险区域，应在危险区域周边设置安全警示标志。要求于尾矿库进库道路、尾矿坝坝下游、坝顶、副坝溢流坝、主排洪明渠进口等处设置安全标识，提示库区危险，非尾矿库管理人员不得入内，禁止放牧、开垦，在尾矿库主排洪明渠进水口、溢流坝设置安全标识，提示禁止游泳，当心坠落等，并在库尾沉砂池、坝前沉砂池其周边设置高度不小于1m的不锈钢防护栏杆。</w:t>
      </w:r>
    </w:p>
    <w:p w14:paraId="64B8BD54">
      <w:pPr>
        <w:rPr>
          <w:rFonts w:hint="eastAsia"/>
          <w:color w:val="auto"/>
          <w:lang w:val="en-US" w:eastAsia="zh-CN"/>
        </w:rPr>
      </w:pPr>
    </w:p>
    <w:p w14:paraId="4CD36935">
      <w:pPr>
        <w:pStyle w:val="2"/>
        <w:numPr>
          <w:ilvl w:val="0"/>
          <w:numId w:val="1"/>
        </w:numPr>
        <w:bidi w:val="0"/>
        <w:ind w:left="0" w:leftChars="0" w:firstLine="0" w:firstLineChars="0"/>
        <w:jc w:val="center"/>
        <w:rPr>
          <w:rFonts w:hint="default"/>
          <w:color w:val="auto"/>
          <w:lang w:val="en-US" w:eastAsia="zh-CN"/>
        </w:rPr>
      </w:pPr>
      <w:r>
        <w:rPr>
          <w:rFonts w:hint="eastAsia"/>
          <w:color w:val="auto"/>
          <w:lang w:val="en-US" w:eastAsia="zh-CN"/>
        </w:rPr>
        <w:br w:type="page"/>
      </w:r>
      <w:bookmarkStart w:id="187" w:name="_Toc6734"/>
      <w:bookmarkStart w:id="188" w:name="_Toc4429"/>
      <w:bookmarkStart w:id="189" w:name="_Toc10699"/>
      <w:bookmarkStart w:id="190" w:name="_Toc14813"/>
      <w:bookmarkStart w:id="191" w:name="_Toc18142"/>
      <w:r>
        <w:rPr>
          <w:rFonts w:hint="default" w:ascii="Times New Roman" w:hAnsi="Times New Roman" w:cs="Times New Roman"/>
          <w:b/>
          <w:bCs/>
          <w:color w:val="auto"/>
          <w:lang w:val="en-US" w:eastAsia="zh-CN"/>
        </w:rPr>
        <w:t>辩识与分析危险、有害因素</w:t>
      </w:r>
      <w:bookmarkEnd w:id="187"/>
      <w:bookmarkEnd w:id="188"/>
      <w:bookmarkEnd w:id="189"/>
      <w:bookmarkEnd w:id="190"/>
      <w:bookmarkEnd w:id="191"/>
    </w:p>
    <w:p w14:paraId="73126A75">
      <w:pPr>
        <w:rPr>
          <w:rFonts w:hint="default"/>
          <w:color w:val="auto"/>
          <w:lang w:val="en-US" w:eastAsia="zh-CN"/>
        </w:rPr>
      </w:pPr>
      <w:r>
        <w:rPr>
          <w:rFonts w:hint="default"/>
          <w:color w:val="auto"/>
          <w:lang w:val="en-US" w:eastAsia="zh-CN"/>
        </w:rPr>
        <w:t>尾矿库是矿山的一项重要生产设施，它的运行状况好坏，直接关系到矿山的安全生产和人民生命财产的安全。据统计，在世界上的各种重大灾害中，尾矿库灾害仅次于发生地震、霍乱、洪水和氢弹爆炸而居于第18位。它一旦发生事故，必将对下游地区居民的生命和财产造成巨大灾害，并对环境造成严重污染。</w:t>
      </w:r>
    </w:p>
    <w:p w14:paraId="09ABD53D">
      <w:pPr>
        <w:pStyle w:val="3"/>
        <w:numPr>
          <w:ilvl w:val="1"/>
          <w:numId w:val="0"/>
        </w:numPr>
        <w:bidi w:val="0"/>
        <w:ind w:left="0" w:leftChars="0" w:firstLine="0" w:firstLineChars="0"/>
        <w:rPr>
          <w:rFonts w:hint="eastAsia"/>
          <w:color w:val="auto"/>
          <w:lang w:eastAsia="zh-CN"/>
        </w:rPr>
      </w:pPr>
      <w:bookmarkStart w:id="192" w:name="_Toc9916"/>
      <w:bookmarkStart w:id="193" w:name="_Toc3280"/>
      <w:bookmarkStart w:id="194" w:name="_Toc24321"/>
      <w:bookmarkStart w:id="195" w:name="_Toc23486"/>
      <w:bookmarkStart w:id="196" w:name="_Toc19083"/>
      <w:bookmarkStart w:id="197" w:name="_Toc3609"/>
      <w:bookmarkStart w:id="198" w:name="_Toc1374"/>
      <w:bookmarkStart w:id="199" w:name="_Toc22876"/>
      <w:r>
        <w:rPr>
          <w:rFonts w:hint="eastAsia" w:cs="Times New Roman"/>
          <w:b/>
          <w:color w:val="auto"/>
          <w:kern w:val="2"/>
          <w:sz w:val="30"/>
          <w:szCs w:val="24"/>
          <w:lang w:val="en-US" w:eastAsia="zh-CN" w:bidi="ar-SA"/>
        </w:rPr>
        <w:t>3</w:t>
      </w:r>
      <w:r>
        <w:rPr>
          <w:rFonts w:hint="default" w:ascii="Times New Roman" w:hAnsi="Times New Roman" w:eastAsia="黑体" w:cs="Times New Roman"/>
          <w:b/>
          <w:color w:val="auto"/>
          <w:kern w:val="2"/>
          <w:sz w:val="30"/>
          <w:szCs w:val="24"/>
          <w:lang w:val="en-US" w:eastAsia="zh-CN" w:bidi="ar-SA"/>
        </w:rPr>
        <w:t>.1</w:t>
      </w:r>
      <w:r>
        <w:rPr>
          <w:rFonts w:hint="eastAsia" w:cs="Times New Roman"/>
          <w:b/>
          <w:color w:val="auto"/>
          <w:kern w:val="2"/>
          <w:sz w:val="30"/>
          <w:szCs w:val="24"/>
          <w:lang w:val="en-US" w:eastAsia="zh-CN" w:bidi="ar-SA"/>
        </w:rPr>
        <w:t xml:space="preserve"> </w:t>
      </w:r>
      <w:r>
        <w:rPr>
          <w:rFonts w:hint="eastAsia"/>
          <w:color w:val="auto"/>
          <w:lang w:eastAsia="zh-CN"/>
        </w:rPr>
        <w:t>尾矿库病害的产生原因</w:t>
      </w:r>
      <w:bookmarkEnd w:id="192"/>
      <w:bookmarkEnd w:id="193"/>
      <w:bookmarkEnd w:id="194"/>
      <w:bookmarkEnd w:id="195"/>
      <w:bookmarkEnd w:id="196"/>
      <w:bookmarkEnd w:id="197"/>
      <w:bookmarkEnd w:id="198"/>
      <w:bookmarkEnd w:id="199"/>
    </w:p>
    <w:p w14:paraId="2D5E5C9E">
      <w:pPr>
        <w:rPr>
          <w:rFonts w:hint="eastAsia"/>
          <w:color w:val="auto"/>
          <w:lang w:eastAsia="zh-CN"/>
        </w:rPr>
      </w:pPr>
      <w:r>
        <w:rPr>
          <w:rFonts w:hint="eastAsia" w:eastAsia="宋体"/>
          <w:color w:val="auto"/>
          <w:lang w:eastAsia="zh-CN"/>
        </w:rPr>
        <w:t>尾矿库从勘察、设计、施工到使用的全过程中，任何一个环节有毛病，都可能导致尾矿库不能正常使用。其中，由于生产管理不善、操作不当或外界环境因素干扰所造成的病害比较容易检查发现；而勘察、设计、施工或其它原因造成隐患，在使用初期不易显现出来，这些常被人忽视的隐患往往属于很难补救和治理的病害。</w:t>
      </w:r>
    </w:p>
    <w:p w14:paraId="4ECE70CD">
      <w:pPr>
        <w:pStyle w:val="4"/>
        <w:bidi w:val="0"/>
        <w:rPr>
          <w:rFonts w:hint="eastAsia"/>
          <w:color w:val="auto"/>
          <w:lang w:eastAsia="zh-CN"/>
        </w:rPr>
      </w:pPr>
      <w:bookmarkStart w:id="200" w:name="_Toc13389"/>
      <w:bookmarkStart w:id="201" w:name="_Toc19828"/>
      <w:bookmarkStart w:id="202" w:name="_Toc20826"/>
      <w:bookmarkStart w:id="203" w:name="_Toc9241"/>
      <w:bookmarkStart w:id="204" w:name="_Toc7035"/>
      <w:bookmarkStart w:id="205" w:name="_Toc27439"/>
      <w:bookmarkStart w:id="206" w:name="_Toc29015"/>
      <w:bookmarkStart w:id="207" w:name="_Toc25961"/>
      <w:bookmarkStart w:id="208" w:name="_Toc29693"/>
      <w:bookmarkStart w:id="209" w:name="_Toc29757"/>
      <w:bookmarkStart w:id="210" w:name="_Toc20861"/>
      <w:r>
        <w:rPr>
          <w:rFonts w:hint="eastAsia"/>
          <w:color w:val="auto"/>
          <w:lang w:eastAsia="zh-CN"/>
        </w:rPr>
        <w:t>3.1.1</w:t>
      </w:r>
      <w:r>
        <w:rPr>
          <w:rFonts w:hint="eastAsia"/>
          <w:color w:val="auto"/>
          <w:lang w:val="en-US" w:eastAsia="zh-CN"/>
        </w:rPr>
        <w:t xml:space="preserve"> </w:t>
      </w:r>
      <w:r>
        <w:rPr>
          <w:rFonts w:hint="eastAsia"/>
          <w:color w:val="auto"/>
          <w:lang w:eastAsia="zh-CN"/>
        </w:rPr>
        <w:t>勘察因素造成的病害</w:t>
      </w:r>
      <w:bookmarkEnd w:id="200"/>
      <w:bookmarkEnd w:id="201"/>
      <w:bookmarkEnd w:id="202"/>
      <w:bookmarkEnd w:id="203"/>
      <w:bookmarkEnd w:id="204"/>
      <w:bookmarkEnd w:id="205"/>
      <w:bookmarkEnd w:id="206"/>
      <w:bookmarkEnd w:id="207"/>
      <w:bookmarkEnd w:id="208"/>
      <w:bookmarkEnd w:id="209"/>
      <w:bookmarkEnd w:id="210"/>
    </w:p>
    <w:p w14:paraId="3D75177A">
      <w:pPr>
        <w:rPr>
          <w:rFonts w:hint="eastAsia"/>
          <w:color w:val="auto"/>
          <w:lang w:eastAsia="zh-CN"/>
        </w:rPr>
      </w:pPr>
      <w:r>
        <w:rPr>
          <w:rFonts w:hint="eastAsia" w:eastAsia="宋体"/>
          <w:color w:val="auto"/>
          <w:lang w:eastAsia="zh-CN"/>
        </w:rPr>
        <w:t>对库区、坝基、排洪管线等处的不良地质条件未能查明，就可能造成库内滑坡、坝体变形、坝基渗漏、排洪涵管断裂、排水井倒塌等病害。</w:t>
      </w:r>
    </w:p>
    <w:p w14:paraId="53EBD6A0">
      <w:pPr>
        <w:rPr>
          <w:rFonts w:hint="eastAsia"/>
          <w:color w:val="auto"/>
          <w:lang w:eastAsia="zh-CN"/>
        </w:rPr>
      </w:pPr>
      <w:r>
        <w:rPr>
          <w:rFonts w:hint="eastAsia" w:eastAsia="宋体"/>
          <w:color w:val="auto"/>
          <w:lang w:eastAsia="zh-CN"/>
        </w:rPr>
        <w:t>对尾矿堆坝坝体的勘察质量低劣，则导致稳定分析、排洪能力等结论的不可靠。</w:t>
      </w:r>
    </w:p>
    <w:p w14:paraId="38224349">
      <w:pPr>
        <w:pStyle w:val="4"/>
        <w:bidi w:val="0"/>
        <w:rPr>
          <w:rFonts w:hint="eastAsia"/>
          <w:color w:val="auto"/>
          <w:lang w:eastAsia="zh-CN"/>
        </w:rPr>
      </w:pPr>
      <w:bookmarkStart w:id="211" w:name="_Toc7052"/>
      <w:bookmarkStart w:id="212" w:name="_Toc30883"/>
      <w:bookmarkStart w:id="213" w:name="_Toc6634"/>
      <w:bookmarkStart w:id="214" w:name="_Toc24253"/>
      <w:bookmarkStart w:id="215" w:name="_Toc4962"/>
      <w:bookmarkStart w:id="216" w:name="_Toc22549"/>
      <w:bookmarkStart w:id="217" w:name="_Toc6407"/>
      <w:bookmarkStart w:id="218" w:name="_Toc3239"/>
      <w:bookmarkStart w:id="219" w:name="_Toc24660"/>
      <w:bookmarkStart w:id="220" w:name="_Toc6151"/>
      <w:bookmarkStart w:id="221" w:name="_Toc14833"/>
      <w:r>
        <w:rPr>
          <w:rFonts w:hint="eastAsia"/>
          <w:color w:val="auto"/>
          <w:lang w:eastAsia="zh-CN"/>
        </w:rPr>
        <w:t>3.1.2</w:t>
      </w:r>
      <w:r>
        <w:rPr>
          <w:rFonts w:hint="eastAsia"/>
          <w:color w:val="auto"/>
          <w:lang w:val="en-US" w:eastAsia="zh-CN"/>
        </w:rPr>
        <w:t xml:space="preserve"> </w:t>
      </w:r>
      <w:r>
        <w:rPr>
          <w:rFonts w:hint="eastAsia"/>
          <w:color w:val="auto"/>
          <w:lang w:eastAsia="zh-CN"/>
        </w:rPr>
        <w:t>设计因素造成的病害</w:t>
      </w:r>
      <w:bookmarkEnd w:id="211"/>
      <w:bookmarkEnd w:id="212"/>
      <w:bookmarkEnd w:id="213"/>
      <w:bookmarkEnd w:id="214"/>
      <w:bookmarkEnd w:id="215"/>
      <w:bookmarkEnd w:id="216"/>
      <w:bookmarkEnd w:id="217"/>
      <w:bookmarkEnd w:id="218"/>
      <w:bookmarkEnd w:id="219"/>
      <w:bookmarkEnd w:id="220"/>
      <w:bookmarkEnd w:id="221"/>
    </w:p>
    <w:p w14:paraId="4D4E204D">
      <w:pPr>
        <w:bidi w:val="0"/>
        <w:rPr>
          <w:rFonts w:hint="eastAsia"/>
          <w:color w:val="auto"/>
          <w:lang w:eastAsia="zh-CN"/>
        </w:rPr>
      </w:pPr>
      <w:r>
        <w:rPr>
          <w:rFonts w:hint="eastAsia" w:eastAsia="宋体"/>
          <w:color w:val="auto"/>
          <w:lang w:eastAsia="zh-CN"/>
        </w:rPr>
        <w:t>设计质量低劣表现在基础资料不确切、设计方案及技术论证方法不当、不遵循设计规范、对库水位及浸润线深度的控制要求不明确，或要求不切实际等方面。尽管目前设计单位资质齐全，但上述因素造成尾矿库带病运行的现象屡见不鲜。由此造成的隐患大多为坝体在中、后期稳定性和防洪能力不能满足设计规范的要求。其次，排水构筑物出现断裂、</w:t>
      </w:r>
      <w:r>
        <w:rPr>
          <w:rFonts w:hint="eastAsia" w:eastAsia="宋体"/>
          <w:color w:val="auto"/>
          <w:lang w:val="en-US" w:eastAsia="zh-CN"/>
        </w:rPr>
        <w:t>侵</w:t>
      </w:r>
      <w:r>
        <w:rPr>
          <w:rFonts w:hint="eastAsia" w:eastAsia="宋体"/>
          <w:color w:val="auto"/>
          <w:lang w:eastAsia="zh-CN"/>
        </w:rPr>
        <w:t>蚀、倒塌等病害也可能是由于设计人员技术不高或经验不足所造成。</w:t>
      </w:r>
    </w:p>
    <w:p w14:paraId="05149658">
      <w:pPr>
        <w:pStyle w:val="4"/>
        <w:bidi w:val="0"/>
        <w:rPr>
          <w:rFonts w:hint="eastAsia"/>
          <w:color w:val="auto"/>
          <w:lang w:eastAsia="zh-CN"/>
        </w:rPr>
      </w:pPr>
      <w:bookmarkStart w:id="222" w:name="_Toc11127"/>
      <w:bookmarkStart w:id="223" w:name="_Toc25605"/>
      <w:bookmarkStart w:id="224" w:name="_Toc25657"/>
      <w:bookmarkStart w:id="225" w:name="_Toc582"/>
      <w:bookmarkStart w:id="226" w:name="_Toc19724"/>
      <w:bookmarkStart w:id="227" w:name="_Toc1234"/>
      <w:bookmarkStart w:id="228" w:name="_Toc14439"/>
      <w:bookmarkStart w:id="229" w:name="_Toc17545"/>
      <w:bookmarkStart w:id="230" w:name="_Toc28009"/>
      <w:bookmarkStart w:id="231" w:name="_Toc2462"/>
      <w:bookmarkStart w:id="232" w:name="_Toc29215"/>
      <w:r>
        <w:rPr>
          <w:rFonts w:hint="eastAsia"/>
          <w:color w:val="auto"/>
          <w:lang w:eastAsia="zh-CN"/>
        </w:rPr>
        <w:t>3.1.3</w:t>
      </w:r>
      <w:r>
        <w:rPr>
          <w:rFonts w:hint="eastAsia"/>
          <w:color w:val="auto"/>
          <w:lang w:val="en-US" w:eastAsia="zh-CN"/>
        </w:rPr>
        <w:t xml:space="preserve"> </w:t>
      </w:r>
      <w:r>
        <w:rPr>
          <w:rFonts w:hint="eastAsia"/>
          <w:color w:val="auto"/>
          <w:lang w:eastAsia="zh-CN"/>
        </w:rPr>
        <w:t>施工因素造成的病害</w:t>
      </w:r>
      <w:bookmarkEnd w:id="222"/>
      <w:bookmarkEnd w:id="223"/>
      <w:bookmarkEnd w:id="224"/>
      <w:bookmarkEnd w:id="225"/>
      <w:bookmarkEnd w:id="226"/>
      <w:bookmarkEnd w:id="227"/>
      <w:bookmarkEnd w:id="228"/>
      <w:bookmarkEnd w:id="229"/>
      <w:bookmarkEnd w:id="230"/>
      <w:bookmarkEnd w:id="231"/>
      <w:bookmarkEnd w:id="232"/>
    </w:p>
    <w:p w14:paraId="57CC67A8">
      <w:pPr>
        <w:rPr>
          <w:rFonts w:hint="eastAsia"/>
          <w:color w:val="auto"/>
          <w:lang w:eastAsia="zh-CN"/>
        </w:rPr>
      </w:pPr>
      <w:r>
        <w:rPr>
          <w:rFonts w:hint="eastAsia" w:eastAsia="宋体"/>
          <w:color w:val="auto"/>
          <w:lang w:val="en-US" w:eastAsia="zh-CN"/>
        </w:rPr>
        <w:t>坝体</w:t>
      </w:r>
      <w:r>
        <w:rPr>
          <w:rFonts w:hint="eastAsia" w:eastAsia="宋体"/>
          <w:color w:val="auto"/>
          <w:lang w:eastAsia="zh-CN"/>
        </w:rPr>
        <w:t>施工中清基不彻底、坝体密实度不均、坝料不符合要求、反滤层铺设不当等，会造成坝体沉降不均、坝基或坝体漏矿、后期坝局部塌陷；排洪构筑物有蜂窝、麻面或强度不达标，当负荷逐渐增大时，会造成掉块、漏筋、断裂、甚至倒塌等病害。</w:t>
      </w:r>
    </w:p>
    <w:p w14:paraId="7DB143A7">
      <w:pPr>
        <w:pStyle w:val="4"/>
        <w:bidi w:val="0"/>
        <w:rPr>
          <w:rFonts w:hint="eastAsia"/>
          <w:color w:val="auto"/>
          <w:lang w:eastAsia="zh-CN"/>
        </w:rPr>
      </w:pPr>
      <w:bookmarkStart w:id="233" w:name="_Toc29857"/>
      <w:bookmarkStart w:id="234" w:name="_Toc9219"/>
      <w:bookmarkStart w:id="235" w:name="_Toc13268"/>
      <w:bookmarkStart w:id="236" w:name="_Toc19265"/>
      <w:bookmarkStart w:id="237" w:name="_Toc12381"/>
      <w:bookmarkStart w:id="238" w:name="_Toc13569"/>
      <w:bookmarkStart w:id="239" w:name="_Toc4862"/>
      <w:bookmarkStart w:id="240" w:name="_Toc8632"/>
      <w:bookmarkStart w:id="241" w:name="_Toc23986"/>
      <w:bookmarkStart w:id="242" w:name="_Toc18452"/>
      <w:bookmarkStart w:id="243" w:name="_Toc13765"/>
      <w:r>
        <w:rPr>
          <w:rFonts w:hint="eastAsia"/>
          <w:color w:val="auto"/>
          <w:lang w:eastAsia="zh-CN"/>
        </w:rPr>
        <w:t>3.1.4</w:t>
      </w:r>
      <w:r>
        <w:rPr>
          <w:rFonts w:hint="eastAsia"/>
          <w:color w:val="auto"/>
          <w:lang w:val="en-US" w:eastAsia="zh-CN"/>
        </w:rPr>
        <w:t xml:space="preserve"> </w:t>
      </w:r>
      <w:r>
        <w:rPr>
          <w:rFonts w:hint="eastAsia"/>
          <w:color w:val="auto"/>
          <w:lang w:eastAsia="zh-CN"/>
        </w:rPr>
        <w:t>操作管理不当造成的病害</w:t>
      </w:r>
      <w:bookmarkEnd w:id="233"/>
      <w:bookmarkEnd w:id="234"/>
      <w:bookmarkEnd w:id="235"/>
      <w:bookmarkEnd w:id="236"/>
      <w:bookmarkEnd w:id="237"/>
      <w:bookmarkEnd w:id="238"/>
      <w:bookmarkEnd w:id="239"/>
      <w:bookmarkEnd w:id="240"/>
      <w:bookmarkEnd w:id="241"/>
      <w:bookmarkEnd w:id="242"/>
      <w:bookmarkEnd w:id="243"/>
    </w:p>
    <w:p w14:paraId="6DA8E40E">
      <w:pPr>
        <w:bidi w:val="0"/>
        <w:rPr>
          <w:rFonts w:hint="eastAsia" w:eastAsia="宋体"/>
          <w:color w:val="auto"/>
          <w:lang w:eastAsia="zh-CN"/>
        </w:rPr>
      </w:pPr>
      <w:r>
        <w:rPr>
          <w:rFonts w:hint="eastAsia" w:eastAsia="宋体"/>
          <w:color w:val="auto"/>
          <w:lang w:eastAsia="zh-CN"/>
        </w:rPr>
        <w:t>在长期生产过程中，由于操作不当造成的常见病害和隐患如下：</w:t>
      </w:r>
    </w:p>
    <w:p w14:paraId="6215BB3E">
      <w:pPr>
        <w:numPr>
          <w:ilvl w:val="0"/>
          <w:numId w:val="0"/>
        </w:numPr>
        <w:bidi w:val="0"/>
        <w:ind w:firstLine="560" w:firstLineChars="20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kern w:val="2"/>
          <w:sz w:val="28"/>
          <w:szCs w:val="24"/>
          <w:lang w:val="en-US" w:eastAsia="zh-CN" w:bidi="ar-SA"/>
        </w:rPr>
        <w:t xml:space="preserve">1. </w:t>
      </w:r>
      <w:r>
        <w:rPr>
          <w:rFonts w:hint="eastAsia" w:ascii="Times New Roman" w:hAnsi="Times New Roman" w:eastAsia="宋体" w:cs="Times New Roman"/>
          <w:color w:val="auto"/>
          <w:lang w:eastAsia="zh-CN"/>
        </w:rPr>
        <w:t>放矿支管开启太少，造成沉积滩坡度过缓，导致调洪库容不足；</w:t>
      </w:r>
    </w:p>
    <w:p w14:paraId="3783C4EE">
      <w:pPr>
        <w:numPr>
          <w:ilvl w:val="0"/>
          <w:numId w:val="0"/>
        </w:numPr>
        <w:bidi w:val="0"/>
        <w:ind w:left="0" w:leftChars="0" w:firstLine="560" w:firstLineChars="20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kern w:val="2"/>
          <w:sz w:val="28"/>
          <w:szCs w:val="24"/>
          <w:lang w:val="en-US" w:eastAsia="zh-CN" w:bidi="ar-SA"/>
        </w:rPr>
        <w:t xml:space="preserve">2. </w:t>
      </w:r>
      <w:r>
        <w:rPr>
          <w:rFonts w:hint="eastAsia" w:ascii="Times New Roman" w:hAnsi="Times New Roman" w:eastAsia="宋体" w:cs="Times New Roman"/>
          <w:color w:val="auto"/>
          <w:lang w:eastAsia="zh-CN"/>
        </w:rPr>
        <w:t>未能均匀放矿，沉积滩此起彼伏，造成局部坝段干滩过短；</w:t>
      </w:r>
    </w:p>
    <w:p w14:paraId="6929DEAF">
      <w:pPr>
        <w:numPr>
          <w:ilvl w:val="0"/>
          <w:numId w:val="0"/>
        </w:numPr>
        <w:bidi w:val="0"/>
        <w:ind w:left="0" w:leftChars="0" w:firstLine="560" w:firstLineChars="20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kern w:val="2"/>
          <w:sz w:val="28"/>
          <w:szCs w:val="24"/>
          <w:lang w:val="en-US" w:eastAsia="zh-CN" w:bidi="ar-SA"/>
        </w:rPr>
        <w:t xml:space="preserve">3. </w:t>
      </w:r>
      <w:r>
        <w:rPr>
          <w:rFonts w:hint="eastAsia" w:ascii="Times New Roman" w:hAnsi="Times New Roman" w:eastAsia="宋体" w:cs="Times New Roman"/>
          <w:color w:val="auto"/>
          <w:lang w:eastAsia="zh-CN"/>
        </w:rPr>
        <w:t>长期独头放矿，致使矿浆顺坝流淌，冲刷子坝坡脚，且易造成细粒尾矿在坝屑大量聚积，严重影响坝体稳定；</w:t>
      </w:r>
    </w:p>
    <w:p w14:paraId="42335AEA">
      <w:pPr>
        <w:numPr>
          <w:ilvl w:val="0"/>
          <w:numId w:val="0"/>
        </w:numPr>
        <w:bidi w:val="0"/>
        <w:ind w:left="0" w:leftChars="0" w:firstLine="560" w:firstLineChars="20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kern w:val="2"/>
          <w:sz w:val="28"/>
          <w:szCs w:val="24"/>
          <w:lang w:val="en-US" w:eastAsia="zh-CN" w:bidi="ar-SA"/>
        </w:rPr>
        <w:t xml:space="preserve">4. </w:t>
      </w:r>
      <w:r>
        <w:rPr>
          <w:rFonts w:hint="eastAsia" w:ascii="Times New Roman" w:hAnsi="Times New Roman" w:eastAsia="宋体" w:cs="Times New Roman"/>
          <w:color w:val="auto"/>
          <w:lang w:eastAsia="zh-CN"/>
        </w:rPr>
        <w:t>长时间不调换放矿点，造成个别放矿点的矿浆外溢，冲刷坝体；</w:t>
      </w:r>
    </w:p>
    <w:p w14:paraId="4753E54C">
      <w:pPr>
        <w:numPr>
          <w:ilvl w:val="0"/>
          <w:numId w:val="0"/>
        </w:numPr>
        <w:bidi w:val="0"/>
        <w:ind w:left="0" w:leftChars="0" w:firstLine="560" w:firstLineChars="20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kern w:val="2"/>
          <w:sz w:val="28"/>
          <w:szCs w:val="24"/>
          <w:lang w:val="en-US" w:eastAsia="zh-CN" w:bidi="ar-SA"/>
        </w:rPr>
        <w:t xml:space="preserve">5. </w:t>
      </w:r>
      <w:r>
        <w:rPr>
          <w:rFonts w:hint="eastAsia" w:ascii="Times New Roman" w:hAnsi="Times New Roman" w:eastAsia="宋体" w:cs="Times New Roman"/>
          <w:color w:val="auto"/>
          <w:lang w:eastAsia="zh-CN"/>
        </w:rPr>
        <w:t>巡查不及时，放矿管件漏矿冲刷坝体；</w:t>
      </w:r>
    </w:p>
    <w:p w14:paraId="7D9B8EAB">
      <w:pPr>
        <w:numPr>
          <w:ilvl w:val="0"/>
          <w:numId w:val="0"/>
        </w:numPr>
        <w:bidi w:val="0"/>
        <w:ind w:left="0" w:leftChars="0" w:firstLine="560" w:firstLineChars="20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kern w:val="2"/>
          <w:sz w:val="28"/>
          <w:szCs w:val="24"/>
          <w:lang w:val="en-US" w:eastAsia="zh-CN" w:bidi="ar-SA"/>
        </w:rPr>
        <w:t xml:space="preserve">6. </w:t>
      </w:r>
      <w:r>
        <w:rPr>
          <w:rFonts w:hint="eastAsia" w:ascii="Times New Roman" w:hAnsi="Times New Roman" w:eastAsia="宋体" w:cs="Times New Roman"/>
          <w:color w:val="auto"/>
          <w:lang w:eastAsia="zh-CN"/>
        </w:rPr>
        <w:t>坝面维护不善，雨水冲刷拉沟，严重时会造成局部坝段滑坡；</w:t>
      </w:r>
    </w:p>
    <w:p w14:paraId="795A2940">
      <w:pPr>
        <w:numPr>
          <w:ilvl w:val="0"/>
          <w:numId w:val="0"/>
        </w:numPr>
        <w:bidi w:val="0"/>
        <w:ind w:left="0" w:leftChars="0" w:firstLine="560" w:firstLineChars="20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kern w:val="2"/>
          <w:sz w:val="28"/>
          <w:szCs w:val="24"/>
          <w:lang w:val="en-US" w:eastAsia="zh-CN" w:bidi="ar-SA"/>
        </w:rPr>
        <w:t xml:space="preserve">7. </w:t>
      </w:r>
      <w:r>
        <w:rPr>
          <w:rFonts w:hint="eastAsia" w:ascii="Times New Roman" w:hAnsi="Times New Roman" w:eastAsia="宋体" w:cs="Times New Roman"/>
          <w:color w:val="auto"/>
          <w:lang w:eastAsia="zh-CN"/>
        </w:rPr>
        <w:t>每级子坝高度堆筑太高，致使坝前沉积厚层抗剪强度很低、渗透性极差的矿泥，抬高了坝体内的浸润线，对坝体稳定十分不利；</w:t>
      </w:r>
    </w:p>
    <w:p w14:paraId="79888282">
      <w:pPr>
        <w:numPr>
          <w:ilvl w:val="0"/>
          <w:numId w:val="0"/>
        </w:numPr>
        <w:bidi w:val="0"/>
        <w:ind w:left="0" w:leftChars="0" w:firstLine="560" w:firstLineChars="20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kern w:val="2"/>
          <w:sz w:val="28"/>
          <w:szCs w:val="24"/>
          <w:lang w:val="en-US" w:eastAsia="zh-CN" w:bidi="ar-SA"/>
        </w:rPr>
        <w:t xml:space="preserve">8. </w:t>
      </w:r>
      <w:r>
        <w:rPr>
          <w:rFonts w:hint="eastAsia" w:ascii="Times New Roman" w:hAnsi="Times New Roman" w:eastAsia="宋体" w:cs="Times New Roman"/>
          <w:color w:val="auto"/>
          <w:lang w:eastAsia="zh-CN"/>
        </w:rPr>
        <w:t>长期对排洪构筑物不进行检查、维修，致使堵塞、露筋、塌陷等隐患未能及时发现。</w:t>
      </w:r>
    </w:p>
    <w:p w14:paraId="0B8DD865">
      <w:pPr>
        <w:bidi w:val="0"/>
        <w:rPr>
          <w:rFonts w:hint="eastAsia"/>
          <w:color w:val="auto"/>
          <w:lang w:eastAsia="zh-CN"/>
        </w:rPr>
      </w:pPr>
      <w:r>
        <w:rPr>
          <w:rFonts w:hint="eastAsia" w:eastAsia="宋体"/>
          <w:color w:val="auto"/>
          <w:lang w:eastAsia="zh-CN"/>
        </w:rPr>
        <w:t>由于管理不当造成的问题主要表现在未能有效地对勘察、设计、施工和操作进行必要的审查和监督；对设计意图不甚了解，片面追求经济效益，未按设计要求指导生产；对防洪、防震问题抱有侥幸心理；明知有隐患，不能及时采取措施消除；未经原设计同意，擅自修改设计等。</w:t>
      </w:r>
    </w:p>
    <w:p w14:paraId="510816ED">
      <w:pPr>
        <w:pStyle w:val="4"/>
        <w:bidi w:val="0"/>
        <w:rPr>
          <w:rFonts w:hint="eastAsia"/>
          <w:color w:val="auto"/>
          <w:lang w:eastAsia="zh-CN"/>
        </w:rPr>
      </w:pPr>
      <w:bookmarkStart w:id="244" w:name="_Toc6286"/>
      <w:bookmarkStart w:id="245" w:name="_Toc5310"/>
      <w:bookmarkStart w:id="246" w:name="_Toc13913"/>
      <w:bookmarkStart w:id="247" w:name="_Toc10866"/>
      <w:bookmarkStart w:id="248" w:name="_Toc20084"/>
      <w:bookmarkStart w:id="249" w:name="_Toc27510"/>
      <w:bookmarkStart w:id="250" w:name="_Toc1288"/>
      <w:bookmarkStart w:id="251" w:name="_Toc25124"/>
      <w:bookmarkStart w:id="252" w:name="_Toc3890"/>
      <w:bookmarkStart w:id="253" w:name="_Toc17842"/>
      <w:bookmarkStart w:id="254" w:name="_Toc6527"/>
      <w:r>
        <w:rPr>
          <w:rFonts w:hint="eastAsia"/>
          <w:color w:val="auto"/>
          <w:lang w:eastAsia="zh-CN"/>
        </w:rPr>
        <w:t>3.1.5</w:t>
      </w:r>
      <w:r>
        <w:rPr>
          <w:rFonts w:hint="eastAsia"/>
          <w:color w:val="auto"/>
          <w:lang w:val="en-US" w:eastAsia="zh-CN"/>
        </w:rPr>
        <w:t xml:space="preserve"> </w:t>
      </w:r>
      <w:r>
        <w:rPr>
          <w:rFonts w:hint="eastAsia"/>
          <w:color w:val="auto"/>
          <w:lang w:eastAsia="zh-CN"/>
        </w:rPr>
        <w:t>其他因素造成的病害</w:t>
      </w:r>
      <w:bookmarkEnd w:id="244"/>
      <w:bookmarkEnd w:id="245"/>
      <w:bookmarkEnd w:id="246"/>
      <w:bookmarkEnd w:id="247"/>
      <w:bookmarkEnd w:id="248"/>
      <w:bookmarkEnd w:id="249"/>
      <w:bookmarkEnd w:id="250"/>
      <w:bookmarkEnd w:id="251"/>
      <w:bookmarkEnd w:id="252"/>
      <w:bookmarkEnd w:id="253"/>
      <w:bookmarkEnd w:id="254"/>
    </w:p>
    <w:p w14:paraId="44C4DB18">
      <w:pPr>
        <w:rPr>
          <w:rFonts w:hint="eastAsia" w:eastAsia="宋体"/>
          <w:color w:val="auto"/>
          <w:lang w:eastAsia="zh-CN"/>
        </w:rPr>
      </w:pPr>
      <w:r>
        <w:rPr>
          <w:rFonts w:hint="eastAsia" w:eastAsia="宋体"/>
          <w:color w:val="auto"/>
          <w:lang w:eastAsia="zh-CN"/>
        </w:rPr>
        <w:t>暴雨、地震之后可能对坝体、排洪构筑物造成病害：</w:t>
      </w:r>
    </w:p>
    <w:p w14:paraId="14A6A1C1">
      <w:pPr>
        <w:rPr>
          <w:rFonts w:hint="eastAsia" w:eastAsia="宋体"/>
          <w:color w:val="auto"/>
          <w:lang w:eastAsia="zh-CN"/>
        </w:rPr>
      </w:pPr>
      <w:r>
        <w:rPr>
          <w:rFonts w:hint="eastAsia" w:eastAsia="宋体"/>
          <w:color w:val="auto"/>
          <w:lang w:eastAsia="zh-CN"/>
        </w:rPr>
        <w:t>1.</w:t>
      </w:r>
      <w:r>
        <w:rPr>
          <w:rFonts w:hint="eastAsia"/>
          <w:color w:val="auto"/>
          <w:lang w:val="en-US" w:eastAsia="zh-CN"/>
        </w:rPr>
        <w:t xml:space="preserve"> </w:t>
      </w:r>
      <w:r>
        <w:rPr>
          <w:rFonts w:hint="eastAsia" w:eastAsia="宋体"/>
          <w:color w:val="auto"/>
          <w:lang w:eastAsia="zh-CN"/>
        </w:rPr>
        <w:t>由于矿石性质或选矿工艺流程变更，引起尾矿性质（粒度组成、粒径、比重、矿浆浓度等）的改变，而这种改变如果对坝体稳定和防洪不利时，自然会成为隐患；</w:t>
      </w:r>
    </w:p>
    <w:p w14:paraId="3E612A92">
      <w:pPr>
        <w:rPr>
          <w:rFonts w:hint="eastAsia" w:eastAsia="宋体"/>
          <w:color w:val="auto"/>
          <w:lang w:eastAsia="zh-CN"/>
        </w:rPr>
      </w:pPr>
      <w:r>
        <w:rPr>
          <w:rFonts w:hint="eastAsia" w:eastAsia="宋体"/>
          <w:color w:val="auto"/>
          <w:lang w:eastAsia="zh-CN"/>
        </w:rPr>
        <w:t>2.</w:t>
      </w:r>
      <w:r>
        <w:rPr>
          <w:rFonts w:hint="eastAsia"/>
          <w:color w:val="auto"/>
          <w:lang w:val="en-US" w:eastAsia="zh-CN"/>
        </w:rPr>
        <w:t xml:space="preserve"> </w:t>
      </w:r>
      <w:r>
        <w:rPr>
          <w:rFonts w:hint="eastAsia" w:eastAsia="宋体"/>
          <w:color w:val="auto"/>
          <w:lang w:eastAsia="zh-CN"/>
        </w:rPr>
        <w:t>因工农关系未协调好，而产生的干扰常常造成尾矿库隐患。如农民在库区上游甚至于在库区以内乱采、滥挖等。</w:t>
      </w:r>
    </w:p>
    <w:p w14:paraId="70BBD891">
      <w:pPr>
        <w:rPr>
          <w:rFonts w:hint="eastAsia" w:eastAsia="宋体"/>
          <w:color w:val="auto"/>
          <w:lang w:eastAsia="zh-CN"/>
        </w:rPr>
      </w:pPr>
      <w:r>
        <w:rPr>
          <w:rFonts w:hint="eastAsia" w:eastAsia="宋体"/>
          <w:color w:val="auto"/>
          <w:lang w:eastAsia="zh-CN"/>
        </w:rPr>
        <w:t>根据实际发生事故的统计资料，各种尾矿库事故发生的原因与比例见表3.1-1。</w:t>
      </w:r>
    </w:p>
    <w:p w14:paraId="072F5885">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ascii="Times New Roman" w:hAnsi="Times New Roman" w:eastAsia="宋体" w:cs="Times New Roman"/>
          <w:color w:val="auto"/>
        </w:rPr>
      </w:pPr>
      <w:r>
        <w:rPr>
          <w:rFonts w:ascii="Times New Roman" w:hAnsi="Times New Roman" w:eastAsia="宋体" w:cs="Times New Roman"/>
          <w:color w:val="auto"/>
        </w:rPr>
        <w:t>表3</w:t>
      </w:r>
      <w:r>
        <w:rPr>
          <w:rFonts w:hint="eastAsia" w:cs="Times New Roman"/>
          <w:color w:val="auto"/>
          <w:lang w:val="en-US" w:eastAsia="zh-CN"/>
        </w:rPr>
        <w:t>.1</w:t>
      </w:r>
      <w:r>
        <w:rPr>
          <w:rFonts w:hint="eastAsia" w:ascii="Times New Roman" w:hAnsi="Times New Roman" w:eastAsia="宋体" w:cs="Times New Roman"/>
          <w:color w:val="auto"/>
        </w:rPr>
        <w:t>-</w:t>
      </w:r>
      <w:r>
        <w:rPr>
          <w:rFonts w:ascii="Times New Roman" w:hAnsi="Times New Roman" w:eastAsia="宋体" w:cs="Times New Roman"/>
          <w:color w:val="auto"/>
        </w:rPr>
        <w:t>1</w:t>
      </w:r>
      <w:r>
        <w:rPr>
          <w:rFonts w:hint="eastAsia" w:ascii="Times New Roman" w:hAnsi="Times New Roman" w:eastAsia="宋体" w:cs="Times New Roman"/>
          <w:color w:val="auto"/>
          <w:lang w:val="en-US" w:eastAsia="zh-CN"/>
        </w:rPr>
        <w:t xml:space="preserve"> </w:t>
      </w:r>
      <w:r>
        <w:rPr>
          <w:rFonts w:ascii="Times New Roman" w:hAnsi="Times New Roman" w:eastAsia="宋体" w:cs="Times New Roman"/>
          <w:color w:val="auto"/>
        </w:rPr>
        <w:t>尾矿库失事的主要原因分析表</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9"/>
        <w:gridCol w:w="1539"/>
        <w:gridCol w:w="1539"/>
        <w:gridCol w:w="1539"/>
        <w:gridCol w:w="1539"/>
        <w:gridCol w:w="1539"/>
      </w:tblGrid>
      <w:tr w14:paraId="46CCB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539" w:type="dxa"/>
            <w:noWrap w:val="0"/>
            <w:vAlign w:val="center"/>
          </w:tcPr>
          <w:p w14:paraId="4191991A">
            <w:pPr>
              <w:spacing w:line="300" w:lineRule="exact"/>
              <w:ind w:firstLine="0" w:firstLineChars="0"/>
              <w:jc w:val="center"/>
              <w:textAlignment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失事原因</w:t>
            </w:r>
          </w:p>
        </w:tc>
        <w:tc>
          <w:tcPr>
            <w:tcW w:w="1539" w:type="dxa"/>
            <w:noWrap w:val="0"/>
            <w:vAlign w:val="center"/>
          </w:tcPr>
          <w:p w14:paraId="3214B6E2">
            <w:pPr>
              <w:spacing w:line="300" w:lineRule="exact"/>
              <w:ind w:firstLine="0" w:firstLineChars="0"/>
              <w:jc w:val="center"/>
              <w:textAlignment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洪水漫顶</w:t>
            </w:r>
          </w:p>
        </w:tc>
        <w:tc>
          <w:tcPr>
            <w:tcW w:w="1539" w:type="dxa"/>
            <w:noWrap w:val="0"/>
            <w:vAlign w:val="center"/>
          </w:tcPr>
          <w:p w14:paraId="19690403">
            <w:pPr>
              <w:spacing w:line="300" w:lineRule="exact"/>
              <w:ind w:firstLine="0" w:firstLineChars="0"/>
              <w:jc w:val="center"/>
              <w:textAlignment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坝身渗漏</w:t>
            </w:r>
          </w:p>
          <w:p w14:paraId="3035420C">
            <w:pPr>
              <w:spacing w:line="300" w:lineRule="exact"/>
              <w:ind w:firstLine="0" w:firstLineChars="0"/>
              <w:jc w:val="center"/>
              <w:textAlignment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（包括管涌）</w:t>
            </w:r>
          </w:p>
        </w:tc>
        <w:tc>
          <w:tcPr>
            <w:tcW w:w="1539" w:type="dxa"/>
            <w:noWrap w:val="0"/>
            <w:vAlign w:val="center"/>
          </w:tcPr>
          <w:p w14:paraId="418497CF">
            <w:pPr>
              <w:spacing w:line="300" w:lineRule="exact"/>
              <w:ind w:firstLine="0" w:firstLineChars="0"/>
              <w:jc w:val="center"/>
              <w:textAlignment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基础渗漏</w:t>
            </w:r>
          </w:p>
          <w:p w14:paraId="1A5D87AC">
            <w:pPr>
              <w:spacing w:line="300" w:lineRule="exact"/>
              <w:ind w:firstLine="0" w:firstLineChars="0"/>
              <w:jc w:val="center"/>
              <w:textAlignment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（包括管涌）</w:t>
            </w:r>
          </w:p>
        </w:tc>
        <w:tc>
          <w:tcPr>
            <w:tcW w:w="1539" w:type="dxa"/>
            <w:noWrap w:val="0"/>
            <w:vAlign w:val="center"/>
          </w:tcPr>
          <w:p w14:paraId="022DD90D">
            <w:pPr>
              <w:spacing w:line="300" w:lineRule="exact"/>
              <w:ind w:firstLine="0" w:firstLineChars="0"/>
              <w:jc w:val="center"/>
              <w:textAlignment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排洪或</w:t>
            </w:r>
          </w:p>
          <w:p w14:paraId="5D87ACB8">
            <w:pPr>
              <w:spacing w:line="300" w:lineRule="exact"/>
              <w:ind w:firstLine="0" w:firstLineChars="0"/>
              <w:jc w:val="center"/>
              <w:textAlignment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泄水工程</w:t>
            </w:r>
          </w:p>
        </w:tc>
        <w:tc>
          <w:tcPr>
            <w:tcW w:w="1539" w:type="dxa"/>
            <w:noWrap w:val="0"/>
            <w:vAlign w:val="center"/>
          </w:tcPr>
          <w:p w14:paraId="0B105C56">
            <w:pPr>
              <w:spacing w:line="300" w:lineRule="exact"/>
              <w:ind w:firstLine="0" w:firstLineChars="0"/>
              <w:jc w:val="center"/>
              <w:textAlignment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其他</w:t>
            </w:r>
          </w:p>
        </w:tc>
      </w:tr>
      <w:tr w14:paraId="36F63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1539" w:type="dxa"/>
            <w:noWrap w:val="0"/>
            <w:vAlign w:val="center"/>
          </w:tcPr>
          <w:p w14:paraId="31A41F71">
            <w:pPr>
              <w:spacing w:line="300" w:lineRule="exact"/>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比例（%）</w:t>
            </w:r>
          </w:p>
        </w:tc>
        <w:tc>
          <w:tcPr>
            <w:tcW w:w="1539" w:type="dxa"/>
            <w:noWrap w:val="0"/>
            <w:vAlign w:val="center"/>
          </w:tcPr>
          <w:p w14:paraId="446D455F">
            <w:pPr>
              <w:spacing w:line="300" w:lineRule="exact"/>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28</w:t>
            </w:r>
          </w:p>
        </w:tc>
        <w:tc>
          <w:tcPr>
            <w:tcW w:w="1539" w:type="dxa"/>
            <w:noWrap w:val="0"/>
            <w:vAlign w:val="center"/>
          </w:tcPr>
          <w:p w14:paraId="66464AD4">
            <w:pPr>
              <w:spacing w:line="300" w:lineRule="exact"/>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19</w:t>
            </w:r>
          </w:p>
        </w:tc>
        <w:tc>
          <w:tcPr>
            <w:tcW w:w="1539" w:type="dxa"/>
            <w:noWrap w:val="0"/>
            <w:vAlign w:val="center"/>
          </w:tcPr>
          <w:p w14:paraId="1D3C3EC6">
            <w:pPr>
              <w:spacing w:line="300" w:lineRule="exact"/>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22</w:t>
            </w:r>
          </w:p>
        </w:tc>
        <w:tc>
          <w:tcPr>
            <w:tcW w:w="1539" w:type="dxa"/>
            <w:noWrap w:val="0"/>
            <w:vAlign w:val="center"/>
          </w:tcPr>
          <w:p w14:paraId="1FDAE84D">
            <w:pPr>
              <w:spacing w:line="300" w:lineRule="exact"/>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16</w:t>
            </w:r>
          </w:p>
        </w:tc>
        <w:tc>
          <w:tcPr>
            <w:tcW w:w="1539" w:type="dxa"/>
            <w:noWrap w:val="0"/>
            <w:vAlign w:val="center"/>
          </w:tcPr>
          <w:p w14:paraId="4CAEDF5B">
            <w:pPr>
              <w:spacing w:line="300" w:lineRule="exact"/>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w:t>
            </w:r>
          </w:p>
        </w:tc>
      </w:tr>
    </w:tbl>
    <w:p w14:paraId="67811EBC">
      <w:pPr>
        <w:bidi w:val="0"/>
        <w:rPr>
          <w:rFonts w:hint="eastAsia" w:eastAsia="宋体"/>
          <w:color w:val="auto"/>
          <w:lang w:eastAsia="zh-CN"/>
        </w:rPr>
      </w:pPr>
      <w:r>
        <w:rPr>
          <w:rFonts w:hint="eastAsia" w:eastAsia="宋体"/>
          <w:color w:val="auto"/>
          <w:lang w:eastAsia="zh-CN"/>
        </w:rPr>
        <w:t>通过统计分析可知，洪水漫顶和渗漏破坏造成的失事几率较大。洪水漫顶的主要原因：</w:t>
      </w:r>
    </w:p>
    <w:p w14:paraId="6D7F2F8F">
      <w:pPr>
        <w:bidi w:val="0"/>
        <w:rPr>
          <w:rFonts w:hint="eastAsia" w:eastAsia="宋体"/>
          <w:color w:val="auto"/>
          <w:lang w:eastAsia="zh-CN"/>
        </w:rPr>
      </w:pPr>
      <w:r>
        <w:rPr>
          <w:rFonts w:hint="eastAsia" w:eastAsia="宋体"/>
          <w:color w:val="auto"/>
          <w:lang w:eastAsia="zh-CN"/>
        </w:rPr>
        <w:t>（1）排水系统能力不够；</w:t>
      </w:r>
    </w:p>
    <w:p w14:paraId="6CEFF722">
      <w:pPr>
        <w:bidi w:val="0"/>
        <w:rPr>
          <w:rFonts w:hint="eastAsia" w:eastAsia="宋体"/>
          <w:color w:val="auto"/>
          <w:lang w:eastAsia="zh-CN"/>
        </w:rPr>
      </w:pPr>
      <w:r>
        <w:rPr>
          <w:rFonts w:hint="eastAsia" w:eastAsia="宋体"/>
          <w:color w:val="auto"/>
          <w:lang w:eastAsia="zh-CN"/>
        </w:rPr>
        <w:t>（2）尾矿库的调洪能力和安全超高过小；</w:t>
      </w:r>
    </w:p>
    <w:p w14:paraId="75D62B2F">
      <w:pPr>
        <w:bidi w:val="0"/>
        <w:rPr>
          <w:rFonts w:hint="eastAsia" w:eastAsia="宋体"/>
          <w:color w:val="auto"/>
          <w:lang w:eastAsia="zh-CN"/>
        </w:rPr>
      </w:pPr>
      <w:r>
        <w:rPr>
          <w:rFonts w:hint="eastAsia" w:eastAsia="宋体"/>
          <w:color w:val="auto"/>
          <w:lang w:eastAsia="zh-CN"/>
        </w:rPr>
        <w:t>（3）用子坝挡水；</w:t>
      </w:r>
    </w:p>
    <w:p w14:paraId="7F15AC8E">
      <w:pPr>
        <w:bidi w:val="0"/>
        <w:rPr>
          <w:rFonts w:hint="eastAsia" w:eastAsia="宋体"/>
          <w:color w:val="auto"/>
          <w:lang w:eastAsia="zh-CN"/>
        </w:rPr>
      </w:pPr>
      <w:r>
        <w:rPr>
          <w:rFonts w:hint="eastAsia" w:eastAsia="宋体"/>
          <w:color w:val="auto"/>
          <w:lang w:eastAsia="zh-CN"/>
        </w:rPr>
        <w:t>（4）管理中的失误造成排水系统堵塞。</w:t>
      </w:r>
    </w:p>
    <w:p w14:paraId="38C13405">
      <w:pPr>
        <w:bidi w:val="0"/>
        <w:rPr>
          <w:rFonts w:hint="eastAsia" w:eastAsia="宋体"/>
          <w:color w:val="auto"/>
          <w:lang w:eastAsia="zh-CN"/>
        </w:rPr>
      </w:pPr>
      <w:r>
        <w:rPr>
          <w:rFonts w:hint="eastAsia" w:eastAsia="宋体"/>
          <w:color w:val="auto"/>
          <w:lang w:eastAsia="zh-CN"/>
        </w:rPr>
        <w:t>坝身渗漏的主要原因：</w:t>
      </w:r>
    </w:p>
    <w:p w14:paraId="1FD2103A">
      <w:pPr>
        <w:bidi w:val="0"/>
        <w:rPr>
          <w:rFonts w:hint="eastAsia" w:eastAsia="宋体"/>
          <w:color w:val="auto"/>
          <w:lang w:eastAsia="zh-CN"/>
        </w:rPr>
      </w:pPr>
      <w:r>
        <w:rPr>
          <w:rFonts w:hint="eastAsia" w:eastAsia="宋体"/>
          <w:color w:val="auto"/>
          <w:lang w:eastAsia="zh-CN"/>
        </w:rPr>
        <w:t>（1）尾矿坝无排渗设施；</w:t>
      </w:r>
    </w:p>
    <w:p w14:paraId="55CB6A5E">
      <w:pPr>
        <w:bidi w:val="0"/>
        <w:ind w:firstLine="883"/>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（2）尾矿干滩长度和澄清距离过短；</w:t>
      </w:r>
    </w:p>
    <w:p w14:paraId="6A34C484">
      <w:pPr>
        <w:bidi w:val="0"/>
        <w:ind w:firstLine="883"/>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（3）尾矿坝下游坝面坡度过陡；</w:t>
      </w:r>
    </w:p>
    <w:p w14:paraId="47EE35AF">
      <w:pPr>
        <w:bidi w:val="0"/>
        <w:ind w:firstLine="883"/>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（4）从库侧或库后排矿。</w:t>
      </w:r>
    </w:p>
    <w:p w14:paraId="6D8629C8">
      <w:pPr>
        <w:bidi w:val="0"/>
        <w:rPr>
          <w:rFonts w:hint="eastAsia" w:eastAsia="宋体"/>
          <w:color w:val="auto"/>
          <w:lang w:eastAsia="zh-CN"/>
        </w:rPr>
      </w:pPr>
      <w:r>
        <w:rPr>
          <w:rFonts w:hint="eastAsia" w:eastAsia="宋体"/>
          <w:color w:val="auto"/>
          <w:lang w:eastAsia="zh-CN"/>
        </w:rPr>
        <w:t>基础渗漏的主要原因：</w:t>
      </w:r>
    </w:p>
    <w:p w14:paraId="6EB706E5">
      <w:pPr>
        <w:bidi w:val="0"/>
        <w:rPr>
          <w:rFonts w:hint="eastAsia" w:eastAsia="宋体"/>
          <w:color w:val="auto"/>
          <w:lang w:eastAsia="zh-CN"/>
        </w:rPr>
      </w:pPr>
      <w:r>
        <w:rPr>
          <w:rFonts w:hint="eastAsia" w:eastAsia="宋体"/>
          <w:color w:val="auto"/>
          <w:lang w:eastAsia="zh-CN"/>
        </w:rPr>
        <w:t>（1）坝基的工程地质条件差，且施工时未进行必要的处理；</w:t>
      </w:r>
    </w:p>
    <w:p w14:paraId="0B61723C">
      <w:pPr>
        <w:bidi w:val="0"/>
        <w:rPr>
          <w:rFonts w:hint="eastAsia" w:eastAsia="宋体"/>
          <w:color w:val="auto"/>
          <w:lang w:eastAsia="zh-CN"/>
        </w:rPr>
      </w:pPr>
      <w:r>
        <w:rPr>
          <w:rFonts w:hint="eastAsia" w:eastAsia="宋体"/>
          <w:color w:val="auto"/>
          <w:lang w:eastAsia="zh-CN"/>
        </w:rPr>
        <w:t>（2）筑坝材料不当；</w:t>
      </w:r>
    </w:p>
    <w:p w14:paraId="1A5B8EB7">
      <w:pPr>
        <w:bidi w:val="0"/>
        <w:rPr>
          <w:rFonts w:hint="eastAsia" w:eastAsia="宋体"/>
          <w:color w:val="auto"/>
          <w:lang w:eastAsia="zh-CN"/>
        </w:rPr>
      </w:pPr>
      <w:r>
        <w:rPr>
          <w:rFonts w:hint="eastAsia" w:eastAsia="宋体"/>
          <w:color w:val="auto"/>
          <w:lang w:eastAsia="zh-CN"/>
        </w:rPr>
        <w:t>（3）无排渗设施。</w:t>
      </w:r>
    </w:p>
    <w:p w14:paraId="14049E18">
      <w:pPr>
        <w:bidi w:val="0"/>
        <w:rPr>
          <w:rFonts w:hint="eastAsia" w:eastAsia="宋体"/>
          <w:color w:val="auto"/>
          <w:lang w:eastAsia="zh-CN"/>
        </w:rPr>
      </w:pPr>
      <w:r>
        <w:rPr>
          <w:rFonts w:hint="eastAsia" w:eastAsia="宋体"/>
          <w:color w:val="auto"/>
          <w:lang w:eastAsia="zh-CN"/>
        </w:rPr>
        <w:t>排洪或泄水工程发生事故的主要原因：</w:t>
      </w:r>
    </w:p>
    <w:p w14:paraId="71E6DD21">
      <w:pPr>
        <w:bidi w:val="0"/>
        <w:rPr>
          <w:rFonts w:hint="eastAsia" w:eastAsia="宋体"/>
          <w:color w:val="auto"/>
          <w:lang w:eastAsia="zh-CN"/>
        </w:rPr>
      </w:pPr>
      <w:r>
        <w:rPr>
          <w:rFonts w:hint="eastAsia" w:eastAsia="宋体"/>
          <w:color w:val="auto"/>
          <w:lang w:eastAsia="zh-CN"/>
        </w:rPr>
        <w:t>（1）排水设施的施工质量不符合设计要求；</w:t>
      </w:r>
    </w:p>
    <w:p w14:paraId="2413020E">
      <w:pPr>
        <w:bidi w:val="0"/>
        <w:rPr>
          <w:rFonts w:hint="eastAsia" w:eastAsia="宋体"/>
          <w:color w:val="auto"/>
          <w:lang w:eastAsia="zh-CN"/>
        </w:rPr>
      </w:pPr>
      <w:r>
        <w:rPr>
          <w:rFonts w:hint="eastAsia" w:eastAsia="宋体"/>
          <w:color w:val="auto"/>
          <w:lang w:eastAsia="zh-CN"/>
        </w:rPr>
        <w:t>（2）排水工程基础不稳而未进行处理；</w:t>
      </w:r>
    </w:p>
    <w:p w14:paraId="576D9A61">
      <w:pPr>
        <w:bidi w:val="0"/>
        <w:rPr>
          <w:rFonts w:hint="eastAsia" w:eastAsia="宋体"/>
          <w:color w:val="auto"/>
          <w:lang w:eastAsia="zh-CN"/>
        </w:rPr>
      </w:pPr>
      <w:r>
        <w:rPr>
          <w:rFonts w:hint="eastAsia" w:eastAsia="宋体"/>
          <w:color w:val="auto"/>
          <w:lang w:eastAsia="zh-CN"/>
        </w:rPr>
        <w:t>（3）管理措施不当或误操作引发。</w:t>
      </w:r>
    </w:p>
    <w:p w14:paraId="2A702A38">
      <w:pPr>
        <w:bidi w:val="0"/>
        <w:rPr>
          <w:rFonts w:hint="eastAsia"/>
          <w:color w:val="auto"/>
          <w:lang w:eastAsia="zh-CN"/>
        </w:rPr>
      </w:pPr>
      <w:r>
        <w:rPr>
          <w:rFonts w:hint="eastAsia" w:eastAsia="宋体"/>
          <w:color w:val="auto"/>
          <w:lang w:eastAsia="zh-CN"/>
        </w:rPr>
        <w:t>事故分析还表明，地基渗漏失事多发生在4年坝龄以前，而50%发生在运行的第一年里；坝身渗漏造成失事的有三分之一发生在竣工后5年之内；溢洪泄水构筑物破坏有1/3发生在施工后的一年之内，而泄流失事的有60%在泄流时发生；坝坡或坝肩滑动而失事的，96%在竣工15年后发生；因不均匀变形，贯穿性裂缝而失事的，60%以上是在坝体竣工后很快发生。</w:t>
      </w:r>
    </w:p>
    <w:p w14:paraId="20D6A084">
      <w:pPr>
        <w:pStyle w:val="4"/>
        <w:bidi w:val="0"/>
        <w:rPr>
          <w:rFonts w:hint="eastAsia"/>
          <w:color w:val="auto"/>
          <w:lang w:eastAsia="zh-CN"/>
        </w:rPr>
      </w:pPr>
      <w:bookmarkStart w:id="255" w:name="_Toc5088"/>
      <w:bookmarkStart w:id="256" w:name="_Toc4051"/>
      <w:bookmarkStart w:id="257" w:name="_Toc3175"/>
      <w:bookmarkStart w:id="258" w:name="_Toc15442"/>
      <w:bookmarkStart w:id="259" w:name="_Toc15142"/>
      <w:bookmarkStart w:id="260" w:name="_Toc29460"/>
      <w:bookmarkStart w:id="261" w:name="_Toc14570"/>
      <w:bookmarkStart w:id="262" w:name="_Toc23406"/>
      <w:bookmarkStart w:id="263" w:name="_Toc8339"/>
      <w:bookmarkStart w:id="264" w:name="_Toc17809"/>
      <w:bookmarkStart w:id="265" w:name="_Toc17862"/>
      <w:r>
        <w:rPr>
          <w:rFonts w:hint="eastAsia"/>
          <w:color w:val="auto"/>
          <w:lang w:eastAsia="zh-CN"/>
        </w:rPr>
        <w:t>3.1.6</w:t>
      </w:r>
      <w:r>
        <w:rPr>
          <w:rFonts w:hint="eastAsia"/>
          <w:color w:val="auto"/>
          <w:lang w:val="en-US" w:eastAsia="zh-CN"/>
        </w:rPr>
        <w:t xml:space="preserve"> </w:t>
      </w:r>
      <w:r>
        <w:rPr>
          <w:rFonts w:hint="eastAsia"/>
          <w:color w:val="auto"/>
          <w:lang w:eastAsia="zh-CN"/>
        </w:rPr>
        <w:t>尾矿库失事实例</w:t>
      </w:r>
      <w:bookmarkEnd w:id="255"/>
      <w:bookmarkEnd w:id="256"/>
      <w:bookmarkEnd w:id="257"/>
      <w:bookmarkEnd w:id="258"/>
      <w:bookmarkEnd w:id="259"/>
      <w:bookmarkEnd w:id="260"/>
      <w:bookmarkEnd w:id="261"/>
      <w:bookmarkEnd w:id="262"/>
      <w:bookmarkEnd w:id="263"/>
      <w:bookmarkEnd w:id="264"/>
      <w:bookmarkEnd w:id="265"/>
    </w:p>
    <w:p w14:paraId="6BF2245A">
      <w:pPr>
        <w:rPr>
          <w:rFonts w:hint="eastAsia" w:eastAsia="宋体"/>
          <w:color w:val="auto"/>
          <w:lang w:eastAsia="zh-CN"/>
        </w:rPr>
      </w:pPr>
      <w:r>
        <w:rPr>
          <w:rFonts w:hint="eastAsia" w:eastAsia="宋体"/>
          <w:color w:val="auto"/>
          <w:lang w:eastAsia="zh-CN"/>
        </w:rPr>
        <w:t>实例1：2003年6月，因大宝山地区普降大雨，8日槽对坑尾矿库东侧下游山体因土体水饱和而产生滑坡，导致溢洪道的陡坡段中部出现断裂和导流管中间折断，尾矿库的排洪通道受到严重影响。</w:t>
      </w:r>
    </w:p>
    <w:p w14:paraId="40EC7192">
      <w:pPr>
        <w:rPr>
          <w:rFonts w:hint="eastAsia" w:eastAsia="宋体"/>
          <w:color w:val="auto"/>
          <w:lang w:eastAsia="zh-CN"/>
        </w:rPr>
      </w:pPr>
      <w:r>
        <w:rPr>
          <w:rFonts w:hint="eastAsia" w:eastAsia="宋体"/>
          <w:color w:val="auto"/>
          <w:lang w:eastAsia="zh-CN"/>
        </w:rPr>
        <w:t>实例2：湖北省大冶有色金属公司龙角山铜矿尾矿库溃坝，死亡28人，失踪3人。</w:t>
      </w:r>
    </w:p>
    <w:p w14:paraId="2B1B3863">
      <w:pPr>
        <w:rPr>
          <w:rFonts w:hint="eastAsia" w:eastAsia="宋体"/>
          <w:color w:val="auto"/>
          <w:lang w:eastAsia="zh-CN"/>
        </w:rPr>
      </w:pPr>
      <w:r>
        <w:rPr>
          <w:rFonts w:hint="eastAsia" w:eastAsia="宋体"/>
          <w:color w:val="auto"/>
          <w:lang w:eastAsia="zh-CN"/>
        </w:rPr>
        <w:t>实例3：大厂鸿图尾矿库倒塌，导致28人死亡，56人受伤、70多间房屋倒塌的重大事故。</w:t>
      </w:r>
    </w:p>
    <w:p w14:paraId="224B328F">
      <w:pPr>
        <w:rPr>
          <w:rFonts w:hint="eastAsia" w:eastAsia="宋体"/>
          <w:color w:val="auto"/>
          <w:lang w:eastAsia="zh-CN"/>
        </w:rPr>
      </w:pPr>
      <w:r>
        <w:rPr>
          <w:rFonts w:hint="eastAsia" w:eastAsia="宋体"/>
          <w:color w:val="auto"/>
          <w:lang w:eastAsia="zh-CN"/>
        </w:rPr>
        <w:t>实例4：2006年4月30日18时24分，陕西省商洛市镇安县黄金矿业有限责任公司尾矿库在加高坝体扩容施工时发生溃坝事故，外泄尾矿砂量约20万m3，冲毁居民房屋76间，22人被淹埋，5人获救，17人失踪。</w:t>
      </w:r>
    </w:p>
    <w:p w14:paraId="3D484A59">
      <w:pPr>
        <w:rPr>
          <w:rFonts w:hint="eastAsia" w:eastAsia="宋体"/>
          <w:color w:val="auto"/>
          <w:lang w:eastAsia="zh-CN"/>
        </w:rPr>
      </w:pPr>
      <w:r>
        <w:rPr>
          <w:rFonts w:hint="eastAsia" w:eastAsia="宋体"/>
          <w:color w:val="auto"/>
          <w:lang w:eastAsia="zh-CN"/>
        </w:rPr>
        <w:t>实例5：2006年12月27日，贵州紫金矿业股份有限公司贞丰县水银洞金矿尾矿库子坝发生塌溃事故，约20万m</w:t>
      </w:r>
      <w:r>
        <w:rPr>
          <w:rFonts w:hint="eastAsia" w:eastAsia="宋体"/>
          <w:color w:val="auto"/>
          <w:vertAlign w:val="superscript"/>
          <w:lang w:eastAsia="zh-CN"/>
        </w:rPr>
        <w:t>3</w:t>
      </w:r>
      <w:r>
        <w:rPr>
          <w:rFonts w:hint="eastAsia" w:eastAsia="宋体"/>
          <w:color w:val="auto"/>
          <w:lang w:eastAsia="zh-CN"/>
        </w:rPr>
        <w:t>尾矿下泄，造成1人轻伤，下游2座水库受到污染，其中，约17万m</w:t>
      </w:r>
      <w:r>
        <w:rPr>
          <w:rFonts w:hint="eastAsia" w:eastAsia="宋体"/>
          <w:color w:val="auto"/>
          <w:vertAlign w:val="superscript"/>
          <w:lang w:eastAsia="zh-CN"/>
        </w:rPr>
        <w:t>3</w:t>
      </w:r>
      <w:r>
        <w:rPr>
          <w:rFonts w:hint="eastAsia" w:eastAsia="宋体"/>
          <w:color w:val="auto"/>
          <w:lang w:eastAsia="zh-CN"/>
        </w:rPr>
        <w:t>尾矿排入小厂水库（废弃水库），3万m</w:t>
      </w:r>
      <w:r>
        <w:rPr>
          <w:rFonts w:hint="eastAsia" w:eastAsia="宋体"/>
          <w:color w:val="auto"/>
          <w:vertAlign w:val="superscript"/>
          <w:lang w:eastAsia="zh-CN"/>
        </w:rPr>
        <w:t>3</w:t>
      </w:r>
      <w:r>
        <w:rPr>
          <w:rFonts w:hint="eastAsia" w:eastAsia="宋体"/>
          <w:color w:val="auto"/>
          <w:lang w:eastAsia="zh-CN"/>
        </w:rPr>
        <w:t>尾矿溢出小厂水库后进入白坟水库（农灌水库）。</w:t>
      </w:r>
    </w:p>
    <w:p w14:paraId="47292C9B">
      <w:pPr>
        <w:rPr>
          <w:rFonts w:hint="eastAsia"/>
          <w:color w:val="auto"/>
          <w:lang w:eastAsia="zh-CN"/>
        </w:rPr>
      </w:pPr>
      <w:r>
        <w:rPr>
          <w:rFonts w:hint="eastAsia" w:eastAsia="宋体"/>
          <w:color w:val="auto"/>
          <w:lang w:eastAsia="zh-CN"/>
        </w:rPr>
        <w:t>实例6：2008年9月8日山西省襄汾县新塔矿业公司尾矿坝溃坝，死亡281人。</w:t>
      </w:r>
    </w:p>
    <w:p w14:paraId="078E9460">
      <w:pPr>
        <w:pStyle w:val="3"/>
        <w:numPr>
          <w:ilvl w:val="1"/>
          <w:numId w:val="0"/>
        </w:numPr>
        <w:bidi w:val="0"/>
        <w:ind w:left="0" w:leftChars="0" w:firstLine="0" w:firstLineChars="0"/>
        <w:rPr>
          <w:rFonts w:hint="default"/>
          <w:color w:val="auto"/>
          <w:lang w:val="en-US" w:eastAsia="zh-CN"/>
        </w:rPr>
      </w:pPr>
      <w:bookmarkStart w:id="266" w:name="_Toc9324"/>
      <w:bookmarkStart w:id="267" w:name="_Toc23111"/>
      <w:bookmarkStart w:id="268" w:name="_Toc32159"/>
      <w:bookmarkStart w:id="269" w:name="_Toc31005"/>
      <w:bookmarkStart w:id="270" w:name="_Toc29856"/>
      <w:r>
        <w:rPr>
          <w:rFonts w:hint="default" w:ascii="Times New Roman" w:hAnsi="Times New Roman" w:eastAsia="黑体"/>
          <w:b/>
          <w:bCs/>
          <w:color w:val="auto"/>
          <w:kern w:val="2"/>
          <w:sz w:val="30"/>
          <w:szCs w:val="32"/>
          <w:lang w:val="en-US" w:eastAsia="zh-CN" w:bidi="ar-SA"/>
        </w:rPr>
        <w:t>3.</w:t>
      </w:r>
      <w:r>
        <w:rPr>
          <w:rFonts w:hint="eastAsia"/>
          <w:b/>
          <w:bCs/>
          <w:color w:val="auto"/>
          <w:kern w:val="2"/>
          <w:sz w:val="30"/>
          <w:szCs w:val="32"/>
          <w:lang w:val="en-US" w:eastAsia="zh-CN" w:bidi="ar-SA"/>
        </w:rPr>
        <w:t xml:space="preserve">2 </w:t>
      </w:r>
      <w:r>
        <w:rPr>
          <w:rFonts w:hint="default"/>
          <w:color w:val="auto"/>
          <w:lang w:val="en-US" w:eastAsia="zh-CN"/>
        </w:rPr>
        <w:t>尾矿库危险、有害因素分析</w:t>
      </w:r>
      <w:bookmarkEnd w:id="266"/>
      <w:bookmarkEnd w:id="267"/>
      <w:bookmarkEnd w:id="268"/>
      <w:bookmarkEnd w:id="269"/>
      <w:bookmarkEnd w:id="270"/>
    </w:p>
    <w:p w14:paraId="191287AB">
      <w:pPr>
        <w:keepNext/>
        <w:keepLines/>
        <w:widowControl w:val="0"/>
        <w:bidi w:val="0"/>
        <w:spacing w:beforeLines="0" w:beforeAutospacing="0" w:afterLines="0" w:afterAutospacing="0" w:line="360" w:lineRule="auto"/>
        <w:ind w:left="560" w:leftChars="200" w:firstLine="0" w:firstLineChars="0"/>
        <w:jc w:val="both"/>
        <w:outlineLvl w:val="2"/>
        <w:rPr>
          <w:rFonts w:hint="eastAsia" w:ascii="Times New Roman" w:hAnsi="Times New Roman" w:eastAsia="黑体" w:cs="Times New Roman"/>
          <w:b/>
          <w:color w:val="auto"/>
          <w:kern w:val="2"/>
          <w:sz w:val="28"/>
          <w:szCs w:val="24"/>
          <w:lang w:val="en-US" w:eastAsia="zh-CN" w:bidi="ar-SA"/>
        </w:rPr>
      </w:pPr>
      <w:bookmarkStart w:id="271" w:name="_Toc31974"/>
      <w:bookmarkStart w:id="272" w:name="_Toc7814"/>
      <w:bookmarkStart w:id="273" w:name="_Toc2420"/>
      <w:bookmarkStart w:id="274" w:name="_Toc15947"/>
      <w:bookmarkStart w:id="275" w:name="_Toc16352"/>
      <w:bookmarkStart w:id="276" w:name="_Toc26454"/>
      <w:bookmarkStart w:id="277" w:name="_Toc12046"/>
      <w:bookmarkStart w:id="278" w:name="_Toc25754"/>
      <w:bookmarkStart w:id="279" w:name="_Toc31038"/>
      <w:bookmarkStart w:id="280" w:name="_Toc422"/>
      <w:bookmarkStart w:id="281" w:name="_Toc19893"/>
      <w:r>
        <w:rPr>
          <w:rFonts w:hint="eastAsia" w:ascii="Times New Roman" w:hAnsi="Times New Roman" w:eastAsia="黑体" w:cs="Times New Roman"/>
          <w:b/>
          <w:color w:val="auto"/>
          <w:kern w:val="2"/>
          <w:sz w:val="28"/>
          <w:szCs w:val="24"/>
          <w:lang w:val="en-US" w:eastAsia="zh-CN" w:bidi="ar-SA"/>
        </w:rPr>
        <w:t>3.2.1 滑坡（坝坡失稳）</w:t>
      </w:r>
      <w:bookmarkEnd w:id="271"/>
      <w:bookmarkEnd w:id="272"/>
      <w:bookmarkEnd w:id="273"/>
      <w:bookmarkEnd w:id="274"/>
      <w:bookmarkEnd w:id="275"/>
      <w:bookmarkEnd w:id="276"/>
      <w:bookmarkEnd w:id="277"/>
      <w:bookmarkEnd w:id="278"/>
      <w:bookmarkEnd w:id="279"/>
      <w:bookmarkEnd w:id="280"/>
      <w:bookmarkEnd w:id="281"/>
    </w:p>
    <w:p w14:paraId="3E971B69">
      <w:pPr>
        <w:bidi w:val="0"/>
        <w:ind w:firstLine="883"/>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滑坡是尾矿坝最危险的因素之一，较大规模的滑坡，往往是垮坝事故的先兆，即使是较小的滑坡也不能掉以轻心。有些滑坡是突然发生的，有的先由裂缝开始，如不及时处理，逐步扩大和漫延，则可能造成垮坝重大事故。</w:t>
      </w:r>
    </w:p>
    <w:p w14:paraId="740AF018">
      <w:pPr>
        <w:bidi w:val="0"/>
        <w:ind w:firstLine="883"/>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滑坡的种类，按滑坡的性质分剪切性滑坡，塑流性滑坡和液化性滑坡</w:t>
      </w:r>
      <w:r>
        <w:rPr>
          <w:rFonts w:hint="eastAsia" w:ascii="Times New Roman" w:hAnsi="Times New Roman" w:eastAsia="宋体" w:cs="Times New Roman"/>
          <w:color w:val="auto"/>
          <w:lang w:val="en-US" w:eastAsia="zh-CN"/>
        </w:rPr>
        <w:t>。</w:t>
      </w:r>
      <w:r>
        <w:rPr>
          <w:rFonts w:hint="default" w:ascii="Times New Roman" w:hAnsi="Times New Roman" w:eastAsia="宋体" w:cs="Times New Roman"/>
          <w:color w:val="auto"/>
          <w:lang w:val="en-US" w:eastAsia="zh-CN"/>
        </w:rPr>
        <w:t>滑坡的主要原因：</w:t>
      </w:r>
    </w:p>
    <w:p w14:paraId="5AD55126">
      <w:pPr>
        <w:numPr>
          <w:ilvl w:val="0"/>
          <w:numId w:val="2"/>
        </w:numPr>
        <w:bidi w:val="0"/>
        <w:ind w:firstLine="560" w:firstLineChars="20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尾矿坝边坡陡于设计边坡，坝体抗滑安全系数不足；</w:t>
      </w:r>
    </w:p>
    <w:p w14:paraId="6D8F3077">
      <w:pPr>
        <w:numPr>
          <w:ilvl w:val="0"/>
          <w:numId w:val="2"/>
        </w:numPr>
        <w:bidi w:val="0"/>
        <w:ind w:left="0" w:leftChars="0" w:firstLine="560" w:firstLineChars="20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坝面维护不善，雨水冲刷拉沟，严重时会造成局部坝段滑坡；</w:t>
      </w:r>
    </w:p>
    <w:p w14:paraId="1089BFA9">
      <w:pPr>
        <w:numPr>
          <w:ilvl w:val="0"/>
          <w:numId w:val="2"/>
        </w:numPr>
        <w:bidi w:val="0"/>
        <w:ind w:left="0" w:leftChars="0" w:firstLine="560" w:firstLineChars="20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尾矿坝坡面无排水系统或排水系统不完善，造成坝面冲刷严重，威胁坝体安全。</w:t>
      </w:r>
    </w:p>
    <w:p w14:paraId="470DF544">
      <w:pPr>
        <w:numPr>
          <w:ilvl w:val="0"/>
          <w:numId w:val="2"/>
        </w:numPr>
        <w:bidi w:val="0"/>
        <w:ind w:left="0" w:leftChars="0" w:firstLine="560" w:firstLineChars="20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为增加蓄水量，片面提高库内水位，造成尾矿库安全超高不足，降低坝体稳定性。</w:t>
      </w:r>
    </w:p>
    <w:p w14:paraId="3B259553">
      <w:pPr>
        <w:bidi w:val="0"/>
        <w:rPr>
          <w:rFonts w:hint="default"/>
          <w:color w:val="auto"/>
          <w:lang w:val="en-US" w:eastAsia="zh-CN"/>
        </w:rPr>
      </w:pPr>
      <w:r>
        <w:rPr>
          <w:rFonts w:hint="default"/>
          <w:color w:val="auto"/>
          <w:lang w:val="en-US" w:eastAsia="zh-CN"/>
        </w:rPr>
        <w:t>经现场检查，</w:t>
      </w:r>
      <w:r>
        <w:rPr>
          <w:rFonts w:hint="eastAsia" w:ascii="Times New Roman" w:eastAsia="宋体"/>
          <w:color w:val="auto"/>
          <w:lang w:val="en-US" w:eastAsia="zh-CN"/>
        </w:rPr>
        <w:t>未发现</w:t>
      </w:r>
      <w:r>
        <w:rPr>
          <w:rFonts w:hint="eastAsia"/>
          <w:color w:val="auto"/>
          <w:lang w:val="en-US" w:eastAsia="zh-CN"/>
        </w:rPr>
        <w:t>岿美山尾矿库存在滑坡现象</w:t>
      </w:r>
      <w:r>
        <w:rPr>
          <w:rFonts w:hint="default"/>
          <w:color w:val="auto"/>
          <w:lang w:val="en-US" w:eastAsia="zh-CN"/>
        </w:rPr>
        <w:t>。</w:t>
      </w:r>
    </w:p>
    <w:p w14:paraId="1AB59493">
      <w:pPr>
        <w:keepNext/>
        <w:keepLines/>
        <w:widowControl w:val="0"/>
        <w:bidi w:val="0"/>
        <w:spacing w:beforeLines="0" w:beforeAutospacing="0" w:afterLines="0" w:afterAutospacing="0" w:line="360" w:lineRule="auto"/>
        <w:ind w:left="560" w:leftChars="200" w:firstLine="0" w:firstLineChars="0"/>
        <w:jc w:val="both"/>
        <w:outlineLvl w:val="2"/>
        <w:rPr>
          <w:rFonts w:hint="default" w:ascii="Times New Roman" w:hAnsi="Times New Roman" w:eastAsia="黑体" w:cs="Times New Roman"/>
          <w:b/>
          <w:color w:val="auto"/>
          <w:kern w:val="2"/>
          <w:sz w:val="28"/>
          <w:szCs w:val="24"/>
          <w:lang w:val="en-US" w:eastAsia="zh-CN" w:bidi="ar-SA"/>
        </w:rPr>
      </w:pPr>
      <w:bookmarkStart w:id="282" w:name="_Toc29734"/>
      <w:bookmarkStart w:id="283" w:name="_Toc14458"/>
      <w:bookmarkStart w:id="284" w:name="_Toc23849"/>
      <w:bookmarkStart w:id="285" w:name="_Toc13996"/>
      <w:bookmarkStart w:id="286" w:name="_Toc13129"/>
      <w:bookmarkStart w:id="287" w:name="_Toc9081"/>
      <w:bookmarkStart w:id="288" w:name="_Toc1888"/>
      <w:bookmarkStart w:id="289" w:name="_Toc31780"/>
      <w:bookmarkStart w:id="290" w:name="_Toc8815"/>
      <w:r>
        <w:rPr>
          <w:rFonts w:hint="default" w:ascii="Times New Roman" w:hAnsi="Times New Roman" w:eastAsia="黑体" w:cs="Times New Roman"/>
          <w:b/>
          <w:color w:val="auto"/>
          <w:kern w:val="2"/>
          <w:sz w:val="28"/>
          <w:szCs w:val="24"/>
          <w:lang w:val="en-US" w:eastAsia="zh-CN" w:bidi="ar-SA"/>
        </w:rPr>
        <w:t>3.</w:t>
      </w:r>
      <w:r>
        <w:rPr>
          <w:rFonts w:hint="eastAsia" w:ascii="Times New Roman" w:hAnsi="Times New Roman" w:eastAsia="黑体" w:cs="Times New Roman"/>
          <w:b/>
          <w:color w:val="auto"/>
          <w:kern w:val="2"/>
          <w:sz w:val="28"/>
          <w:szCs w:val="24"/>
          <w:lang w:val="en-US" w:eastAsia="zh-CN" w:bidi="ar-SA"/>
        </w:rPr>
        <w:t>2</w:t>
      </w:r>
      <w:r>
        <w:rPr>
          <w:rFonts w:hint="default" w:ascii="Times New Roman" w:hAnsi="Times New Roman" w:eastAsia="黑体" w:cs="Times New Roman"/>
          <w:b/>
          <w:color w:val="auto"/>
          <w:kern w:val="2"/>
          <w:sz w:val="28"/>
          <w:szCs w:val="24"/>
          <w:lang w:val="en-US" w:eastAsia="zh-CN" w:bidi="ar-SA"/>
        </w:rPr>
        <w:t>.2</w:t>
      </w:r>
      <w:r>
        <w:rPr>
          <w:rFonts w:hint="eastAsia" w:ascii="Times New Roman" w:hAnsi="Times New Roman" w:eastAsia="黑体" w:cs="Times New Roman"/>
          <w:b/>
          <w:color w:val="auto"/>
          <w:kern w:val="2"/>
          <w:sz w:val="28"/>
          <w:szCs w:val="24"/>
          <w:lang w:val="en-US" w:eastAsia="zh-CN" w:bidi="ar-SA"/>
        </w:rPr>
        <w:t xml:space="preserve"> </w:t>
      </w:r>
      <w:r>
        <w:rPr>
          <w:rFonts w:hint="default" w:ascii="Times New Roman" w:hAnsi="Times New Roman" w:eastAsia="黑体" w:cs="Times New Roman"/>
          <w:b/>
          <w:color w:val="auto"/>
          <w:kern w:val="2"/>
          <w:sz w:val="28"/>
          <w:szCs w:val="24"/>
          <w:lang w:val="en-US" w:eastAsia="zh-CN" w:bidi="ar-SA"/>
        </w:rPr>
        <w:t>洪水漫顶</w:t>
      </w:r>
      <w:bookmarkEnd w:id="282"/>
      <w:bookmarkEnd w:id="283"/>
      <w:bookmarkEnd w:id="284"/>
      <w:bookmarkEnd w:id="285"/>
      <w:bookmarkEnd w:id="286"/>
      <w:bookmarkEnd w:id="287"/>
      <w:bookmarkEnd w:id="288"/>
      <w:bookmarkEnd w:id="289"/>
      <w:bookmarkEnd w:id="290"/>
    </w:p>
    <w:p w14:paraId="7352C704">
      <w:pPr>
        <w:ind w:firstLine="883"/>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洪水漫顶是造成尾矿库事故的主要危险因素，造成洪水漫顶的原因有：</w:t>
      </w:r>
    </w:p>
    <w:p w14:paraId="698C485C">
      <w:pPr>
        <w:numPr>
          <w:ilvl w:val="0"/>
          <w:numId w:val="3"/>
        </w:numPr>
        <w:ind w:firstLine="560" w:firstLineChars="20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排水系统能力不够；</w:t>
      </w:r>
    </w:p>
    <w:p w14:paraId="3DBAC88B">
      <w:pPr>
        <w:numPr>
          <w:ilvl w:val="0"/>
          <w:numId w:val="3"/>
        </w:numPr>
        <w:ind w:left="0" w:leftChars="0" w:firstLine="560" w:firstLineChars="20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尾矿库的调洪能力和安全超高过小；</w:t>
      </w:r>
    </w:p>
    <w:p w14:paraId="2EBA774E">
      <w:pPr>
        <w:numPr>
          <w:ilvl w:val="0"/>
          <w:numId w:val="3"/>
        </w:numPr>
        <w:ind w:left="0" w:leftChars="0" w:firstLine="560" w:firstLineChars="20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管理中的失误造成排水系统堵塞。</w:t>
      </w:r>
    </w:p>
    <w:p w14:paraId="2035CDB5">
      <w:pPr>
        <w:rPr>
          <w:rFonts w:hint="eastAsia" w:eastAsia="宋体"/>
          <w:color w:val="auto"/>
          <w:lang w:eastAsia="zh-CN"/>
        </w:rPr>
      </w:pPr>
      <w:r>
        <w:rPr>
          <w:rFonts w:hint="eastAsia" w:eastAsia="宋体"/>
          <w:color w:val="auto"/>
          <w:lang w:eastAsia="zh-CN"/>
        </w:rPr>
        <w:t>经现场检查，</w:t>
      </w:r>
      <w:r>
        <w:rPr>
          <w:rFonts w:hint="eastAsia" w:ascii="Times New Roman" w:eastAsia="宋体"/>
          <w:color w:val="auto"/>
          <w:lang w:val="en-US" w:eastAsia="zh-CN"/>
        </w:rPr>
        <w:t>未发现</w:t>
      </w:r>
      <w:r>
        <w:rPr>
          <w:rFonts w:hint="eastAsia"/>
          <w:color w:val="auto"/>
          <w:lang w:val="en-US" w:eastAsia="zh-CN"/>
        </w:rPr>
        <w:t>岿美山尾矿库</w:t>
      </w:r>
      <w:r>
        <w:rPr>
          <w:rFonts w:hint="eastAsia" w:ascii="Times New Roman" w:eastAsia="宋体"/>
          <w:color w:val="auto"/>
          <w:lang w:val="en-US" w:eastAsia="zh-CN"/>
        </w:rPr>
        <w:t>有洪水漫顶现象</w:t>
      </w:r>
      <w:r>
        <w:rPr>
          <w:rFonts w:hint="eastAsia" w:eastAsia="宋体"/>
          <w:color w:val="auto"/>
          <w:lang w:eastAsia="zh-CN"/>
        </w:rPr>
        <w:t>。</w:t>
      </w:r>
    </w:p>
    <w:p w14:paraId="0B0491F9">
      <w:pPr>
        <w:keepNext/>
        <w:keepLines/>
        <w:widowControl w:val="0"/>
        <w:bidi w:val="0"/>
        <w:spacing w:beforeLines="0" w:beforeAutospacing="0" w:afterLines="0" w:afterAutospacing="0" w:line="360" w:lineRule="auto"/>
        <w:ind w:left="560" w:leftChars="200" w:firstLine="0" w:firstLineChars="0"/>
        <w:jc w:val="both"/>
        <w:outlineLvl w:val="2"/>
        <w:rPr>
          <w:rFonts w:hint="eastAsia" w:ascii="Times New Roman" w:hAnsi="Times New Roman" w:eastAsia="黑体" w:cs="Times New Roman"/>
          <w:b/>
          <w:color w:val="auto"/>
          <w:kern w:val="2"/>
          <w:sz w:val="28"/>
          <w:szCs w:val="24"/>
          <w:lang w:val="en-US" w:eastAsia="zh-CN" w:bidi="ar-SA"/>
        </w:rPr>
      </w:pPr>
      <w:bookmarkStart w:id="291" w:name="_Toc30566"/>
      <w:bookmarkStart w:id="292" w:name="_Toc6097"/>
      <w:bookmarkStart w:id="293" w:name="_Toc14898"/>
      <w:bookmarkStart w:id="294" w:name="_Toc4158"/>
      <w:bookmarkStart w:id="295" w:name="_Toc8133"/>
      <w:bookmarkStart w:id="296" w:name="_Toc29627"/>
      <w:bookmarkStart w:id="297" w:name="_Toc13407"/>
      <w:bookmarkStart w:id="298" w:name="_Toc28525"/>
      <w:bookmarkStart w:id="299" w:name="_Toc23180"/>
      <w:bookmarkStart w:id="300" w:name="_Toc25695"/>
      <w:bookmarkStart w:id="301" w:name="_Toc14757"/>
      <w:r>
        <w:rPr>
          <w:rFonts w:hint="eastAsia" w:ascii="Times New Roman" w:hAnsi="Times New Roman" w:eastAsia="黑体" w:cs="Times New Roman"/>
          <w:b/>
          <w:color w:val="auto"/>
          <w:kern w:val="2"/>
          <w:sz w:val="28"/>
          <w:szCs w:val="24"/>
          <w:lang w:val="en-US" w:eastAsia="zh-CN" w:bidi="ar-SA"/>
        </w:rPr>
        <w:t>3.2.3 渗漏</w:t>
      </w:r>
      <w:bookmarkEnd w:id="291"/>
      <w:bookmarkEnd w:id="292"/>
      <w:bookmarkEnd w:id="293"/>
      <w:bookmarkEnd w:id="294"/>
      <w:bookmarkEnd w:id="295"/>
      <w:bookmarkEnd w:id="296"/>
      <w:bookmarkEnd w:id="297"/>
      <w:bookmarkEnd w:id="298"/>
      <w:bookmarkEnd w:id="299"/>
      <w:bookmarkEnd w:id="300"/>
      <w:bookmarkEnd w:id="301"/>
    </w:p>
    <w:p w14:paraId="1237DA57">
      <w:pPr>
        <w:bidi w:val="0"/>
        <w:ind w:firstLine="883"/>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非正常渗漏也是尾矿库常见的危险、有害因素，异常渗漏常导致溢流出口处坝体流土、冲刷及管涌等多种形式的破坏，严重的会导致垮坝事故。非正常渗漏按渗漏的部位可分为：坝体渗漏、坝基渗漏。</w:t>
      </w:r>
    </w:p>
    <w:p w14:paraId="4C371108">
      <w:pPr>
        <w:numPr>
          <w:ilvl w:val="0"/>
          <w:numId w:val="0"/>
        </w:numPr>
        <w:bidi w:val="0"/>
        <w:ind w:firstLine="560" w:firstLineChars="20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kern w:val="2"/>
          <w:sz w:val="28"/>
          <w:szCs w:val="24"/>
          <w:lang w:val="en-US" w:eastAsia="zh-CN" w:bidi="ar-SA"/>
        </w:rPr>
        <w:t>1.</w:t>
      </w:r>
      <w:r>
        <w:rPr>
          <w:rFonts w:hint="eastAsia" w:ascii="Times New Roman" w:hAnsi="Times New Roman" w:eastAsia="宋体" w:cs="Times New Roman"/>
          <w:color w:val="auto"/>
          <w:lang w:eastAsia="zh-CN"/>
        </w:rPr>
        <w:t>坝体渗漏的主要原因：</w:t>
      </w:r>
    </w:p>
    <w:p w14:paraId="7D7BD650">
      <w:pPr>
        <w:bidi w:val="0"/>
        <w:ind w:firstLine="883"/>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（1）尾矿坝无排渗设施；</w:t>
      </w:r>
    </w:p>
    <w:p w14:paraId="40C3D7B6">
      <w:pPr>
        <w:bidi w:val="0"/>
        <w:ind w:firstLine="883"/>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2</w:t>
      </w:r>
      <w:r>
        <w:rPr>
          <w:rFonts w:hint="eastAsia" w:ascii="Times New Roman" w:hAnsi="Times New Roman" w:eastAsia="宋体" w:cs="Times New Roman"/>
          <w:color w:val="auto"/>
          <w:lang w:eastAsia="zh-CN"/>
        </w:rPr>
        <w:t>）尾矿澄清距离过短；</w:t>
      </w:r>
    </w:p>
    <w:p w14:paraId="531CF977">
      <w:pPr>
        <w:bidi w:val="0"/>
        <w:ind w:firstLine="883"/>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3</w:t>
      </w:r>
      <w:r>
        <w:rPr>
          <w:rFonts w:hint="eastAsia" w:ascii="Times New Roman" w:hAnsi="Times New Roman" w:eastAsia="宋体" w:cs="Times New Roman"/>
          <w:color w:val="auto"/>
          <w:lang w:eastAsia="zh-CN"/>
        </w:rPr>
        <w:t>）尾矿坝下游坝面坡度过陡。</w:t>
      </w:r>
    </w:p>
    <w:p w14:paraId="7AA2CBE9">
      <w:pPr>
        <w:bidi w:val="0"/>
        <w:ind w:firstLine="883"/>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val="en-US" w:eastAsia="zh-CN"/>
        </w:rPr>
        <w:t xml:space="preserve">2. </w:t>
      </w:r>
      <w:r>
        <w:rPr>
          <w:rFonts w:hint="eastAsia" w:ascii="Times New Roman" w:hAnsi="Times New Roman" w:eastAsia="宋体" w:cs="Times New Roman"/>
          <w:color w:val="auto"/>
          <w:lang w:eastAsia="zh-CN"/>
        </w:rPr>
        <w:t>基础渗漏的主要原因：</w:t>
      </w:r>
    </w:p>
    <w:p w14:paraId="1172C046">
      <w:pPr>
        <w:bidi w:val="0"/>
        <w:ind w:firstLine="883"/>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（1）坝基的工程地质条件差，且施工时未进行必要的处理；</w:t>
      </w:r>
    </w:p>
    <w:p w14:paraId="40A23B71">
      <w:pPr>
        <w:bidi w:val="0"/>
        <w:ind w:firstLine="883"/>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2</w:t>
      </w:r>
      <w:r>
        <w:rPr>
          <w:rFonts w:hint="eastAsia" w:ascii="Times New Roman" w:hAnsi="Times New Roman" w:eastAsia="宋体" w:cs="Times New Roman"/>
          <w:color w:val="auto"/>
          <w:lang w:eastAsia="zh-CN"/>
        </w:rPr>
        <w:t>）筑坝材料不当；</w:t>
      </w:r>
    </w:p>
    <w:p w14:paraId="49607BB5">
      <w:pPr>
        <w:bidi w:val="0"/>
        <w:ind w:firstLine="883"/>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3</w:t>
      </w:r>
      <w:r>
        <w:rPr>
          <w:rFonts w:hint="eastAsia" w:ascii="Times New Roman" w:hAnsi="Times New Roman" w:eastAsia="宋体" w:cs="Times New Roman"/>
          <w:color w:val="auto"/>
          <w:lang w:eastAsia="zh-CN"/>
        </w:rPr>
        <w:t>）无排渗设施。</w:t>
      </w:r>
    </w:p>
    <w:p w14:paraId="41C8742F">
      <w:pPr>
        <w:bidi w:val="0"/>
        <w:rPr>
          <w:rFonts w:hint="eastAsia"/>
          <w:color w:val="auto"/>
          <w:lang w:eastAsia="zh-CN"/>
        </w:rPr>
      </w:pPr>
      <w:r>
        <w:rPr>
          <w:rFonts w:hint="eastAsia" w:eastAsia="宋体"/>
          <w:color w:val="auto"/>
          <w:lang w:eastAsia="zh-CN"/>
        </w:rPr>
        <w:t>经现场检查，</w:t>
      </w:r>
      <w:r>
        <w:rPr>
          <w:rFonts w:hint="eastAsia"/>
          <w:color w:val="auto"/>
          <w:lang w:val="en-US" w:eastAsia="zh-CN"/>
        </w:rPr>
        <w:t>岿美山尾矿库</w:t>
      </w:r>
      <w:r>
        <w:rPr>
          <w:rFonts w:hint="eastAsia" w:eastAsia="宋体"/>
          <w:color w:val="auto"/>
          <w:lang w:eastAsia="zh-CN"/>
        </w:rPr>
        <w:t>尾矿坝无渗漏现象。</w:t>
      </w:r>
    </w:p>
    <w:p w14:paraId="50B69824">
      <w:pPr>
        <w:keepNext/>
        <w:keepLines/>
        <w:widowControl w:val="0"/>
        <w:bidi w:val="0"/>
        <w:spacing w:beforeLines="0" w:beforeAutospacing="0" w:afterLines="0" w:afterAutospacing="0" w:line="360" w:lineRule="auto"/>
        <w:ind w:left="560" w:leftChars="200" w:firstLine="0" w:firstLineChars="0"/>
        <w:jc w:val="both"/>
        <w:outlineLvl w:val="2"/>
        <w:rPr>
          <w:rFonts w:hint="eastAsia" w:ascii="Times New Roman" w:hAnsi="Times New Roman" w:eastAsia="黑体" w:cs="Times New Roman"/>
          <w:b/>
          <w:color w:val="auto"/>
          <w:kern w:val="2"/>
          <w:sz w:val="28"/>
          <w:szCs w:val="24"/>
          <w:lang w:val="en-US" w:eastAsia="zh-CN" w:bidi="ar-SA"/>
        </w:rPr>
      </w:pPr>
      <w:bookmarkStart w:id="302" w:name="_Toc32626"/>
      <w:bookmarkStart w:id="303" w:name="_Toc16993"/>
      <w:bookmarkStart w:id="304" w:name="_Toc25317"/>
      <w:bookmarkStart w:id="305" w:name="_Toc5534"/>
      <w:bookmarkStart w:id="306" w:name="_Toc27322"/>
      <w:bookmarkStart w:id="307" w:name="_Toc219"/>
      <w:bookmarkStart w:id="308" w:name="_Toc14437"/>
      <w:bookmarkStart w:id="309" w:name="_Toc10654"/>
      <w:bookmarkStart w:id="310" w:name="_Toc21082"/>
      <w:bookmarkStart w:id="311" w:name="_Toc18831"/>
      <w:bookmarkStart w:id="312" w:name="_Toc13021"/>
      <w:r>
        <w:rPr>
          <w:rFonts w:hint="eastAsia" w:ascii="Times New Roman" w:hAnsi="Times New Roman" w:eastAsia="黑体" w:cs="Times New Roman"/>
          <w:b/>
          <w:color w:val="auto"/>
          <w:kern w:val="2"/>
          <w:sz w:val="28"/>
          <w:szCs w:val="24"/>
          <w:lang w:val="en-US" w:eastAsia="zh-CN" w:bidi="ar-SA"/>
        </w:rPr>
        <w:t>3.2.4 排水、泄洪构筑物破坏</w:t>
      </w:r>
      <w:bookmarkEnd w:id="302"/>
      <w:bookmarkEnd w:id="303"/>
      <w:bookmarkEnd w:id="304"/>
      <w:bookmarkEnd w:id="305"/>
      <w:bookmarkEnd w:id="306"/>
      <w:bookmarkEnd w:id="307"/>
      <w:bookmarkEnd w:id="308"/>
      <w:bookmarkEnd w:id="309"/>
      <w:bookmarkEnd w:id="310"/>
      <w:bookmarkEnd w:id="311"/>
      <w:bookmarkEnd w:id="312"/>
    </w:p>
    <w:p w14:paraId="46D18BF4">
      <w:pPr>
        <w:ind w:firstLine="883"/>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val="en-US" w:eastAsia="zh-CN"/>
        </w:rPr>
        <w:t xml:space="preserve">1. </w:t>
      </w:r>
      <w:r>
        <w:rPr>
          <w:rFonts w:hint="eastAsia" w:ascii="Times New Roman" w:hAnsi="Times New Roman" w:eastAsia="宋体" w:cs="Times New Roman"/>
          <w:color w:val="auto"/>
          <w:lang w:eastAsia="zh-CN"/>
        </w:rPr>
        <w:t>排洪构筑物堵塞</w:t>
      </w:r>
    </w:p>
    <w:p w14:paraId="4A9CBFF6">
      <w:pPr>
        <w:ind w:firstLine="883"/>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排洪构筑物堵塞导致排洪能力急剧下降，库水位上升，安全超高不够，直接危及坝体安全。</w:t>
      </w:r>
    </w:p>
    <w:p w14:paraId="34047FB2">
      <w:pPr>
        <w:ind w:firstLine="883"/>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排洪构筑物堵塞主要原因有：</w:t>
      </w:r>
    </w:p>
    <w:p w14:paraId="699B6890">
      <w:pPr>
        <w:ind w:firstLine="883"/>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1</w:t>
      </w:r>
      <w:r>
        <w:rPr>
          <w:rFonts w:hint="eastAsia" w:ascii="Times New Roman" w:hAnsi="Times New Roman" w:eastAsia="宋体" w:cs="Times New Roman"/>
          <w:color w:val="auto"/>
          <w:lang w:eastAsia="zh-CN"/>
        </w:rPr>
        <w:t>）进水口杂物淤积；</w:t>
      </w:r>
    </w:p>
    <w:p w14:paraId="7D58895E">
      <w:pPr>
        <w:ind w:firstLine="883"/>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（2）构筑物垮塌；</w:t>
      </w:r>
    </w:p>
    <w:p w14:paraId="575FA348">
      <w:pPr>
        <w:ind w:firstLine="883"/>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3</w:t>
      </w:r>
      <w:r>
        <w:rPr>
          <w:rFonts w:hint="eastAsia" w:ascii="Times New Roman" w:hAnsi="Times New Roman" w:eastAsia="宋体" w:cs="Times New Roman"/>
          <w:color w:val="auto"/>
          <w:lang w:eastAsia="zh-CN"/>
        </w:rPr>
        <w:t>）长期对排洪构筑物不进行检查、维修，致使堵塞、露筋、塌陷等隐患未能及时发现。</w:t>
      </w:r>
    </w:p>
    <w:p w14:paraId="5968CDC5">
      <w:pPr>
        <w:ind w:firstLine="883"/>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val="en-US" w:eastAsia="zh-CN"/>
        </w:rPr>
        <w:t xml:space="preserve">2. </w:t>
      </w:r>
      <w:r>
        <w:rPr>
          <w:rFonts w:hint="eastAsia" w:ascii="Times New Roman" w:hAnsi="Times New Roman" w:eastAsia="宋体" w:cs="Times New Roman"/>
          <w:color w:val="auto"/>
          <w:lang w:eastAsia="zh-CN"/>
        </w:rPr>
        <w:t>排洪构筑物错动、断裂、气蚀、垮塌</w:t>
      </w:r>
    </w:p>
    <w:p w14:paraId="2EBB6C3B">
      <w:pPr>
        <w:ind w:firstLine="883"/>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排洪构筑物错动、断裂常常造成大量泄漏，垮塌造成堵塞，排洪能力急剧下降，直接危及坝体安全。</w:t>
      </w:r>
    </w:p>
    <w:p w14:paraId="32E89515">
      <w:pPr>
        <w:ind w:firstLine="883"/>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排洪构筑物断裂、垮塌常由下列原因引起：</w:t>
      </w:r>
    </w:p>
    <w:p w14:paraId="50649B84">
      <w:pPr>
        <w:ind w:firstLine="883"/>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1</w:t>
      </w:r>
      <w:r>
        <w:rPr>
          <w:rFonts w:hint="eastAsia" w:ascii="Times New Roman" w:hAnsi="Times New Roman" w:eastAsia="宋体" w:cs="Times New Roman"/>
          <w:color w:val="auto"/>
          <w:lang w:eastAsia="zh-CN"/>
        </w:rPr>
        <w:t>）未按设计要求施工；</w:t>
      </w:r>
    </w:p>
    <w:p w14:paraId="426A6FA3">
      <w:pPr>
        <w:ind w:firstLine="883"/>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（2）排洪管线等处的地基不均匀沉陷；出现不均匀或集中荷载；水流流态改变等；</w:t>
      </w:r>
    </w:p>
    <w:p w14:paraId="127E9ED9">
      <w:pPr>
        <w:ind w:firstLine="883"/>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3</w:t>
      </w:r>
      <w:r>
        <w:rPr>
          <w:rFonts w:hint="eastAsia" w:ascii="Times New Roman" w:hAnsi="Times New Roman" w:eastAsia="宋体" w:cs="Times New Roman"/>
          <w:color w:val="auto"/>
          <w:lang w:eastAsia="zh-CN"/>
        </w:rPr>
        <w:t>）排洪构筑物有蜂窝、麻面或强度不达标，当负荷逐渐增大时，会造成掉块、漏筋、断裂、甚至倒塌等病害。</w:t>
      </w:r>
    </w:p>
    <w:p w14:paraId="4433B07C">
      <w:pPr>
        <w:ind w:firstLine="883"/>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val="en-US" w:eastAsia="zh-CN"/>
        </w:rPr>
        <w:t xml:space="preserve">3. </w:t>
      </w:r>
      <w:r>
        <w:rPr>
          <w:rFonts w:hint="eastAsia" w:ascii="Times New Roman" w:hAnsi="Times New Roman" w:eastAsia="宋体" w:cs="Times New Roman"/>
          <w:color w:val="auto"/>
          <w:lang w:eastAsia="zh-CN"/>
        </w:rPr>
        <w:t>排洪构筑物排洪能力不足</w:t>
      </w:r>
    </w:p>
    <w:p w14:paraId="28ABAF5D">
      <w:pPr>
        <w:ind w:firstLine="883"/>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排洪构筑物排洪能力不足就不能及时排泄设计频率暴雨的洪水，库水位上升，危及坝体安全。</w:t>
      </w:r>
    </w:p>
    <w:p w14:paraId="6E0B3EE6">
      <w:pPr>
        <w:ind w:firstLine="883"/>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导致排洪构筑物排洪能力不足的主要原因有：</w:t>
      </w:r>
    </w:p>
    <w:p w14:paraId="3ED049BA">
      <w:pPr>
        <w:ind w:firstLine="883"/>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1</w:t>
      </w:r>
      <w:r>
        <w:rPr>
          <w:rFonts w:hint="eastAsia" w:ascii="Times New Roman" w:hAnsi="Times New Roman" w:eastAsia="宋体" w:cs="Times New Roman"/>
          <w:color w:val="auto"/>
          <w:lang w:eastAsia="zh-CN"/>
        </w:rPr>
        <w:t>）原设计洪水标准低于现行标准；</w:t>
      </w:r>
    </w:p>
    <w:p w14:paraId="71EAB32F">
      <w:pPr>
        <w:ind w:firstLine="883"/>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（2）为节约投资，人为缩小排洪通道断面尺寸；</w:t>
      </w:r>
    </w:p>
    <w:p w14:paraId="20BF729D">
      <w:pPr>
        <w:ind w:firstLine="883"/>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3</w:t>
      </w:r>
      <w:r>
        <w:rPr>
          <w:rFonts w:hint="eastAsia" w:ascii="Times New Roman" w:hAnsi="Times New Roman" w:eastAsia="宋体" w:cs="Times New Roman"/>
          <w:color w:val="auto"/>
          <w:lang w:eastAsia="zh-CN"/>
        </w:rPr>
        <w:t>）排洪通道存在限制性“瓶颈”。</w:t>
      </w:r>
    </w:p>
    <w:p w14:paraId="15C0258E">
      <w:pPr>
        <w:rPr>
          <w:rFonts w:hint="eastAsia" w:eastAsia="宋体"/>
          <w:color w:val="auto"/>
          <w:lang w:eastAsia="zh-CN"/>
        </w:rPr>
      </w:pPr>
      <w:r>
        <w:rPr>
          <w:rFonts w:hint="eastAsia" w:eastAsia="宋体"/>
          <w:color w:val="auto"/>
          <w:lang w:eastAsia="zh-CN"/>
        </w:rPr>
        <w:t>经现场检查，</w:t>
      </w:r>
      <w:r>
        <w:rPr>
          <w:rFonts w:hint="eastAsia"/>
          <w:color w:val="auto"/>
          <w:lang w:val="en-US" w:eastAsia="zh-CN"/>
        </w:rPr>
        <w:t>岿美山尾矿库</w:t>
      </w:r>
      <w:r>
        <w:rPr>
          <w:rFonts w:hint="eastAsia" w:eastAsia="宋体"/>
          <w:color w:val="auto"/>
          <w:lang w:eastAsia="zh-CN"/>
        </w:rPr>
        <w:t>排</w:t>
      </w:r>
      <w:r>
        <w:rPr>
          <w:rFonts w:hint="eastAsia" w:eastAsia="宋体"/>
          <w:color w:val="auto"/>
          <w:lang w:val="en-US" w:eastAsia="zh-CN"/>
        </w:rPr>
        <w:t>水</w:t>
      </w:r>
      <w:r>
        <w:rPr>
          <w:rFonts w:hint="eastAsia" w:eastAsia="宋体"/>
          <w:color w:val="auto"/>
          <w:lang w:eastAsia="zh-CN"/>
        </w:rPr>
        <w:t>构筑物无破坏现象。</w:t>
      </w:r>
    </w:p>
    <w:p w14:paraId="2829C99D">
      <w:pPr>
        <w:keepNext/>
        <w:keepLines/>
        <w:widowControl w:val="0"/>
        <w:bidi w:val="0"/>
        <w:spacing w:beforeLines="0" w:beforeAutospacing="0" w:afterLines="0" w:afterAutospacing="0" w:line="360" w:lineRule="auto"/>
        <w:ind w:left="560" w:leftChars="200" w:firstLine="0" w:firstLineChars="0"/>
        <w:jc w:val="both"/>
        <w:outlineLvl w:val="2"/>
        <w:rPr>
          <w:rFonts w:hint="eastAsia" w:ascii="Times New Roman" w:hAnsi="Times New Roman" w:eastAsia="黑体" w:cs="Times New Roman"/>
          <w:b/>
          <w:color w:val="auto"/>
          <w:kern w:val="2"/>
          <w:sz w:val="28"/>
          <w:szCs w:val="24"/>
          <w:lang w:val="en-US" w:eastAsia="zh-CN" w:bidi="ar-SA"/>
        </w:rPr>
      </w:pPr>
      <w:bookmarkStart w:id="313" w:name="_Toc29535"/>
      <w:bookmarkStart w:id="314" w:name="_Toc21019"/>
      <w:bookmarkStart w:id="315" w:name="_Toc24258"/>
      <w:bookmarkStart w:id="316" w:name="_Toc30062"/>
      <w:bookmarkStart w:id="317" w:name="_Toc31018"/>
      <w:bookmarkStart w:id="318" w:name="_Toc29827"/>
      <w:bookmarkStart w:id="319" w:name="_Toc22489"/>
      <w:bookmarkStart w:id="320" w:name="_Toc17935"/>
      <w:bookmarkStart w:id="321" w:name="_Toc19053"/>
      <w:bookmarkStart w:id="322" w:name="_Toc13987"/>
      <w:bookmarkStart w:id="323" w:name="_Toc3032"/>
      <w:r>
        <w:rPr>
          <w:rFonts w:hint="eastAsia" w:ascii="Times New Roman" w:hAnsi="Times New Roman" w:eastAsia="黑体" w:cs="Times New Roman"/>
          <w:b/>
          <w:color w:val="auto"/>
          <w:kern w:val="2"/>
          <w:sz w:val="28"/>
          <w:szCs w:val="24"/>
          <w:lang w:val="en-US" w:eastAsia="zh-CN" w:bidi="ar-SA"/>
        </w:rPr>
        <w:t>3.2.5 调洪库容不足</w:t>
      </w:r>
      <w:bookmarkEnd w:id="313"/>
      <w:bookmarkEnd w:id="314"/>
      <w:bookmarkEnd w:id="315"/>
      <w:bookmarkEnd w:id="316"/>
      <w:bookmarkEnd w:id="317"/>
      <w:bookmarkEnd w:id="318"/>
      <w:bookmarkEnd w:id="319"/>
      <w:bookmarkEnd w:id="320"/>
      <w:bookmarkEnd w:id="321"/>
      <w:bookmarkEnd w:id="322"/>
      <w:bookmarkEnd w:id="323"/>
    </w:p>
    <w:p w14:paraId="248128C0">
      <w:pPr>
        <w:bidi w:val="0"/>
        <w:ind w:firstLine="883"/>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调洪库容不足将降低尾矿库的防洪能力，遇大洪水时将造成溃坝事故。导致调洪库容不足的原因有：汛期保持高水位运行，造成调洪库容不足。</w:t>
      </w:r>
    </w:p>
    <w:p w14:paraId="59463F7B">
      <w:pPr>
        <w:bidi w:val="0"/>
        <w:rPr>
          <w:rFonts w:hint="eastAsia"/>
          <w:color w:val="auto"/>
          <w:lang w:eastAsia="zh-CN"/>
        </w:rPr>
      </w:pPr>
      <w:r>
        <w:rPr>
          <w:rFonts w:hint="eastAsia" w:eastAsia="宋体"/>
          <w:color w:val="auto"/>
          <w:lang w:eastAsia="zh-CN"/>
        </w:rPr>
        <w:t>经现场检查，未发现</w:t>
      </w:r>
      <w:r>
        <w:rPr>
          <w:rFonts w:hint="eastAsia"/>
          <w:color w:val="auto"/>
          <w:lang w:val="en-US" w:eastAsia="zh-CN"/>
        </w:rPr>
        <w:t>岿美山尾矿库</w:t>
      </w:r>
      <w:r>
        <w:rPr>
          <w:rFonts w:hint="eastAsia" w:eastAsia="宋体"/>
          <w:color w:val="auto"/>
          <w:lang w:eastAsia="zh-CN"/>
        </w:rPr>
        <w:t>有调洪库容不足现象。</w:t>
      </w:r>
    </w:p>
    <w:p w14:paraId="1831C521">
      <w:pPr>
        <w:keepNext/>
        <w:keepLines/>
        <w:widowControl w:val="0"/>
        <w:bidi w:val="0"/>
        <w:spacing w:beforeLines="0" w:beforeAutospacing="0" w:afterLines="0" w:afterAutospacing="0" w:line="360" w:lineRule="auto"/>
        <w:ind w:left="560" w:leftChars="200" w:firstLine="0" w:firstLineChars="0"/>
        <w:jc w:val="both"/>
        <w:outlineLvl w:val="2"/>
        <w:rPr>
          <w:rFonts w:hint="eastAsia" w:ascii="Times New Roman" w:hAnsi="Times New Roman" w:eastAsia="黑体" w:cs="Times New Roman"/>
          <w:b/>
          <w:color w:val="auto"/>
          <w:kern w:val="2"/>
          <w:sz w:val="28"/>
          <w:szCs w:val="24"/>
          <w:lang w:val="en-US" w:eastAsia="zh-CN" w:bidi="ar-SA"/>
        </w:rPr>
      </w:pPr>
      <w:bookmarkStart w:id="324" w:name="_Toc5980"/>
      <w:bookmarkStart w:id="325" w:name="_Toc19731"/>
      <w:bookmarkStart w:id="326" w:name="_Toc28112"/>
      <w:bookmarkStart w:id="327" w:name="_Toc22552"/>
      <w:bookmarkStart w:id="328" w:name="_Toc8439"/>
      <w:bookmarkStart w:id="329" w:name="_Toc25015"/>
      <w:bookmarkStart w:id="330" w:name="_Toc10898"/>
      <w:bookmarkStart w:id="331" w:name="_Toc15052"/>
      <w:bookmarkStart w:id="332" w:name="_Toc7102"/>
      <w:bookmarkStart w:id="333" w:name="_Toc18025"/>
      <w:bookmarkStart w:id="334" w:name="_Toc1861"/>
      <w:r>
        <w:rPr>
          <w:rFonts w:hint="eastAsia" w:ascii="Times New Roman" w:hAnsi="Times New Roman" w:eastAsia="黑体" w:cs="Times New Roman"/>
          <w:b/>
          <w:color w:val="auto"/>
          <w:kern w:val="2"/>
          <w:sz w:val="28"/>
          <w:szCs w:val="24"/>
          <w:lang w:val="en-US" w:eastAsia="zh-CN" w:bidi="ar-SA"/>
        </w:rPr>
        <w:t>3.2.6 裂缝</w:t>
      </w:r>
      <w:bookmarkEnd w:id="324"/>
      <w:bookmarkEnd w:id="325"/>
      <w:bookmarkEnd w:id="326"/>
      <w:bookmarkEnd w:id="327"/>
      <w:bookmarkEnd w:id="328"/>
      <w:bookmarkEnd w:id="329"/>
      <w:bookmarkEnd w:id="330"/>
      <w:bookmarkEnd w:id="331"/>
      <w:bookmarkEnd w:id="332"/>
      <w:bookmarkEnd w:id="333"/>
      <w:bookmarkEnd w:id="334"/>
    </w:p>
    <w:p w14:paraId="04E1F873">
      <w:pPr>
        <w:ind w:firstLine="883"/>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裂缝是尾矿坝较为常见的有害因素，某些细小的横向裂缝有可能发展成为坝体的集中渗漏通道，有的纵向裂缝或水平裂缝也可能是坝体出现滑塌的预兆。</w:t>
      </w:r>
    </w:p>
    <w:p w14:paraId="060336C8">
      <w:pPr>
        <w:ind w:firstLine="883"/>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裂缝的主要成因有：</w:t>
      </w:r>
    </w:p>
    <w:p w14:paraId="0C3439EC">
      <w:pPr>
        <w:numPr>
          <w:ilvl w:val="0"/>
          <w:numId w:val="0"/>
        </w:numPr>
        <w:ind w:firstLine="560" w:firstLineChars="20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kern w:val="2"/>
          <w:sz w:val="28"/>
          <w:szCs w:val="24"/>
          <w:lang w:val="en-US" w:eastAsia="zh-CN" w:bidi="ar-SA"/>
        </w:rPr>
        <w:t xml:space="preserve">1. </w:t>
      </w:r>
      <w:r>
        <w:rPr>
          <w:rFonts w:hint="eastAsia" w:ascii="Times New Roman" w:hAnsi="Times New Roman" w:eastAsia="宋体" w:cs="Times New Roman"/>
          <w:color w:val="auto"/>
          <w:lang w:eastAsia="zh-CN"/>
        </w:rPr>
        <w:t>坝基承载能力不均衡；</w:t>
      </w:r>
    </w:p>
    <w:p w14:paraId="729CB253">
      <w:pPr>
        <w:numPr>
          <w:ilvl w:val="0"/>
          <w:numId w:val="0"/>
        </w:numPr>
        <w:ind w:left="0" w:leftChars="0" w:firstLine="560" w:firstLineChars="20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kern w:val="2"/>
          <w:sz w:val="28"/>
          <w:szCs w:val="24"/>
          <w:lang w:val="en-US" w:eastAsia="zh-CN" w:bidi="ar-SA"/>
        </w:rPr>
        <w:t xml:space="preserve">2. </w:t>
      </w:r>
      <w:r>
        <w:rPr>
          <w:rFonts w:hint="eastAsia" w:ascii="Times New Roman" w:hAnsi="Times New Roman" w:eastAsia="宋体" w:cs="Times New Roman"/>
          <w:color w:val="auto"/>
          <w:lang w:eastAsia="zh-CN"/>
        </w:rPr>
        <w:t>坝体施工质量差；</w:t>
      </w:r>
    </w:p>
    <w:p w14:paraId="4880CA45">
      <w:pPr>
        <w:numPr>
          <w:ilvl w:val="0"/>
          <w:numId w:val="0"/>
        </w:numPr>
        <w:ind w:left="0" w:leftChars="0" w:firstLine="560" w:firstLineChars="20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kern w:val="2"/>
          <w:sz w:val="28"/>
          <w:szCs w:val="24"/>
          <w:lang w:val="en-US" w:eastAsia="zh-CN" w:bidi="ar-SA"/>
        </w:rPr>
        <w:t xml:space="preserve">3. </w:t>
      </w:r>
      <w:r>
        <w:rPr>
          <w:rFonts w:hint="eastAsia" w:ascii="Times New Roman" w:hAnsi="Times New Roman" w:eastAsia="宋体" w:cs="Times New Roman"/>
          <w:color w:val="auto"/>
          <w:lang w:eastAsia="zh-CN"/>
        </w:rPr>
        <w:t>坝身结构及断面尺寸设计不当。</w:t>
      </w:r>
    </w:p>
    <w:p w14:paraId="5ABE6374">
      <w:pPr>
        <w:numPr>
          <w:ilvl w:val="0"/>
          <w:numId w:val="0"/>
        </w:numPr>
        <w:ind w:leftChars="200"/>
        <w:rPr>
          <w:rFonts w:hint="eastAsia"/>
          <w:color w:val="auto"/>
          <w:lang w:eastAsia="zh-CN"/>
        </w:rPr>
      </w:pPr>
      <w:r>
        <w:rPr>
          <w:rFonts w:hint="eastAsia" w:eastAsia="宋体"/>
          <w:color w:val="auto"/>
          <w:lang w:eastAsia="zh-CN"/>
        </w:rPr>
        <w:t>经现场检查，</w:t>
      </w:r>
      <w:r>
        <w:rPr>
          <w:rFonts w:hint="eastAsia"/>
          <w:color w:val="auto"/>
          <w:lang w:val="en-US" w:eastAsia="zh-CN"/>
        </w:rPr>
        <w:t>岿美山尾矿库</w:t>
      </w:r>
      <w:r>
        <w:rPr>
          <w:rFonts w:hint="eastAsia" w:eastAsia="宋体"/>
          <w:color w:val="auto"/>
          <w:lang w:val="en-US" w:eastAsia="zh-CN"/>
        </w:rPr>
        <w:t>主</w:t>
      </w:r>
      <w:r>
        <w:rPr>
          <w:rFonts w:hint="eastAsia" w:eastAsia="宋体"/>
          <w:color w:val="auto"/>
          <w:lang w:eastAsia="zh-CN"/>
        </w:rPr>
        <w:t>坝无裂缝现象。</w:t>
      </w:r>
    </w:p>
    <w:p w14:paraId="344D7931">
      <w:pPr>
        <w:keepNext/>
        <w:keepLines/>
        <w:widowControl w:val="0"/>
        <w:bidi w:val="0"/>
        <w:spacing w:beforeLines="0" w:beforeAutospacing="0" w:afterLines="0" w:afterAutospacing="0" w:line="360" w:lineRule="auto"/>
        <w:ind w:left="560" w:leftChars="200" w:firstLine="0" w:firstLineChars="0"/>
        <w:jc w:val="both"/>
        <w:outlineLvl w:val="2"/>
        <w:rPr>
          <w:rFonts w:hint="eastAsia" w:ascii="Times New Roman" w:hAnsi="Times New Roman" w:eastAsia="黑体" w:cs="Times New Roman"/>
          <w:b/>
          <w:color w:val="auto"/>
          <w:kern w:val="2"/>
          <w:sz w:val="28"/>
          <w:szCs w:val="24"/>
          <w:lang w:val="en-US" w:eastAsia="zh-CN" w:bidi="ar-SA"/>
        </w:rPr>
      </w:pPr>
      <w:bookmarkStart w:id="335" w:name="_Toc13302"/>
      <w:bookmarkStart w:id="336" w:name="_Toc21162"/>
      <w:bookmarkStart w:id="337" w:name="_Toc7015"/>
      <w:bookmarkStart w:id="338" w:name="_Toc19013"/>
      <w:bookmarkStart w:id="339" w:name="_Toc17523"/>
      <w:bookmarkStart w:id="340" w:name="_Toc23029"/>
      <w:bookmarkStart w:id="341" w:name="_Toc29513"/>
      <w:bookmarkStart w:id="342" w:name="_Toc371"/>
      <w:bookmarkStart w:id="343" w:name="_Toc16022"/>
      <w:bookmarkStart w:id="344" w:name="_Toc19805"/>
      <w:bookmarkStart w:id="345" w:name="_Toc20554"/>
      <w:r>
        <w:rPr>
          <w:rFonts w:hint="eastAsia" w:ascii="Times New Roman" w:hAnsi="Times New Roman" w:eastAsia="黑体" w:cs="Times New Roman"/>
          <w:b/>
          <w:color w:val="auto"/>
          <w:kern w:val="2"/>
          <w:sz w:val="28"/>
          <w:szCs w:val="24"/>
          <w:lang w:val="en-US" w:eastAsia="zh-CN" w:bidi="ar-SA"/>
        </w:rPr>
        <w:t>3.2.7 淹溺</w:t>
      </w:r>
      <w:bookmarkEnd w:id="335"/>
      <w:bookmarkEnd w:id="336"/>
      <w:bookmarkEnd w:id="337"/>
      <w:bookmarkEnd w:id="338"/>
      <w:bookmarkEnd w:id="339"/>
      <w:bookmarkEnd w:id="340"/>
      <w:bookmarkEnd w:id="341"/>
      <w:bookmarkEnd w:id="342"/>
      <w:bookmarkEnd w:id="343"/>
      <w:bookmarkEnd w:id="344"/>
      <w:bookmarkEnd w:id="345"/>
    </w:p>
    <w:p w14:paraId="51F84F41">
      <w:pPr>
        <w:ind w:firstLine="883"/>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操作人员在进行</w:t>
      </w:r>
      <w:r>
        <w:rPr>
          <w:rFonts w:hint="eastAsia" w:ascii="Times New Roman" w:hAnsi="Times New Roman" w:eastAsia="宋体" w:cs="Times New Roman"/>
          <w:color w:val="auto"/>
          <w:lang w:val="en-US" w:eastAsia="zh-CN"/>
        </w:rPr>
        <w:t>溢流坝旁巡查时</w:t>
      </w:r>
      <w:r>
        <w:rPr>
          <w:rFonts w:hint="eastAsia" w:ascii="Times New Roman" w:hAnsi="Times New Roman" w:eastAsia="宋体" w:cs="Times New Roman"/>
          <w:color w:val="auto"/>
          <w:lang w:eastAsia="zh-CN"/>
        </w:rPr>
        <w:t>，不慎坠入水中；及人员在巡查尾矿库时意外坠入水中；或外来人员在库内深水区游泳，意外抽筋等，将造成人员淹溺窒息。</w:t>
      </w:r>
    </w:p>
    <w:p w14:paraId="01D6B9A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lang w:eastAsia="zh-CN"/>
        </w:rPr>
      </w:pPr>
      <w:r>
        <w:rPr>
          <w:rFonts w:hint="eastAsia"/>
          <w:color w:val="auto"/>
          <w:lang w:eastAsia="zh-CN"/>
        </w:rPr>
        <w:t>经现场检查，</w:t>
      </w:r>
      <w:r>
        <w:rPr>
          <w:rFonts w:hint="eastAsia"/>
          <w:color w:val="auto"/>
          <w:lang w:val="en-US" w:eastAsia="zh-CN"/>
        </w:rPr>
        <w:t>岿美山尾矿库</w:t>
      </w:r>
      <w:r>
        <w:rPr>
          <w:rFonts w:hint="eastAsia"/>
          <w:color w:val="auto"/>
          <w:lang w:eastAsia="zh-CN"/>
        </w:rPr>
        <w:t>造成淹溺的可能性相当小。</w:t>
      </w:r>
    </w:p>
    <w:p w14:paraId="63B384F8">
      <w:pPr>
        <w:keepNext/>
        <w:keepLines/>
        <w:widowControl w:val="0"/>
        <w:bidi w:val="0"/>
        <w:spacing w:beforeLines="0" w:beforeAutospacing="0" w:afterLines="0" w:afterAutospacing="0" w:line="360" w:lineRule="auto"/>
        <w:ind w:left="560" w:leftChars="200" w:firstLine="0" w:firstLineChars="0"/>
        <w:jc w:val="both"/>
        <w:outlineLvl w:val="2"/>
        <w:rPr>
          <w:rFonts w:hint="default" w:ascii="Times New Roman" w:hAnsi="Times New Roman" w:eastAsia="黑体" w:cs="Times New Roman"/>
          <w:b/>
          <w:color w:val="auto"/>
          <w:kern w:val="2"/>
          <w:sz w:val="28"/>
          <w:szCs w:val="24"/>
          <w:lang w:val="en-US" w:eastAsia="zh-CN" w:bidi="ar-SA"/>
        </w:rPr>
      </w:pPr>
      <w:bookmarkStart w:id="346" w:name="_Toc30493"/>
      <w:bookmarkStart w:id="347" w:name="_Toc10329"/>
      <w:bookmarkStart w:id="348" w:name="_Toc7212"/>
      <w:bookmarkStart w:id="349" w:name="_Toc20007"/>
      <w:bookmarkStart w:id="350" w:name="_Toc9138"/>
      <w:bookmarkStart w:id="351" w:name="_Toc16012"/>
      <w:bookmarkStart w:id="352" w:name="_Toc25057"/>
      <w:bookmarkStart w:id="353" w:name="_Toc17815"/>
      <w:bookmarkStart w:id="354" w:name="_Toc20614"/>
      <w:bookmarkStart w:id="355" w:name="_Toc30427"/>
      <w:bookmarkStart w:id="356" w:name="_Toc30786"/>
      <w:r>
        <w:rPr>
          <w:rFonts w:hint="eastAsia" w:ascii="Times New Roman" w:hAnsi="Times New Roman" w:eastAsia="黑体" w:cs="Times New Roman"/>
          <w:b/>
          <w:color w:val="auto"/>
          <w:kern w:val="2"/>
          <w:sz w:val="28"/>
          <w:szCs w:val="24"/>
          <w:lang w:val="en-US" w:eastAsia="zh-CN" w:bidi="ar-SA"/>
        </w:rPr>
        <w:t>3.2.8 高处坠落</w:t>
      </w:r>
      <w:bookmarkEnd w:id="346"/>
      <w:bookmarkEnd w:id="347"/>
      <w:bookmarkEnd w:id="348"/>
      <w:bookmarkEnd w:id="349"/>
      <w:bookmarkEnd w:id="350"/>
      <w:bookmarkEnd w:id="351"/>
      <w:bookmarkEnd w:id="352"/>
      <w:bookmarkEnd w:id="353"/>
      <w:bookmarkEnd w:id="354"/>
      <w:bookmarkEnd w:id="355"/>
      <w:r>
        <w:rPr>
          <w:rFonts w:hint="eastAsia" w:eastAsia="黑体" w:cs="Times New Roman"/>
          <w:b/>
          <w:color w:val="auto"/>
          <w:kern w:val="2"/>
          <w:sz w:val="28"/>
          <w:szCs w:val="24"/>
          <w:lang w:val="en-US" w:eastAsia="zh-CN" w:bidi="ar-SA"/>
        </w:rPr>
        <w:t>、跌落</w:t>
      </w:r>
      <w:bookmarkEnd w:id="356"/>
    </w:p>
    <w:p w14:paraId="4350FFBC">
      <w:pPr>
        <w:ind w:firstLine="883"/>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高处坠落是指在2m以上的高处进行作业过程中发生坠落造成的伤亡事故。跌落</w:t>
      </w:r>
      <w:r>
        <w:rPr>
          <w:rFonts w:hint="eastAsia" w:cs="Times New Roman"/>
          <w:color w:val="auto"/>
          <w:lang w:val="en-US" w:eastAsia="zh-CN"/>
        </w:rPr>
        <w:t>是指</w:t>
      </w:r>
      <w:r>
        <w:rPr>
          <w:rFonts w:hint="eastAsia" w:ascii="Times New Roman" w:hAnsi="Times New Roman" w:eastAsia="宋体" w:cs="Times New Roman"/>
          <w:color w:val="auto"/>
          <w:lang w:eastAsia="zh-CN"/>
        </w:rPr>
        <w:t>非高处作业时，坠落或跌倒至非液体或非液态物质基准面造成的事故。本项目主要是指在库区陡峭地段巡查时，思想麻痹、身体、精神状态不良等意外发生高处坠落</w:t>
      </w:r>
      <w:r>
        <w:rPr>
          <w:rFonts w:hint="eastAsia" w:cs="Times New Roman"/>
          <w:color w:val="auto"/>
          <w:lang w:eastAsia="zh-CN"/>
        </w:rPr>
        <w:t>、跌落</w:t>
      </w:r>
      <w:r>
        <w:rPr>
          <w:rFonts w:hint="eastAsia" w:ascii="Times New Roman" w:hAnsi="Times New Roman" w:eastAsia="宋体" w:cs="Times New Roman"/>
          <w:color w:val="auto"/>
          <w:lang w:eastAsia="zh-CN"/>
        </w:rPr>
        <w:t>事故。</w:t>
      </w:r>
    </w:p>
    <w:p w14:paraId="0AF2898B">
      <w:pPr>
        <w:pStyle w:val="4"/>
        <w:bidi w:val="0"/>
        <w:rPr>
          <w:rFonts w:hint="eastAsia"/>
          <w:color w:val="auto"/>
          <w:lang w:val="en-US" w:eastAsia="zh-CN"/>
        </w:rPr>
      </w:pPr>
      <w:bookmarkStart w:id="357" w:name="_Toc29105"/>
      <w:bookmarkStart w:id="358" w:name="_Toc11762"/>
      <w:bookmarkStart w:id="359" w:name="_Toc18289"/>
      <w:r>
        <w:rPr>
          <w:rFonts w:hint="eastAsia"/>
          <w:color w:val="auto"/>
          <w:lang w:val="en-US" w:eastAsia="zh-CN"/>
        </w:rPr>
        <w:t>3.2.9 雷击</w:t>
      </w:r>
      <w:bookmarkEnd w:id="357"/>
      <w:bookmarkEnd w:id="358"/>
      <w:bookmarkEnd w:id="359"/>
    </w:p>
    <w:p w14:paraId="22889FE9">
      <w:pPr>
        <w:ind w:firstLine="883"/>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护坝人员在雷雨天气巡坝检查时，有可能造成雷击事故，导致人员伤亡。尾矿库大多建立在山区，且多数处于雷电活动频繁的雷区地带，作业人员在空旷的库区和坝面活动时面临较高的雷击风险。</w:t>
      </w:r>
    </w:p>
    <w:p w14:paraId="7181AC8D">
      <w:pPr>
        <w:keepNext/>
        <w:keepLines/>
        <w:widowControl w:val="0"/>
        <w:bidi w:val="0"/>
        <w:spacing w:beforeLines="0" w:beforeAutospacing="0" w:afterLines="0" w:afterAutospacing="0" w:line="360" w:lineRule="auto"/>
        <w:ind w:left="560" w:leftChars="200" w:firstLine="0" w:firstLineChars="0"/>
        <w:jc w:val="both"/>
        <w:outlineLvl w:val="2"/>
        <w:rPr>
          <w:rFonts w:hint="eastAsia" w:ascii="Times New Roman" w:hAnsi="Times New Roman" w:eastAsia="黑体" w:cs="Times New Roman"/>
          <w:b/>
          <w:color w:val="auto"/>
          <w:kern w:val="2"/>
          <w:sz w:val="28"/>
          <w:szCs w:val="24"/>
          <w:lang w:val="en-US" w:eastAsia="zh-CN" w:bidi="ar-SA"/>
        </w:rPr>
      </w:pPr>
      <w:bookmarkStart w:id="360" w:name="_Toc24478"/>
      <w:bookmarkStart w:id="361" w:name="_Toc16345"/>
      <w:bookmarkStart w:id="362" w:name="_Toc3388"/>
      <w:bookmarkStart w:id="363" w:name="_Toc22054"/>
      <w:bookmarkStart w:id="364" w:name="_Toc17802"/>
      <w:bookmarkStart w:id="365" w:name="_Toc30035"/>
      <w:bookmarkStart w:id="366" w:name="_Toc31339"/>
      <w:bookmarkStart w:id="367" w:name="_Toc6233"/>
      <w:bookmarkStart w:id="368" w:name="_Toc11288"/>
      <w:bookmarkStart w:id="369" w:name="_Toc7171"/>
      <w:r>
        <w:rPr>
          <w:rFonts w:hint="eastAsia" w:ascii="Times New Roman" w:hAnsi="Times New Roman" w:eastAsia="黑体" w:cs="Times New Roman"/>
          <w:b/>
          <w:color w:val="auto"/>
          <w:kern w:val="2"/>
          <w:sz w:val="28"/>
          <w:szCs w:val="24"/>
          <w:lang w:val="en-US" w:eastAsia="zh-CN" w:bidi="ar-SA"/>
        </w:rPr>
        <w:t>3.2.10 库区山体滑坡、塌方和泥石流</w:t>
      </w:r>
      <w:bookmarkEnd w:id="360"/>
      <w:bookmarkEnd w:id="361"/>
      <w:bookmarkEnd w:id="362"/>
      <w:bookmarkEnd w:id="363"/>
      <w:bookmarkEnd w:id="364"/>
      <w:bookmarkEnd w:id="365"/>
      <w:bookmarkEnd w:id="366"/>
      <w:bookmarkEnd w:id="367"/>
      <w:bookmarkEnd w:id="368"/>
      <w:bookmarkEnd w:id="369"/>
    </w:p>
    <w:p w14:paraId="434896D4">
      <w:pPr>
        <w:ind w:firstLine="883"/>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尾矿库库区山体滑坡、塌方和泥石流会阻塞截排水沟、库内排</w:t>
      </w:r>
      <w:r>
        <w:rPr>
          <w:rFonts w:hint="eastAsia" w:ascii="Times New Roman" w:hAnsi="Times New Roman" w:eastAsia="宋体" w:cs="Times New Roman"/>
          <w:color w:val="auto"/>
          <w:lang w:val="en-US" w:eastAsia="zh-CN"/>
        </w:rPr>
        <w:t>水</w:t>
      </w:r>
      <w:r>
        <w:rPr>
          <w:rFonts w:hint="eastAsia" w:ascii="Times New Roman" w:hAnsi="Times New Roman" w:eastAsia="宋体" w:cs="Times New Roman"/>
          <w:color w:val="auto"/>
          <w:lang w:eastAsia="zh-CN"/>
        </w:rPr>
        <w:t>系统造成洪水漫顶，对尾矿库的安全产生不利影响。</w:t>
      </w:r>
    </w:p>
    <w:p w14:paraId="5885BF76">
      <w:pPr>
        <w:keepNext/>
        <w:keepLines/>
        <w:widowControl w:val="0"/>
        <w:bidi w:val="0"/>
        <w:spacing w:beforeLines="0" w:beforeAutospacing="0" w:afterLines="0" w:afterAutospacing="0" w:line="360" w:lineRule="auto"/>
        <w:ind w:left="560" w:leftChars="200" w:firstLine="0" w:firstLineChars="0"/>
        <w:jc w:val="both"/>
        <w:outlineLvl w:val="2"/>
        <w:rPr>
          <w:rFonts w:hint="eastAsia" w:ascii="Times New Roman" w:hAnsi="Times New Roman" w:eastAsia="黑体" w:cs="Times New Roman"/>
          <w:b/>
          <w:color w:val="auto"/>
          <w:kern w:val="2"/>
          <w:sz w:val="28"/>
          <w:szCs w:val="24"/>
          <w:lang w:val="en-US" w:eastAsia="zh-CN" w:bidi="ar-SA"/>
        </w:rPr>
      </w:pPr>
      <w:bookmarkStart w:id="370" w:name="_Toc9632"/>
      <w:bookmarkStart w:id="371" w:name="_Toc5896"/>
      <w:bookmarkStart w:id="372" w:name="_Toc5951"/>
      <w:bookmarkStart w:id="373" w:name="_Toc394"/>
      <w:bookmarkStart w:id="374" w:name="_Toc12209"/>
      <w:bookmarkStart w:id="375" w:name="_Toc31157"/>
      <w:bookmarkStart w:id="376" w:name="_Toc30534"/>
      <w:bookmarkStart w:id="377" w:name="_Toc20037"/>
      <w:bookmarkStart w:id="378" w:name="_Toc21035"/>
      <w:bookmarkStart w:id="379" w:name="_Toc25241"/>
      <w:r>
        <w:rPr>
          <w:rFonts w:hint="eastAsia" w:ascii="Times New Roman" w:hAnsi="Times New Roman" w:eastAsia="黑体" w:cs="Times New Roman"/>
          <w:b/>
          <w:color w:val="auto"/>
          <w:kern w:val="2"/>
          <w:sz w:val="28"/>
          <w:szCs w:val="24"/>
          <w:lang w:val="en-US" w:eastAsia="zh-CN" w:bidi="ar-SA"/>
        </w:rPr>
        <w:t>3.2.11 不良环境因素</w:t>
      </w:r>
      <w:bookmarkEnd w:id="370"/>
      <w:bookmarkEnd w:id="371"/>
      <w:bookmarkEnd w:id="372"/>
      <w:bookmarkEnd w:id="373"/>
      <w:bookmarkEnd w:id="374"/>
      <w:bookmarkEnd w:id="375"/>
      <w:bookmarkEnd w:id="376"/>
      <w:bookmarkEnd w:id="377"/>
      <w:bookmarkEnd w:id="378"/>
      <w:bookmarkEnd w:id="379"/>
    </w:p>
    <w:p w14:paraId="4AE4D855">
      <w:pPr>
        <w:ind w:firstLine="883"/>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eastAsia="zh-CN"/>
        </w:rPr>
        <w:t>主要指恶劣自然条件下的不安全因素，如超设计频率暴雨洪水、库区地震、库区山体滑坡等因素。</w:t>
      </w:r>
    </w:p>
    <w:p w14:paraId="78594F88">
      <w:pPr>
        <w:keepNext/>
        <w:keepLines/>
        <w:widowControl w:val="0"/>
        <w:bidi w:val="0"/>
        <w:spacing w:line="360" w:lineRule="auto"/>
        <w:ind w:left="280" w:leftChars="100" w:firstLine="0" w:firstLineChars="0"/>
        <w:jc w:val="both"/>
        <w:outlineLvl w:val="1"/>
        <w:rPr>
          <w:rFonts w:hint="eastAsia" w:ascii="Times New Roman" w:hAnsi="Times New Roman" w:eastAsia="黑体" w:cs="Times New Roman"/>
          <w:b/>
          <w:bCs/>
          <w:color w:val="auto"/>
          <w:kern w:val="2"/>
          <w:sz w:val="30"/>
          <w:szCs w:val="32"/>
          <w:lang w:val="en-US" w:eastAsia="zh-CN" w:bidi="ar-SA"/>
        </w:rPr>
      </w:pPr>
      <w:bookmarkStart w:id="380" w:name="_Toc21541"/>
      <w:bookmarkStart w:id="381" w:name="_Toc16997"/>
      <w:bookmarkStart w:id="382" w:name="_Toc12290"/>
      <w:bookmarkStart w:id="383" w:name="_Toc18070"/>
      <w:bookmarkStart w:id="384" w:name="_Toc29166"/>
      <w:r>
        <w:rPr>
          <w:rFonts w:hint="eastAsia" w:ascii="Times New Roman" w:hAnsi="Times New Roman" w:eastAsia="黑体" w:cs="Times New Roman"/>
          <w:b/>
          <w:bCs/>
          <w:color w:val="auto"/>
          <w:kern w:val="2"/>
          <w:sz w:val="30"/>
          <w:szCs w:val="32"/>
          <w:lang w:val="en-US" w:eastAsia="zh-CN" w:bidi="ar-SA"/>
        </w:rPr>
        <w:t xml:space="preserve">3.3 </w:t>
      </w:r>
      <w:bookmarkEnd w:id="380"/>
      <w:bookmarkEnd w:id="381"/>
      <w:r>
        <w:rPr>
          <w:rFonts w:hint="default" w:ascii="Times New Roman" w:hAnsi="Times New Roman" w:eastAsia="黑体" w:cs="Times New Roman"/>
          <w:b/>
          <w:bCs/>
          <w:color w:val="auto"/>
          <w:kern w:val="2"/>
          <w:sz w:val="30"/>
          <w:szCs w:val="32"/>
          <w:lang w:val="en-US" w:eastAsia="zh-CN" w:bidi="ar-SA"/>
        </w:rPr>
        <w:t>重大生产安全事故隐患识别</w:t>
      </w:r>
      <w:bookmarkEnd w:id="382"/>
      <w:bookmarkEnd w:id="383"/>
      <w:bookmarkEnd w:id="384"/>
    </w:p>
    <w:p w14:paraId="097EF60E">
      <w:pP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依据《国家矿山安全监察局关于印发</w:t>
      </w:r>
      <w:r>
        <w:rPr>
          <w:rFonts w:hint="eastAsia" w:ascii="宋体" w:hAnsi="宋体" w:eastAsia="宋体" w:cs="宋体"/>
          <w:color w:val="auto"/>
          <w:lang w:val="en-US" w:eastAsia="zh-CN"/>
        </w:rPr>
        <w:t>&lt;</w:t>
      </w:r>
      <w:r>
        <w:rPr>
          <w:rFonts w:hint="default" w:ascii="Times New Roman" w:hAnsi="Times New Roman" w:eastAsia="宋体" w:cs="Times New Roman"/>
          <w:color w:val="auto"/>
          <w:lang w:val="en-US" w:eastAsia="zh-CN"/>
        </w:rPr>
        <w:t>金属非金属矿山重大事故隐患判定标准</w:t>
      </w:r>
      <w:r>
        <w:rPr>
          <w:rFonts w:hint="eastAsia" w:ascii="宋体" w:hAnsi="宋体" w:eastAsia="宋体" w:cs="宋体"/>
          <w:color w:val="auto"/>
          <w:lang w:val="en-US" w:eastAsia="zh-CN"/>
        </w:rPr>
        <w:t>&gt;</w:t>
      </w:r>
      <w:r>
        <w:rPr>
          <w:rFonts w:hint="default" w:ascii="Times New Roman" w:hAnsi="Times New Roman" w:eastAsia="宋体" w:cs="Times New Roman"/>
          <w:color w:val="auto"/>
          <w:lang w:val="en-US" w:eastAsia="zh-CN"/>
        </w:rPr>
        <w:t>的通知》（矿安〔2022〕88号）和《国家矿山安全监察局关于印发</w:t>
      </w:r>
      <w:r>
        <w:rPr>
          <w:rFonts w:hint="eastAsia" w:ascii="宋体" w:hAnsi="宋体" w:eastAsia="宋体" w:cs="宋体"/>
          <w:color w:val="auto"/>
          <w:lang w:val="en-US" w:eastAsia="zh-CN"/>
        </w:rPr>
        <w:t>&lt;</w:t>
      </w:r>
      <w:r>
        <w:rPr>
          <w:rFonts w:hint="default" w:ascii="Times New Roman" w:hAnsi="Times New Roman" w:eastAsia="宋体" w:cs="Times New Roman"/>
          <w:color w:val="auto"/>
          <w:lang w:val="en-US" w:eastAsia="zh-CN"/>
        </w:rPr>
        <w:t>金属非金属矿山重大事故隐患判定标准补充情形</w:t>
      </w:r>
      <w:r>
        <w:rPr>
          <w:rFonts w:hint="eastAsia" w:ascii="宋体" w:hAnsi="宋体" w:eastAsia="宋体" w:cs="宋体"/>
          <w:color w:val="auto"/>
          <w:lang w:val="en-US" w:eastAsia="zh-CN"/>
        </w:rPr>
        <w:t>&gt;</w:t>
      </w:r>
      <w:r>
        <w:rPr>
          <w:rFonts w:hint="default" w:ascii="Times New Roman" w:hAnsi="Times New Roman" w:eastAsia="宋体" w:cs="Times New Roman"/>
          <w:color w:val="auto"/>
          <w:lang w:val="en-US" w:eastAsia="zh-CN"/>
        </w:rPr>
        <w:t>的通知》（矿安〔2024〕41号），对</w:t>
      </w:r>
      <w:r>
        <w:rPr>
          <w:rFonts w:hint="eastAsia"/>
          <w:color w:val="auto"/>
          <w:lang w:val="en-US" w:eastAsia="zh-CN"/>
        </w:rPr>
        <w:t>岿美山</w:t>
      </w:r>
      <w:r>
        <w:rPr>
          <w:rFonts w:hint="eastAsia" w:ascii="Times New Roman" w:hAnsi="Times New Roman" w:eastAsia="宋体" w:cs="Times New Roman"/>
          <w:color w:val="auto"/>
          <w:lang w:val="en-US" w:eastAsia="zh-CN"/>
        </w:rPr>
        <w:t>尾矿库</w:t>
      </w:r>
      <w:r>
        <w:rPr>
          <w:rFonts w:hint="default" w:ascii="Times New Roman" w:hAnsi="Times New Roman" w:eastAsia="宋体" w:cs="Times New Roman"/>
          <w:color w:val="auto"/>
          <w:lang w:val="en-US" w:eastAsia="zh-CN"/>
        </w:rPr>
        <w:t>进行重大生产安全事故隐患识别，识别结果如下表：</w:t>
      </w:r>
    </w:p>
    <w:p w14:paraId="00824994">
      <w:pPr>
        <w:ind w:left="0" w:leftChars="0" w:firstLine="0" w:firstLineChars="0"/>
        <w:jc w:val="center"/>
        <w:rPr>
          <w:rFonts w:hint="default" w:ascii="Times New Roman" w:hAnsi="Times New Roman" w:eastAsia="宋体" w:cs="Times New Roman"/>
          <w:color w:val="auto"/>
          <w:lang w:val="en-US" w:eastAsia="zh-CN"/>
        </w:rPr>
      </w:pPr>
    </w:p>
    <w:p w14:paraId="469E514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 xml:space="preserve">表3.3-1 </w:t>
      </w:r>
      <w:r>
        <w:rPr>
          <w:rFonts w:hint="eastAsia"/>
          <w:color w:val="auto"/>
          <w:lang w:val="en-US" w:eastAsia="zh-CN"/>
        </w:rPr>
        <w:t>岿美山</w:t>
      </w:r>
      <w:r>
        <w:rPr>
          <w:rFonts w:hint="eastAsia" w:ascii="Times New Roman" w:hAnsi="Times New Roman" w:eastAsia="宋体" w:cs="Times New Roman"/>
          <w:color w:val="auto"/>
          <w:lang w:val="en-US" w:eastAsia="zh-CN"/>
        </w:rPr>
        <w:t>尾矿库重大事故隐患识别情况表</w:t>
      </w:r>
    </w:p>
    <w:tbl>
      <w:tblPr>
        <w:tblStyle w:val="32"/>
        <w:tblW w:w="90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4"/>
        <w:gridCol w:w="5291"/>
        <w:gridCol w:w="1775"/>
        <w:gridCol w:w="1339"/>
      </w:tblGrid>
      <w:tr w14:paraId="529DA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54" w:type="dxa"/>
            <w:noWrap w:val="0"/>
            <w:vAlign w:val="center"/>
          </w:tcPr>
          <w:p w14:paraId="5EFC7A33">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序号</w:t>
            </w:r>
          </w:p>
        </w:tc>
        <w:tc>
          <w:tcPr>
            <w:tcW w:w="5291" w:type="dxa"/>
            <w:noWrap w:val="0"/>
            <w:vAlign w:val="center"/>
          </w:tcPr>
          <w:p w14:paraId="6E631C8D">
            <w:pPr>
              <w:keepNext w:val="0"/>
              <w:keepLines w:val="0"/>
              <w:pageBreakBefore w:val="0"/>
              <w:tabs>
                <w:tab w:val="left" w:pos="6810"/>
              </w:tabs>
              <w:kinsoku/>
              <w:wordWrap/>
              <w:overflowPunct/>
              <w:topLinePunct w:val="0"/>
              <w:autoSpaceDE w:val="0"/>
              <w:autoSpaceDN w:val="0"/>
              <w:bidi w:val="0"/>
              <w:adjustRightInd w:val="0"/>
              <w:snapToGrid/>
              <w:spacing w:line="320" w:lineRule="exact"/>
              <w:ind w:firstLine="0" w:firstLineChars="0"/>
              <w:jc w:val="center"/>
              <w:textAlignment w:val="auto"/>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重大生产安全事故隐患</w:t>
            </w:r>
          </w:p>
        </w:tc>
        <w:tc>
          <w:tcPr>
            <w:tcW w:w="1775" w:type="dxa"/>
            <w:noWrap w:val="0"/>
            <w:vAlign w:val="center"/>
          </w:tcPr>
          <w:p w14:paraId="691814C4">
            <w:pPr>
              <w:keepNext w:val="0"/>
              <w:keepLines w:val="0"/>
              <w:pageBreakBefore w:val="0"/>
              <w:tabs>
                <w:tab w:val="left" w:pos="6810"/>
              </w:tabs>
              <w:kinsoku/>
              <w:wordWrap/>
              <w:overflowPunct/>
              <w:topLinePunct w:val="0"/>
              <w:autoSpaceDE w:val="0"/>
              <w:autoSpaceDN w:val="0"/>
              <w:bidi w:val="0"/>
              <w:adjustRightInd w:val="0"/>
              <w:snapToGrid/>
              <w:spacing w:line="320" w:lineRule="exact"/>
              <w:ind w:firstLine="0" w:firstLineChars="0"/>
              <w:jc w:val="center"/>
              <w:textAlignment w:val="auto"/>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现场实际情况</w:t>
            </w:r>
          </w:p>
        </w:tc>
        <w:tc>
          <w:tcPr>
            <w:tcW w:w="1339" w:type="dxa"/>
            <w:noWrap w:val="0"/>
            <w:vAlign w:val="center"/>
          </w:tcPr>
          <w:p w14:paraId="6CE92A83">
            <w:pPr>
              <w:keepNext w:val="0"/>
              <w:keepLines w:val="0"/>
              <w:pageBreakBefore w:val="0"/>
              <w:tabs>
                <w:tab w:val="left" w:pos="6810"/>
              </w:tabs>
              <w:kinsoku/>
              <w:wordWrap/>
              <w:overflowPunct/>
              <w:topLinePunct w:val="0"/>
              <w:autoSpaceDE w:val="0"/>
              <w:autoSpaceDN w:val="0"/>
              <w:bidi w:val="0"/>
              <w:adjustRightInd w:val="0"/>
              <w:snapToGrid/>
              <w:spacing w:line="320" w:lineRule="exact"/>
              <w:ind w:firstLine="0" w:firstLineChars="0"/>
              <w:jc w:val="center"/>
              <w:textAlignment w:val="auto"/>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识别结果</w:t>
            </w:r>
          </w:p>
        </w:tc>
      </w:tr>
      <w:tr w14:paraId="4CA00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54" w:type="dxa"/>
            <w:noWrap w:val="0"/>
            <w:vAlign w:val="center"/>
          </w:tcPr>
          <w:p w14:paraId="0414560A">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1</w:t>
            </w:r>
          </w:p>
        </w:tc>
        <w:tc>
          <w:tcPr>
            <w:tcW w:w="5291" w:type="dxa"/>
            <w:noWrap w:val="0"/>
            <w:vAlign w:val="center"/>
          </w:tcPr>
          <w:p w14:paraId="404591A8">
            <w:pPr>
              <w:keepNext w:val="0"/>
              <w:keepLines w:val="0"/>
              <w:pageBreakBefore w:val="0"/>
              <w:widowControl/>
              <w:shd w:val="clear" w:color="auto" w:fill="FFFFFF"/>
              <w:kinsoku/>
              <w:wordWrap/>
              <w:overflowPunct/>
              <w:topLinePunct w:val="0"/>
              <w:bidi w:val="0"/>
              <w:snapToGrid/>
              <w:spacing w:line="320" w:lineRule="exact"/>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库区或者尾矿坝上存在未按设计进行开采、挖掘、爆破等危及尾矿库安全的活动。</w:t>
            </w:r>
          </w:p>
        </w:tc>
        <w:tc>
          <w:tcPr>
            <w:tcW w:w="1775" w:type="dxa"/>
            <w:noWrap w:val="0"/>
            <w:vAlign w:val="center"/>
          </w:tcPr>
          <w:p w14:paraId="6E3E3D2C">
            <w:pPr>
              <w:keepNext w:val="0"/>
              <w:keepLines w:val="0"/>
              <w:pageBreakBefore w:val="0"/>
              <w:tabs>
                <w:tab w:val="left" w:pos="6810"/>
              </w:tabs>
              <w:kinsoku/>
              <w:wordWrap/>
              <w:overflowPunct/>
              <w:topLinePunct w:val="0"/>
              <w:autoSpaceDE w:val="0"/>
              <w:autoSpaceDN w:val="0"/>
              <w:bidi w:val="0"/>
              <w:adjustRightInd w:val="0"/>
              <w:snapToGrid/>
              <w:spacing w:line="320" w:lineRule="exact"/>
              <w:ind w:firstLine="0" w:firstLineChars="0"/>
              <w:jc w:val="center"/>
              <w:textAlignment w:val="auto"/>
              <w:rPr>
                <w:rFonts w:hint="default" w:ascii="Times New Roman" w:hAnsi="Times New Roman" w:eastAsia="宋体" w:cs="Times New Roman"/>
                <w:bCs/>
                <w:strike w:val="0"/>
                <w:dstrike w:val="0"/>
                <w:color w:val="auto"/>
                <w:sz w:val="21"/>
                <w:szCs w:val="21"/>
                <w:lang w:eastAsia="zh-CN"/>
              </w:rPr>
            </w:pPr>
            <w:r>
              <w:rPr>
                <w:rFonts w:hint="default" w:ascii="Times New Roman" w:hAnsi="Times New Roman" w:eastAsia="宋体" w:cs="Times New Roman"/>
                <w:bCs/>
                <w:strike w:val="0"/>
                <w:dstrike w:val="0"/>
                <w:color w:val="auto"/>
                <w:sz w:val="21"/>
                <w:szCs w:val="21"/>
              </w:rPr>
              <w:t>无此现象</w:t>
            </w:r>
          </w:p>
        </w:tc>
        <w:tc>
          <w:tcPr>
            <w:tcW w:w="1339" w:type="dxa"/>
            <w:noWrap w:val="0"/>
            <w:vAlign w:val="center"/>
          </w:tcPr>
          <w:p w14:paraId="3A59947A">
            <w:pPr>
              <w:keepNext w:val="0"/>
              <w:keepLines w:val="0"/>
              <w:pageBreakBefore w:val="0"/>
              <w:tabs>
                <w:tab w:val="left" w:pos="6810"/>
              </w:tabs>
              <w:kinsoku/>
              <w:wordWrap/>
              <w:overflowPunct/>
              <w:topLinePunct w:val="0"/>
              <w:autoSpaceDE w:val="0"/>
              <w:autoSpaceDN w:val="0"/>
              <w:bidi w:val="0"/>
              <w:adjustRightInd w:val="0"/>
              <w:snapToGrid/>
              <w:spacing w:line="320" w:lineRule="exact"/>
              <w:ind w:firstLine="0" w:firstLineChars="0"/>
              <w:jc w:val="center"/>
              <w:textAlignment w:val="auto"/>
              <w:rPr>
                <w:rFonts w:hint="default" w:ascii="Times New Roman" w:hAnsi="Times New Roman" w:eastAsia="宋体" w:cs="Times New Roman"/>
                <w:bCs/>
                <w:strike w:val="0"/>
                <w:dstrike w:val="0"/>
                <w:color w:val="auto"/>
                <w:sz w:val="21"/>
                <w:szCs w:val="21"/>
              </w:rPr>
            </w:pPr>
            <w:r>
              <w:rPr>
                <w:rFonts w:hint="default" w:ascii="Times New Roman" w:hAnsi="Times New Roman" w:eastAsia="宋体" w:cs="Times New Roman"/>
                <w:bCs/>
                <w:strike w:val="0"/>
                <w:dstrike w:val="0"/>
                <w:color w:val="auto"/>
                <w:sz w:val="21"/>
                <w:szCs w:val="21"/>
              </w:rPr>
              <w:t>无重大隐患</w:t>
            </w:r>
          </w:p>
        </w:tc>
      </w:tr>
      <w:tr w14:paraId="751A9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noWrap w:val="0"/>
            <w:vAlign w:val="center"/>
          </w:tcPr>
          <w:p w14:paraId="103FE8B3">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2</w:t>
            </w:r>
          </w:p>
        </w:tc>
        <w:tc>
          <w:tcPr>
            <w:tcW w:w="5291" w:type="dxa"/>
            <w:noWrap w:val="0"/>
            <w:vAlign w:val="center"/>
          </w:tcPr>
          <w:p w14:paraId="005C34FA">
            <w:pPr>
              <w:keepNext w:val="0"/>
              <w:keepLines w:val="0"/>
              <w:pageBreakBefore w:val="0"/>
              <w:widowControl/>
              <w:shd w:val="clear" w:color="auto" w:fill="FFFFFF"/>
              <w:kinsoku/>
              <w:wordWrap/>
              <w:overflowPunct/>
              <w:topLinePunct w:val="0"/>
              <w:bidi w:val="0"/>
              <w:snapToGrid/>
              <w:spacing w:line="320" w:lineRule="exact"/>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坝体存在下列情形之一的：</w:t>
            </w:r>
          </w:p>
          <w:p w14:paraId="59AB74AA">
            <w:pPr>
              <w:keepNext w:val="0"/>
              <w:keepLines w:val="0"/>
              <w:pageBreakBefore w:val="0"/>
              <w:widowControl/>
              <w:shd w:val="clear" w:color="auto" w:fill="FFFFFF"/>
              <w:kinsoku/>
              <w:wordWrap/>
              <w:overflowPunct/>
              <w:topLinePunct w:val="0"/>
              <w:bidi w:val="0"/>
              <w:snapToGrid/>
              <w:spacing w:line="320" w:lineRule="exact"/>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1.坝体出现严重的管涌、流土变形等现象；</w:t>
            </w:r>
          </w:p>
          <w:p w14:paraId="4C9F91D8">
            <w:pPr>
              <w:keepNext w:val="0"/>
              <w:keepLines w:val="0"/>
              <w:pageBreakBefore w:val="0"/>
              <w:widowControl/>
              <w:shd w:val="clear" w:color="auto" w:fill="FFFFFF"/>
              <w:kinsoku/>
              <w:wordWrap/>
              <w:overflowPunct/>
              <w:topLinePunct w:val="0"/>
              <w:bidi w:val="0"/>
              <w:snapToGrid/>
              <w:spacing w:line="320" w:lineRule="exact"/>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2.坝体出现贯穿性裂缝、坍塌、滑动迹象；</w:t>
            </w:r>
          </w:p>
          <w:p w14:paraId="63CA064D">
            <w:pPr>
              <w:keepNext w:val="0"/>
              <w:keepLines w:val="0"/>
              <w:pageBreakBefore w:val="0"/>
              <w:widowControl/>
              <w:shd w:val="clear" w:color="auto" w:fill="FFFFFF"/>
              <w:kinsoku/>
              <w:wordWrap/>
              <w:overflowPunct/>
              <w:topLinePunct w:val="0"/>
              <w:bidi w:val="0"/>
              <w:snapToGrid/>
              <w:spacing w:line="320" w:lineRule="exact"/>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3.坝体出现大面积纵向裂缝，且出现较大范围渗透水高位出逸或者大面积沼泽化。</w:t>
            </w:r>
          </w:p>
        </w:tc>
        <w:tc>
          <w:tcPr>
            <w:tcW w:w="1775" w:type="dxa"/>
            <w:noWrap w:val="0"/>
            <w:vAlign w:val="center"/>
          </w:tcPr>
          <w:p w14:paraId="193C19A3">
            <w:pPr>
              <w:keepNext w:val="0"/>
              <w:keepLines w:val="0"/>
              <w:pageBreakBefore w:val="0"/>
              <w:tabs>
                <w:tab w:val="left" w:pos="6810"/>
              </w:tabs>
              <w:kinsoku/>
              <w:wordWrap/>
              <w:overflowPunct/>
              <w:topLinePunct w:val="0"/>
              <w:autoSpaceDE w:val="0"/>
              <w:autoSpaceDN w:val="0"/>
              <w:bidi w:val="0"/>
              <w:adjustRightInd w:val="0"/>
              <w:snapToGrid/>
              <w:spacing w:line="320" w:lineRule="exact"/>
              <w:ind w:firstLine="0" w:firstLineChars="0"/>
              <w:jc w:val="center"/>
              <w:textAlignment w:val="auto"/>
              <w:rPr>
                <w:rFonts w:hint="default" w:ascii="Times New Roman" w:hAnsi="Times New Roman" w:eastAsia="宋体" w:cs="Times New Roman"/>
                <w:bCs/>
                <w:strike w:val="0"/>
                <w:dstrike w:val="0"/>
                <w:color w:val="auto"/>
                <w:sz w:val="21"/>
                <w:szCs w:val="21"/>
                <w:lang w:eastAsia="zh-CN"/>
              </w:rPr>
            </w:pPr>
            <w:r>
              <w:rPr>
                <w:rFonts w:hint="default" w:ascii="Times New Roman" w:hAnsi="Times New Roman" w:eastAsia="宋体" w:cs="Times New Roman"/>
                <w:bCs/>
                <w:strike w:val="0"/>
                <w:dstrike w:val="0"/>
                <w:color w:val="auto"/>
                <w:sz w:val="21"/>
                <w:szCs w:val="21"/>
              </w:rPr>
              <w:t>无此现象</w:t>
            </w:r>
          </w:p>
        </w:tc>
        <w:tc>
          <w:tcPr>
            <w:tcW w:w="1339" w:type="dxa"/>
            <w:noWrap w:val="0"/>
            <w:vAlign w:val="center"/>
          </w:tcPr>
          <w:p w14:paraId="77B0BCD6">
            <w:pPr>
              <w:keepNext w:val="0"/>
              <w:keepLines w:val="0"/>
              <w:pageBreakBefore w:val="0"/>
              <w:tabs>
                <w:tab w:val="left" w:pos="6810"/>
              </w:tabs>
              <w:kinsoku/>
              <w:wordWrap/>
              <w:overflowPunct/>
              <w:topLinePunct w:val="0"/>
              <w:autoSpaceDE w:val="0"/>
              <w:autoSpaceDN w:val="0"/>
              <w:bidi w:val="0"/>
              <w:adjustRightInd w:val="0"/>
              <w:snapToGrid/>
              <w:spacing w:line="320" w:lineRule="exact"/>
              <w:ind w:firstLine="0" w:firstLineChars="0"/>
              <w:jc w:val="center"/>
              <w:textAlignment w:val="auto"/>
              <w:rPr>
                <w:rFonts w:hint="default" w:ascii="Times New Roman" w:hAnsi="Times New Roman" w:eastAsia="宋体" w:cs="Times New Roman"/>
                <w:bCs/>
                <w:strike w:val="0"/>
                <w:dstrike w:val="0"/>
                <w:color w:val="auto"/>
                <w:sz w:val="21"/>
                <w:szCs w:val="21"/>
              </w:rPr>
            </w:pPr>
            <w:r>
              <w:rPr>
                <w:rFonts w:hint="default" w:ascii="Times New Roman" w:hAnsi="Times New Roman" w:eastAsia="宋体" w:cs="Times New Roman"/>
                <w:bCs/>
                <w:strike w:val="0"/>
                <w:dstrike w:val="0"/>
                <w:color w:val="auto"/>
                <w:sz w:val="21"/>
                <w:szCs w:val="21"/>
              </w:rPr>
              <w:t>无重大隐患</w:t>
            </w:r>
          </w:p>
        </w:tc>
      </w:tr>
      <w:tr w14:paraId="481C9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noWrap w:val="0"/>
            <w:vAlign w:val="center"/>
          </w:tcPr>
          <w:p w14:paraId="43DE47D4">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3</w:t>
            </w:r>
          </w:p>
        </w:tc>
        <w:tc>
          <w:tcPr>
            <w:tcW w:w="5291" w:type="dxa"/>
            <w:noWrap w:val="0"/>
            <w:vAlign w:val="center"/>
          </w:tcPr>
          <w:p w14:paraId="774ABA8B">
            <w:pPr>
              <w:keepNext w:val="0"/>
              <w:keepLines w:val="0"/>
              <w:pageBreakBefore w:val="0"/>
              <w:widowControl/>
              <w:shd w:val="clear" w:color="auto" w:fill="FFFFFF"/>
              <w:kinsoku/>
              <w:wordWrap/>
              <w:overflowPunct/>
              <w:topLinePunct w:val="0"/>
              <w:bidi w:val="0"/>
              <w:snapToGrid/>
              <w:spacing w:line="320" w:lineRule="exact"/>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坝体的平均外坡比或者堆积子坝的外坡比陡于设计坡比。</w:t>
            </w:r>
          </w:p>
        </w:tc>
        <w:tc>
          <w:tcPr>
            <w:tcW w:w="1775" w:type="dxa"/>
            <w:noWrap w:val="0"/>
            <w:vAlign w:val="center"/>
          </w:tcPr>
          <w:p w14:paraId="24FE84AB">
            <w:pPr>
              <w:keepNext w:val="0"/>
              <w:keepLines w:val="0"/>
              <w:pageBreakBefore w:val="0"/>
              <w:tabs>
                <w:tab w:val="left" w:pos="6810"/>
              </w:tabs>
              <w:kinsoku/>
              <w:wordWrap/>
              <w:overflowPunct/>
              <w:topLinePunct w:val="0"/>
              <w:autoSpaceDE w:val="0"/>
              <w:autoSpaceDN w:val="0"/>
              <w:bidi w:val="0"/>
              <w:adjustRightInd w:val="0"/>
              <w:snapToGrid/>
              <w:spacing w:line="320" w:lineRule="exact"/>
              <w:ind w:firstLine="0" w:firstLineChars="0"/>
              <w:jc w:val="center"/>
              <w:textAlignment w:val="auto"/>
              <w:rPr>
                <w:rFonts w:hint="default" w:ascii="Times New Roman" w:hAnsi="Times New Roman" w:eastAsia="宋体" w:cs="Times New Roman"/>
                <w:bCs/>
                <w:strike w:val="0"/>
                <w:dstrike w:val="0"/>
                <w:color w:val="auto"/>
                <w:sz w:val="21"/>
                <w:szCs w:val="21"/>
                <w:lang w:eastAsia="zh-CN"/>
              </w:rPr>
            </w:pPr>
            <w:r>
              <w:rPr>
                <w:rFonts w:hint="default" w:ascii="Times New Roman" w:hAnsi="Times New Roman" w:eastAsia="宋体" w:cs="Times New Roman"/>
                <w:bCs/>
                <w:strike w:val="0"/>
                <w:dstrike w:val="0"/>
                <w:color w:val="auto"/>
                <w:sz w:val="21"/>
                <w:szCs w:val="21"/>
                <w:lang w:val="en-US" w:eastAsia="zh-CN"/>
              </w:rPr>
              <w:t>尾矿</w:t>
            </w:r>
            <w:r>
              <w:rPr>
                <w:rFonts w:hint="default" w:ascii="Times New Roman" w:hAnsi="Times New Roman" w:eastAsia="宋体" w:cs="Times New Roman"/>
                <w:bCs/>
                <w:strike w:val="0"/>
                <w:dstrike w:val="0"/>
                <w:color w:val="auto"/>
                <w:sz w:val="21"/>
                <w:szCs w:val="21"/>
              </w:rPr>
              <w:t>坝的外坡比符合设计值</w:t>
            </w:r>
          </w:p>
        </w:tc>
        <w:tc>
          <w:tcPr>
            <w:tcW w:w="1339" w:type="dxa"/>
            <w:noWrap w:val="0"/>
            <w:vAlign w:val="center"/>
          </w:tcPr>
          <w:p w14:paraId="2BD2FE00">
            <w:pPr>
              <w:keepNext w:val="0"/>
              <w:keepLines w:val="0"/>
              <w:pageBreakBefore w:val="0"/>
              <w:tabs>
                <w:tab w:val="left" w:pos="6810"/>
              </w:tabs>
              <w:kinsoku/>
              <w:wordWrap/>
              <w:overflowPunct/>
              <w:topLinePunct w:val="0"/>
              <w:autoSpaceDE w:val="0"/>
              <w:autoSpaceDN w:val="0"/>
              <w:bidi w:val="0"/>
              <w:adjustRightInd w:val="0"/>
              <w:snapToGrid/>
              <w:spacing w:line="320" w:lineRule="exact"/>
              <w:ind w:firstLine="0" w:firstLineChars="0"/>
              <w:jc w:val="center"/>
              <w:textAlignment w:val="auto"/>
              <w:rPr>
                <w:rFonts w:hint="default" w:ascii="Times New Roman" w:hAnsi="Times New Roman" w:eastAsia="宋体" w:cs="Times New Roman"/>
                <w:bCs/>
                <w:strike w:val="0"/>
                <w:dstrike w:val="0"/>
                <w:color w:val="auto"/>
                <w:sz w:val="21"/>
                <w:szCs w:val="21"/>
              </w:rPr>
            </w:pPr>
            <w:r>
              <w:rPr>
                <w:rFonts w:hint="default" w:ascii="Times New Roman" w:hAnsi="Times New Roman" w:eastAsia="宋体" w:cs="Times New Roman"/>
                <w:bCs/>
                <w:strike w:val="0"/>
                <w:dstrike w:val="0"/>
                <w:color w:val="auto"/>
                <w:sz w:val="21"/>
                <w:szCs w:val="21"/>
              </w:rPr>
              <w:t>无重大隐患</w:t>
            </w:r>
          </w:p>
        </w:tc>
      </w:tr>
      <w:tr w14:paraId="577AD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654" w:type="dxa"/>
            <w:noWrap w:val="0"/>
            <w:vAlign w:val="center"/>
          </w:tcPr>
          <w:p w14:paraId="2455249F">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4</w:t>
            </w:r>
          </w:p>
        </w:tc>
        <w:tc>
          <w:tcPr>
            <w:tcW w:w="5291" w:type="dxa"/>
            <w:noWrap w:val="0"/>
            <w:vAlign w:val="center"/>
          </w:tcPr>
          <w:p w14:paraId="44AD3F21">
            <w:pPr>
              <w:keepNext w:val="0"/>
              <w:keepLines w:val="0"/>
              <w:pageBreakBefore w:val="0"/>
              <w:widowControl/>
              <w:shd w:val="clear" w:color="auto" w:fill="FFFFFF"/>
              <w:kinsoku/>
              <w:wordWrap/>
              <w:overflowPunct/>
              <w:topLinePunct w:val="0"/>
              <w:bidi w:val="0"/>
              <w:snapToGrid/>
              <w:spacing w:line="320" w:lineRule="exact"/>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坝体高度超过设计总坝高，或者尾矿库超过设计库容贮存尾矿。</w:t>
            </w:r>
          </w:p>
        </w:tc>
        <w:tc>
          <w:tcPr>
            <w:tcW w:w="1775" w:type="dxa"/>
            <w:noWrap w:val="0"/>
            <w:vAlign w:val="center"/>
          </w:tcPr>
          <w:p w14:paraId="7A6575C2">
            <w:pPr>
              <w:keepNext w:val="0"/>
              <w:keepLines w:val="0"/>
              <w:pageBreakBefore w:val="0"/>
              <w:widowControl/>
              <w:shd w:val="clear" w:color="auto" w:fill="FFFFFF"/>
              <w:tabs>
                <w:tab w:val="left" w:pos="6810"/>
              </w:tabs>
              <w:kinsoku/>
              <w:wordWrap/>
              <w:overflowPunct/>
              <w:topLinePunct w:val="0"/>
              <w:autoSpaceDE w:val="0"/>
              <w:autoSpaceDN w:val="0"/>
              <w:bidi w:val="0"/>
              <w:adjustRightInd w:val="0"/>
              <w:snapToGrid/>
              <w:spacing w:line="320" w:lineRule="exact"/>
              <w:ind w:firstLine="0" w:firstLineChars="0"/>
              <w:jc w:val="center"/>
              <w:textAlignment w:val="auto"/>
              <w:rPr>
                <w:rFonts w:hint="default" w:ascii="Times New Roman" w:hAnsi="Times New Roman" w:eastAsia="宋体" w:cs="Times New Roman"/>
                <w:strike w:val="0"/>
                <w:dstrike w:val="0"/>
                <w:color w:val="auto"/>
                <w:kern w:val="0"/>
                <w:sz w:val="21"/>
                <w:szCs w:val="21"/>
                <w:lang w:val="en-US" w:eastAsia="zh-CN"/>
              </w:rPr>
            </w:pPr>
            <w:r>
              <w:rPr>
                <w:rFonts w:hint="eastAsia" w:cs="Times New Roman"/>
                <w:strike w:val="0"/>
                <w:dstrike w:val="0"/>
                <w:color w:val="auto"/>
                <w:kern w:val="0"/>
                <w:sz w:val="21"/>
                <w:szCs w:val="21"/>
                <w:lang w:val="en-US" w:eastAsia="zh-CN"/>
              </w:rPr>
              <w:t>副坝高度超过设计坝高</w:t>
            </w:r>
          </w:p>
        </w:tc>
        <w:tc>
          <w:tcPr>
            <w:tcW w:w="1339" w:type="dxa"/>
            <w:noWrap w:val="0"/>
            <w:vAlign w:val="center"/>
          </w:tcPr>
          <w:p w14:paraId="4CC23CF1">
            <w:pPr>
              <w:keepNext w:val="0"/>
              <w:keepLines w:val="0"/>
              <w:pageBreakBefore w:val="0"/>
              <w:tabs>
                <w:tab w:val="left" w:pos="6810"/>
              </w:tabs>
              <w:kinsoku/>
              <w:wordWrap/>
              <w:overflowPunct/>
              <w:topLinePunct w:val="0"/>
              <w:autoSpaceDE w:val="0"/>
              <w:autoSpaceDN w:val="0"/>
              <w:bidi w:val="0"/>
              <w:adjustRightInd w:val="0"/>
              <w:snapToGrid/>
              <w:spacing w:line="320" w:lineRule="exact"/>
              <w:ind w:firstLine="0" w:firstLineChars="0"/>
              <w:jc w:val="center"/>
              <w:textAlignment w:val="auto"/>
              <w:rPr>
                <w:rFonts w:hint="default" w:ascii="Times New Roman" w:hAnsi="Times New Roman" w:eastAsia="宋体" w:cs="Times New Roman"/>
                <w:bCs/>
                <w:strike w:val="0"/>
                <w:dstrike w:val="0"/>
                <w:color w:val="auto"/>
                <w:sz w:val="21"/>
                <w:szCs w:val="21"/>
              </w:rPr>
            </w:pPr>
            <w:r>
              <w:rPr>
                <w:rFonts w:hint="default" w:ascii="Times New Roman" w:hAnsi="Times New Roman" w:eastAsia="宋体" w:cs="Times New Roman"/>
                <w:bCs/>
                <w:strike w:val="0"/>
                <w:dstrike w:val="0"/>
                <w:color w:val="auto"/>
                <w:sz w:val="21"/>
                <w:szCs w:val="21"/>
              </w:rPr>
              <w:t>重大隐患</w:t>
            </w:r>
          </w:p>
        </w:tc>
      </w:tr>
      <w:tr w14:paraId="59889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654" w:type="dxa"/>
            <w:noWrap w:val="0"/>
            <w:vAlign w:val="center"/>
          </w:tcPr>
          <w:p w14:paraId="0FE019FD">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5</w:t>
            </w:r>
          </w:p>
        </w:tc>
        <w:tc>
          <w:tcPr>
            <w:tcW w:w="5291" w:type="dxa"/>
            <w:noWrap w:val="0"/>
            <w:vAlign w:val="center"/>
          </w:tcPr>
          <w:p w14:paraId="04C4C4DC">
            <w:pPr>
              <w:keepNext w:val="0"/>
              <w:keepLines w:val="0"/>
              <w:pageBreakBefore w:val="0"/>
              <w:widowControl/>
              <w:shd w:val="clear" w:color="auto" w:fill="FFFFFF"/>
              <w:kinsoku/>
              <w:wordWrap/>
              <w:overflowPunct/>
              <w:topLinePunct w:val="0"/>
              <w:bidi w:val="0"/>
              <w:snapToGrid/>
              <w:spacing w:line="320" w:lineRule="exact"/>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尾矿堆积坝上升速率大于设计堆积上升速率。</w:t>
            </w:r>
          </w:p>
        </w:tc>
        <w:tc>
          <w:tcPr>
            <w:tcW w:w="1775" w:type="dxa"/>
            <w:noWrap w:val="0"/>
            <w:vAlign w:val="center"/>
          </w:tcPr>
          <w:p w14:paraId="4FA06952">
            <w:pPr>
              <w:keepNext w:val="0"/>
              <w:keepLines w:val="0"/>
              <w:pageBreakBefore w:val="0"/>
              <w:widowControl/>
              <w:shd w:val="clear" w:color="auto" w:fill="FFFFFF"/>
              <w:tabs>
                <w:tab w:val="left" w:pos="6810"/>
              </w:tabs>
              <w:kinsoku/>
              <w:wordWrap/>
              <w:overflowPunct/>
              <w:topLinePunct w:val="0"/>
              <w:autoSpaceDE w:val="0"/>
              <w:autoSpaceDN w:val="0"/>
              <w:bidi w:val="0"/>
              <w:adjustRightInd w:val="0"/>
              <w:snapToGrid/>
              <w:spacing w:line="320" w:lineRule="exact"/>
              <w:ind w:firstLine="0" w:firstLineChars="0"/>
              <w:jc w:val="center"/>
              <w:textAlignment w:val="auto"/>
              <w:rPr>
                <w:rFonts w:hint="default" w:ascii="Times New Roman" w:hAnsi="Times New Roman" w:eastAsia="宋体" w:cs="Times New Roman"/>
                <w:strike w:val="0"/>
                <w:dstrike w:val="0"/>
                <w:color w:val="auto"/>
                <w:kern w:val="0"/>
                <w:sz w:val="21"/>
                <w:szCs w:val="21"/>
                <w:lang w:val="en-US" w:eastAsia="zh-CN"/>
              </w:rPr>
            </w:pPr>
            <w:r>
              <w:rPr>
                <w:rFonts w:hint="default" w:ascii="Times New Roman" w:hAnsi="Times New Roman" w:eastAsia="宋体" w:cs="Times New Roman"/>
                <w:strike w:val="0"/>
                <w:dstrike w:val="0"/>
                <w:color w:val="auto"/>
                <w:kern w:val="0"/>
                <w:sz w:val="21"/>
                <w:szCs w:val="21"/>
              </w:rPr>
              <w:t>无此现象</w:t>
            </w:r>
          </w:p>
        </w:tc>
        <w:tc>
          <w:tcPr>
            <w:tcW w:w="1339" w:type="dxa"/>
            <w:noWrap w:val="0"/>
            <w:vAlign w:val="center"/>
          </w:tcPr>
          <w:p w14:paraId="46435C4D">
            <w:pPr>
              <w:keepNext w:val="0"/>
              <w:keepLines w:val="0"/>
              <w:pageBreakBefore w:val="0"/>
              <w:tabs>
                <w:tab w:val="left" w:pos="6810"/>
              </w:tabs>
              <w:kinsoku/>
              <w:wordWrap/>
              <w:overflowPunct/>
              <w:topLinePunct w:val="0"/>
              <w:autoSpaceDE w:val="0"/>
              <w:autoSpaceDN w:val="0"/>
              <w:bidi w:val="0"/>
              <w:adjustRightInd w:val="0"/>
              <w:snapToGrid/>
              <w:spacing w:line="320" w:lineRule="exact"/>
              <w:ind w:firstLine="0" w:firstLineChars="0"/>
              <w:jc w:val="center"/>
              <w:textAlignment w:val="auto"/>
              <w:rPr>
                <w:rFonts w:hint="eastAsia" w:ascii="Times New Roman" w:hAnsi="Times New Roman" w:eastAsia="宋体" w:cs="Times New Roman"/>
                <w:bCs/>
                <w:strike w:val="0"/>
                <w:dstrike w:val="0"/>
                <w:color w:val="auto"/>
                <w:sz w:val="21"/>
                <w:szCs w:val="21"/>
                <w:lang w:eastAsia="zh-CN"/>
              </w:rPr>
            </w:pPr>
            <w:r>
              <w:rPr>
                <w:rFonts w:hint="default" w:ascii="Times New Roman" w:hAnsi="Times New Roman" w:eastAsia="宋体" w:cs="Times New Roman"/>
                <w:bCs/>
                <w:strike w:val="0"/>
                <w:dstrike w:val="0"/>
                <w:color w:val="auto"/>
                <w:sz w:val="21"/>
                <w:szCs w:val="21"/>
              </w:rPr>
              <w:t>无重大隐患</w:t>
            </w:r>
          </w:p>
        </w:tc>
      </w:tr>
      <w:tr w14:paraId="5D575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654" w:type="dxa"/>
            <w:noWrap w:val="0"/>
            <w:vAlign w:val="center"/>
          </w:tcPr>
          <w:p w14:paraId="1B13BD1A">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6</w:t>
            </w:r>
          </w:p>
        </w:tc>
        <w:tc>
          <w:tcPr>
            <w:tcW w:w="5291" w:type="dxa"/>
            <w:noWrap w:val="0"/>
            <w:vAlign w:val="center"/>
          </w:tcPr>
          <w:p w14:paraId="686EAC70">
            <w:pPr>
              <w:keepNext w:val="0"/>
              <w:keepLines w:val="0"/>
              <w:pageBreakBefore w:val="0"/>
              <w:widowControl/>
              <w:shd w:val="clear" w:color="auto" w:fill="FFFFFF"/>
              <w:kinsoku/>
              <w:wordWrap/>
              <w:overflowPunct/>
              <w:topLinePunct w:val="0"/>
              <w:bidi w:val="0"/>
              <w:snapToGrid/>
              <w:spacing w:line="320" w:lineRule="exact"/>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采用尾矿堆坝的尾矿库，未按《尾矿库安全规程》（GB39496-2020）第6.1.9条规定对尾矿坝做全面的安全性复核。</w:t>
            </w:r>
          </w:p>
        </w:tc>
        <w:tc>
          <w:tcPr>
            <w:tcW w:w="1775" w:type="dxa"/>
            <w:noWrap w:val="0"/>
            <w:vAlign w:val="center"/>
          </w:tcPr>
          <w:p w14:paraId="15958DDE">
            <w:pPr>
              <w:keepNext w:val="0"/>
              <w:keepLines w:val="0"/>
              <w:pageBreakBefore w:val="0"/>
              <w:tabs>
                <w:tab w:val="left" w:pos="6810"/>
              </w:tabs>
              <w:kinsoku/>
              <w:wordWrap/>
              <w:overflowPunct/>
              <w:topLinePunct w:val="0"/>
              <w:autoSpaceDE w:val="0"/>
              <w:autoSpaceDN w:val="0"/>
              <w:bidi w:val="0"/>
              <w:adjustRightInd w:val="0"/>
              <w:snapToGrid/>
              <w:spacing w:line="320" w:lineRule="exact"/>
              <w:ind w:firstLine="0" w:firstLineChars="0"/>
              <w:jc w:val="center"/>
              <w:textAlignment w:val="auto"/>
              <w:rPr>
                <w:rFonts w:hint="default" w:ascii="Times New Roman" w:hAnsi="Times New Roman" w:eastAsia="宋体" w:cs="Times New Roman"/>
                <w:strike w:val="0"/>
                <w:dstrike w:val="0"/>
                <w:color w:val="auto"/>
                <w:kern w:val="0"/>
                <w:sz w:val="21"/>
                <w:szCs w:val="21"/>
                <w:lang w:val="en-US" w:eastAsia="zh-CN"/>
              </w:rPr>
            </w:pPr>
            <w:r>
              <w:rPr>
                <w:rFonts w:hint="eastAsia" w:ascii="Times New Roman" w:hAnsi="Times New Roman" w:eastAsia="宋体" w:cs="Times New Roman"/>
                <w:strike w:val="0"/>
                <w:dstrike w:val="0"/>
                <w:color w:val="auto"/>
                <w:kern w:val="0"/>
                <w:sz w:val="21"/>
                <w:szCs w:val="21"/>
                <w:lang w:val="en-US" w:eastAsia="zh-CN"/>
              </w:rPr>
              <w:t>有稳定性分析</w:t>
            </w:r>
          </w:p>
        </w:tc>
        <w:tc>
          <w:tcPr>
            <w:tcW w:w="1339" w:type="dxa"/>
            <w:noWrap w:val="0"/>
            <w:vAlign w:val="center"/>
          </w:tcPr>
          <w:p w14:paraId="75DF08D7">
            <w:pPr>
              <w:keepNext w:val="0"/>
              <w:keepLines w:val="0"/>
              <w:pageBreakBefore w:val="0"/>
              <w:tabs>
                <w:tab w:val="left" w:pos="6810"/>
              </w:tabs>
              <w:kinsoku/>
              <w:wordWrap/>
              <w:overflowPunct/>
              <w:topLinePunct w:val="0"/>
              <w:autoSpaceDE w:val="0"/>
              <w:autoSpaceDN w:val="0"/>
              <w:bidi w:val="0"/>
              <w:adjustRightInd w:val="0"/>
              <w:snapToGrid/>
              <w:spacing w:line="320" w:lineRule="exact"/>
              <w:ind w:firstLine="0" w:firstLineChars="0"/>
              <w:jc w:val="center"/>
              <w:textAlignment w:val="auto"/>
              <w:rPr>
                <w:rFonts w:hint="default" w:ascii="Times New Roman" w:hAnsi="Times New Roman" w:eastAsia="宋体" w:cs="Times New Roman"/>
                <w:bCs/>
                <w:strike w:val="0"/>
                <w:dstrike w:val="0"/>
                <w:color w:val="auto"/>
                <w:sz w:val="21"/>
                <w:szCs w:val="21"/>
              </w:rPr>
            </w:pPr>
            <w:r>
              <w:rPr>
                <w:rFonts w:hint="default" w:ascii="Times New Roman" w:hAnsi="Times New Roman" w:eastAsia="宋体" w:cs="Times New Roman"/>
                <w:bCs/>
                <w:strike w:val="0"/>
                <w:dstrike w:val="0"/>
                <w:color w:val="auto"/>
                <w:sz w:val="21"/>
                <w:szCs w:val="21"/>
              </w:rPr>
              <w:t>无重大隐患</w:t>
            </w:r>
          </w:p>
        </w:tc>
      </w:tr>
      <w:tr w14:paraId="7BDD9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654" w:type="dxa"/>
            <w:noWrap w:val="0"/>
            <w:vAlign w:val="center"/>
          </w:tcPr>
          <w:p w14:paraId="7C9D8818">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7</w:t>
            </w:r>
          </w:p>
        </w:tc>
        <w:tc>
          <w:tcPr>
            <w:tcW w:w="5291" w:type="dxa"/>
            <w:noWrap w:val="0"/>
            <w:vAlign w:val="center"/>
          </w:tcPr>
          <w:p w14:paraId="752D2921">
            <w:pPr>
              <w:keepNext w:val="0"/>
              <w:keepLines w:val="0"/>
              <w:pageBreakBefore w:val="0"/>
              <w:widowControl/>
              <w:shd w:val="clear" w:color="auto" w:fill="FFFFFF"/>
              <w:kinsoku/>
              <w:wordWrap/>
              <w:overflowPunct/>
              <w:topLinePunct w:val="0"/>
              <w:bidi w:val="0"/>
              <w:snapToGrid/>
              <w:spacing w:line="320" w:lineRule="exact"/>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浸润线埋深小于控制浸润线埋深。</w:t>
            </w:r>
          </w:p>
        </w:tc>
        <w:tc>
          <w:tcPr>
            <w:tcW w:w="1775" w:type="dxa"/>
            <w:noWrap w:val="0"/>
            <w:vAlign w:val="center"/>
          </w:tcPr>
          <w:p w14:paraId="3F8493BA">
            <w:pPr>
              <w:keepNext w:val="0"/>
              <w:keepLines w:val="0"/>
              <w:pageBreakBefore w:val="0"/>
              <w:tabs>
                <w:tab w:val="left" w:pos="6810"/>
              </w:tabs>
              <w:kinsoku/>
              <w:wordWrap/>
              <w:overflowPunct/>
              <w:topLinePunct w:val="0"/>
              <w:autoSpaceDE w:val="0"/>
              <w:autoSpaceDN w:val="0"/>
              <w:bidi w:val="0"/>
              <w:adjustRightInd w:val="0"/>
              <w:snapToGrid/>
              <w:spacing w:line="320" w:lineRule="exact"/>
              <w:ind w:firstLine="0" w:firstLineChars="0"/>
              <w:jc w:val="center"/>
              <w:textAlignment w:val="auto"/>
              <w:rPr>
                <w:rFonts w:hint="default" w:ascii="Times New Roman" w:hAnsi="Times New Roman" w:eastAsia="宋体" w:cs="Times New Roman"/>
                <w:strike w:val="0"/>
                <w:dstrike w:val="0"/>
                <w:color w:val="auto"/>
                <w:kern w:val="0"/>
                <w:sz w:val="21"/>
                <w:szCs w:val="21"/>
                <w:lang w:eastAsia="zh-CN"/>
              </w:rPr>
            </w:pPr>
            <w:r>
              <w:rPr>
                <w:rFonts w:hint="default" w:ascii="Times New Roman" w:hAnsi="Times New Roman" w:eastAsia="宋体" w:cs="Times New Roman"/>
                <w:bCs/>
                <w:strike w:val="0"/>
                <w:dstrike w:val="0"/>
                <w:color w:val="auto"/>
                <w:sz w:val="21"/>
                <w:szCs w:val="21"/>
              </w:rPr>
              <w:t>无此现象</w:t>
            </w:r>
          </w:p>
        </w:tc>
        <w:tc>
          <w:tcPr>
            <w:tcW w:w="1339" w:type="dxa"/>
            <w:noWrap w:val="0"/>
            <w:vAlign w:val="center"/>
          </w:tcPr>
          <w:p w14:paraId="6C05A3E9">
            <w:pPr>
              <w:keepNext w:val="0"/>
              <w:keepLines w:val="0"/>
              <w:pageBreakBefore w:val="0"/>
              <w:tabs>
                <w:tab w:val="left" w:pos="6810"/>
              </w:tabs>
              <w:kinsoku/>
              <w:wordWrap/>
              <w:overflowPunct/>
              <w:topLinePunct w:val="0"/>
              <w:autoSpaceDE w:val="0"/>
              <w:autoSpaceDN w:val="0"/>
              <w:bidi w:val="0"/>
              <w:adjustRightInd w:val="0"/>
              <w:snapToGrid/>
              <w:spacing w:line="320" w:lineRule="exact"/>
              <w:ind w:firstLine="0" w:firstLineChars="0"/>
              <w:jc w:val="center"/>
              <w:textAlignment w:val="auto"/>
              <w:rPr>
                <w:rFonts w:hint="default" w:ascii="Times New Roman" w:hAnsi="Times New Roman" w:eastAsia="宋体" w:cs="Times New Roman"/>
                <w:bCs/>
                <w:strike w:val="0"/>
                <w:dstrike w:val="0"/>
                <w:color w:val="auto"/>
                <w:sz w:val="21"/>
                <w:szCs w:val="21"/>
              </w:rPr>
            </w:pPr>
            <w:r>
              <w:rPr>
                <w:rFonts w:hint="default" w:ascii="Times New Roman" w:hAnsi="Times New Roman" w:eastAsia="宋体" w:cs="Times New Roman"/>
                <w:bCs/>
                <w:strike w:val="0"/>
                <w:dstrike w:val="0"/>
                <w:color w:val="auto"/>
                <w:sz w:val="21"/>
                <w:szCs w:val="21"/>
              </w:rPr>
              <w:t>无重大隐患</w:t>
            </w:r>
          </w:p>
        </w:tc>
      </w:tr>
      <w:tr w14:paraId="32A67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jc w:val="center"/>
        </w:trPr>
        <w:tc>
          <w:tcPr>
            <w:tcW w:w="654" w:type="dxa"/>
            <w:noWrap w:val="0"/>
            <w:vAlign w:val="center"/>
          </w:tcPr>
          <w:p w14:paraId="6ECA00E3">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8</w:t>
            </w:r>
          </w:p>
        </w:tc>
        <w:tc>
          <w:tcPr>
            <w:tcW w:w="5291" w:type="dxa"/>
            <w:noWrap w:val="0"/>
            <w:vAlign w:val="center"/>
          </w:tcPr>
          <w:p w14:paraId="706F871B">
            <w:pPr>
              <w:keepNext w:val="0"/>
              <w:keepLines w:val="0"/>
              <w:pageBreakBefore w:val="0"/>
              <w:widowControl/>
              <w:shd w:val="clear" w:color="auto" w:fill="FFFFFF"/>
              <w:kinsoku/>
              <w:wordWrap/>
              <w:overflowPunct/>
              <w:topLinePunct w:val="0"/>
              <w:bidi w:val="0"/>
              <w:snapToGrid/>
              <w:spacing w:line="320" w:lineRule="exact"/>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汛前未按国家有关规定对尾矿库进行调洪演算，或者湿式尾矿库防洪高度和干滩长度小于设计值，或者干式尾矿库防洪高度和防洪宽度小于设计值。</w:t>
            </w:r>
          </w:p>
        </w:tc>
        <w:tc>
          <w:tcPr>
            <w:tcW w:w="1775" w:type="dxa"/>
            <w:noWrap w:val="0"/>
            <w:vAlign w:val="center"/>
          </w:tcPr>
          <w:p w14:paraId="7DC7E3F8">
            <w:pPr>
              <w:keepNext w:val="0"/>
              <w:keepLines w:val="0"/>
              <w:pageBreakBefore w:val="0"/>
              <w:widowControl/>
              <w:shd w:val="clear" w:color="auto" w:fill="FFFFFF"/>
              <w:tabs>
                <w:tab w:val="left" w:pos="6810"/>
              </w:tabs>
              <w:kinsoku/>
              <w:wordWrap/>
              <w:overflowPunct/>
              <w:topLinePunct w:val="0"/>
              <w:autoSpaceDE w:val="0"/>
              <w:autoSpaceDN w:val="0"/>
              <w:bidi w:val="0"/>
              <w:adjustRightInd w:val="0"/>
              <w:snapToGrid/>
              <w:spacing w:line="320" w:lineRule="exact"/>
              <w:ind w:firstLine="0" w:firstLineChars="0"/>
              <w:jc w:val="center"/>
              <w:textAlignment w:val="auto"/>
              <w:rPr>
                <w:rFonts w:hint="default" w:ascii="Times New Roman" w:hAnsi="Times New Roman" w:eastAsia="宋体" w:cs="Times New Roman"/>
                <w:strike w:val="0"/>
                <w:dstrike w:val="0"/>
                <w:color w:val="auto"/>
                <w:kern w:val="0"/>
                <w:sz w:val="21"/>
                <w:szCs w:val="21"/>
                <w:lang w:val="en-US" w:eastAsia="zh-CN"/>
              </w:rPr>
            </w:pPr>
            <w:r>
              <w:rPr>
                <w:rFonts w:hint="eastAsia" w:cs="Times New Roman"/>
                <w:strike w:val="0"/>
                <w:dstrike w:val="0"/>
                <w:color w:val="auto"/>
                <w:kern w:val="0"/>
                <w:sz w:val="21"/>
                <w:szCs w:val="21"/>
                <w:lang w:val="en-US" w:eastAsia="zh-CN"/>
              </w:rPr>
              <w:t>有</w:t>
            </w:r>
            <w:r>
              <w:rPr>
                <w:rFonts w:hint="eastAsia" w:ascii="Times New Roman" w:hAnsi="Times New Roman" w:eastAsia="宋体" w:cs="Times New Roman"/>
                <w:strike w:val="0"/>
                <w:dstrike w:val="0"/>
                <w:color w:val="auto"/>
                <w:kern w:val="0"/>
                <w:sz w:val="21"/>
                <w:szCs w:val="21"/>
                <w:lang w:val="en-US" w:eastAsia="zh-CN"/>
              </w:rPr>
              <w:t>2026年</w:t>
            </w:r>
            <w:r>
              <w:rPr>
                <w:rFonts w:hint="default" w:ascii="Times New Roman" w:hAnsi="Times New Roman" w:eastAsia="宋体" w:cs="Times New Roman"/>
                <w:strike w:val="0"/>
                <w:dstrike w:val="0"/>
                <w:color w:val="auto"/>
                <w:kern w:val="0"/>
                <w:sz w:val="21"/>
                <w:szCs w:val="21"/>
                <w:lang w:val="en-US" w:eastAsia="zh-CN"/>
              </w:rPr>
              <w:t>调洪演算</w:t>
            </w:r>
            <w:r>
              <w:rPr>
                <w:rFonts w:hint="eastAsia" w:ascii="Times New Roman" w:hAnsi="Times New Roman" w:eastAsia="宋体" w:cs="Times New Roman"/>
                <w:strike w:val="0"/>
                <w:dstrike w:val="0"/>
                <w:color w:val="auto"/>
                <w:kern w:val="0"/>
                <w:sz w:val="21"/>
                <w:szCs w:val="21"/>
                <w:lang w:val="en-US" w:eastAsia="zh-CN"/>
              </w:rPr>
              <w:t>报告</w:t>
            </w:r>
            <w:r>
              <w:rPr>
                <w:rFonts w:hint="eastAsia" w:cs="Times New Roman"/>
                <w:strike w:val="0"/>
                <w:dstrike w:val="0"/>
                <w:color w:val="auto"/>
                <w:kern w:val="0"/>
                <w:sz w:val="21"/>
                <w:szCs w:val="21"/>
                <w:lang w:val="en-US" w:eastAsia="zh-CN"/>
              </w:rPr>
              <w:t>，但现状尾矿库安全超高和干滩长度均不满足尾矿库500年一遇排洪要求</w:t>
            </w:r>
          </w:p>
        </w:tc>
        <w:tc>
          <w:tcPr>
            <w:tcW w:w="1339" w:type="dxa"/>
            <w:noWrap w:val="0"/>
            <w:vAlign w:val="center"/>
          </w:tcPr>
          <w:p w14:paraId="6AB23FBF">
            <w:pPr>
              <w:keepNext w:val="0"/>
              <w:keepLines w:val="0"/>
              <w:pageBreakBefore w:val="0"/>
              <w:tabs>
                <w:tab w:val="left" w:pos="6810"/>
              </w:tabs>
              <w:kinsoku/>
              <w:wordWrap/>
              <w:overflowPunct/>
              <w:topLinePunct w:val="0"/>
              <w:autoSpaceDE w:val="0"/>
              <w:autoSpaceDN w:val="0"/>
              <w:bidi w:val="0"/>
              <w:adjustRightInd w:val="0"/>
              <w:snapToGrid/>
              <w:spacing w:line="320" w:lineRule="exact"/>
              <w:ind w:firstLine="0" w:firstLineChars="0"/>
              <w:jc w:val="center"/>
              <w:textAlignment w:val="auto"/>
              <w:rPr>
                <w:rFonts w:hint="default" w:ascii="Times New Roman" w:hAnsi="Times New Roman" w:eastAsia="宋体" w:cs="Times New Roman"/>
                <w:bCs/>
                <w:strike w:val="0"/>
                <w:dstrike w:val="0"/>
                <w:color w:val="auto"/>
                <w:sz w:val="21"/>
                <w:szCs w:val="21"/>
              </w:rPr>
            </w:pPr>
            <w:r>
              <w:rPr>
                <w:rFonts w:hint="default" w:ascii="Times New Roman" w:hAnsi="Times New Roman" w:eastAsia="宋体" w:cs="Times New Roman"/>
                <w:bCs/>
                <w:strike w:val="0"/>
                <w:dstrike w:val="0"/>
                <w:color w:val="auto"/>
                <w:sz w:val="21"/>
                <w:szCs w:val="21"/>
              </w:rPr>
              <w:t>重大隐患</w:t>
            </w:r>
          </w:p>
        </w:tc>
      </w:tr>
      <w:tr w14:paraId="6C27B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4" w:type="dxa"/>
            <w:noWrap w:val="0"/>
            <w:vAlign w:val="center"/>
          </w:tcPr>
          <w:p w14:paraId="7F7D1885">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9</w:t>
            </w:r>
          </w:p>
        </w:tc>
        <w:tc>
          <w:tcPr>
            <w:tcW w:w="5291" w:type="dxa"/>
            <w:noWrap w:val="0"/>
            <w:vAlign w:val="center"/>
          </w:tcPr>
          <w:p w14:paraId="363CE9D5">
            <w:pPr>
              <w:keepNext w:val="0"/>
              <w:keepLines w:val="0"/>
              <w:pageBreakBefore w:val="0"/>
              <w:widowControl/>
              <w:shd w:val="clear" w:color="auto" w:fill="FFFFFF"/>
              <w:kinsoku/>
              <w:wordWrap/>
              <w:overflowPunct/>
              <w:topLinePunct w:val="0"/>
              <w:bidi w:val="0"/>
              <w:snapToGrid/>
              <w:spacing w:line="320" w:lineRule="exact"/>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排洪系统存在下列情形之一的：</w:t>
            </w:r>
          </w:p>
          <w:p w14:paraId="1AB29F75">
            <w:pPr>
              <w:keepNext w:val="0"/>
              <w:keepLines w:val="0"/>
              <w:pageBreakBefore w:val="0"/>
              <w:widowControl/>
              <w:shd w:val="clear" w:color="auto" w:fill="FFFFFF"/>
              <w:kinsoku/>
              <w:wordWrap/>
              <w:overflowPunct/>
              <w:topLinePunct w:val="0"/>
              <w:bidi w:val="0"/>
              <w:snapToGrid/>
              <w:spacing w:line="320" w:lineRule="exact"/>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1.排水井、排水斜槽、排水管、排水隧洞、拱板、盖板等排洪建构筑物混凝土厚度、强度或者型式不满足设计要求；</w:t>
            </w:r>
          </w:p>
          <w:p w14:paraId="3BF9634E">
            <w:pPr>
              <w:keepNext w:val="0"/>
              <w:keepLines w:val="0"/>
              <w:pageBreakBefore w:val="0"/>
              <w:widowControl/>
              <w:shd w:val="clear" w:color="auto" w:fill="FFFFFF"/>
              <w:kinsoku/>
              <w:wordWrap/>
              <w:overflowPunct/>
              <w:topLinePunct w:val="0"/>
              <w:bidi w:val="0"/>
              <w:snapToGrid/>
              <w:spacing w:line="320" w:lineRule="exact"/>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2.排洪设施部分堵塞或者坍塌、排水井有所倾斜，排水能力有所降低，达不到设计要求；</w:t>
            </w:r>
          </w:p>
          <w:p w14:paraId="1CF8C31D">
            <w:pPr>
              <w:keepNext w:val="0"/>
              <w:keepLines w:val="0"/>
              <w:pageBreakBefore w:val="0"/>
              <w:kinsoku/>
              <w:wordWrap/>
              <w:overflowPunct/>
              <w:topLinePunct w:val="0"/>
              <w:bidi w:val="0"/>
              <w:snapToGrid/>
              <w:spacing w:line="320" w:lineRule="exact"/>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3.排洪构筑物终止使用时，封堵措施不满足设计要求。</w:t>
            </w:r>
          </w:p>
        </w:tc>
        <w:tc>
          <w:tcPr>
            <w:tcW w:w="1775" w:type="dxa"/>
            <w:noWrap w:val="0"/>
            <w:vAlign w:val="center"/>
          </w:tcPr>
          <w:p w14:paraId="053E960D">
            <w:pPr>
              <w:keepNext w:val="0"/>
              <w:keepLines w:val="0"/>
              <w:pageBreakBefore w:val="0"/>
              <w:tabs>
                <w:tab w:val="left" w:pos="6810"/>
              </w:tabs>
              <w:kinsoku/>
              <w:wordWrap/>
              <w:overflowPunct/>
              <w:topLinePunct w:val="0"/>
              <w:autoSpaceDE w:val="0"/>
              <w:autoSpaceDN w:val="0"/>
              <w:bidi w:val="0"/>
              <w:adjustRightInd w:val="0"/>
              <w:snapToGrid/>
              <w:spacing w:line="320" w:lineRule="exact"/>
              <w:ind w:firstLine="0" w:firstLineChars="0"/>
              <w:jc w:val="center"/>
              <w:textAlignment w:val="auto"/>
              <w:rPr>
                <w:rFonts w:hint="default" w:ascii="Times New Roman" w:hAnsi="Times New Roman" w:eastAsia="宋体" w:cs="Times New Roman"/>
                <w:strike w:val="0"/>
                <w:dstrike w:val="0"/>
                <w:color w:val="auto"/>
                <w:kern w:val="0"/>
                <w:sz w:val="21"/>
                <w:szCs w:val="21"/>
                <w:lang w:val="en-US" w:eastAsia="zh-CN"/>
              </w:rPr>
            </w:pPr>
            <w:r>
              <w:rPr>
                <w:rFonts w:hint="eastAsia" w:ascii="Times New Roman" w:hAnsi="Times New Roman" w:eastAsia="宋体" w:cs="Times New Roman"/>
                <w:strike w:val="0"/>
                <w:dstrike w:val="0"/>
                <w:color w:val="auto"/>
                <w:kern w:val="0"/>
                <w:sz w:val="21"/>
                <w:szCs w:val="21"/>
                <w:lang w:val="en-US" w:eastAsia="zh-CN"/>
              </w:rPr>
              <w:t>排水系统已进行检测</w:t>
            </w:r>
          </w:p>
        </w:tc>
        <w:tc>
          <w:tcPr>
            <w:tcW w:w="1339" w:type="dxa"/>
            <w:noWrap w:val="0"/>
            <w:vAlign w:val="center"/>
          </w:tcPr>
          <w:p w14:paraId="1ACFC679">
            <w:pPr>
              <w:keepNext w:val="0"/>
              <w:keepLines w:val="0"/>
              <w:pageBreakBefore w:val="0"/>
              <w:tabs>
                <w:tab w:val="left" w:pos="6810"/>
              </w:tabs>
              <w:kinsoku/>
              <w:wordWrap/>
              <w:overflowPunct/>
              <w:topLinePunct w:val="0"/>
              <w:autoSpaceDE w:val="0"/>
              <w:autoSpaceDN w:val="0"/>
              <w:bidi w:val="0"/>
              <w:adjustRightInd w:val="0"/>
              <w:snapToGrid/>
              <w:spacing w:line="320" w:lineRule="exact"/>
              <w:ind w:firstLine="0" w:firstLineChars="0"/>
              <w:jc w:val="center"/>
              <w:textAlignment w:val="auto"/>
              <w:rPr>
                <w:rFonts w:hint="default" w:ascii="Times New Roman" w:hAnsi="Times New Roman" w:eastAsia="宋体" w:cs="Times New Roman"/>
                <w:bCs/>
                <w:strike w:val="0"/>
                <w:dstrike w:val="0"/>
                <w:color w:val="auto"/>
                <w:sz w:val="21"/>
                <w:szCs w:val="21"/>
              </w:rPr>
            </w:pPr>
            <w:r>
              <w:rPr>
                <w:rFonts w:hint="default" w:ascii="Times New Roman" w:hAnsi="Times New Roman" w:eastAsia="宋体" w:cs="Times New Roman"/>
                <w:bCs/>
                <w:strike w:val="0"/>
                <w:dstrike w:val="0"/>
                <w:color w:val="auto"/>
                <w:sz w:val="21"/>
                <w:szCs w:val="21"/>
              </w:rPr>
              <w:t>无重大隐患</w:t>
            </w:r>
          </w:p>
        </w:tc>
      </w:tr>
      <w:tr w14:paraId="2F458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654" w:type="dxa"/>
            <w:noWrap w:val="0"/>
            <w:vAlign w:val="center"/>
          </w:tcPr>
          <w:p w14:paraId="57D43D72">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10</w:t>
            </w:r>
          </w:p>
        </w:tc>
        <w:tc>
          <w:tcPr>
            <w:tcW w:w="5291" w:type="dxa"/>
            <w:noWrap w:val="0"/>
            <w:vAlign w:val="center"/>
          </w:tcPr>
          <w:p w14:paraId="75403EA4">
            <w:pPr>
              <w:keepNext w:val="0"/>
              <w:keepLines w:val="0"/>
              <w:pageBreakBefore w:val="0"/>
              <w:widowControl/>
              <w:shd w:val="clear" w:color="auto" w:fill="FFFFFF"/>
              <w:kinsoku/>
              <w:wordWrap/>
              <w:overflowPunct/>
              <w:topLinePunct w:val="0"/>
              <w:bidi w:val="0"/>
              <w:snapToGrid/>
              <w:spacing w:line="320" w:lineRule="exact"/>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设计以外的尾矿、废料或者废水进库。</w:t>
            </w:r>
          </w:p>
        </w:tc>
        <w:tc>
          <w:tcPr>
            <w:tcW w:w="1775" w:type="dxa"/>
            <w:noWrap w:val="0"/>
            <w:vAlign w:val="center"/>
          </w:tcPr>
          <w:p w14:paraId="378E6FE0">
            <w:pPr>
              <w:keepNext w:val="0"/>
              <w:keepLines w:val="0"/>
              <w:pageBreakBefore w:val="0"/>
              <w:tabs>
                <w:tab w:val="left" w:pos="6810"/>
              </w:tabs>
              <w:kinsoku/>
              <w:wordWrap/>
              <w:overflowPunct/>
              <w:topLinePunct w:val="0"/>
              <w:autoSpaceDE w:val="0"/>
              <w:autoSpaceDN w:val="0"/>
              <w:bidi w:val="0"/>
              <w:adjustRightInd w:val="0"/>
              <w:snapToGrid/>
              <w:spacing w:line="320" w:lineRule="exact"/>
              <w:ind w:firstLine="0" w:firstLineChars="0"/>
              <w:jc w:val="center"/>
              <w:textAlignment w:val="auto"/>
              <w:rPr>
                <w:rFonts w:hint="default" w:ascii="Times New Roman" w:hAnsi="Times New Roman" w:eastAsia="宋体" w:cs="Times New Roman"/>
                <w:strike w:val="0"/>
                <w:dstrike w:val="0"/>
                <w:color w:val="auto"/>
                <w:kern w:val="0"/>
                <w:sz w:val="21"/>
                <w:szCs w:val="21"/>
                <w:lang w:eastAsia="zh-CN"/>
              </w:rPr>
            </w:pPr>
            <w:r>
              <w:rPr>
                <w:rFonts w:hint="default" w:ascii="Times New Roman" w:hAnsi="Times New Roman" w:eastAsia="宋体" w:cs="Times New Roman"/>
                <w:strike w:val="0"/>
                <w:dstrike w:val="0"/>
                <w:color w:val="auto"/>
                <w:kern w:val="0"/>
                <w:sz w:val="21"/>
                <w:szCs w:val="21"/>
              </w:rPr>
              <w:t>无此现象</w:t>
            </w:r>
          </w:p>
        </w:tc>
        <w:tc>
          <w:tcPr>
            <w:tcW w:w="1339" w:type="dxa"/>
            <w:noWrap w:val="0"/>
            <w:vAlign w:val="center"/>
          </w:tcPr>
          <w:p w14:paraId="4C7B0570">
            <w:pPr>
              <w:keepNext w:val="0"/>
              <w:keepLines w:val="0"/>
              <w:pageBreakBefore w:val="0"/>
              <w:tabs>
                <w:tab w:val="left" w:pos="6810"/>
              </w:tabs>
              <w:kinsoku/>
              <w:wordWrap/>
              <w:overflowPunct/>
              <w:topLinePunct w:val="0"/>
              <w:autoSpaceDE w:val="0"/>
              <w:autoSpaceDN w:val="0"/>
              <w:bidi w:val="0"/>
              <w:adjustRightInd w:val="0"/>
              <w:snapToGrid/>
              <w:spacing w:line="320" w:lineRule="exact"/>
              <w:ind w:firstLine="0" w:firstLineChars="0"/>
              <w:jc w:val="center"/>
              <w:textAlignment w:val="auto"/>
              <w:rPr>
                <w:rFonts w:hint="default" w:ascii="Times New Roman" w:hAnsi="Times New Roman" w:eastAsia="宋体" w:cs="Times New Roman"/>
                <w:bCs/>
                <w:strike w:val="0"/>
                <w:dstrike w:val="0"/>
                <w:color w:val="auto"/>
                <w:sz w:val="21"/>
                <w:szCs w:val="21"/>
              </w:rPr>
            </w:pPr>
            <w:r>
              <w:rPr>
                <w:rFonts w:hint="default" w:ascii="Times New Roman" w:hAnsi="Times New Roman" w:eastAsia="宋体" w:cs="Times New Roman"/>
                <w:bCs/>
                <w:strike w:val="0"/>
                <w:dstrike w:val="0"/>
                <w:color w:val="auto"/>
                <w:sz w:val="21"/>
                <w:szCs w:val="21"/>
              </w:rPr>
              <w:t>无重大隐患</w:t>
            </w:r>
          </w:p>
        </w:tc>
      </w:tr>
      <w:tr w14:paraId="32507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4" w:type="dxa"/>
            <w:noWrap w:val="0"/>
            <w:vAlign w:val="center"/>
          </w:tcPr>
          <w:p w14:paraId="18C8DE4A">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11</w:t>
            </w:r>
          </w:p>
        </w:tc>
        <w:tc>
          <w:tcPr>
            <w:tcW w:w="5291" w:type="dxa"/>
            <w:noWrap w:val="0"/>
            <w:vAlign w:val="center"/>
          </w:tcPr>
          <w:p w14:paraId="3831D06C">
            <w:pPr>
              <w:keepNext w:val="0"/>
              <w:keepLines w:val="0"/>
              <w:pageBreakBefore w:val="0"/>
              <w:widowControl/>
              <w:shd w:val="clear" w:color="auto" w:fill="FFFFFF"/>
              <w:kinsoku/>
              <w:wordWrap/>
              <w:overflowPunct/>
              <w:topLinePunct w:val="0"/>
              <w:bidi w:val="0"/>
              <w:snapToGrid/>
              <w:spacing w:line="320" w:lineRule="exact"/>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多种矿石性质不同的尾砂混合排放时，未按设计进行排放。</w:t>
            </w:r>
          </w:p>
        </w:tc>
        <w:tc>
          <w:tcPr>
            <w:tcW w:w="1775" w:type="dxa"/>
            <w:noWrap w:val="0"/>
            <w:vAlign w:val="center"/>
          </w:tcPr>
          <w:p w14:paraId="37E8B16B">
            <w:pPr>
              <w:keepNext w:val="0"/>
              <w:keepLines w:val="0"/>
              <w:pageBreakBefore w:val="0"/>
              <w:tabs>
                <w:tab w:val="left" w:pos="6810"/>
              </w:tabs>
              <w:kinsoku/>
              <w:wordWrap/>
              <w:overflowPunct/>
              <w:topLinePunct w:val="0"/>
              <w:autoSpaceDE w:val="0"/>
              <w:autoSpaceDN w:val="0"/>
              <w:bidi w:val="0"/>
              <w:adjustRightInd w:val="0"/>
              <w:snapToGrid/>
              <w:spacing w:line="320" w:lineRule="exact"/>
              <w:ind w:firstLine="0" w:firstLineChars="0"/>
              <w:jc w:val="center"/>
              <w:textAlignment w:val="auto"/>
              <w:rPr>
                <w:rFonts w:hint="default" w:ascii="Times New Roman" w:hAnsi="Times New Roman" w:eastAsia="宋体" w:cs="Times New Roman"/>
                <w:strike w:val="0"/>
                <w:dstrike w:val="0"/>
                <w:color w:val="auto"/>
                <w:kern w:val="0"/>
                <w:sz w:val="21"/>
                <w:szCs w:val="21"/>
                <w:lang w:eastAsia="zh-CN"/>
              </w:rPr>
            </w:pPr>
            <w:r>
              <w:rPr>
                <w:rFonts w:hint="default" w:ascii="Times New Roman" w:hAnsi="Times New Roman" w:eastAsia="宋体" w:cs="Times New Roman"/>
                <w:strike w:val="0"/>
                <w:dstrike w:val="0"/>
                <w:color w:val="auto"/>
                <w:kern w:val="0"/>
                <w:sz w:val="21"/>
                <w:szCs w:val="21"/>
              </w:rPr>
              <w:t>无此现象</w:t>
            </w:r>
          </w:p>
        </w:tc>
        <w:tc>
          <w:tcPr>
            <w:tcW w:w="1339" w:type="dxa"/>
            <w:noWrap w:val="0"/>
            <w:vAlign w:val="center"/>
          </w:tcPr>
          <w:p w14:paraId="47811C15">
            <w:pPr>
              <w:keepNext w:val="0"/>
              <w:keepLines w:val="0"/>
              <w:pageBreakBefore w:val="0"/>
              <w:tabs>
                <w:tab w:val="left" w:pos="6810"/>
              </w:tabs>
              <w:kinsoku/>
              <w:wordWrap/>
              <w:overflowPunct/>
              <w:topLinePunct w:val="0"/>
              <w:autoSpaceDE w:val="0"/>
              <w:autoSpaceDN w:val="0"/>
              <w:bidi w:val="0"/>
              <w:adjustRightInd w:val="0"/>
              <w:snapToGrid/>
              <w:spacing w:line="320" w:lineRule="exact"/>
              <w:ind w:firstLine="0" w:firstLineChars="0"/>
              <w:jc w:val="center"/>
              <w:textAlignment w:val="auto"/>
              <w:rPr>
                <w:rFonts w:hint="default" w:ascii="Times New Roman" w:hAnsi="Times New Roman" w:eastAsia="宋体" w:cs="Times New Roman"/>
                <w:bCs/>
                <w:strike w:val="0"/>
                <w:dstrike w:val="0"/>
                <w:color w:val="auto"/>
                <w:sz w:val="21"/>
                <w:szCs w:val="21"/>
              </w:rPr>
            </w:pPr>
            <w:r>
              <w:rPr>
                <w:rFonts w:hint="default" w:ascii="Times New Roman" w:hAnsi="Times New Roman" w:eastAsia="宋体" w:cs="Times New Roman"/>
                <w:bCs/>
                <w:strike w:val="0"/>
                <w:dstrike w:val="0"/>
                <w:color w:val="auto"/>
                <w:sz w:val="21"/>
                <w:szCs w:val="21"/>
              </w:rPr>
              <w:t>无重大隐患</w:t>
            </w:r>
          </w:p>
        </w:tc>
      </w:tr>
      <w:tr w14:paraId="4D0EA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654" w:type="dxa"/>
            <w:noWrap w:val="0"/>
            <w:vAlign w:val="center"/>
          </w:tcPr>
          <w:p w14:paraId="75732FD5">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12</w:t>
            </w:r>
          </w:p>
        </w:tc>
        <w:tc>
          <w:tcPr>
            <w:tcW w:w="5291" w:type="dxa"/>
            <w:noWrap w:val="0"/>
            <w:vAlign w:val="center"/>
          </w:tcPr>
          <w:p w14:paraId="524C20D7">
            <w:pPr>
              <w:keepNext w:val="0"/>
              <w:keepLines w:val="0"/>
              <w:pageBreakBefore w:val="0"/>
              <w:widowControl/>
              <w:shd w:val="clear" w:color="auto" w:fill="FFFFFF"/>
              <w:kinsoku/>
              <w:wordWrap/>
              <w:overflowPunct/>
              <w:topLinePunct w:val="0"/>
              <w:bidi w:val="0"/>
              <w:snapToGrid/>
              <w:spacing w:line="240" w:lineRule="auto"/>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冬季未按设计要求的冰下放矿方式进行放矿作业。</w:t>
            </w:r>
          </w:p>
        </w:tc>
        <w:tc>
          <w:tcPr>
            <w:tcW w:w="1775" w:type="dxa"/>
            <w:noWrap w:val="0"/>
            <w:vAlign w:val="center"/>
          </w:tcPr>
          <w:p w14:paraId="53FC5B41">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strike w:val="0"/>
                <w:dstrike w:val="0"/>
                <w:color w:val="auto"/>
                <w:kern w:val="0"/>
                <w:sz w:val="21"/>
                <w:szCs w:val="21"/>
                <w:lang w:eastAsia="zh-CN"/>
              </w:rPr>
            </w:pPr>
            <w:r>
              <w:rPr>
                <w:rFonts w:hint="default" w:ascii="Times New Roman" w:hAnsi="Times New Roman" w:eastAsia="宋体" w:cs="Times New Roman"/>
                <w:strike w:val="0"/>
                <w:dstrike w:val="0"/>
                <w:color w:val="auto"/>
                <w:kern w:val="0"/>
                <w:sz w:val="21"/>
                <w:szCs w:val="21"/>
              </w:rPr>
              <w:t>无此现象</w:t>
            </w:r>
          </w:p>
        </w:tc>
        <w:tc>
          <w:tcPr>
            <w:tcW w:w="1339" w:type="dxa"/>
            <w:noWrap w:val="0"/>
            <w:vAlign w:val="center"/>
          </w:tcPr>
          <w:p w14:paraId="242E7855">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strike w:val="0"/>
                <w:dstrike w:val="0"/>
                <w:color w:val="auto"/>
                <w:sz w:val="21"/>
                <w:szCs w:val="21"/>
              </w:rPr>
            </w:pPr>
            <w:r>
              <w:rPr>
                <w:rFonts w:hint="default" w:ascii="Times New Roman" w:hAnsi="Times New Roman" w:eastAsia="宋体" w:cs="Times New Roman"/>
                <w:bCs/>
                <w:strike w:val="0"/>
                <w:dstrike w:val="0"/>
                <w:color w:val="auto"/>
                <w:sz w:val="21"/>
                <w:szCs w:val="21"/>
              </w:rPr>
              <w:t>无重大隐患</w:t>
            </w:r>
          </w:p>
        </w:tc>
      </w:tr>
      <w:tr w14:paraId="2AD73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4" w:type="dxa"/>
            <w:noWrap w:val="0"/>
            <w:vAlign w:val="center"/>
          </w:tcPr>
          <w:p w14:paraId="233B6766">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13</w:t>
            </w:r>
          </w:p>
        </w:tc>
        <w:tc>
          <w:tcPr>
            <w:tcW w:w="5291" w:type="dxa"/>
            <w:noWrap w:val="0"/>
            <w:vAlign w:val="center"/>
          </w:tcPr>
          <w:p w14:paraId="2D9E8EB0">
            <w:pPr>
              <w:keepNext w:val="0"/>
              <w:keepLines w:val="0"/>
              <w:pageBreakBefore w:val="0"/>
              <w:widowControl/>
              <w:shd w:val="clear" w:color="auto" w:fill="FFFFFF"/>
              <w:kinsoku/>
              <w:wordWrap/>
              <w:overflowPunct/>
              <w:topLinePunct w:val="0"/>
              <w:bidi w:val="0"/>
              <w:snapToGrid/>
              <w:spacing w:line="240" w:lineRule="auto"/>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安全监测系统存在下列情形之一的：</w:t>
            </w:r>
          </w:p>
          <w:p w14:paraId="0140FA13">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0" w:firstLineChars="0"/>
              <w:jc w:val="left"/>
              <w:textAlignment w:val="auto"/>
              <w:outlineLvl w:val="9"/>
              <w:rPr>
                <w:rFonts w:hint="default" w:ascii="Times New Roman" w:hAnsi="Times New Roman" w:eastAsia="宋体" w:cs="Times New Roman"/>
                <w:color w:val="auto"/>
                <w:kern w:val="0"/>
                <w:sz w:val="21"/>
                <w:szCs w:val="21"/>
              </w:rPr>
            </w:pPr>
            <w:bookmarkStart w:id="385" w:name="_Toc9027"/>
            <w:r>
              <w:rPr>
                <w:rFonts w:hint="default" w:ascii="Times New Roman" w:hAnsi="Times New Roman" w:eastAsia="宋体" w:cs="Times New Roman"/>
                <w:color w:val="auto"/>
                <w:kern w:val="0"/>
                <w:sz w:val="21"/>
                <w:szCs w:val="21"/>
              </w:rPr>
              <w:t>1.未按设计设置安全监测系统；</w:t>
            </w:r>
            <w:bookmarkEnd w:id="385"/>
          </w:p>
          <w:p w14:paraId="4C86E390">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0" w:firstLineChars="0"/>
              <w:jc w:val="left"/>
              <w:textAlignment w:val="auto"/>
              <w:outlineLvl w:val="9"/>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2.安全监测系统运行不正常未及时修复；</w:t>
            </w:r>
          </w:p>
          <w:p w14:paraId="2FC87B73">
            <w:pPr>
              <w:keepNext w:val="0"/>
              <w:keepLines w:val="0"/>
              <w:pageBreakBefore w:val="0"/>
              <w:widowControl/>
              <w:shd w:val="clear" w:color="auto" w:fill="FFFFFF"/>
              <w:kinsoku/>
              <w:wordWrap/>
              <w:overflowPunct/>
              <w:topLinePunct w:val="0"/>
              <w:bidi w:val="0"/>
              <w:snapToGrid/>
              <w:spacing w:line="240" w:lineRule="auto"/>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3.关闭、破坏安全监测系统，或者篡改、隐瞒、销毁其相关数据、信息。</w:t>
            </w:r>
          </w:p>
        </w:tc>
        <w:tc>
          <w:tcPr>
            <w:tcW w:w="1775" w:type="dxa"/>
            <w:noWrap w:val="0"/>
            <w:vAlign w:val="center"/>
          </w:tcPr>
          <w:p w14:paraId="28EF51D1">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strike w:val="0"/>
                <w:dstrike w:val="0"/>
                <w:color w:val="auto"/>
                <w:kern w:val="0"/>
                <w:sz w:val="21"/>
                <w:szCs w:val="21"/>
                <w:lang w:eastAsia="zh-CN"/>
              </w:rPr>
            </w:pPr>
            <w:r>
              <w:rPr>
                <w:rFonts w:hint="eastAsia" w:ascii="Times New Roman" w:hAnsi="Times New Roman" w:eastAsia="宋体" w:cs="Times New Roman"/>
                <w:strike w:val="0"/>
                <w:dstrike w:val="0"/>
                <w:color w:val="auto"/>
                <w:kern w:val="0"/>
                <w:sz w:val="21"/>
                <w:szCs w:val="21"/>
                <w:lang w:val="en-US" w:eastAsia="zh-CN"/>
              </w:rPr>
              <w:t>安全监测系统运行正常</w:t>
            </w:r>
          </w:p>
        </w:tc>
        <w:tc>
          <w:tcPr>
            <w:tcW w:w="1339" w:type="dxa"/>
            <w:noWrap w:val="0"/>
            <w:vAlign w:val="center"/>
          </w:tcPr>
          <w:p w14:paraId="19B9CE19">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strike w:val="0"/>
                <w:dstrike w:val="0"/>
                <w:color w:val="auto"/>
                <w:sz w:val="21"/>
                <w:szCs w:val="21"/>
              </w:rPr>
            </w:pPr>
            <w:r>
              <w:rPr>
                <w:rFonts w:hint="default" w:ascii="Times New Roman" w:hAnsi="Times New Roman" w:eastAsia="宋体" w:cs="Times New Roman"/>
                <w:bCs/>
                <w:strike w:val="0"/>
                <w:dstrike w:val="0"/>
                <w:color w:val="auto"/>
                <w:sz w:val="21"/>
                <w:szCs w:val="21"/>
              </w:rPr>
              <w:t>无重大隐患</w:t>
            </w:r>
          </w:p>
        </w:tc>
      </w:tr>
      <w:tr w14:paraId="68929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0" w:hRule="atLeast"/>
          <w:jc w:val="center"/>
        </w:trPr>
        <w:tc>
          <w:tcPr>
            <w:tcW w:w="654" w:type="dxa"/>
            <w:noWrap w:val="0"/>
            <w:vAlign w:val="center"/>
          </w:tcPr>
          <w:p w14:paraId="079658B5">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14</w:t>
            </w:r>
          </w:p>
        </w:tc>
        <w:tc>
          <w:tcPr>
            <w:tcW w:w="5291" w:type="dxa"/>
            <w:noWrap w:val="0"/>
            <w:vAlign w:val="center"/>
          </w:tcPr>
          <w:p w14:paraId="4BBE154F">
            <w:pPr>
              <w:keepNext w:val="0"/>
              <w:keepLines w:val="0"/>
              <w:pageBreakBefore w:val="0"/>
              <w:widowControl/>
              <w:shd w:val="clear" w:color="auto" w:fill="FFFFFF"/>
              <w:kinsoku/>
              <w:wordWrap/>
              <w:overflowPunct/>
              <w:topLinePunct w:val="0"/>
              <w:bidi w:val="0"/>
              <w:snapToGrid/>
              <w:spacing w:line="240" w:lineRule="auto"/>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干式尾矿库存在下列情形之一的：</w:t>
            </w:r>
          </w:p>
          <w:p w14:paraId="1EA0666B">
            <w:pPr>
              <w:keepNext w:val="0"/>
              <w:keepLines w:val="0"/>
              <w:pageBreakBefore w:val="0"/>
              <w:widowControl/>
              <w:shd w:val="clear" w:color="auto" w:fill="FFFFFF"/>
              <w:kinsoku/>
              <w:wordWrap/>
              <w:overflowPunct/>
              <w:topLinePunct w:val="0"/>
              <w:bidi w:val="0"/>
              <w:snapToGrid/>
              <w:spacing w:line="240" w:lineRule="auto"/>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1.入库尾矿的含水率大于设计值，无法进行正常碾压且未设置可靠的防范措施；</w:t>
            </w:r>
          </w:p>
          <w:p w14:paraId="1BB98C76">
            <w:pPr>
              <w:keepNext w:val="0"/>
              <w:keepLines w:val="0"/>
              <w:pageBreakBefore w:val="0"/>
              <w:widowControl/>
              <w:shd w:val="clear" w:color="auto" w:fill="FFFFFF"/>
              <w:kinsoku/>
              <w:wordWrap/>
              <w:overflowPunct/>
              <w:topLinePunct w:val="0"/>
              <w:bidi w:val="0"/>
              <w:snapToGrid/>
              <w:spacing w:line="240" w:lineRule="auto"/>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2.堆存推进方向与设计不一致；</w:t>
            </w:r>
          </w:p>
          <w:p w14:paraId="176EEB25">
            <w:pPr>
              <w:keepNext w:val="0"/>
              <w:keepLines w:val="0"/>
              <w:pageBreakBefore w:val="0"/>
              <w:widowControl/>
              <w:shd w:val="clear" w:color="auto" w:fill="FFFFFF"/>
              <w:kinsoku/>
              <w:wordWrap/>
              <w:overflowPunct/>
              <w:topLinePunct w:val="0"/>
              <w:bidi w:val="0"/>
              <w:snapToGrid/>
              <w:spacing w:line="240" w:lineRule="auto"/>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3.分层厚度或者台阶高度大于设计值；</w:t>
            </w:r>
          </w:p>
          <w:p w14:paraId="4725FA08">
            <w:pPr>
              <w:keepNext w:val="0"/>
              <w:keepLines w:val="0"/>
              <w:pageBreakBefore w:val="0"/>
              <w:shd w:val="clear" w:color="auto" w:fill="FFFFFF"/>
              <w:kinsoku/>
              <w:wordWrap/>
              <w:overflowPunct/>
              <w:topLinePunct w:val="0"/>
              <w:bidi w:val="0"/>
              <w:snapToGrid/>
              <w:spacing w:line="240" w:lineRule="auto"/>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4.未按设计要求进行碾压。</w:t>
            </w:r>
          </w:p>
        </w:tc>
        <w:tc>
          <w:tcPr>
            <w:tcW w:w="1775" w:type="dxa"/>
            <w:noWrap w:val="0"/>
            <w:vAlign w:val="center"/>
          </w:tcPr>
          <w:p w14:paraId="0AFBC561">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strike w:val="0"/>
                <w:dstrike w:val="0"/>
                <w:color w:val="auto"/>
                <w:kern w:val="0"/>
                <w:sz w:val="21"/>
                <w:szCs w:val="21"/>
                <w:lang w:val="en-US" w:eastAsia="zh-CN"/>
              </w:rPr>
            </w:pPr>
            <w:r>
              <w:rPr>
                <w:rFonts w:hint="eastAsia" w:ascii="Times New Roman" w:hAnsi="Times New Roman" w:eastAsia="宋体" w:cs="Times New Roman"/>
                <w:strike w:val="0"/>
                <w:dstrike w:val="0"/>
                <w:color w:val="auto"/>
                <w:kern w:val="0"/>
                <w:sz w:val="21"/>
                <w:szCs w:val="21"/>
                <w:lang w:val="en-US" w:eastAsia="zh-CN"/>
              </w:rPr>
              <w:t>无此项</w:t>
            </w:r>
          </w:p>
        </w:tc>
        <w:tc>
          <w:tcPr>
            <w:tcW w:w="1339" w:type="dxa"/>
            <w:noWrap w:val="0"/>
            <w:vAlign w:val="center"/>
          </w:tcPr>
          <w:p w14:paraId="41EB40D6">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strike w:val="0"/>
                <w:dstrike w:val="0"/>
                <w:color w:val="auto"/>
                <w:sz w:val="21"/>
                <w:szCs w:val="21"/>
              </w:rPr>
            </w:pPr>
            <w:r>
              <w:rPr>
                <w:rFonts w:hint="eastAsia" w:ascii="Times New Roman" w:hAnsi="Times New Roman" w:eastAsia="宋体" w:cs="Times New Roman"/>
                <w:bCs/>
                <w:strike w:val="0"/>
                <w:dstrike w:val="0"/>
                <w:color w:val="auto"/>
                <w:sz w:val="21"/>
                <w:szCs w:val="21"/>
                <w:lang w:val="en-US" w:eastAsia="zh-CN"/>
              </w:rPr>
              <w:t>不涉及</w:t>
            </w:r>
          </w:p>
        </w:tc>
      </w:tr>
      <w:tr w14:paraId="7C4D3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jc w:val="center"/>
        </w:trPr>
        <w:tc>
          <w:tcPr>
            <w:tcW w:w="654" w:type="dxa"/>
            <w:noWrap w:val="0"/>
            <w:vAlign w:val="center"/>
          </w:tcPr>
          <w:p w14:paraId="51578643">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15</w:t>
            </w:r>
          </w:p>
        </w:tc>
        <w:tc>
          <w:tcPr>
            <w:tcW w:w="5291" w:type="dxa"/>
            <w:noWrap w:val="0"/>
            <w:vAlign w:val="center"/>
          </w:tcPr>
          <w:p w14:paraId="10346570">
            <w:pPr>
              <w:keepNext w:val="0"/>
              <w:keepLines w:val="0"/>
              <w:pageBreakBefore w:val="0"/>
              <w:widowControl/>
              <w:shd w:val="clear" w:color="auto" w:fill="FFFFFF"/>
              <w:kinsoku/>
              <w:wordWrap/>
              <w:overflowPunct/>
              <w:topLinePunct w:val="0"/>
              <w:bidi w:val="0"/>
              <w:snapToGrid/>
              <w:spacing w:line="240" w:lineRule="auto"/>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经验算，坝体抗滑稳定最小安全系数小于国家标准规定值的0.98倍。</w:t>
            </w:r>
          </w:p>
        </w:tc>
        <w:tc>
          <w:tcPr>
            <w:tcW w:w="1775" w:type="dxa"/>
            <w:noWrap w:val="0"/>
            <w:vAlign w:val="center"/>
          </w:tcPr>
          <w:p w14:paraId="1A20B972">
            <w:pPr>
              <w:keepNext w:val="0"/>
              <w:keepLines w:val="0"/>
              <w:pageBreakBefore w:val="0"/>
              <w:widowControl/>
              <w:shd w:val="clear" w:color="auto" w:fill="FFFFFF"/>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strike w:val="0"/>
                <w:dstrike w:val="0"/>
                <w:color w:val="auto"/>
                <w:kern w:val="0"/>
                <w:sz w:val="21"/>
                <w:szCs w:val="21"/>
              </w:rPr>
            </w:pPr>
            <w:r>
              <w:rPr>
                <w:rFonts w:hint="default" w:ascii="Times New Roman" w:hAnsi="Times New Roman" w:eastAsia="宋体" w:cs="Times New Roman"/>
                <w:strike w:val="0"/>
                <w:dstrike w:val="0"/>
                <w:color w:val="auto"/>
                <w:kern w:val="0"/>
                <w:sz w:val="21"/>
                <w:szCs w:val="21"/>
              </w:rPr>
              <w:t>经验算，尾矿坝坝体在各类工况均处于安全稳定状态</w:t>
            </w:r>
          </w:p>
        </w:tc>
        <w:tc>
          <w:tcPr>
            <w:tcW w:w="1339" w:type="dxa"/>
            <w:noWrap w:val="0"/>
            <w:vAlign w:val="center"/>
          </w:tcPr>
          <w:p w14:paraId="4CC00919">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strike w:val="0"/>
                <w:dstrike w:val="0"/>
                <w:color w:val="auto"/>
                <w:sz w:val="21"/>
                <w:szCs w:val="21"/>
              </w:rPr>
            </w:pPr>
            <w:r>
              <w:rPr>
                <w:rFonts w:hint="default" w:ascii="Times New Roman" w:hAnsi="Times New Roman" w:eastAsia="宋体" w:cs="Times New Roman"/>
                <w:bCs/>
                <w:strike w:val="0"/>
                <w:dstrike w:val="0"/>
                <w:color w:val="auto"/>
                <w:sz w:val="21"/>
                <w:szCs w:val="21"/>
              </w:rPr>
              <w:t>无重大隐患</w:t>
            </w:r>
          </w:p>
        </w:tc>
      </w:tr>
      <w:tr w14:paraId="7B745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jc w:val="center"/>
        </w:trPr>
        <w:tc>
          <w:tcPr>
            <w:tcW w:w="654" w:type="dxa"/>
            <w:noWrap w:val="0"/>
            <w:vAlign w:val="center"/>
          </w:tcPr>
          <w:p w14:paraId="7C63DAC2">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16</w:t>
            </w:r>
          </w:p>
        </w:tc>
        <w:tc>
          <w:tcPr>
            <w:tcW w:w="5291" w:type="dxa"/>
            <w:noWrap w:val="0"/>
            <w:vAlign w:val="center"/>
          </w:tcPr>
          <w:p w14:paraId="3D0BE49B">
            <w:pPr>
              <w:keepNext w:val="0"/>
              <w:keepLines w:val="0"/>
              <w:pageBreakBefore w:val="0"/>
              <w:widowControl/>
              <w:shd w:val="clear" w:color="auto" w:fill="FFFFFF"/>
              <w:kinsoku/>
              <w:wordWrap/>
              <w:overflowPunct/>
              <w:topLinePunct w:val="0"/>
              <w:bidi w:val="0"/>
              <w:snapToGrid/>
              <w:spacing w:line="240" w:lineRule="auto"/>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三等及以上尾矿库及“头顶库”未按设计设置通往坝顶、排洪系统附近的应急道路，或者应急道路无法满足应急抢险时通行和运送应急物资的需求。</w:t>
            </w:r>
          </w:p>
        </w:tc>
        <w:tc>
          <w:tcPr>
            <w:tcW w:w="1775" w:type="dxa"/>
            <w:noWrap w:val="0"/>
            <w:vAlign w:val="center"/>
          </w:tcPr>
          <w:p w14:paraId="54D19383">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strike w:val="0"/>
                <w:dstrike w:val="0"/>
                <w:color w:val="auto"/>
                <w:kern w:val="0"/>
                <w:sz w:val="21"/>
                <w:szCs w:val="21"/>
                <w:lang w:val="en-US" w:eastAsia="zh-CN"/>
              </w:rPr>
            </w:pPr>
            <w:r>
              <w:rPr>
                <w:rFonts w:hint="eastAsia" w:cs="Times New Roman"/>
                <w:strike w:val="0"/>
                <w:dstrike w:val="0"/>
                <w:color w:val="auto"/>
                <w:kern w:val="0"/>
                <w:sz w:val="21"/>
                <w:szCs w:val="21"/>
                <w:lang w:val="en-US" w:eastAsia="zh-CN"/>
              </w:rPr>
              <w:t>三等库管理</w:t>
            </w:r>
          </w:p>
        </w:tc>
        <w:tc>
          <w:tcPr>
            <w:tcW w:w="1339" w:type="dxa"/>
            <w:noWrap w:val="0"/>
            <w:vAlign w:val="center"/>
          </w:tcPr>
          <w:p w14:paraId="33C34FDA">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strike w:val="0"/>
                <w:dstrike w:val="0"/>
                <w:color w:val="auto"/>
                <w:sz w:val="21"/>
                <w:szCs w:val="21"/>
              </w:rPr>
            </w:pPr>
            <w:r>
              <w:rPr>
                <w:rFonts w:hint="eastAsia" w:ascii="Times New Roman" w:hAnsi="Times New Roman" w:eastAsia="宋体" w:cs="Times New Roman"/>
                <w:color w:val="auto"/>
                <w:kern w:val="0"/>
                <w:sz w:val="21"/>
                <w:szCs w:val="21"/>
                <w:lang w:val="en-US" w:eastAsia="zh-CN"/>
              </w:rPr>
              <w:t>有</w:t>
            </w:r>
            <w:r>
              <w:rPr>
                <w:rFonts w:hint="default" w:ascii="Times New Roman" w:hAnsi="Times New Roman" w:eastAsia="宋体" w:cs="Times New Roman"/>
                <w:color w:val="auto"/>
                <w:kern w:val="0"/>
                <w:sz w:val="21"/>
                <w:szCs w:val="21"/>
              </w:rPr>
              <w:t>通往坝顶、排洪系统附近的应急道路</w:t>
            </w:r>
          </w:p>
        </w:tc>
      </w:tr>
      <w:tr w14:paraId="56BF1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4" w:hRule="atLeast"/>
          <w:jc w:val="center"/>
        </w:trPr>
        <w:tc>
          <w:tcPr>
            <w:tcW w:w="654" w:type="dxa"/>
            <w:noWrap w:val="0"/>
            <w:vAlign w:val="center"/>
          </w:tcPr>
          <w:p w14:paraId="11C13550">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17</w:t>
            </w:r>
          </w:p>
        </w:tc>
        <w:tc>
          <w:tcPr>
            <w:tcW w:w="5291" w:type="dxa"/>
            <w:noWrap w:val="0"/>
            <w:vAlign w:val="center"/>
          </w:tcPr>
          <w:p w14:paraId="5322AA71">
            <w:pPr>
              <w:keepNext w:val="0"/>
              <w:keepLines w:val="0"/>
              <w:pageBreakBefore w:val="0"/>
              <w:widowControl/>
              <w:shd w:val="clear" w:color="auto" w:fill="FFFFFF"/>
              <w:kinsoku/>
              <w:wordWrap/>
              <w:overflowPunct/>
              <w:topLinePunct w:val="0"/>
              <w:bidi w:val="0"/>
              <w:snapToGrid/>
              <w:spacing w:line="240" w:lineRule="auto"/>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尾矿库回采存在下列情形之一的：</w:t>
            </w:r>
          </w:p>
          <w:p w14:paraId="0EEA5D56">
            <w:pPr>
              <w:keepNext w:val="0"/>
              <w:keepLines w:val="0"/>
              <w:pageBreakBefore w:val="0"/>
              <w:widowControl/>
              <w:shd w:val="clear" w:color="auto" w:fill="FFFFFF"/>
              <w:kinsoku/>
              <w:wordWrap/>
              <w:overflowPunct/>
              <w:topLinePunct w:val="0"/>
              <w:bidi w:val="0"/>
              <w:snapToGrid/>
              <w:spacing w:line="240" w:lineRule="auto"/>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1.未经批准擅自回采；</w:t>
            </w:r>
          </w:p>
          <w:p w14:paraId="17CF25A1">
            <w:pPr>
              <w:keepNext w:val="0"/>
              <w:keepLines w:val="0"/>
              <w:pageBreakBefore w:val="0"/>
              <w:widowControl/>
              <w:shd w:val="clear" w:color="auto" w:fill="FFFFFF"/>
              <w:kinsoku/>
              <w:wordWrap/>
              <w:overflowPunct/>
              <w:topLinePunct w:val="0"/>
              <w:bidi w:val="0"/>
              <w:snapToGrid/>
              <w:spacing w:line="240" w:lineRule="auto"/>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2.回采方式、顺序、单层开采高度、台阶坡面角不符合设计要求；</w:t>
            </w:r>
          </w:p>
          <w:p w14:paraId="1A640215">
            <w:pPr>
              <w:keepNext w:val="0"/>
              <w:keepLines w:val="0"/>
              <w:pageBreakBefore w:val="0"/>
              <w:shd w:val="clear" w:color="auto" w:fill="FFFFFF"/>
              <w:kinsoku/>
              <w:wordWrap/>
              <w:overflowPunct/>
              <w:topLinePunct w:val="0"/>
              <w:bidi w:val="0"/>
              <w:snapToGrid/>
              <w:spacing w:line="240" w:lineRule="auto"/>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3.同时进行回采和排放。</w:t>
            </w:r>
          </w:p>
        </w:tc>
        <w:tc>
          <w:tcPr>
            <w:tcW w:w="1775" w:type="dxa"/>
            <w:noWrap w:val="0"/>
            <w:vAlign w:val="center"/>
          </w:tcPr>
          <w:p w14:paraId="03E14903">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strike w:val="0"/>
                <w:dstrike w:val="0"/>
                <w:color w:val="auto"/>
                <w:kern w:val="0"/>
                <w:sz w:val="21"/>
                <w:szCs w:val="21"/>
              </w:rPr>
            </w:pPr>
            <w:r>
              <w:rPr>
                <w:rFonts w:hint="eastAsia" w:ascii="Times New Roman" w:hAnsi="Times New Roman" w:eastAsia="宋体" w:cs="Times New Roman"/>
                <w:strike w:val="0"/>
                <w:dstrike w:val="0"/>
                <w:color w:val="auto"/>
                <w:kern w:val="0"/>
                <w:sz w:val="21"/>
                <w:szCs w:val="21"/>
                <w:lang w:val="en-US" w:eastAsia="zh-CN"/>
              </w:rPr>
              <w:t>无此项</w:t>
            </w:r>
          </w:p>
        </w:tc>
        <w:tc>
          <w:tcPr>
            <w:tcW w:w="1339" w:type="dxa"/>
            <w:noWrap w:val="0"/>
            <w:vAlign w:val="center"/>
          </w:tcPr>
          <w:p w14:paraId="6A411895">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strike w:val="0"/>
                <w:dstrike w:val="0"/>
                <w:color w:val="auto"/>
                <w:sz w:val="21"/>
                <w:szCs w:val="21"/>
              </w:rPr>
            </w:pPr>
            <w:r>
              <w:rPr>
                <w:rFonts w:hint="eastAsia" w:ascii="Times New Roman" w:hAnsi="Times New Roman" w:eastAsia="宋体" w:cs="Times New Roman"/>
                <w:bCs/>
                <w:strike w:val="0"/>
                <w:dstrike w:val="0"/>
                <w:color w:val="auto"/>
                <w:sz w:val="21"/>
                <w:szCs w:val="21"/>
                <w:lang w:val="en-US" w:eastAsia="zh-CN"/>
              </w:rPr>
              <w:t>不涉及</w:t>
            </w:r>
          </w:p>
        </w:tc>
      </w:tr>
      <w:tr w14:paraId="51490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atLeast"/>
          <w:jc w:val="center"/>
        </w:trPr>
        <w:tc>
          <w:tcPr>
            <w:tcW w:w="654" w:type="dxa"/>
            <w:noWrap w:val="0"/>
            <w:vAlign w:val="center"/>
          </w:tcPr>
          <w:p w14:paraId="291AE957">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18</w:t>
            </w:r>
          </w:p>
        </w:tc>
        <w:tc>
          <w:tcPr>
            <w:tcW w:w="5291" w:type="dxa"/>
            <w:noWrap w:val="0"/>
            <w:vAlign w:val="center"/>
          </w:tcPr>
          <w:p w14:paraId="3E5FE43F">
            <w:pPr>
              <w:keepNext w:val="0"/>
              <w:keepLines w:val="0"/>
              <w:pageBreakBefore w:val="0"/>
              <w:widowControl/>
              <w:shd w:val="clear" w:color="auto" w:fill="FFFFFF"/>
              <w:kinsoku/>
              <w:wordWrap/>
              <w:overflowPunct/>
              <w:topLinePunct w:val="0"/>
              <w:bidi w:val="0"/>
              <w:snapToGrid/>
              <w:spacing w:line="240" w:lineRule="auto"/>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用以贮存独立选矿厂进行矿石选别后排出尾矿的场所，未按尾矿库实施安全管理的。</w:t>
            </w:r>
          </w:p>
        </w:tc>
        <w:tc>
          <w:tcPr>
            <w:tcW w:w="1775" w:type="dxa"/>
            <w:noWrap w:val="0"/>
            <w:vAlign w:val="center"/>
          </w:tcPr>
          <w:p w14:paraId="537DA5B7">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strike w:val="0"/>
                <w:dstrike w:val="0"/>
                <w:color w:val="auto"/>
                <w:kern w:val="0"/>
                <w:sz w:val="21"/>
                <w:szCs w:val="21"/>
                <w:lang w:val="en-US" w:eastAsia="zh-CN"/>
              </w:rPr>
            </w:pPr>
            <w:r>
              <w:rPr>
                <w:rFonts w:hint="eastAsia" w:ascii="Times New Roman" w:hAnsi="Times New Roman" w:eastAsia="宋体" w:cs="Times New Roman"/>
                <w:strike w:val="0"/>
                <w:dstrike w:val="0"/>
                <w:color w:val="auto"/>
                <w:kern w:val="0"/>
                <w:sz w:val="21"/>
                <w:szCs w:val="21"/>
                <w:lang w:val="en-US" w:eastAsia="zh-CN"/>
              </w:rPr>
              <w:t>无此项</w:t>
            </w:r>
          </w:p>
        </w:tc>
        <w:tc>
          <w:tcPr>
            <w:tcW w:w="1339" w:type="dxa"/>
            <w:noWrap w:val="0"/>
            <w:vAlign w:val="center"/>
          </w:tcPr>
          <w:p w14:paraId="45901B33">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strike w:val="0"/>
                <w:dstrike w:val="0"/>
                <w:color w:val="auto"/>
                <w:sz w:val="21"/>
                <w:szCs w:val="21"/>
              </w:rPr>
            </w:pPr>
            <w:r>
              <w:rPr>
                <w:rFonts w:hint="eastAsia" w:ascii="Times New Roman" w:hAnsi="Times New Roman" w:eastAsia="宋体" w:cs="Times New Roman"/>
                <w:bCs/>
                <w:strike w:val="0"/>
                <w:dstrike w:val="0"/>
                <w:color w:val="auto"/>
                <w:sz w:val="21"/>
                <w:szCs w:val="21"/>
                <w:lang w:val="en-US" w:eastAsia="zh-CN"/>
              </w:rPr>
              <w:t>不涉及</w:t>
            </w:r>
          </w:p>
        </w:tc>
      </w:tr>
      <w:tr w14:paraId="411BC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654" w:type="dxa"/>
            <w:noWrap w:val="0"/>
            <w:vAlign w:val="center"/>
          </w:tcPr>
          <w:p w14:paraId="60E596CF">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19</w:t>
            </w:r>
          </w:p>
        </w:tc>
        <w:tc>
          <w:tcPr>
            <w:tcW w:w="5291" w:type="dxa"/>
            <w:noWrap w:val="0"/>
            <w:vAlign w:val="center"/>
          </w:tcPr>
          <w:p w14:paraId="216D8E21">
            <w:pPr>
              <w:keepNext w:val="0"/>
              <w:keepLines w:val="0"/>
              <w:pageBreakBefore w:val="0"/>
              <w:widowControl/>
              <w:shd w:val="clear" w:color="auto" w:fill="FFFFFF"/>
              <w:kinsoku/>
              <w:wordWrap/>
              <w:overflowPunct/>
              <w:topLinePunct w:val="0"/>
              <w:bidi w:val="0"/>
              <w:snapToGrid/>
              <w:spacing w:line="240" w:lineRule="auto"/>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未按国家规定配备专职安全生产管理人员、专业技术人员和特种作业人员。</w:t>
            </w:r>
          </w:p>
        </w:tc>
        <w:tc>
          <w:tcPr>
            <w:tcW w:w="1775" w:type="dxa"/>
            <w:noWrap w:val="0"/>
            <w:vAlign w:val="center"/>
          </w:tcPr>
          <w:p w14:paraId="7CCD21B7">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strike w:val="0"/>
                <w:dstrike w:val="0"/>
                <w:color w:val="auto"/>
                <w:kern w:val="0"/>
                <w:sz w:val="21"/>
                <w:szCs w:val="21"/>
                <w:lang w:val="en-US" w:eastAsia="zh-CN"/>
              </w:rPr>
            </w:pPr>
            <w:r>
              <w:rPr>
                <w:rFonts w:hint="eastAsia" w:ascii="Times New Roman" w:hAnsi="Times New Roman" w:eastAsia="宋体" w:cs="Times New Roman"/>
                <w:strike w:val="0"/>
                <w:dstrike w:val="0"/>
                <w:color w:val="auto"/>
                <w:kern w:val="0"/>
                <w:sz w:val="21"/>
                <w:szCs w:val="21"/>
                <w:lang w:val="en-US" w:eastAsia="zh-CN"/>
              </w:rPr>
              <w:t>未配备</w:t>
            </w:r>
          </w:p>
        </w:tc>
        <w:tc>
          <w:tcPr>
            <w:tcW w:w="1339" w:type="dxa"/>
            <w:noWrap w:val="0"/>
            <w:vAlign w:val="center"/>
          </w:tcPr>
          <w:p w14:paraId="128AFFEE">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strike w:val="0"/>
                <w:dstrike w:val="0"/>
                <w:color w:val="auto"/>
                <w:sz w:val="21"/>
                <w:szCs w:val="21"/>
              </w:rPr>
            </w:pPr>
            <w:r>
              <w:rPr>
                <w:rFonts w:hint="default" w:ascii="Times New Roman" w:hAnsi="Times New Roman" w:eastAsia="宋体" w:cs="Times New Roman"/>
                <w:bCs/>
                <w:strike w:val="0"/>
                <w:dstrike w:val="0"/>
                <w:color w:val="auto"/>
                <w:sz w:val="21"/>
                <w:szCs w:val="21"/>
              </w:rPr>
              <w:t>重大隐患</w:t>
            </w:r>
          </w:p>
        </w:tc>
      </w:tr>
      <w:tr w14:paraId="29DAC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jc w:val="center"/>
        </w:trPr>
        <w:tc>
          <w:tcPr>
            <w:tcW w:w="654" w:type="dxa"/>
            <w:noWrap w:val="0"/>
            <w:vAlign w:val="center"/>
          </w:tcPr>
          <w:p w14:paraId="6ACAE27F">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20</w:t>
            </w:r>
          </w:p>
        </w:tc>
        <w:tc>
          <w:tcPr>
            <w:tcW w:w="5291" w:type="dxa"/>
            <w:noWrap w:val="0"/>
            <w:vAlign w:val="center"/>
          </w:tcPr>
          <w:p w14:paraId="228B2076">
            <w:pPr>
              <w:keepNext w:val="0"/>
              <w:keepLines w:val="0"/>
              <w:pageBreakBefore w:val="0"/>
              <w:widowControl/>
              <w:shd w:val="clear" w:color="auto" w:fill="FFFFFF"/>
              <w:kinsoku/>
              <w:wordWrap/>
              <w:overflowPunct/>
              <w:topLinePunct w:val="0"/>
              <w:bidi w:val="0"/>
              <w:snapToGrid/>
              <w:spacing w:line="240" w:lineRule="auto"/>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尾矿库排洪构筑物拱板（盖板）与周边结构缝隙未采用设计材料充满充实的，或封堵体设置在井顶、井身段或斜槽顶、槽身段。</w:t>
            </w:r>
          </w:p>
        </w:tc>
        <w:tc>
          <w:tcPr>
            <w:tcW w:w="1775" w:type="dxa"/>
            <w:noWrap w:val="0"/>
            <w:vAlign w:val="center"/>
          </w:tcPr>
          <w:p w14:paraId="73C5D983">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strike w:val="0"/>
                <w:dstrike w:val="0"/>
                <w:color w:val="auto"/>
                <w:kern w:val="0"/>
                <w:sz w:val="21"/>
                <w:szCs w:val="21"/>
              </w:rPr>
            </w:pPr>
            <w:r>
              <w:rPr>
                <w:rFonts w:hint="default" w:ascii="Times New Roman" w:hAnsi="Times New Roman" w:eastAsia="宋体" w:cs="Times New Roman"/>
                <w:strike w:val="0"/>
                <w:dstrike w:val="0"/>
                <w:color w:val="auto"/>
                <w:kern w:val="0"/>
                <w:sz w:val="21"/>
                <w:szCs w:val="21"/>
              </w:rPr>
              <w:t>无此</w:t>
            </w:r>
            <w:r>
              <w:rPr>
                <w:rFonts w:hint="eastAsia" w:ascii="Times New Roman" w:hAnsi="Times New Roman" w:eastAsia="宋体" w:cs="Times New Roman"/>
                <w:strike w:val="0"/>
                <w:dstrike w:val="0"/>
                <w:color w:val="auto"/>
                <w:kern w:val="0"/>
                <w:sz w:val="21"/>
                <w:szCs w:val="21"/>
                <w:lang w:val="en-US" w:eastAsia="zh-CN"/>
              </w:rPr>
              <w:t>项</w:t>
            </w:r>
          </w:p>
        </w:tc>
        <w:tc>
          <w:tcPr>
            <w:tcW w:w="1339" w:type="dxa"/>
            <w:noWrap w:val="0"/>
            <w:vAlign w:val="center"/>
          </w:tcPr>
          <w:p w14:paraId="15F6F01D">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eastAsia" w:ascii="Times New Roman" w:hAnsi="Times New Roman" w:eastAsia="宋体" w:cs="Times New Roman"/>
                <w:bCs/>
                <w:strike w:val="0"/>
                <w:dstrike w:val="0"/>
                <w:color w:val="auto"/>
                <w:sz w:val="21"/>
                <w:szCs w:val="21"/>
                <w:lang w:eastAsia="zh-CN"/>
              </w:rPr>
            </w:pPr>
            <w:r>
              <w:rPr>
                <w:rFonts w:hint="eastAsia" w:ascii="Times New Roman" w:hAnsi="Times New Roman" w:eastAsia="宋体" w:cs="Times New Roman"/>
                <w:bCs/>
                <w:strike w:val="0"/>
                <w:dstrike w:val="0"/>
                <w:color w:val="auto"/>
                <w:sz w:val="21"/>
                <w:szCs w:val="21"/>
                <w:lang w:val="en-US" w:eastAsia="zh-CN"/>
              </w:rPr>
              <w:t>不涉及</w:t>
            </w:r>
          </w:p>
        </w:tc>
      </w:tr>
      <w:tr w14:paraId="04D3B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654" w:type="dxa"/>
            <w:noWrap w:val="0"/>
            <w:vAlign w:val="center"/>
          </w:tcPr>
          <w:p w14:paraId="2B08CE89">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21</w:t>
            </w:r>
          </w:p>
        </w:tc>
        <w:tc>
          <w:tcPr>
            <w:tcW w:w="5291" w:type="dxa"/>
            <w:noWrap w:val="0"/>
            <w:vAlign w:val="center"/>
          </w:tcPr>
          <w:p w14:paraId="6C3C46F8">
            <w:pPr>
              <w:keepNext w:val="0"/>
              <w:keepLines w:val="0"/>
              <w:pageBreakBefore w:val="0"/>
              <w:widowControl/>
              <w:shd w:val="clear" w:color="auto" w:fill="FFFFFF"/>
              <w:kinsoku/>
              <w:wordWrap/>
              <w:overflowPunct/>
              <w:topLinePunct w:val="0"/>
              <w:bidi w:val="0"/>
              <w:snapToGrid/>
              <w:spacing w:line="240" w:lineRule="auto"/>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遇极端天气尾矿库未及时停止作业、撤出现场作业人员。</w:t>
            </w:r>
          </w:p>
        </w:tc>
        <w:tc>
          <w:tcPr>
            <w:tcW w:w="1775" w:type="dxa"/>
            <w:noWrap w:val="0"/>
            <w:vAlign w:val="center"/>
          </w:tcPr>
          <w:p w14:paraId="3490547F">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strike w:val="0"/>
                <w:dstrike w:val="0"/>
                <w:color w:val="auto"/>
                <w:kern w:val="0"/>
                <w:sz w:val="21"/>
                <w:szCs w:val="21"/>
                <w:lang w:val="en-US"/>
              </w:rPr>
            </w:pPr>
            <w:r>
              <w:rPr>
                <w:rFonts w:hint="default" w:ascii="Times New Roman" w:hAnsi="Times New Roman" w:eastAsia="宋体" w:cs="Times New Roman"/>
                <w:strike w:val="0"/>
                <w:dstrike w:val="0"/>
                <w:color w:val="auto"/>
                <w:kern w:val="0"/>
                <w:sz w:val="21"/>
                <w:szCs w:val="21"/>
              </w:rPr>
              <w:t>无此</w:t>
            </w:r>
            <w:r>
              <w:rPr>
                <w:rFonts w:hint="eastAsia" w:ascii="Times New Roman" w:hAnsi="Times New Roman" w:eastAsia="宋体" w:cs="Times New Roman"/>
                <w:strike w:val="0"/>
                <w:dstrike w:val="0"/>
                <w:color w:val="auto"/>
                <w:kern w:val="0"/>
                <w:sz w:val="21"/>
                <w:szCs w:val="21"/>
                <w:lang w:val="en-US" w:eastAsia="zh-CN"/>
              </w:rPr>
              <w:t>项</w:t>
            </w:r>
          </w:p>
        </w:tc>
        <w:tc>
          <w:tcPr>
            <w:tcW w:w="1339" w:type="dxa"/>
            <w:noWrap w:val="0"/>
            <w:vAlign w:val="center"/>
          </w:tcPr>
          <w:p w14:paraId="35DD3757">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strike w:val="0"/>
                <w:dstrike w:val="0"/>
                <w:color w:val="auto"/>
                <w:sz w:val="21"/>
                <w:szCs w:val="21"/>
              </w:rPr>
            </w:pPr>
            <w:r>
              <w:rPr>
                <w:rFonts w:hint="eastAsia" w:ascii="Times New Roman" w:hAnsi="Times New Roman" w:eastAsia="宋体" w:cs="Times New Roman"/>
                <w:bCs/>
                <w:strike w:val="0"/>
                <w:dstrike w:val="0"/>
                <w:color w:val="auto"/>
                <w:sz w:val="21"/>
                <w:szCs w:val="21"/>
                <w:lang w:val="en-US" w:eastAsia="zh-CN"/>
              </w:rPr>
              <w:t>不涉及</w:t>
            </w:r>
          </w:p>
        </w:tc>
      </w:tr>
    </w:tbl>
    <w:p w14:paraId="4E51EE5E">
      <w:pPr>
        <w:bidi w:val="0"/>
        <w:rPr>
          <w:rFonts w:hint="default" w:ascii="Times New Roman" w:hAnsi="Times New Roman" w:eastAsia="宋体" w:cs="Times New Roman"/>
          <w:strike w:val="0"/>
          <w:dstrike w:val="0"/>
          <w:color w:val="auto"/>
          <w:lang w:val="en-US" w:eastAsia="zh-CN"/>
        </w:rPr>
      </w:pPr>
      <w:r>
        <w:rPr>
          <w:rFonts w:hint="default" w:ascii="Times New Roman" w:hAnsi="Times New Roman" w:eastAsia="宋体" w:cs="Times New Roman"/>
          <w:strike w:val="0"/>
          <w:dstrike w:val="0"/>
          <w:color w:val="auto"/>
          <w:lang w:val="en-US" w:eastAsia="zh-CN"/>
        </w:rPr>
        <w:t>从表</w:t>
      </w:r>
      <w:r>
        <w:rPr>
          <w:rFonts w:hint="eastAsia" w:ascii="Times New Roman" w:hAnsi="Times New Roman" w:eastAsia="宋体" w:cs="Times New Roman"/>
          <w:strike w:val="0"/>
          <w:dstrike w:val="0"/>
          <w:color w:val="auto"/>
          <w:lang w:val="en-US" w:eastAsia="zh-CN"/>
        </w:rPr>
        <w:t>3.3-1</w:t>
      </w:r>
      <w:r>
        <w:rPr>
          <w:rFonts w:hint="default" w:ascii="Times New Roman" w:hAnsi="Times New Roman" w:eastAsia="宋体" w:cs="Times New Roman"/>
          <w:strike w:val="0"/>
          <w:dstrike w:val="0"/>
          <w:color w:val="auto"/>
          <w:lang w:val="en-US" w:eastAsia="zh-CN"/>
        </w:rPr>
        <w:t>可知</w:t>
      </w:r>
      <w:r>
        <w:rPr>
          <w:rFonts w:hint="eastAsia"/>
          <w:color w:val="auto"/>
          <w:lang w:val="en-US" w:eastAsia="zh-CN"/>
        </w:rPr>
        <w:t>岿美山</w:t>
      </w:r>
      <w:r>
        <w:rPr>
          <w:rFonts w:hint="eastAsia" w:ascii="Times New Roman" w:hAnsi="Times New Roman" w:eastAsia="宋体" w:cs="Times New Roman"/>
          <w:strike w:val="0"/>
          <w:dstrike w:val="0"/>
          <w:color w:val="auto"/>
          <w:lang w:val="en-US" w:eastAsia="zh-CN"/>
        </w:rPr>
        <w:t>尾矿库副坝高度超过设计坝高</w:t>
      </w:r>
      <w:r>
        <w:rPr>
          <w:rFonts w:hint="eastAsia" w:cs="Times New Roman"/>
          <w:strike w:val="0"/>
          <w:dstrike w:val="0"/>
          <w:color w:val="auto"/>
          <w:lang w:val="en-US" w:eastAsia="zh-CN"/>
        </w:rPr>
        <w:t>、</w:t>
      </w:r>
      <w:r>
        <w:rPr>
          <w:rFonts w:hint="eastAsia" w:ascii="Times New Roman" w:hAnsi="Times New Roman" w:eastAsia="宋体" w:cs="Times New Roman"/>
          <w:strike w:val="0"/>
          <w:dstrike w:val="0"/>
          <w:color w:val="auto"/>
          <w:lang w:val="en-US" w:eastAsia="zh-CN"/>
        </w:rPr>
        <w:t>安全超高和干滩长度均不满足尾矿库500年一遇排洪要求、</w:t>
      </w:r>
      <w:r>
        <w:rPr>
          <w:rFonts w:hint="default" w:ascii="Times New Roman" w:hAnsi="Times New Roman" w:eastAsia="宋体" w:cs="Times New Roman"/>
          <w:strike w:val="0"/>
          <w:dstrike w:val="0"/>
          <w:color w:val="auto"/>
          <w:lang w:val="en-US" w:eastAsia="zh-CN"/>
        </w:rPr>
        <w:t>未按国家规定配备专职安全生产管理人员、专业技术人员</w:t>
      </w:r>
      <w:r>
        <w:rPr>
          <w:rFonts w:hint="eastAsia" w:ascii="Times New Roman" w:hAnsi="Times New Roman" w:eastAsia="宋体" w:cs="Times New Roman"/>
          <w:strike w:val="0"/>
          <w:dstrike w:val="0"/>
          <w:color w:val="auto"/>
          <w:lang w:val="en-US" w:eastAsia="zh-CN"/>
        </w:rPr>
        <w:t>，</w:t>
      </w:r>
      <w:r>
        <w:rPr>
          <w:rFonts w:hint="default" w:ascii="Times New Roman" w:hAnsi="Times New Roman" w:eastAsia="宋体" w:cs="Times New Roman"/>
          <w:strike w:val="0"/>
          <w:dstrike w:val="0"/>
          <w:color w:val="auto"/>
          <w:lang w:val="en-US" w:eastAsia="zh-CN"/>
        </w:rPr>
        <w:t>存在重大事故隐患，须</w:t>
      </w:r>
      <w:r>
        <w:rPr>
          <w:rFonts w:hint="eastAsia" w:ascii="Times New Roman" w:hAnsi="Times New Roman" w:eastAsia="宋体" w:cs="Times New Roman"/>
          <w:strike w:val="0"/>
          <w:dstrike w:val="0"/>
          <w:color w:val="auto"/>
          <w:lang w:val="en-US" w:eastAsia="zh-CN"/>
        </w:rPr>
        <w:t>进行</w:t>
      </w:r>
      <w:r>
        <w:rPr>
          <w:rFonts w:hint="default" w:ascii="Times New Roman" w:hAnsi="Times New Roman" w:eastAsia="宋体" w:cs="Times New Roman"/>
          <w:strike w:val="0"/>
          <w:dstrike w:val="0"/>
          <w:color w:val="auto"/>
          <w:lang w:val="en-US" w:eastAsia="zh-CN"/>
        </w:rPr>
        <w:t>整治。</w:t>
      </w:r>
    </w:p>
    <w:p w14:paraId="106A1776">
      <w:pPr>
        <w:pStyle w:val="3"/>
        <w:bidi w:val="0"/>
        <w:rPr>
          <w:rFonts w:hint="default"/>
          <w:color w:val="auto"/>
          <w:lang w:val="en-US" w:eastAsia="zh-CN"/>
        </w:rPr>
      </w:pPr>
      <w:bookmarkStart w:id="386" w:name="_Toc15721"/>
      <w:bookmarkStart w:id="387" w:name="_Toc7959"/>
      <w:bookmarkStart w:id="388" w:name="_Toc6788"/>
      <w:bookmarkStart w:id="389" w:name="_Toc12626"/>
      <w:bookmarkStart w:id="390" w:name="_Toc5383"/>
      <w:r>
        <w:rPr>
          <w:rFonts w:hint="default"/>
          <w:color w:val="auto"/>
          <w:lang w:val="en-US" w:eastAsia="zh-CN"/>
        </w:rPr>
        <w:t>3.</w:t>
      </w:r>
      <w:r>
        <w:rPr>
          <w:rFonts w:hint="eastAsia"/>
          <w:color w:val="auto"/>
          <w:lang w:val="en-US" w:eastAsia="zh-CN"/>
        </w:rPr>
        <w:t xml:space="preserve">4 </w:t>
      </w:r>
      <w:r>
        <w:rPr>
          <w:rFonts w:hint="default"/>
          <w:color w:val="auto"/>
          <w:lang w:val="en-US" w:eastAsia="zh-CN"/>
        </w:rPr>
        <w:t>危险、有害因素分析结果</w:t>
      </w:r>
      <w:bookmarkEnd w:id="386"/>
      <w:bookmarkEnd w:id="387"/>
      <w:bookmarkEnd w:id="388"/>
      <w:bookmarkEnd w:id="389"/>
      <w:bookmarkEnd w:id="390"/>
    </w:p>
    <w:p w14:paraId="76ED2218">
      <w:pPr>
        <w:rPr>
          <w:rFonts w:hint="default"/>
          <w:color w:val="auto"/>
          <w:lang w:val="en-US" w:eastAsia="zh-CN"/>
        </w:rPr>
      </w:pPr>
      <w:r>
        <w:rPr>
          <w:rFonts w:hint="eastAsia"/>
          <w:color w:val="auto"/>
          <w:lang w:val="en-US" w:eastAsia="zh-CN"/>
        </w:rPr>
        <w:t>（1）</w:t>
      </w:r>
      <w:r>
        <w:rPr>
          <w:rFonts w:hint="default"/>
          <w:color w:val="auto"/>
          <w:lang w:val="en-US" w:eastAsia="zh-CN"/>
        </w:rPr>
        <w:t>综上所述，评价组认为该项目存在：滑坡（坝坡失稳），洪水漫顶，渗漏，排水、泄洪构筑物破坏，调洪库容不足，裂缝，淹溺，</w:t>
      </w:r>
      <w:r>
        <w:rPr>
          <w:rFonts w:hint="eastAsia"/>
          <w:color w:val="auto"/>
          <w:lang w:val="en-US" w:eastAsia="zh-CN"/>
        </w:rPr>
        <w:t>高处坠落、跌落，雷击，</w:t>
      </w:r>
      <w:r>
        <w:rPr>
          <w:rFonts w:hint="default"/>
          <w:color w:val="auto"/>
          <w:lang w:val="en-US" w:eastAsia="zh-CN"/>
        </w:rPr>
        <w:t>库区山体滑坡、塌方和泥石流，不良环境因素</w:t>
      </w:r>
      <w:r>
        <w:rPr>
          <w:rFonts w:hint="eastAsia"/>
          <w:color w:val="auto"/>
          <w:lang w:val="en-US" w:eastAsia="zh-CN"/>
        </w:rPr>
        <w:t>等主要危险、有害因素。</w:t>
      </w:r>
      <w:r>
        <w:rPr>
          <w:rFonts w:hint="default"/>
          <w:color w:val="auto"/>
          <w:lang w:val="en-US" w:eastAsia="zh-CN"/>
        </w:rPr>
        <w:t>其中滑坡、洪水漫顶、库区山体滑坡、塌方和泥石流会引发重大安全事故，有可能造成重大人员伤亡和财产损失以及环境污染，属于重大危险有害因素，虽然发生的可能性相对较小，应引起高度重视。淹溺、高处坠落、跌落等危害虽然不会产生严重的安全事故，但容易发生，因而也应引起足够重视。</w:t>
      </w:r>
    </w:p>
    <w:p w14:paraId="13E9DCEE">
      <w:pPr>
        <w:rPr>
          <w:rFonts w:hint="default"/>
          <w:color w:val="auto"/>
          <w:lang w:val="en-US" w:eastAsia="zh-CN"/>
        </w:rPr>
      </w:pPr>
      <w:r>
        <w:rPr>
          <w:rFonts w:hint="default"/>
          <w:color w:val="auto"/>
          <w:lang w:val="en-US" w:eastAsia="zh-CN"/>
        </w:rPr>
        <w:t>（</w:t>
      </w:r>
      <w:r>
        <w:rPr>
          <w:rFonts w:hint="eastAsia"/>
          <w:color w:val="auto"/>
          <w:lang w:val="en-US" w:eastAsia="zh-CN"/>
        </w:rPr>
        <w:t>2</w:t>
      </w:r>
      <w:r>
        <w:rPr>
          <w:rFonts w:hint="default"/>
          <w:color w:val="auto"/>
          <w:lang w:val="en-US" w:eastAsia="zh-CN"/>
        </w:rPr>
        <w:t>）</w:t>
      </w:r>
      <w:r>
        <w:rPr>
          <w:rFonts w:hint="eastAsia"/>
          <w:color w:val="auto"/>
          <w:lang w:val="en-US" w:eastAsia="zh-CN"/>
        </w:rPr>
        <w:t>经判别，岿美山尾矿库副坝高度超过设计坝高、</w:t>
      </w:r>
      <w:r>
        <w:rPr>
          <w:rFonts w:hint="eastAsia" w:ascii="Times New Roman" w:hAnsi="Times New Roman" w:eastAsia="宋体" w:cs="Times New Roman"/>
          <w:strike w:val="0"/>
          <w:dstrike w:val="0"/>
          <w:color w:val="auto"/>
          <w:lang w:val="en-US" w:eastAsia="zh-CN"/>
        </w:rPr>
        <w:t>安全超高和干滩长度均不满足尾矿库500年一遇排洪要求、</w:t>
      </w:r>
      <w:r>
        <w:rPr>
          <w:rFonts w:hint="default" w:ascii="Times New Roman" w:hAnsi="Times New Roman" w:eastAsia="宋体" w:cs="Times New Roman"/>
          <w:strike w:val="0"/>
          <w:dstrike w:val="0"/>
          <w:color w:val="auto"/>
          <w:lang w:val="en-US" w:eastAsia="zh-CN"/>
        </w:rPr>
        <w:t>未按国家规定配备专职安全生产管理人员、专业技术人员</w:t>
      </w:r>
      <w:r>
        <w:rPr>
          <w:rFonts w:hint="eastAsia"/>
          <w:color w:val="auto"/>
          <w:lang w:val="en-US" w:eastAsia="zh-CN"/>
        </w:rPr>
        <w:t>，</w:t>
      </w:r>
      <w:r>
        <w:rPr>
          <w:rFonts w:hint="default"/>
          <w:color w:val="auto"/>
          <w:lang w:val="en-US" w:eastAsia="zh-CN"/>
        </w:rPr>
        <w:t>存在重大事故隐患</w:t>
      </w:r>
      <w:r>
        <w:rPr>
          <w:rFonts w:hint="default" w:ascii="Times New Roman" w:hAnsi="Times New Roman" w:eastAsia="宋体" w:cs="Times New Roman"/>
          <w:strike w:val="0"/>
          <w:dstrike w:val="0"/>
          <w:color w:val="auto"/>
          <w:lang w:val="en-US" w:eastAsia="zh-CN"/>
        </w:rPr>
        <w:t>，须</w:t>
      </w:r>
      <w:r>
        <w:rPr>
          <w:rFonts w:hint="eastAsia" w:ascii="Times New Roman" w:hAnsi="Times New Roman" w:eastAsia="宋体" w:cs="Times New Roman"/>
          <w:strike w:val="0"/>
          <w:dstrike w:val="0"/>
          <w:color w:val="auto"/>
          <w:lang w:val="en-US" w:eastAsia="zh-CN"/>
        </w:rPr>
        <w:t>进行</w:t>
      </w:r>
      <w:r>
        <w:rPr>
          <w:rFonts w:hint="default" w:ascii="Times New Roman" w:hAnsi="Times New Roman" w:eastAsia="宋体" w:cs="Times New Roman"/>
          <w:strike w:val="0"/>
          <w:dstrike w:val="0"/>
          <w:color w:val="auto"/>
          <w:lang w:val="en-US" w:eastAsia="zh-CN"/>
        </w:rPr>
        <w:t>整治。</w:t>
      </w:r>
    </w:p>
    <w:p w14:paraId="2AD5CF9E">
      <w:pPr>
        <w:rPr>
          <w:rFonts w:hint="default"/>
          <w:color w:val="auto"/>
          <w:lang w:val="en-US" w:eastAsia="zh-CN"/>
        </w:rPr>
      </w:pPr>
    </w:p>
    <w:p w14:paraId="4A413871">
      <w:pPr>
        <w:pStyle w:val="2"/>
        <w:numPr>
          <w:ilvl w:val="0"/>
          <w:numId w:val="1"/>
        </w:numPr>
        <w:bidi w:val="0"/>
        <w:ind w:left="0" w:leftChars="0" w:firstLine="0" w:firstLineChars="0"/>
        <w:jc w:val="center"/>
        <w:rPr>
          <w:rFonts w:hint="eastAsia"/>
          <w:color w:val="auto"/>
          <w:lang w:eastAsia="zh-CN"/>
        </w:rPr>
      </w:pPr>
      <w:r>
        <w:rPr>
          <w:rFonts w:hint="default"/>
          <w:color w:val="auto"/>
          <w:lang w:val="en-US" w:eastAsia="zh-CN"/>
        </w:rPr>
        <w:br w:type="page"/>
      </w:r>
      <w:bookmarkStart w:id="391" w:name="_Toc10069"/>
      <w:bookmarkStart w:id="392" w:name="_Toc9284"/>
      <w:bookmarkStart w:id="393" w:name="_Toc20604"/>
      <w:bookmarkStart w:id="394" w:name="_Toc9251"/>
      <w:bookmarkStart w:id="395" w:name="_Toc7982"/>
      <w:bookmarkStart w:id="396" w:name="_Toc799"/>
      <w:bookmarkStart w:id="397" w:name="_Toc23423"/>
      <w:bookmarkStart w:id="398" w:name="_Toc13614"/>
      <w:r>
        <w:rPr>
          <w:rFonts w:hint="eastAsia" w:ascii="Times New Roman" w:hAnsi="Times New Roman" w:cs="Times New Roman"/>
          <w:b/>
          <w:bCs/>
          <w:color w:val="auto"/>
          <w:lang w:val="en-US" w:eastAsia="zh-CN"/>
        </w:rPr>
        <w:t>安全评价单元划分和选择</w:t>
      </w:r>
      <w:bookmarkEnd w:id="391"/>
      <w:bookmarkEnd w:id="392"/>
      <w:bookmarkEnd w:id="393"/>
      <w:bookmarkEnd w:id="394"/>
      <w:bookmarkEnd w:id="395"/>
      <w:bookmarkEnd w:id="396"/>
      <w:bookmarkEnd w:id="397"/>
      <w:bookmarkEnd w:id="398"/>
    </w:p>
    <w:p w14:paraId="2815B33F">
      <w:pPr>
        <w:pStyle w:val="3"/>
        <w:pageBreakBefore w:val="0"/>
        <w:widowControl w:val="0"/>
        <w:kinsoku/>
        <w:wordWrap/>
        <w:overflowPunct/>
        <w:topLinePunct w:val="0"/>
        <w:bidi w:val="0"/>
        <w:adjustRightInd w:val="0"/>
        <w:snapToGrid w:val="0"/>
        <w:spacing w:line="360" w:lineRule="auto"/>
        <w:textAlignment w:val="auto"/>
        <w:rPr>
          <w:rFonts w:hint="eastAsia"/>
          <w:color w:val="auto"/>
          <w:lang w:eastAsia="zh-CN"/>
        </w:rPr>
      </w:pPr>
      <w:bookmarkStart w:id="399" w:name="_Toc31308"/>
      <w:bookmarkStart w:id="400" w:name="_Toc26338"/>
      <w:bookmarkStart w:id="401" w:name="_Toc15201"/>
      <w:bookmarkStart w:id="402" w:name="_Toc28004"/>
      <w:bookmarkStart w:id="403" w:name="_Toc14987"/>
      <w:bookmarkStart w:id="404" w:name="_Toc6223"/>
      <w:bookmarkStart w:id="405" w:name="_Toc30305"/>
      <w:bookmarkStart w:id="406" w:name="_Toc30676"/>
      <w:bookmarkStart w:id="407" w:name="_Toc14953"/>
      <w:bookmarkStart w:id="408" w:name="_Toc7799"/>
      <w:bookmarkStart w:id="409" w:name="_Toc15864"/>
      <w:r>
        <w:rPr>
          <w:rFonts w:hint="eastAsia"/>
          <w:color w:val="auto"/>
          <w:lang w:eastAsia="zh-CN"/>
        </w:rPr>
        <w:t>4.1</w:t>
      </w:r>
      <w:r>
        <w:rPr>
          <w:rFonts w:hint="eastAsia"/>
          <w:color w:val="auto"/>
          <w:lang w:val="en-US" w:eastAsia="zh-CN"/>
        </w:rPr>
        <w:t xml:space="preserve"> </w:t>
      </w:r>
      <w:r>
        <w:rPr>
          <w:rFonts w:hint="eastAsia"/>
          <w:color w:val="auto"/>
          <w:lang w:eastAsia="zh-CN"/>
        </w:rPr>
        <w:t>评价单元划分</w:t>
      </w:r>
      <w:bookmarkEnd w:id="399"/>
      <w:bookmarkEnd w:id="400"/>
      <w:bookmarkEnd w:id="401"/>
      <w:bookmarkEnd w:id="402"/>
      <w:bookmarkEnd w:id="403"/>
      <w:bookmarkEnd w:id="404"/>
      <w:bookmarkEnd w:id="405"/>
      <w:bookmarkEnd w:id="406"/>
      <w:bookmarkEnd w:id="407"/>
      <w:bookmarkEnd w:id="408"/>
      <w:bookmarkEnd w:id="409"/>
    </w:p>
    <w:p w14:paraId="70E7AEB3">
      <w:pPr>
        <w:pageBreakBefore w:val="0"/>
        <w:widowControl w:val="0"/>
        <w:kinsoku/>
        <w:wordWrap/>
        <w:overflowPunct/>
        <w:topLinePunct w:val="0"/>
        <w:bidi w:val="0"/>
        <w:adjustRightInd w:val="0"/>
        <w:snapToGrid w:val="0"/>
        <w:spacing w:line="360" w:lineRule="auto"/>
        <w:textAlignment w:val="auto"/>
        <w:rPr>
          <w:rFonts w:hint="eastAsia"/>
          <w:color w:val="auto"/>
          <w:lang w:eastAsia="zh-CN"/>
        </w:rPr>
      </w:pPr>
      <w:r>
        <w:rPr>
          <w:rFonts w:hint="eastAsia" w:eastAsia="宋体"/>
          <w:color w:val="auto"/>
          <w:lang w:eastAsia="zh-CN"/>
        </w:rPr>
        <w:t>按照评价单元划分原则和方法，考虑该尾矿库实际情况和尾矿库中危险、有害因素的危害程度，划分为以下</w:t>
      </w:r>
      <w:r>
        <w:rPr>
          <w:rFonts w:hint="eastAsia" w:ascii="Times New Roman" w:eastAsia="宋体"/>
          <w:color w:val="auto"/>
          <w:lang w:val="en-US" w:eastAsia="zh-CN"/>
        </w:rPr>
        <w:t>六</w:t>
      </w:r>
      <w:r>
        <w:rPr>
          <w:rFonts w:hint="eastAsia" w:eastAsia="宋体"/>
          <w:color w:val="auto"/>
          <w:lang w:eastAsia="zh-CN"/>
        </w:rPr>
        <w:t>个单元：</w:t>
      </w:r>
    </w:p>
    <w:p w14:paraId="3B87E87C">
      <w:pPr>
        <w:pageBreakBefore w:val="0"/>
        <w:widowControl w:val="0"/>
        <w:numPr>
          <w:ilvl w:val="0"/>
          <w:numId w:val="4"/>
        </w:numPr>
        <w:kinsoku/>
        <w:wordWrap/>
        <w:overflowPunct/>
        <w:topLinePunct w:val="0"/>
        <w:bidi w:val="0"/>
        <w:adjustRightInd w:val="0"/>
        <w:snapToGrid w:val="0"/>
        <w:spacing w:line="360" w:lineRule="auto"/>
        <w:textAlignment w:val="auto"/>
        <w:rPr>
          <w:rFonts w:hint="eastAsia"/>
          <w:color w:val="auto"/>
          <w:lang w:eastAsia="zh-CN"/>
        </w:rPr>
      </w:pPr>
      <w:r>
        <w:rPr>
          <w:rFonts w:hint="eastAsia" w:eastAsia="宋体"/>
          <w:color w:val="auto"/>
          <w:lang w:eastAsia="zh-CN"/>
        </w:rPr>
        <w:t>综合安全管理单元</w:t>
      </w:r>
    </w:p>
    <w:p w14:paraId="27415E9E">
      <w:pPr>
        <w:pageBreakBefore w:val="0"/>
        <w:widowControl w:val="0"/>
        <w:numPr>
          <w:ilvl w:val="0"/>
          <w:numId w:val="4"/>
        </w:numPr>
        <w:kinsoku/>
        <w:wordWrap/>
        <w:overflowPunct/>
        <w:topLinePunct w:val="0"/>
        <w:bidi w:val="0"/>
        <w:adjustRightInd w:val="0"/>
        <w:snapToGrid w:val="0"/>
        <w:spacing w:line="360" w:lineRule="auto"/>
        <w:ind w:left="0" w:leftChars="0" w:firstLine="560" w:firstLineChars="200"/>
        <w:textAlignment w:val="auto"/>
        <w:rPr>
          <w:rFonts w:hint="eastAsia"/>
          <w:color w:val="auto"/>
          <w:lang w:eastAsia="zh-CN"/>
        </w:rPr>
      </w:pPr>
      <w:r>
        <w:rPr>
          <w:rFonts w:hint="eastAsia" w:eastAsia="宋体"/>
          <w:color w:val="auto"/>
          <w:lang w:eastAsia="zh-CN"/>
        </w:rPr>
        <w:t>尾矿坝单元</w:t>
      </w:r>
    </w:p>
    <w:p w14:paraId="7B8950D6">
      <w:pPr>
        <w:pageBreakBefore w:val="0"/>
        <w:widowControl w:val="0"/>
        <w:numPr>
          <w:ilvl w:val="0"/>
          <w:numId w:val="4"/>
        </w:numPr>
        <w:kinsoku/>
        <w:wordWrap/>
        <w:overflowPunct/>
        <w:topLinePunct w:val="0"/>
        <w:bidi w:val="0"/>
        <w:adjustRightInd w:val="0"/>
        <w:snapToGrid w:val="0"/>
        <w:spacing w:line="360" w:lineRule="auto"/>
        <w:ind w:left="0" w:leftChars="0" w:firstLine="560" w:firstLineChars="200"/>
        <w:textAlignment w:val="auto"/>
        <w:rPr>
          <w:rFonts w:hint="eastAsia"/>
          <w:color w:val="auto"/>
          <w:lang w:eastAsia="zh-CN"/>
        </w:rPr>
      </w:pPr>
      <w:r>
        <w:rPr>
          <w:rFonts w:hint="eastAsia" w:eastAsia="宋体"/>
          <w:color w:val="auto"/>
          <w:lang w:eastAsia="zh-CN"/>
        </w:rPr>
        <w:t>防排洪系统单元</w:t>
      </w:r>
    </w:p>
    <w:p w14:paraId="31883E23">
      <w:pPr>
        <w:pageBreakBefore w:val="0"/>
        <w:widowControl w:val="0"/>
        <w:numPr>
          <w:ilvl w:val="0"/>
          <w:numId w:val="4"/>
        </w:numPr>
        <w:kinsoku/>
        <w:wordWrap/>
        <w:overflowPunct/>
        <w:topLinePunct w:val="0"/>
        <w:bidi w:val="0"/>
        <w:adjustRightInd w:val="0"/>
        <w:snapToGrid w:val="0"/>
        <w:spacing w:line="360" w:lineRule="auto"/>
        <w:ind w:left="0" w:leftChars="0" w:firstLine="560" w:firstLineChars="200"/>
        <w:textAlignment w:val="auto"/>
        <w:rPr>
          <w:rFonts w:hint="eastAsia"/>
          <w:color w:val="auto"/>
          <w:lang w:eastAsia="zh-CN"/>
        </w:rPr>
      </w:pPr>
      <w:r>
        <w:rPr>
          <w:rFonts w:hint="eastAsia" w:eastAsia="宋体"/>
          <w:color w:val="auto"/>
          <w:lang w:eastAsia="zh-CN"/>
        </w:rPr>
        <w:t>安全监测设施单元</w:t>
      </w:r>
    </w:p>
    <w:p w14:paraId="37CF57CC">
      <w:pPr>
        <w:pageBreakBefore w:val="0"/>
        <w:widowControl w:val="0"/>
        <w:numPr>
          <w:ilvl w:val="0"/>
          <w:numId w:val="4"/>
        </w:numPr>
        <w:kinsoku/>
        <w:wordWrap/>
        <w:overflowPunct/>
        <w:topLinePunct w:val="0"/>
        <w:bidi w:val="0"/>
        <w:adjustRightInd w:val="0"/>
        <w:snapToGrid w:val="0"/>
        <w:spacing w:line="360" w:lineRule="auto"/>
        <w:ind w:left="0" w:leftChars="0" w:firstLine="560" w:firstLineChars="200"/>
        <w:textAlignment w:val="auto"/>
        <w:rPr>
          <w:rFonts w:hint="eastAsia"/>
          <w:color w:val="auto"/>
          <w:lang w:eastAsia="zh-CN"/>
        </w:rPr>
      </w:pPr>
      <w:r>
        <w:rPr>
          <w:rFonts w:hint="eastAsia" w:eastAsia="宋体"/>
          <w:color w:val="auto"/>
          <w:lang w:eastAsia="zh-CN"/>
        </w:rPr>
        <w:t>库区环境单元</w:t>
      </w:r>
    </w:p>
    <w:p w14:paraId="75AFE819">
      <w:pPr>
        <w:pageBreakBefore w:val="0"/>
        <w:widowControl w:val="0"/>
        <w:numPr>
          <w:ilvl w:val="0"/>
          <w:numId w:val="4"/>
        </w:numPr>
        <w:kinsoku/>
        <w:wordWrap/>
        <w:overflowPunct/>
        <w:topLinePunct w:val="0"/>
        <w:bidi w:val="0"/>
        <w:adjustRightInd w:val="0"/>
        <w:snapToGrid w:val="0"/>
        <w:spacing w:line="360" w:lineRule="auto"/>
        <w:ind w:left="0" w:leftChars="0" w:firstLine="560" w:firstLineChars="200"/>
        <w:textAlignment w:val="auto"/>
        <w:rPr>
          <w:rFonts w:hint="eastAsia"/>
          <w:color w:val="auto"/>
          <w:lang w:eastAsia="zh-CN"/>
        </w:rPr>
      </w:pPr>
      <w:r>
        <w:rPr>
          <w:rFonts w:hint="eastAsia" w:eastAsia="宋体"/>
          <w:color w:val="auto"/>
          <w:lang w:eastAsia="zh-CN"/>
        </w:rPr>
        <w:t>辅助设施单元</w:t>
      </w:r>
    </w:p>
    <w:p w14:paraId="3625A885">
      <w:pPr>
        <w:pStyle w:val="3"/>
        <w:pageBreakBefore w:val="0"/>
        <w:widowControl w:val="0"/>
        <w:kinsoku/>
        <w:wordWrap/>
        <w:overflowPunct/>
        <w:topLinePunct w:val="0"/>
        <w:bidi w:val="0"/>
        <w:adjustRightInd w:val="0"/>
        <w:snapToGrid w:val="0"/>
        <w:spacing w:line="360" w:lineRule="auto"/>
        <w:textAlignment w:val="auto"/>
        <w:rPr>
          <w:rFonts w:hint="eastAsia"/>
          <w:color w:val="auto"/>
          <w:lang w:eastAsia="zh-CN"/>
        </w:rPr>
      </w:pPr>
      <w:bookmarkStart w:id="410" w:name="_Toc17550"/>
      <w:bookmarkStart w:id="411" w:name="_Toc16459"/>
      <w:bookmarkStart w:id="412" w:name="_Toc20925"/>
      <w:bookmarkStart w:id="413" w:name="_Toc21776"/>
      <w:bookmarkStart w:id="414" w:name="_Toc15391"/>
      <w:bookmarkStart w:id="415" w:name="_Toc20394"/>
      <w:bookmarkStart w:id="416" w:name="_Toc13654"/>
      <w:bookmarkStart w:id="417" w:name="_Toc17657"/>
      <w:bookmarkStart w:id="418" w:name="_Toc17418"/>
      <w:bookmarkStart w:id="419" w:name="_Toc31028"/>
      <w:bookmarkStart w:id="420" w:name="_Toc3876"/>
      <w:r>
        <w:rPr>
          <w:rFonts w:hint="eastAsia"/>
          <w:color w:val="auto"/>
          <w:lang w:eastAsia="zh-CN"/>
        </w:rPr>
        <w:t>4.2</w:t>
      </w:r>
      <w:r>
        <w:rPr>
          <w:rFonts w:hint="eastAsia"/>
          <w:color w:val="auto"/>
          <w:lang w:val="en-US" w:eastAsia="zh-CN"/>
        </w:rPr>
        <w:t xml:space="preserve"> </w:t>
      </w:r>
      <w:r>
        <w:rPr>
          <w:rFonts w:hint="eastAsia"/>
          <w:color w:val="auto"/>
          <w:lang w:eastAsia="zh-CN"/>
        </w:rPr>
        <w:t>评价方法选择</w:t>
      </w:r>
      <w:bookmarkEnd w:id="410"/>
      <w:bookmarkEnd w:id="411"/>
      <w:bookmarkEnd w:id="412"/>
      <w:bookmarkEnd w:id="413"/>
      <w:bookmarkEnd w:id="414"/>
      <w:bookmarkEnd w:id="415"/>
      <w:bookmarkEnd w:id="416"/>
      <w:bookmarkEnd w:id="417"/>
      <w:bookmarkEnd w:id="418"/>
      <w:bookmarkEnd w:id="419"/>
      <w:bookmarkEnd w:id="420"/>
    </w:p>
    <w:p w14:paraId="62E4644C">
      <w:pPr>
        <w:pageBreakBefore w:val="0"/>
        <w:widowControl w:val="0"/>
        <w:kinsoku/>
        <w:wordWrap/>
        <w:overflowPunct/>
        <w:topLinePunct w:val="0"/>
        <w:bidi w:val="0"/>
        <w:adjustRightInd w:val="0"/>
        <w:snapToGrid w:val="0"/>
        <w:spacing w:line="360" w:lineRule="auto"/>
        <w:textAlignment w:val="auto"/>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安全评价方法是对系统的危险、有害因素及其危险、危害程度进行定性、定量的分析、评价的方法。评价方法的选择是根据评价的特点、具体条件和需要，考虑评价对象的特征以及评价方法的特点而确定的。根据该尾矿库危险、有害因素的特征以及安全评价导则的要求，本评价报告采用尾矿库调洪演算、坝体稳定计算、安全检查法</w:t>
      </w:r>
      <w:r>
        <w:rPr>
          <w:rFonts w:hint="eastAsia" w:ascii="Times New Roman" w:hAnsi="Times New Roman" w:eastAsia="宋体" w:cs="Times New Roman"/>
          <w:color w:val="auto"/>
          <w:lang w:val="en-US" w:eastAsia="zh-CN"/>
        </w:rPr>
        <w:t>和安全检查表法</w:t>
      </w:r>
      <w:r>
        <w:rPr>
          <w:rFonts w:hint="eastAsia" w:ascii="Times New Roman" w:hAnsi="Times New Roman" w:eastAsia="宋体" w:cs="Times New Roman"/>
          <w:color w:val="auto"/>
          <w:lang w:eastAsia="zh-CN"/>
        </w:rPr>
        <w:t>。</w:t>
      </w:r>
    </w:p>
    <w:p w14:paraId="5710DFA3">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pacing w:val="10"/>
          <w:kern w:val="0"/>
          <w:szCs w:val="28"/>
        </w:rPr>
      </w:pPr>
      <w:r>
        <w:rPr>
          <w:rFonts w:ascii="Times New Roman" w:hAnsi="Times New Roman" w:eastAsia="宋体" w:cs="Times New Roman"/>
          <w:color w:val="auto"/>
          <w:szCs w:val="28"/>
        </w:rPr>
        <w:t>表4</w:t>
      </w:r>
      <w:r>
        <w:rPr>
          <w:rFonts w:hint="eastAsia" w:cs="Times New Roman"/>
          <w:color w:val="auto"/>
          <w:szCs w:val="28"/>
          <w:lang w:val="en-US" w:eastAsia="zh-CN"/>
        </w:rPr>
        <w:t>.2</w:t>
      </w:r>
      <w:r>
        <w:rPr>
          <w:rFonts w:hint="eastAsia" w:ascii="Times New Roman" w:hAnsi="Times New Roman" w:eastAsia="宋体" w:cs="Times New Roman"/>
          <w:color w:val="auto"/>
          <w:szCs w:val="28"/>
        </w:rPr>
        <w:t>-</w:t>
      </w:r>
      <w:r>
        <w:rPr>
          <w:rFonts w:ascii="Times New Roman" w:hAnsi="Times New Roman" w:eastAsia="宋体" w:cs="Times New Roman"/>
          <w:color w:val="auto"/>
          <w:szCs w:val="28"/>
        </w:rPr>
        <w:t>1</w:t>
      </w:r>
      <w:r>
        <w:rPr>
          <w:rFonts w:hint="eastAsia" w:ascii="Times New Roman" w:hAnsi="Times New Roman" w:eastAsia="宋体" w:cs="Times New Roman"/>
          <w:color w:val="auto"/>
          <w:szCs w:val="28"/>
          <w:lang w:val="en-US" w:eastAsia="zh-CN"/>
        </w:rPr>
        <w:t xml:space="preserve"> </w:t>
      </w:r>
      <w:r>
        <w:rPr>
          <w:rFonts w:ascii="Times New Roman" w:hAnsi="Times New Roman" w:eastAsia="宋体" w:cs="Times New Roman"/>
          <w:color w:val="auto"/>
          <w:szCs w:val="28"/>
        </w:rPr>
        <w:t>评价方法一览表</w:t>
      </w:r>
    </w:p>
    <w:tbl>
      <w:tblPr>
        <w:tblStyle w:val="32"/>
        <w:tblW w:w="0" w:type="auto"/>
        <w:tblInd w:w="4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976"/>
        <w:gridCol w:w="5956"/>
      </w:tblGrid>
      <w:tr w14:paraId="01E32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1" w:hRule="atLeast"/>
        </w:trPr>
        <w:tc>
          <w:tcPr>
            <w:tcW w:w="1976" w:type="dxa"/>
            <w:noWrap w:val="0"/>
            <w:vAlign w:val="center"/>
          </w:tcPr>
          <w:p w14:paraId="3E27C01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rPr>
              <w:t>评价单元</w:t>
            </w:r>
          </w:p>
        </w:tc>
        <w:tc>
          <w:tcPr>
            <w:tcW w:w="5956" w:type="dxa"/>
            <w:noWrap w:val="0"/>
            <w:vAlign w:val="center"/>
          </w:tcPr>
          <w:p w14:paraId="1FD7913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rPr>
              <w:t>评价方法</w:t>
            </w:r>
          </w:p>
        </w:tc>
      </w:tr>
      <w:tr w14:paraId="19AD6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1" w:hRule="atLeast"/>
        </w:trPr>
        <w:tc>
          <w:tcPr>
            <w:tcW w:w="1976" w:type="dxa"/>
            <w:noWrap w:val="0"/>
            <w:vAlign w:val="center"/>
          </w:tcPr>
          <w:p w14:paraId="6B5C157C">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z w:val="21"/>
                <w:szCs w:val="21"/>
              </w:rPr>
              <w:t>综合安全管理</w:t>
            </w:r>
          </w:p>
        </w:tc>
        <w:tc>
          <w:tcPr>
            <w:tcW w:w="5956" w:type="dxa"/>
            <w:noWrap w:val="0"/>
            <w:vAlign w:val="center"/>
          </w:tcPr>
          <w:p w14:paraId="7733B4F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安全检查表法</w:t>
            </w:r>
          </w:p>
        </w:tc>
      </w:tr>
      <w:tr w14:paraId="7282C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0" w:hRule="atLeast"/>
        </w:trPr>
        <w:tc>
          <w:tcPr>
            <w:tcW w:w="1976" w:type="dxa"/>
            <w:noWrap w:val="0"/>
            <w:vAlign w:val="center"/>
          </w:tcPr>
          <w:p w14:paraId="1FA57BA1">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z w:val="21"/>
                <w:szCs w:val="21"/>
              </w:rPr>
              <w:t>尾矿坝</w:t>
            </w:r>
          </w:p>
        </w:tc>
        <w:tc>
          <w:tcPr>
            <w:tcW w:w="5956" w:type="dxa"/>
            <w:noWrap w:val="0"/>
            <w:vAlign w:val="center"/>
          </w:tcPr>
          <w:p w14:paraId="20225CBF">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安全检查表法</w:t>
            </w:r>
            <w:r>
              <w:rPr>
                <w:rFonts w:hint="default" w:ascii="Times New Roman" w:hAnsi="Times New Roman" w:eastAsia="宋体" w:cs="Times New Roman"/>
                <w:color w:val="auto"/>
                <w:sz w:val="21"/>
                <w:szCs w:val="21"/>
              </w:rPr>
              <w:t>、坝体稳定计算</w:t>
            </w:r>
          </w:p>
        </w:tc>
      </w:tr>
      <w:tr w14:paraId="7ADE0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8" w:hRule="atLeast"/>
        </w:trPr>
        <w:tc>
          <w:tcPr>
            <w:tcW w:w="1976" w:type="dxa"/>
            <w:noWrap w:val="0"/>
            <w:vAlign w:val="center"/>
          </w:tcPr>
          <w:p w14:paraId="7F945CC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z w:val="21"/>
                <w:szCs w:val="21"/>
              </w:rPr>
              <w:t>防排洪系统</w:t>
            </w:r>
          </w:p>
        </w:tc>
        <w:tc>
          <w:tcPr>
            <w:tcW w:w="5956" w:type="dxa"/>
            <w:noWrap w:val="0"/>
            <w:vAlign w:val="center"/>
          </w:tcPr>
          <w:p w14:paraId="4114662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安全检查表法、</w:t>
            </w:r>
            <w:r>
              <w:rPr>
                <w:rFonts w:hint="default" w:ascii="Times New Roman" w:hAnsi="Times New Roman" w:eastAsia="宋体" w:cs="Times New Roman"/>
                <w:color w:val="auto"/>
                <w:sz w:val="21"/>
                <w:szCs w:val="21"/>
              </w:rPr>
              <w:t>尾矿库调洪演算</w:t>
            </w:r>
          </w:p>
        </w:tc>
      </w:tr>
      <w:tr w14:paraId="1244C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4" w:hRule="atLeast"/>
        </w:trPr>
        <w:tc>
          <w:tcPr>
            <w:tcW w:w="1976" w:type="dxa"/>
            <w:noWrap w:val="0"/>
            <w:vAlign w:val="center"/>
          </w:tcPr>
          <w:p w14:paraId="41EF9AE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安全监测设施</w:t>
            </w:r>
          </w:p>
        </w:tc>
        <w:tc>
          <w:tcPr>
            <w:tcW w:w="5956" w:type="dxa"/>
            <w:noWrap w:val="0"/>
            <w:vAlign w:val="center"/>
          </w:tcPr>
          <w:p w14:paraId="3841418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安全检查法</w:t>
            </w:r>
          </w:p>
        </w:tc>
      </w:tr>
      <w:tr w14:paraId="3DE57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7" w:hRule="atLeast"/>
        </w:trPr>
        <w:tc>
          <w:tcPr>
            <w:tcW w:w="1976" w:type="dxa"/>
            <w:noWrap w:val="0"/>
            <w:vAlign w:val="center"/>
          </w:tcPr>
          <w:p w14:paraId="17BC6E5A">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库区环境</w:t>
            </w:r>
          </w:p>
        </w:tc>
        <w:tc>
          <w:tcPr>
            <w:tcW w:w="5956" w:type="dxa"/>
            <w:noWrap w:val="0"/>
            <w:vAlign w:val="center"/>
          </w:tcPr>
          <w:p w14:paraId="7531456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安全检查表法</w:t>
            </w:r>
          </w:p>
        </w:tc>
      </w:tr>
      <w:tr w14:paraId="61BFA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 w:hRule="atLeast"/>
        </w:trPr>
        <w:tc>
          <w:tcPr>
            <w:tcW w:w="1976" w:type="dxa"/>
            <w:noWrap w:val="0"/>
            <w:vAlign w:val="center"/>
          </w:tcPr>
          <w:p w14:paraId="50336D17">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辅助设施</w:t>
            </w:r>
          </w:p>
        </w:tc>
        <w:tc>
          <w:tcPr>
            <w:tcW w:w="5956" w:type="dxa"/>
            <w:noWrap w:val="0"/>
            <w:vAlign w:val="center"/>
          </w:tcPr>
          <w:p w14:paraId="0F4032D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安全检查法</w:t>
            </w:r>
          </w:p>
        </w:tc>
      </w:tr>
    </w:tbl>
    <w:p w14:paraId="0107BAA6">
      <w:pPr>
        <w:rPr>
          <w:rFonts w:hint="eastAsia" w:ascii="Times New Roman" w:hAnsi="Times New Roman" w:eastAsia="黑体" w:cs="Times New Roman"/>
          <w:bCs/>
          <w:color w:val="auto"/>
          <w:szCs w:val="28"/>
        </w:rPr>
      </w:pPr>
    </w:p>
    <w:p w14:paraId="0A688AC2">
      <w:pPr>
        <w:pStyle w:val="2"/>
        <w:numPr>
          <w:ilvl w:val="0"/>
          <w:numId w:val="1"/>
        </w:numPr>
        <w:bidi w:val="0"/>
        <w:ind w:left="0" w:leftChars="0" w:firstLine="0" w:firstLineChars="0"/>
        <w:jc w:val="center"/>
        <w:rPr>
          <w:rFonts w:hint="eastAsia"/>
          <w:color w:val="auto"/>
          <w:lang w:eastAsia="zh-CN"/>
        </w:rPr>
      </w:pPr>
      <w:r>
        <w:rPr>
          <w:rFonts w:hint="eastAsia" w:ascii="Times New Roman" w:hAnsi="Times New Roman" w:eastAsia="黑体" w:cs="Times New Roman"/>
          <w:bCs/>
          <w:color w:val="auto"/>
          <w:szCs w:val="28"/>
        </w:rPr>
        <w:br w:type="page"/>
      </w:r>
      <w:bookmarkStart w:id="421" w:name="_Toc15886"/>
      <w:bookmarkStart w:id="422" w:name="_Toc8103"/>
      <w:bookmarkStart w:id="423" w:name="_Toc19050"/>
      <w:bookmarkStart w:id="424" w:name="_Toc12117"/>
      <w:bookmarkStart w:id="425" w:name="_Toc21963"/>
      <w:bookmarkStart w:id="426" w:name="_Toc29894"/>
      <w:bookmarkStart w:id="427" w:name="_Toc2444"/>
      <w:bookmarkStart w:id="428" w:name="_Toc17817"/>
      <w:r>
        <w:rPr>
          <w:rFonts w:hint="eastAsia" w:ascii="Times New Roman" w:hAnsi="Times New Roman" w:cs="Times New Roman"/>
          <w:b/>
          <w:bCs/>
          <w:color w:val="auto"/>
          <w:lang w:val="en-US" w:eastAsia="zh-CN"/>
        </w:rPr>
        <w:t>安全评价</w:t>
      </w:r>
      <w:bookmarkEnd w:id="421"/>
      <w:bookmarkEnd w:id="422"/>
      <w:bookmarkEnd w:id="423"/>
      <w:bookmarkEnd w:id="424"/>
      <w:bookmarkEnd w:id="425"/>
      <w:bookmarkEnd w:id="426"/>
      <w:bookmarkEnd w:id="427"/>
      <w:bookmarkEnd w:id="428"/>
    </w:p>
    <w:p w14:paraId="69EA080D">
      <w:pPr>
        <w:pStyle w:val="3"/>
        <w:bidi w:val="0"/>
        <w:rPr>
          <w:rFonts w:hint="eastAsia"/>
          <w:color w:val="auto"/>
          <w:lang w:eastAsia="zh-CN"/>
        </w:rPr>
      </w:pPr>
      <w:bookmarkStart w:id="429" w:name="_Toc9629"/>
      <w:bookmarkStart w:id="430" w:name="_Toc21528"/>
      <w:bookmarkStart w:id="431" w:name="_Toc511"/>
      <w:bookmarkStart w:id="432" w:name="_Toc24562"/>
      <w:bookmarkStart w:id="433" w:name="_Toc151"/>
      <w:bookmarkStart w:id="434" w:name="_Toc12026"/>
      <w:bookmarkStart w:id="435" w:name="_Toc5422"/>
      <w:bookmarkStart w:id="436" w:name="_Toc8844"/>
      <w:bookmarkStart w:id="437" w:name="_Toc6519"/>
      <w:bookmarkStart w:id="438" w:name="_Toc26410"/>
      <w:bookmarkStart w:id="439" w:name="_Toc16240"/>
      <w:r>
        <w:rPr>
          <w:rFonts w:hint="eastAsia"/>
          <w:color w:val="auto"/>
          <w:lang w:eastAsia="zh-CN"/>
        </w:rPr>
        <w:t>5.1</w:t>
      </w:r>
      <w:r>
        <w:rPr>
          <w:rFonts w:hint="eastAsia"/>
          <w:color w:val="auto"/>
          <w:lang w:val="en-US" w:eastAsia="zh-CN"/>
        </w:rPr>
        <w:t xml:space="preserve"> </w:t>
      </w:r>
      <w:r>
        <w:rPr>
          <w:rFonts w:hint="eastAsia"/>
          <w:color w:val="auto"/>
          <w:lang w:eastAsia="zh-CN"/>
        </w:rPr>
        <w:t>综合安全管理单元</w:t>
      </w:r>
      <w:bookmarkEnd w:id="429"/>
      <w:bookmarkEnd w:id="430"/>
      <w:bookmarkEnd w:id="431"/>
      <w:bookmarkEnd w:id="432"/>
      <w:bookmarkEnd w:id="433"/>
      <w:bookmarkEnd w:id="434"/>
      <w:bookmarkEnd w:id="435"/>
      <w:bookmarkEnd w:id="436"/>
      <w:bookmarkEnd w:id="437"/>
      <w:bookmarkEnd w:id="438"/>
      <w:bookmarkEnd w:id="439"/>
    </w:p>
    <w:p w14:paraId="4B5DB30E">
      <w:pPr>
        <w:pStyle w:val="4"/>
        <w:bidi w:val="0"/>
        <w:rPr>
          <w:rFonts w:hint="eastAsia"/>
          <w:color w:val="auto"/>
          <w:lang w:eastAsia="zh-CN"/>
        </w:rPr>
      </w:pPr>
      <w:bookmarkStart w:id="440" w:name="_Toc15024"/>
      <w:bookmarkStart w:id="441" w:name="_Toc405"/>
      <w:bookmarkStart w:id="442" w:name="_Toc10467"/>
      <w:bookmarkStart w:id="443" w:name="_Toc15917"/>
      <w:bookmarkStart w:id="444" w:name="_Toc31139"/>
      <w:bookmarkStart w:id="445" w:name="_Toc19456"/>
      <w:bookmarkStart w:id="446" w:name="_Toc20906"/>
      <w:bookmarkStart w:id="447" w:name="_Toc25604"/>
      <w:bookmarkStart w:id="448" w:name="_Toc14727"/>
      <w:bookmarkStart w:id="449" w:name="_Toc1106"/>
      <w:bookmarkStart w:id="450" w:name="_Toc6094"/>
      <w:r>
        <w:rPr>
          <w:rFonts w:hint="eastAsia"/>
          <w:color w:val="auto"/>
          <w:lang w:eastAsia="zh-CN"/>
        </w:rPr>
        <w:t>5.1.1</w:t>
      </w:r>
      <w:r>
        <w:rPr>
          <w:rFonts w:hint="eastAsia"/>
          <w:color w:val="auto"/>
          <w:lang w:val="en-US" w:eastAsia="zh-CN"/>
        </w:rPr>
        <w:t xml:space="preserve"> </w:t>
      </w:r>
      <w:r>
        <w:rPr>
          <w:rFonts w:hint="eastAsia"/>
          <w:color w:val="auto"/>
          <w:lang w:eastAsia="zh-CN"/>
        </w:rPr>
        <w:t>安全检查表评价</w:t>
      </w:r>
      <w:bookmarkEnd w:id="440"/>
      <w:bookmarkEnd w:id="441"/>
      <w:bookmarkEnd w:id="442"/>
      <w:bookmarkEnd w:id="443"/>
      <w:bookmarkEnd w:id="444"/>
      <w:bookmarkEnd w:id="445"/>
      <w:bookmarkEnd w:id="446"/>
      <w:bookmarkEnd w:id="447"/>
      <w:bookmarkEnd w:id="448"/>
      <w:bookmarkEnd w:id="449"/>
      <w:bookmarkEnd w:id="450"/>
    </w:p>
    <w:p w14:paraId="7ED3E064">
      <w:pPr>
        <w:rPr>
          <w:rFonts w:hint="eastAsia" w:eastAsia="宋体"/>
          <w:color w:val="auto"/>
          <w:lang w:eastAsia="zh-CN"/>
        </w:rPr>
      </w:pPr>
      <w:r>
        <w:rPr>
          <w:rFonts w:hint="eastAsia" w:eastAsia="宋体"/>
          <w:color w:val="auto"/>
          <w:lang w:eastAsia="zh-CN"/>
        </w:rPr>
        <w:t>运用《江西省尾矿库安全检查表》（已按现行规程规范要求进行了修订，下同），对岿美山</w:t>
      </w:r>
      <w:r>
        <w:rPr>
          <w:rFonts w:hint="eastAsia"/>
          <w:color w:val="auto"/>
        </w:rPr>
        <w:t>尾矿库</w:t>
      </w:r>
      <w:r>
        <w:rPr>
          <w:rFonts w:hint="eastAsia" w:eastAsia="宋体"/>
          <w:color w:val="auto"/>
          <w:lang w:eastAsia="zh-CN"/>
        </w:rPr>
        <w:t>整个系统的综合安全管理单元进行评判，具体情况如表5</w:t>
      </w:r>
      <w:r>
        <w:rPr>
          <w:rFonts w:hint="eastAsia"/>
          <w:color w:val="auto"/>
          <w:lang w:val="en-US" w:eastAsia="zh-CN"/>
        </w:rPr>
        <w:t>.1</w:t>
      </w:r>
      <w:r>
        <w:rPr>
          <w:rFonts w:hint="eastAsia" w:eastAsia="宋体"/>
          <w:color w:val="auto"/>
          <w:lang w:eastAsia="zh-CN"/>
        </w:rPr>
        <w:t>-1所示。</w:t>
      </w:r>
    </w:p>
    <w:p w14:paraId="2FEABC10">
      <w:pPr>
        <w:ind w:left="0" w:leftChars="0" w:firstLine="0" w:firstLineChars="0"/>
        <w:jc w:val="center"/>
        <w:rPr>
          <w:rFonts w:hint="eastAsia"/>
          <w:color w:val="auto"/>
          <w:lang w:val="en-US" w:eastAsia="zh-CN"/>
        </w:rPr>
      </w:pPr>
      <w:r>
        <w:rPr>
          <w:rFonts w:hint="eastAsia"/>
          <w:color w:val="auto"/>
          <w:lang w:val="en-US" w:eastAsia="zh-CN"/>
        </w:rPr>
        <w:t>表5.1-1 综合安全管理单元安全检查表</w:t>
      </w:r>
    </w:p>
    <w:tbl>
      <w:tblPr>
        <w:tblStyle w:val="32"/>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33"/>
        <w:gridCol w:w="2937"/>
        <w:gridCol w:w="1501"/>
        <w:gridCol w:w="925"/>
        <w:gridCol w:w="827"/>
        <w:gridCol w:w="731"/>
        <w:gridCol w:w="1097"/>
        <w:gridCol w:w="535"/>
      </w:tblGrid>
      <w:tr w14:paraId="7F12E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5" w:hRule="atLeast"/>
          <w:jc w:val="center"/>
        </w:trPr>
        <w:tc>
          <w:tcPr>
            <w:tcW w:w="733" w:type="dxa"/>
            <w:noWrap w:val="0"/>
            <w:vAlign w:val="center"/>
          </w:tcPr>
          <w:p w14:paraId="45B7BB01">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b/>
                <w:bCs w:val="0"/>
                <w:color w:val="auto"/>
                <w:kern w:val="0"/>
                <w:sz w:val="21"/>
                <w:szCs w:val="21"/>
                <w:lang w:val="zh-CN"/>
              </w:rPr>
            </w:pPr>
            <w:r>
              <w:rPr>
                <w:rFonts w:hint="default" w:ascii="Times New Roman" w:hAnsi="Times New Roman" w:eastAsia="宋体" w:cs="Times New Roman"/>
                <w:b/>
                <w:bCs w:val="0"/>
                <w:color w:val="auto"/>
                <w:kern w:val="0"/>
                <w:sz w:val="21"/>
                <w:szCs w:val="21"/>
                <w:lang w:val="zh-CN"/>
              </w:rPr>
              <w:t>项目</w:t>
            </w:r>
          </w:p>
        </w:tc>
        <w:tc>
          <w:tcPr>
            <w:tcW w:w="2937" w:type="dxa"/>
            <w:noWrap w:val="0"/>
            <w:vAlign w:val="center"/>
          </w:tcPr>
          <w:p w14:paraId="678DD777">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b/>
                <w:bCs w:val="0"/>
                <w:color w:val="auto"/>
                <w:kern w:val="0"/>
                <w:sz w:val="21"/>
                <w:szCs w:val="21"/>
                <w:lang w:val="zh-CN"/>
              </w:rPr>
            </w:pPr>
            <w:r>
              <w:rPr>
                <w:rFonts w:hint="default" w:ascii="Times New Roman" w:hAnsi="Times New Roman" w:eastAsia="宋体" w:cs="Times New Roman"/>
                <w:b/>
                <w:bCs w:val="0"/>
                <w:color w:val="auto"/>
                <w:spacing w:val="4"/>
                <w:kern w:val="0"/>
                <w:sz w:val="21"/>
                <w:szCs w:val="21"/>
              </w:rPr>
              <w:t>检查内容</w:t>
            </w:r>
          </w:p>
        </w:tc>
        <w:tc>
          <w:tcPr>
            <w:tcW w:w="1501" w:type="dxa"/>
            <w:noWrap w:val="0"/>
            <w:vAlign w:val="center"/>
          </w:tcPr>
          <w:p w14:paraId="1CCBFD4E">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b/>
                <w:bCs w:val="0"/>
                <w:color w:val="auto"/>
                <w:kern w:val="0"/>
                <w:sz w:val="21"/>
                <w:szCs w:val="21"/>
                <w:lang w:val="zh-CN"/>
              </w:rPr>
            </w:pPr>
            <w:r>
              <w:rPr>
                <w:rFonts w:hint="default" w:ascii="Times New Roman" w:hAnsi="Times New Roman" w:eastAsia="宋体" w:cs="Times New Roman"/>
                <w:b/>
                <w:bCs w:val="0"/>
                <w:color w:val="auto"/>
                <w:sz w:val="21"/>
                <w:szCs w:val="21"/>
              </w:rPr>
              <w:t>检查依据</w:t>
            </w:r>
          </w:p>
        </w:tc>
        <w:tc>
          <w:tcPr>
            <w:tcW w:w="925" w:type="dxa"/>
            <w:noWrap w:val="0"/>
            <w:vAlign w:val="center"/>
          </w:tcPr>
          <w:p w14:paraId="2316C6A2">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b/>
                <w:bCs w:val="0"/>
                <w:color w:val="auto"/>
                <w:kern w:val="0"/>
                <w:sz w:val="21"/>
                <w:szCs w:val="21"/>
                <w:lang w:val="zh-CN"/>
              </w:rPr>
            </w:pPr>
            <w:r>
              <w:rPr>
                <w:rFonts w:hint="default" w:ascii="Times New Roman" w:hAnsi="Times New Roman" w:eastAsia="宋体" w:cs="Times New Roman"/>
                <w:b/>
                <w:bCs w:val="0"/>
                <w:color w:val="auto"/>
                <w:sz w:val="21"/>
                <w:szCs w:val="21"/>
              </w:rPr>
              <w:t>检查方法及地点</w:t>
            </w:r>
          </w:p>
        </w:tc>
        <w:tc>
          <w:tcPr>
            <w:tcW w:w="827" w:type="dxa"/>
            <w:noWrap w:val="0"/>
            <w:vAlign w:val="center"/>
          </w:tcPr>
          <w:p w14:paraId="56A1BDF4">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检查</w:t>
            </w:r>
          </w:p>
          <w:p w14:paraId="3B74489E">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b/>
                <w:bCs w:val="0"/>
                <w:color w:val="auto"/>
                <w:kern w:val="0"/>
                <w:sz w:val="21"/>
                <w:szCs w:val="21"/>
                <w:lang w:val="zh-CN"/>
              </w:rPr>
            </w:pPr>
            <w:r>
              <w:rPr>
                <w:rFonts w:hint="default" w:ascii="Times New Roman" w:hAnsi="Times New Roman" w:eastAsia="宋体" w:cs="Times New Roman"/>
                <w:b/>
                <w:bCs w:val="0"/>
                <w:color w:val="auto"/>
                <w:sz w:val="21"/>
                <w:szCs w:val="21"/>
              </w:rPr>
              <w:t>记录</w:t>
            </w:r>
          </w:p>
        </w:tc>
        <w:tc>
          <w:tcPr>
            <w:tcW w:w="731" w:type="dxa"/>
            <w:noWrap w:val="0"/>
            <w:vAlign w:val="center"/>
          </w:tcPr>
          <w:p w14:paraId="2F7801FE">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b/>
                <w:bCs w:val="0"/>
                <w:color w:val="auto"/>
                <w:kern w:val="0"/>
                <w:sz w:val="21"/>
                <w:szCs w:val="21"/>
                <w:lang w:val="zh-CN"/>
              </w:rPr>
            </w:pPr>
            <w:r>
              <w:rPr>
                <w:rFonts w:hint="default" w:ascii="Times New Roman" w:hAnsi="Times New Roman" w:eastAsia="宋体" w:cs="Times New Roman"/>
                <w:b/>
                <w:bCs w:val="0"/>
                <w:color w:val="auto"/>
                <w:kern w:val="0"/>
                <w:sz w:val="21"/>
                <w:szCs w:val="21"/>
                <w:lang w:val="zh-CN"/>
              </w:rPr>
              <w:t>标准</w:t>
            </w:r>
          </w:p>
          <w:p w14:paraId="11996B2B">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b/>
                <w:bCs w:val="0"/>
                <w:color w:val="auto"/>
                <w:kern w:val="0"/>
                <w:sz w:val="21"/>
                <w:szCs w:val="21"/>
                <w:lang w:val="zh-CN"/>
              </w:rPr>
            </w:pPr>
            <w:r>
              <w:rPr>
                <w:rFonts w:hint="default" w:ascii="Times New Roman" w:hAnsi="Times New Roman" w:eastAsia="宋体" w:cs="Times New Roman"/>
                <w:b/>
                <w:bCs w:val="0"/>
                <w:color w:val="auto"/>
                <w:kern w:val="0"/>
                <w:sz w:val="21"/>
                <w:szCs w:val="21"/>
                <w:lang w:val="zh-CN"/>
              </w:rPr>
              <w:t>分值</w:t>
            </w:r>
          </w:p>
        </w:tc>
        <w:tc>
          <w:tcPr>
            <w:tcW w:w="1097" w:type="dxa"/>
            <w:noWrap w:val="0"/>
            <w:vAlign w:val="center"/>
          </w:tcPr>
          <w:p w14:paraId="0D4A76BA">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b/>
                <w:bCs w:val="0"/>
                <w:color w:val="auto"/>
                <w:kern w:val="0"/>
                <w:sz w:val="21"/>
                <w:szCs w:val="21"/>
                <w:lang w:val="zh-CN"/>
              </w:rPr>
            </w:pPr>
            <w:r>
              <w:rPr>
                <w:rFonts w:hint="default" w:ascii="Times New Roman" w:hAnsi="Times New Roman" w:eastAsia="宋体" w:cs="Times New Roman"/>
                <w:b/>
                <w:bCs w:val="0"/>
                <w:color w:val="auto"/>
                <w:kern w:val="0"/>
                <w:sz w:val="21"/>
                <w:szCs w:val="21"/>
                <w:lang w:val="zh-CN"/>
              </w:rPr>
              <w:t>评分标准</w:t>
            </w:r>
          </w:p>
        </w:tc>
        <w:tc>
          <w:tcPr>
            <w:tcW w:w="535" w:type="dxa"/>
            <w:noWrap w:val="0"/>
            <w:vAlign w:val="center"/>
          </w:tcPr>
          <w:p w14:paraId="7C841DE9">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b/>
                <w:bCs w:val="0"/>
                <w:color w:val="auto"/>
                <w:kern w:val="0"/>
                <w:sz w:val="21"/>
                <w:szCs w:val="21"/>
                <w:lang w:val="zh-CN"/>
              </w:rPr>
            </w:pPr>
            <w:r>
              <w:rPr>
                <w:rFonts w:hint="default" w:ascii="Times New Roman" w:hAnsi="Times New Roman" w:eastAsia="宋体" w:cs="Times New Roman"/>
                <w:b/>
                <w:bCs w:val="0"/>
                <w:color w:val="auto"/>
                <w:kern w:val="0"/>
                <w:sz w:val="21"/>
                <w:szCs w:val="21"/>
                <w:lang w:val="zh-CN"/>
              </w:rPr>
              <w:t>得分</w:t>
            </w:r>
          </w:p>
        </w:tc>
      </w:tr>
      <w:tr w14:paraId="57F8B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7" w:hRule="atLeast"/>
          <w:jc w:val="center"/>
        </w:trPr>
        <w:tc>
          <w:tcPr>
            <w:tcW w:w="733" w:type="dxa"/>
            <w:noWrap w:val="0"/>
            <w:vAlign w:val="center"/>
          </w:tcPr>
          <w:p w14:paraId="3F924E83">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1.安全许可</w:t>
            </w:r>
          </w:p>
        </w:tc>
        <w:tc>
          <w:tcPr>
            <w:tcW w:w="2937" w:type="dxa"/>
            <w:noWrap w:val="0"/>
            <w:vAlign w:val="center"/>
          </w:tcPr>
          <w:p w14:paraId="11D0E552">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1.1安全生产许可证合法性。</w:t>
            </w:r>
          </w:p>
          <w:p w14:paraId="399153F7">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1.2安全生产许可证有效性。</w:t>
            </w:r>
          </w:p>
          <w:p w14:paraId="361B4A78">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1.3安全生产许可证</w:t>
            </w:r>
            <w:r>
              <w:rPr>
                <w:rFonts w:hint="default" w:ascii="Times New Roman" w:hAnsi="Times New Roman" w:eastAsia="宋体" w:cs="Times New Roman"/>
                <w:bCs/>
                <w:color w:val="auto"/>
                <w:kern w:val="0"/>
                <w:sz w:val="21"/>
                <w:szCs w:val="21"/>
                <w:lang w:val="zh-CN"/>
              </w:rPr>
              <w:t>是否年检。</w:t>
            </w:r>
          </w:p>
        </w:tc>
        <w:tc>
          <w:tcPr>
            <w:tcW w:w="1501" w:type="dxa"/>
            <w:noWrap w:val="0"/>
            <w:vAlign w:val="center"/>
          </w:tcPr>
          <w:p w14:paraId="08513652">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《安全生产许可证条例》第二条</w:t>
            </w:r>
          </w:p>
        </w:tc>
        <w:tc>
          <w:tcPr>
            <w:tcW w:w="925" w:type="dxa"/>
            <w:noWrap w:val="0"/>
            <w:vAlign w:val="center"/>
          </w:tcPr>
          <w:p w14:paraId="4A9495EB">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查有效</w:t>
            </w:r>
          </w:p>
          <w:p w14:paraId="07310886">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证件</w:t>
            </w:r>
          </w:p>
        </w:tc>
        <w:tc>
          <w:tcPr>
            <w:tcW w:w="827" w:type="dxa"/>
            <w:noWrap w:val="0"/>
            <w:vAlign w:val="center"/>
          </w:tcPr>
          <w:p w14:paraId="135F4543">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即将</w:t>
            </w:r>
          </w:p>
          <w:p w14:paraId="17340A2C">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闭库</w:t>
            </w:r>
          </w:p>
        </w:tc>
        <w:tc>
          <w:tcPr>
            <w:tcW w:w="731" w:type="dxa"/>
            <w:noWrap w:val="0"/>
            <w:vAlign w:val="center"/>
          </w:tcPr>
          <w:p w14:paraId="15A9E56E">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否决项</w:t>
            </w:r>
          </w:p>
        </w:tc>
        <w:tc>
          <w:tcPr>
            <w:tcW w:w="1097" w:type="dxa"/>
            <w:vMerge w:val="restart"/>
            <w:noWrap w:val="0"/>
            <w:vAlign w:val="center"/>
          </w:tcPr>
          <w:p w14:paraId="69ABC22A">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bCs/>
                <w:color w:val="auto"/>
                <w:kern w:val="0"/>
                <w:sz w:val="21"/>
                <w:szCs w:val="21"/>
                <w:lang w:val="zh-CN"/>
              </w:rPr>
            </w:pPr>
            <w:r>
              <w:rPr>
                <w:rFonts w:hint="default" w:ascii="Times New Roman" w:hAnsi="Times New Roman" w:eastAsia="宋体" w:cs="Times New Roman"/>
                <w:bCs/>
                <w:color w:val="auto"/>
                <w:kern w:val="0"/>
                <w:sz w:val="21"/>
                <w:szCs w:val="21"/>
                <w:lang w:val="zh-CN"/>
              </w:rPr>
              <w:t>任一项</w:t>
            </w:r>
          </w:p>
          <w:p w14:paraId="016AC64D">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bCs/>
                <w:color w:val="auto"/>
                <w:kern w:val="0"/>
                <w:sz w:val="21"/>
                <w:szCs w:val="21"/>
                <w:lang w:val="zh-CN"/>
              </w:rPr>
            </w:pPr>
            <w:r>
              <w:rPr>
                <w:rFonts w:hint="default" w:ascii="Times New Roman" w:hAnsi="Times New Roman" w:eastAsia="宋体" w:cs="Times New Roman"/>
                <w:bCs/>
                <w:color w:val="auto"/>
                <w:kern w:val="0"/>
                <w:sz w:val="21"/>
                <w:szCs w:val="21"/>
                <w:lang w:val="zh-CN"/>
              </w:rPr>
              <w:t>不符合</w:t>
            </w:r>
          </w:p>
          <w:p w14:paraId="6CF973E2">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bCs/>
                <w:color w:val="auto"/>
                <w:kern w:val="0"/>
                <w:sz w:val="21"/>
                <w:szCs w:val="21"/>
                <w:lang w:val="zh-CN"/>
              </w:rPr>
            </w:pPr>
            <w:r>
              <w:rPr>
                <w:rFonts w:hint="default" w:ascii="Times New Roman" w:hAnsi="Times New Roman" w:eastAsia="宋体" w:cs="Times New Roman"/>
                <w:bCs/>
                <w:color w:val="auto"/>
                <w:kern w:val="0"/>
                <w:sz w:val="21"/>
                <w:szCs w:val="21"/>
                <w:lang w:val="zh-CN"/>
              </w:rPr>
              <w:t>即否决</w:t>
            </w:r>
          </w:p>
        </w:tc>
        <w:tc>
          <w:tcPr>
            <w:tcW w:w="535" w:type="dxa"/>
            <w:noWrap w:val="0"/>
            <w:vAlign w:val="center"/>
          </w:tcPr>
          <w:p w14:paraId="5CF24A89">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符合</w:t>
            </w:r>
          </w:p>
        </w:tc>
      </w:tr>
      <w:tr w14:paraId="051FD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190" w:hRule="atLeast"/>
          <w:jc w:val="center"/>
        </w:trPr>
        <w:tc>
          <w:tcPr>
            <w:tcW w:w="733" w:type="dxa"/>
            <w:vMerge w:val="restart"/>
            <w:noWrap w:val="0"/>
            <w:vAlign w:val="center"/>
          </w:tcPr>
          <w:p w14:paraId="70A06E28">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2.设计与</w:t>
            </w:r>
          </w:p>
          <w:p w14:paraId="501BF4F0">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评价</w:t>
            </w:r>
          </w:p>
        </w:tc>
        <w:tc>
          <w:tcPr>
            <w:tcW w:w="2937" w:type="dxa"/>
            <w:noWrap w:val="0"/>
            <w:vAlign w:val="center"/>
          </w:tcPr>
          <w:p w14:paraId="20D1F16A">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2.1尾矿库的勘察、设计、施工及施工监理、安全评价等工作必须由具有相应资质的单位承担。</w:t>
            </w:r>
          </w:p>
        </w:tc>
        <w:tc>
          <w:tcPr>
            <w:tcW w:w="1501" w:type="dxa"/>
            <w:noWrap w:val="0"/>
            <w:vAlign w:val="center"/>
          </w:tcPr>
          <w:p w14:paraId="119F32B6">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《尾矿库安全监督管理规定》</w:t>
            </w:r>
          </w:p>
          <w:p w14:paraId="15BBB5B4">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sz w:val="21"/>
                <w:szCs w:val="21"/>
              </w:rPr>
              <w:t>第十条</w:t>
            </w:r>
          </w:p>
        </w:tc>
        <w:tc>
          <w:tcPr>
            <w:tcW w:w="925" w:type="dxa"/>
            <w:noWrap w:val="0"/>
            <w:vAlign w:val="center"/>
          </w:tcPr>
          <w:p w14:paraId="39699644">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查设计文件、有效证书</w:t>
            </w:r>
          </w:p>
        </w:tc>
        <w:tc>
          <w:tcPr>
            <w:tcW w:w="827" w:type="dxa"/>
            <w:noWrap w:val="0"/>
            <w:vAlign w:val="center"/>
          </w:tcPr>
          <w:p w14:paraId="1480D099">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《稳定性分析报告》（中国瑞林，2021年1月）</w:t>
            </w:r>
          </w:p>
        </w:tc>
        <w:tc>
          <w:tcPr>
            <w:tcW w:w="731" w:type="dxa"/>
            <w:noWrap w:val="0"/>
            <w:vAlign w:val="center"/>
          </w:tcPr>
          <w:p w14:paraId="7B1C95E7">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否决项</w:t>
            </w:r>
          </w:p>
        </w:tc>
        <w:tc>
          <w:tcPr>
            <w:tcW w:w="1097" w:type="dxa"/>
            <w:vMerge w:val="continue"/>
            <w:noWrap w:val="0"/>
            <w:vAlign w:val="center"/>
          </w:tcPr>
          <w:p w14:paraId="41A17433">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535" w:type="dxa"/>
            <w:noWrap w:val="0"/>
            <w:vAlign w:val="center"/>
          </w:tcPr>
          <w:p w14:paraId="7CD1BAA3">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符合</w:t>
            </w:r>
          </w:p>
        </w:tc>
      </w:tr>
      <w:tr w14:paraId="4B796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733" w:type="dxa"/>
            <w:vMerge w:val="continue"/>
            <w:noWrap w:val="0"/>
            <w:vAlign w:val="center"/>
          </w:tcPr>
          <w:p w14:paraId="5F7E6B51">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2937" w:type="dxa"/>
            <w:noWrap w:val="0"/>
            <w:vAlign w:val="center"/>
          </w:tcPr>
          <w:p w14:paraId="5E5ACF97">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2.2尾矿坝堆积至设计最终坝高的1/2～2/3高度时，应对尾矿堆积坝进行工勘和稳定性分析。</w:t>
            </w:r>
          </w:p>
        </w:tc>
        <w:tc>
          <w:tcPr>
            <w:tcW w:w="1501" w:type="dxa"/>
            <w:noWrap w:val="0"/>
            <w:vAlign w:val="center"/>
          </w:tcPr>
          <w:p w14:paraId="1C029C71">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sz w:val="21"/>
                <w:szCs w:val="21"/>
              </w:rPr>
              <w:t>《尾矿设施设计规范》第4.4.1条，《尾矿库安全监督管理规定》第十九条；《尾矿库安全规程》第6.1.9条</w:t>
            </w:r>
          </w:p>
        </w:tc>
        <w:tc>
          <w:tcPr>
            <w:tcW w:w="925" w:type="dxa"/>
            <w:noWrap w:val="0"/>
            <w:vAlign w:val="center"/>
          </w:tcPr>
          <w:p w14:paraId="74AC045C">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查工勘和稳定性分析文件</w:t>
            </w:r>
          </w:p>
        </w:tc>
        <w:tc>
          <w:tcPr>
            <w:tcW w:w="827" w:type="dxa"/>
            <w:noWrap w:val="0"/>
            <w:vAlign w:val="center"/>
          </w:tcPr>
          <w:p w14:paraId="2A07FB27">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en-US"/>
              </w:rPr>
            </w:pPr>
            <w:r>
              <w:rPr>
                <w:rFonts w:hint="eastAsia" w:ascii="Times New Roman" w:hAnsi="Times New Roman" w:eastAsia="宋体" w:cs="Times New Roman"/>
                <w:color w:val="auto"/>
                <w:kern w:val="0"/>
                <w:sz w:val="21"/>
                <w:szCs w:val="21"/>
                <w:lang w:val="en-US" w:eastAsia="zh-CN"/>
              </w:rPr>
              <w:t>《稳定性分析报告》（中国瑞林，2021年1月）</w:t>
            </w:r>
          </w:p>
        </w:tc>
        <w:tc>
          <w:tcPr>
            <w:tcW w:w="731" w:type="dxa"/>
            <w:noWrap w:val="0"/>
            <w:vAlign w:val="center"/>
          </w:tcPr>
          <w:p w14:paraId="02F20B22">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否决项</w:t>
            </w:r>
          </w:p>
        </w:tc>
        <w:tc>
          <w:tcPr>
            <w:tcW w:w="1097" w:type="dxa"/>
            <w:vMerge w:val="continue"/>
            <w:noWrap w:val="0"/>
            <w:vAlign w:val="center"/>
          </w:tcPr>
          <w:p w14:paraId="0EE94C78">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535" w:type="dxa"/>
            <w:noWrap w:val="0"/>
            <w:vAlign w:val="center"/>
          </w:tcPr>
          <w:p w14:paraId="73478907">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符合</w:t>
            </w:r>
          </w:p>
        </w:tc>
      </w:tr>
      <w:tr w14:paraId="14B57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598" w:hRule="atLeast"/>
          <w:jc w:val="center"/>
        </w:trPr>
        <w:tc>
          <w:tcPr>
            <w:tcW w:w="733" w:type="dxa"/>
            <w:vMerge w:val="continue"/>
            <w:noWrap w:val="0"/>
            <w:vAlign w:val="center"/>
          </w:tcPr>
          <w:p w14:paraId="184AC4AA">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2937" w:type="dxa"/>
            <w:noWrap w:val="0"/>
            <w:vAlign w:val="center"/>
          </w:tcPr>
          <w:p w14:paraId="57F6EF1B">
            <w:pPr>
              <w:keepNext w:val="0"/>
              <w:keepLines w:val="0"/>
              <w:pageBreakBefore w:val="0"/>
              <w:widowControl w:val="0"/>
              <w:kinsoku/>
              <w:wordWrap/>
              <w:overflowPunct/>
              <w:topLinePunct w:val="0"/>
              <w:bidi w:val="0"/>
              <w:snapToGrid/>
              <w:spacing w:line="280" w:lineRule="exact"/>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2.3在用尾矿库进行回采再利用或闭库、停用的尾矿库重新启用或改作他用时，必须按照尾矿库建设的规定进行工程设计、安全评价和审批。</w:t>
            </w:r>
          </w:p>
        </w:tc>
        <w:tc>
          <w:tcPr>
            <w:tcW w:w="1501" w:type="dxa"/>
            <w:vMerge w:val="restart"/>
            <w:noWrap w:val="0"/>
            <w:vAlign w:val="center"/>
          </w:tcPr>
          <w:p w14:paraId="7A729892">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《尾矿库安全规程》第4.1、7.2、7.4、7.10条；《尾矿库安全监督管理规定》第二十七条</w:t>
            </w:r>
          </w:p>
        </w:tc>
        <w:tc>
          <w:tcPr>
            <w:tcW w:w="925" w:type="dxa"/>
            <w:vMerge w:val="restart"/>
            <w:noWrap w:val="0"/>
            <w:vAlign w:val="center"/>
          </w:tcPr>
          <w:p w14:paraId="5416A3F0">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1、查有关资料、文件、制度及规程、规范</w:t>
            </w:r>
          </w:p>
          <w:p w14:paraId="553EB98C">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2、查工勘和稳定性分析文件</w:t>
            </w:r>
          </w:p>
        </w:tc>
        <w:tc>
          <w:tcPr>
            <w:tcW w:w="827" w:type="dxa"/>
            <w:vMerge w:val="restart"/>
            <w:noWrap w:val="0"/>
            <w:vAlign w:val="center"/>
          </w:tcPr>
          <w:p w14:paraId="7AA682CC">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zh-CN"/>
              </w:rPr>
              <w:t>《回采工程设计》（金建工程，2024年3月）</w:t>
            </w:r>
            <w:r>
              <w:rPr>
                <w:rFonts w:hint="eastAsia" w:cs="Times New Roman"/>
                <w:color w:val="auto"/>
                <w:kern w:val="0"/>
                <w:sz w:val="21"/>
                <w:szCs w:val="21"/>
                <w:lang w:val="zh-CN"/>
              </w:rPr>
              <w:t>，</w:t>
            </w:r>
            <w:r>
              <w:rPr>
                <w:rFonts w:hint="eastAsia" w:cs="Times New Roman"/>
                <w:color w:val="auto"/>
                <w:kern w:val="0"/>
                <w:sz w:val="21"/>
                <w:szCs w:val="21"/>
                <w:lang w:val="en-US" w:eastAsia="zh-CN"/>
              </w:rPr>
              <w:t>但未实施</w:t>
            </w:r>
          </w:p>
        </w:tc>
        <w:tc>
          <w:tcPr>
            <w:tcW w:w="731" w:type="dxa"/>
            <w:vMerge w:val="restart"/>
            <w:noWrap w:val="0"/>
            <w:vAlign w:val="center"/>
          </w:tcPr>
          <w:p w14:paraId="61ED74D8">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否决项</w:t>
            </w:r>
          </w:p>
        </w:tc>
        <w:tc>
          <w:tcPr>
            <w:tcW w:w="1097" w:type="dxa"/>
            <w:vMerge w:val="restart"/>
            <w:noWrap w:val="0"/>
            <w:vAlign w:val="center"/>
          </w:tcPr>
          <w:p w14:paraId="3E9D9B35">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无设计或设计未经批准的否决，出现影响安全的倒扣6分</w:t>
            </w:r>
          </w:p>
        </w:tc>
        <w:tc>
          <w:tcPr>
            <w:tcW w:w="535" w:type="dxa"/>
            <w:noWrap w:val="0"/>
            <w:vAlign w:val="center"/>
          </w:tcPr>
          <w:p w14:paraId="6ABF67CA">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eastAsia" w:ascii="Times New Roman" w:hAnsi="Times New Roman" w:eastAsia="宋体" w:cs="Times New Roman"/>
                <w:color w:val="auto"/>
                <w:kern w:val="0"/>
                <w:sz w:val="21"/>
                <w:szCs w:val="21"/>
                <w:lang w:val="zh-CN" w:eastAsia="zh-CN"/>
              </w:rPr>
            </w:pPr>
            <w:r>
              <w:rPr>
                <w:rFonts w:hint="eastAsia" w:ascii="Times New Roman" w:hAnsi="Times New Roman" w:eastAsia="宋体" w:cs="Times New Roman"/>
                <w:color w:val="auto"/>
                <w:kern w:val="0"/>
                <w:sz w:val="21"/>
                <w:szCs w:val="21"/>
                <w:lang w:val="en-US" w:eastAsia="zh-CN"/>
              </w:rPr>
              <w:t>/</w:t>
            </w:r>
          </w:p>
        </w:tc>
      </w:tr>
      <w:tr w14:paraId="3BB16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656" w:hRule="atLeast"/>
          <w:jc w:val="center"/>
        </w:trPr>
        <w:tc>
          <w:tcPr>
            <w:tcW w:w="733" w:type="dxa"/>
            <w:vMerge w:val="continue"/>
            <w:noWrap w:val="0"/>
            <w:vAlign w:val="center"/>
          </w:tcPr>
          <w:p w14:paraId="6BBD8D25">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2937" w:type="dxa"/>
            <w:noWrap w:val="0"/>
            <w:vAlign w:val="center"/>
          </w:tcPr>
          <w:p w14:paraId="419D73A7">
            <w:pPr>
              <w:keepNext w:val="0"/>
              <w:keepLines w:val="0"/>
              <w:pageBreakBefore w:val="0"/>
              <w:widowControl w:val="0"/>
              <w:kinsoku/>
              <w:wordWrap/>
              <w:overflowPunct/>
              <w:topLinePunct w:val="0"/>
              <w:bidi w:val="0"/>
              <w:snapToGrid/>
              <w:spacing w:line="280" w:lineRule="exact"/>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2.4进行回采再利用时，必须严格按照批准的设计规划进行回采、排砂和排水，不得影响继续使用的尾矿坝和排洪设施的安全。</w:t>
            </w:r>
          </w:p>
        </w:tc>
        <w:tc>
          <w:tcPr>
            <w:tcW w:w="1501" w:type="dxa"/>
            <w:vMerge w:val="continue"/>
            <w:noWrap w:val="0"/>
            <w:vAlign w:val="center"/>
          </w:tcPr>
          <w:p w14:paraId="2857244A">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sz w:val="21"/>
                <w:szCs w:val="21"/>
              </w:rPr>
            </w:pPr>
          </w:p>
        </w:tc>
        <w:tc>
          <w:tcPr>
            <w:tcW w:w="925" w:type="dxa"/>
            <w:vMerge w:val="continue"/>
            <w:noWrap w:val="0"/>
            <w:vAlign w:val="center"/>
          </w:tcPr>
          <w:p w14:paraId="3E72B420">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827" w:type="dxa"/>
            <w:vMerge w:val="continue"/>
            <w:noWrap w:val="0"/>
            <w:vAlign w:val="center"/>
          </w:tcPr>
          <w:p w14:paraId="69B976B7">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731" w:type="dxa"/>
            <w:vMerge w:val="continue"/>
            <w:noWrap w:val="0"/>
            <w:vAlign w:val="center"/>
          </w:tcPr>
          <w:p w14:paraId="0B3E9AF9">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1097" w:type="dxa"/>
            <w:vMerge w:val="continue"/>
            <w:noWrap w:val="0"/>
            <w:vAlign w:val="center"/>
          </w:tcPr>
          <w:p w14:paraId="5195F3CC">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535" w:type="dxa"/>
            <w:noWrap w:val="0"/>
            <w:vAlign w:val="center"/>
          </w:tcPr>
          <w:p w14:paraId="0F6A42EE">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eastAsia" w:ascii="Times New Roman" w:hAnsi="Times New Roman" w:eastAsia="宋体" w:cs="Times New Roman"/>
                <w:color w:val="auto"/>
                <w:kern w:val="0"/>
                <w:sz w:val="21"/>
                <w:szCs w:val="21"/>
                <w:lang w:val="zh-CN" w:eastAsia="zh-CN"/>
              </w:rPr>
            </w:pPr>
            <w:r>
              <w:rPr>
                <w:rFonts w:hint="eastAsia" w:ascii="Times New Roman" w:hAnsi="Times New Roman" w:eastAsia="宋体" w:cs="Times New Roman"/>
                <w:color w:val="auto"/>
                <w:kern w:val="0"/>
                <w:sz w:val="21"/>
                <w:szCs w:val="21"/>
                <w:lang w:val="en-US" w:eastAsia="zh-CN"/>
              </w:rPr>
              <w:t>/</w:t>
            </w:r>
          </w:p>
        </w:tc>
      </w:tr>
      <w:tr w14:paraId="6EFEE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77" w:hRule="atLeast"/>
          <w:jc w:val="center"/>
        </w:trPr>
        <w:tc>
          <w:tcPr>
            <w:tcW w:w="733" w:type="dxa"/>
            <w:vMerge w:val="restart"/>
            <w:noWrap w:val="0"/>
            <w:vAlign w:val="center"/>
          </w:tcPr>
          <w:p w14:paraId="66BE1D8A">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3.安全管理</w:t>
            </w:r>
          </w:p>
        </w:tc>
        <w:tc>
          <w:tcPr>
            <w:tcW w:w="2937" w:type="dxa"/>
            <w:noWrap w:val="0"/>
            <w:vAlign w:val="center"/>
          </w:tcPr>
          <w:p w14:paraId="3988097D">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3.1应有实测的尾矿库现状图（尾矿坝平、剖面图、排洪及排水设施系统图，实测图纸有效期为六个月内）及尾矿年排放计划</w:t>
            </w:r>
          </w:p>
        </w:tc>
        <w:tc>
          <w:tcPr>
            <w:tcW w:w="1501" w:type="dxa"/>
            <w:noWrap w:val="0"/>
            <w:vAlign w:val="center"/>
          </w:tcPr>
          <w:p w14:paraId="790D89FF">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sz w:val="21"/>
                <w:szCs w:val="21"/>
              </w:rPr>
              <w:t>《尾矿库安全规程》第6.1.2、11.1.3条《尾矿库安全监督管理规定》第二十二条</w:t>
            </w:r>
          </w:p>
        </w:tc>
        <w:tc>
          <w:tcPr>
            <w:tcW w:w="925" w:type="dxa"/>
            <w:noWrap w:val="0"/>
            <w:vAlign w:val="center"/>
          </w:tcPr>
          <w:p w14:paraId="23B9181F">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对照设计、现状查图纸资料</w:t>
            </w:r>
          </w:p>
        </w:tc>
        <w:tc>
          <w:tcPr>
            <w:tcW w:w="827" w:type="dxa"/>
            <w:noWrap w:val="0"/>
            <w:vAlign w:val="center"/>
          </w:tcPr>
          <w:p w14:paraId="45944B2F">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eastAsia" w:ascii="Times New Roman" w:hAnsi="Times New Roman" w:eastAsia="宋体" w:cs="Times New Roman"/>
                <w:color w:val="auto"/>
                <w:kern w:val="0"/>
                <w:sz w:val="21"/>
                <w:szCs w:val="21"/>
                <w:lang w:val="zh-CN" w:eastAsia="zh-CN"/>
              </w:rPr>
            </w:pPr>
            <w:r>
              <w:rPr>
                <w:rFonts w:hint="eastAsia" w:ascii="Times New Roman" w:hAnsi="Times New Roman" w:eastAsia="宋体" w:cs="Times New Roman"/>
                <w:color w:val="auto"/>
                <w:kern w:val="0"/>
                <w:sz w:val="21"/>
                <w:szCs w:val="21"/>
                <w:lang w:val="en-US" w:eastAsia="zh-CN"/>
              </w:rPr>
              <w:t>无</w:t>
            </w:r>
            <w:r>
              <w:rPr>
                <w:rFonts w:hint="default" w:ascii="Times New Roman" w:hAnsi="Times New Roman" w:eastAsia="宋体" w:cs="Times New Roman"/>
                <w:color w:val="auto"/>
                <w:kern w:val="0"/>
                <w:sz w:val="21"/>
                <w:szCs w:val="21"/>
                <w:lang w:val="zh-CN"/>
              </w:rPr>
              <w:t>尾矿年排放计划</w:t>
            </w:r>
            <w:r>
              <w:rPr>
                <w:rFonts w:hint="eastAsia" w:cs="Times New Roman"/>
                <w:color w:val="auto"/>
                <w:kern w:val="0"/>
                <w:sz w:val="21"/>
                <w:szCs w:val="21"/>
                <w:lang w:val="zh-CN"/>
              </w:rPr>
              <w:t>，</w:t>
            </w:r>
            <w:r>
              <w:rPr>
                <w:rFonts w:hint="eastAsia" w:ascii="Times New Roman" w:hAnsi="Times New Roman" w:eastAsia="宋体" w:cs="Times New Roman"/>
                <w:color w:val="auto"/>
                <w:kern w:val="0"/>
                <w:sz w:val="21"/>
                <w:szCs w:val="21"/>
                <w:lang w:val="en-US" w:eastAsia="zh-CN"/>
              </w:rPr>
              <w:t>准备闭库</w:t>
            </w:r>
          </w:p>
        </w:tc>
        <w:tc>
          <w:tcPr>
            <w:tcW w:w="731" w:type="dxa"/>
            <w:noWrap w:val="0"/>
            <w:vAlign w:val="center"/>
          </w:tcPr>
          <w:p w14:paraId="2D617945">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否决项</w:t>
            </w:r>
          </w:p>
        </w:tc>
        <w:tc>
          <w:tcPr>
            <w:tcW w:w="1097" w:type="dxa"/>
            <w:noWrap w:val="0"/>
            <w:vAlign w:val="center"/>
          </w:tcPr>
          <w:p w14:paraId="4B7F3D4D">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无图纸的否决，无计划的倒扣3分</w:t>
            </w:r>
          </w:p>
        </w:tc>
        <w:tc>
          <w:tcPr>
            <w:tcW w:w="535" w:type="dxa"/>
            <w:noWrap w:val="0"/>
            <w:vAlign w:val="center"/>
          </w:tcPr>
          <w:p w14:paraId="631C6D5C">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符合</w:t>
            </w:r>
          </w:p>
        </w:tc>
      </w:tr>
      <w:tr w14:paraId="2FD60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33" w:type="dxa"/>
            <w:vMerge w:val="continue"/>
            <w:noWrap w:val="0"/>
            <w:vAlign w:val="center"/>
          </w:tcPr>
          <w:p w14:paraId="7892347D">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2937" w:type="dxa"/>
            <w:noWrap w:val="0"/>
            <w:vAlign w:val="center"/>
          </w:tcPr>
          <w:p w14:paraId="604587C5">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3.2建立和健全各级各岗位人员安全生产责任制</w:t>
            </w:r>
          </w:p>
          <w:p w14:paraId="1F2E618C">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3.2.1尾矿库主要负责人安全生产责任制；</w:t>
            </w:r>
          </w:p>
          <w:p w14:paraId="1DB5CBA5">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3.2.2尾矿库分管负责人安全生产责任制；</w:t>
            </w:r>
          </w:p>
          <w:p w14:paraId="27E1A81B">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3.2.3尾矿库安全生产管理人员安全生产责任制；</w:t>
            </w:r>
          </w:p>
          <w:p w14:paraId="6A5C406B">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3.2.4尾矿库职能管理部门安全生产责任制；</w:t>
            </w:r>
          </w:p>
          <w:p w14:paraId="041D902E">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3.2.5尾矿工岗位安全生产责任制。</w:t>
            </w:r>
          </w:p>
        </w:tc>
        <w:tc>
          <w:tcPr>
            <w:tcW w:w="1501" w:type="dxa"/>
            <w:noWrap w:val="0"/>
            <w:vAlign w:val="center"/>
          </w:tcPr>
          <w:p w14:paraId="0EFF7CCB">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《尾矿库安全监督管理规定》第四条；《尾矿库安全规程》第6.1.1条；《安全生产法》《安全生产许可征条例》国家安监局、煤监局第9号令</w:t>
            </w:r>
          </w:p>
        </w:tc>
        <w:tc>
          <w:tcPr>
            <w:tcW w:w="925" w:type="dxa"/>
            <w:noWrap w:val="0"/>
            <w:vAlign w:val="center"/>
          </w:tcPr>
          <w:p w14:paraId="35FB7EAF">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1、查有关资料、文件、制度及规程、规范</w:t>
            </w:r>
          </w:p>
          <w:p w14:paraId="6560F00B">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2、查有效证件、</w:t>
            </w:r>
          </w:p>
          <w:p w14:paraId="4EF9484C">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证书</w:t>
            </w:r>
          </w:p>
        </w:tc>
        <w:tc>
          <w:tcPr>
            <w:tcW w:w="827" w:type="dxa"/>
            <w:noWrap w:val="0"/>
            <w:vAlign w:val="center"/>
          </w:tcPr>
          <w:p w14:paraId="02AA69F5">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eastAsia" w:cs="Times New Roman"/>
                <w:color w:val="auto"/>
                <w:kern w:val="0"/>
                <w:sz w:val="21"/>
                <w:szCs w:val="21"/>
                <w:lang w:val="en-US" w:eastAsia="zh-CN"/>
              </w:rPr>
              <w:t>无</w:t>
            </w:r>
          </w:p>
        </w:tc>
        <w:tc>
          <w:tcPr>
            <w:tcW w:w="731" w:type="dxa"/>
            <w:noWrap w:val="0"/>
            <w:vAlign w:val="center"/>
          </w:tcPr>
          <w:p w14:paraId="5AD0A388">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10</w:t>
            </w:r>
          </w:p>
        </w:tc>
        <w:tc>
          <w:tcPr>
            <w:tcW w:w="1097" w:type="dxa"/>
            <w:noWrap w:val="0"/>
            <w:vAlign w:val="center"/>
          </w:tcPr>
          <w:p w14:paraId="5B56AD02">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缺1项</w:t>
            </w:r>
          </w:p>
          <w:p w14:paraId="3F80B09B">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扣2分</w:t>
            </w:r>
          </w:p>
        </w:tc>
        <w:tc>
          <w:tcPr>
            <w:tcW w:w="535" w:type="dxa"/>
            <w:noWrap w:val="0"/>
            <w:vAlign w:val="center"/>
          </w:tcPr>
          <w:p w14:paraId="4F46F9F9">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eastAsia" w:ascii="Times New Roman" w:hAnsi="Times New Roman" w:eastAsia="宋体" w:cs="Times New Roman"/>
                <w:color w:val="auto"/>
                <w:kern w:val="0"/>
                <w:sz w:val="21"/>
                <w:szCs w:val="21"/>
                <w:lang w:val="zh-CN" w:eastAsia="zh-CN"/>
              </w:rPr>
            </w:pPr>
            <w:r>
              <w:rPr>
                <w:rFonts w:hint="eastAsia" w:cs="Times New Roman"/>
                <w:color w:val="auto"/>
                <w:kern w:val="0"/>
                <w:sz w:val="21"/>
                <w:szCs w:val="21"/>
                <w:lang w:val="en-US" w:eastAsia="zh-CN"/>
              </w:rPr>
              <w:t>0</w:t>
            </w:r>
          </w:p>
        </w:tc>
      </w:tr>
      <w:tr w14:paraId="431CB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33" w:type="dxa"/>
            <w:vMerge w:val="restart"/>
            <w:noWrap w:val="0"/>
            <w:vAlign w:val="center"/>
          </w:tcPr>
          <w:p w14:paraId="4F7259CD">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3.安</w:t>
            </w:r>
          </w:p>
          <w:p w14:paraId="7813CBF5">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全管</w:t>
            </w:r>
          </w:p>
          <w:p w14:paraId="6E011B11">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理</w:t>
            </w:r>
          </w:p>
        </w:tc>
        <w:tc>
          <w:tcPr>
            <w:tcW w:w="2937" w:type="dxa"/>
            <w:noWrap w:val="0"/>
            <w:vAlign w:val="center"/>
          </w:tcPr>
          <w:p w14:paraId="423ED71D">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3.3企业应建立各项安全生产管理规章制度</w:t>
            </w:r>
          </w:p>
          <w:p w14:paraId="10664E99">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3.3.1尾矿库日常和定期的检查制度；</w:t>
            </w:r>
          </w:p>
          <w:p w14:paraId="03D0B950">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3.3.2尾矿库应急管理制度</w:t>
            </w:r>
          </w:p>
          <w:p w14:paraId="50C5BF8B">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3.3.3隐患排查与整改制度；</w:t>
            </w:r>
          </w:p>
          <w:p w14:paraId="687DDC95">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3.3.4特殊状况安全检查制度；</w:t>
            </w:r>
          </w:p>
          <w:p w14:paraId="5FC1B937">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3.3.5安全评价制度；</w:t>
            </w:r>
          </w:p>
          <w:p w14:paraId="0E626477">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3.3.6尾矿库事故管理制度；</w:t>
            </w:r>
          </w:p>
          <w:p w14:paraId="28661487">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3.3.7监控、监测制度。</w:t>
            </w:r>
          </w:p>
        </w:tc>
        <w:tc>
          <w:tcPr>
            <w:tcW w:w="1501" w:type="dxa"/>
            <w:vMerge w:val="restart"/>
            <w:noWrap w:val="0"/>
            <w:vAlign w:val="center"/>
          </w:tcPr>
          <w:p w14:paraId="59AF219D">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sz w:val="21"/>
                <w:szCs w:val="21"/>
              </w:rPr>
              <w:t>《金属非金属矿山安全规程》第4.2、4.3、4.4、4.5条；《尾矿库安全规程》第6.1.1条；《尾矿库安全监督管理规定》第四、五、六、二十一条；《特种作业人员安全技术培训考核管理规定》《安全生产培训管理办法》；《关于印发〈企业安全生产费用提取和使用管理办法〉的通知》《江西省安全生产委员会关于在全省高危行业领域实施安全生产责任保险制度的指导意见》；《国家安全监管总局办公厅关于修改用人单位劳动防护用品管理规范的通知》</w:t>
            </w:r>
          </w:p>
        </w:tc>
        <w:tc>
          <w:tcPr>
            <w:tcW w:w="925" w:type="dxa"/>
            <w:vMerge w:val="restart"/>
            <w:noWrap w:val="0"/>
            <w:vAlign w:val="center"/>
          </w:tcPr>
          <w:p w14:paraId="1AB331AB">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1、查有关资料、文件、制度及规程、规范</w:t>
            </w:r>
          </w:p>
          <w:p w14:paraId="610ED3B4">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2、查有效证件、证书</w:t>
            </w:r>
          </w:p>
          <w:p w14:paraId="334AAFEA">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827" w:type="dxa"/>
            <w:noWrap w:val="0"/>
            <w:vAlign w:val="center"/>
          </w:tcPr>
          <w:p w14:paraId="157638CC">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eastAsia" w:ascii="Times New Roman" w:hAnsi="Times New Roman" w:eastAsia="宋体" w:cs="Times New Roman"/>
                <w:color w:val="auto"/>
                <w:kern w:val="0"/>
                <w:sz w:val="21"/>
                <w:szCs w:val="21"/>
                <w:lang w:val="zh-CN" w:eastAsia="zh-CN"/>
              </w:rPr>
            </w:pPr>
            <w:r>
              <w:rPr>
                <w:rFonts w:hint="eastAsia" w:cs="Times New Roman"/>
                <w:color w:val="auto"/>
                <w:kern w:val="0"/>
                <w:sz w:val="21"/>
                <w:szCs w:val="21"/>
                <w:lang w:val="en-US" w:eastAsia="zh-CN"/>
              </w:rPr>
              <w:t>无</w:t>
            </w:r>
          </w:p>
        </w:tc>
        <w:tc>
          <w:tcPr>
            <w:tcW w:w="731" w:type="dxa"/>
            <w:noWrap w:val="0"/>
            <w:vAlign w:val="center"/>
          </w:tcPr>
          <w:p w14:paraId="23EFBE00">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14</w:t>
            </w:r>
          </w:p>
        </w:tc>
        <w:tc>
          <w:tcPr>
            <w:tcW w:w="1097" w:type="dxa"/>
            <w:noWrap w:val="0"/>
            <w:vAlign w:val="center"/>
          </w:tcPr>
          <w:p w14:paraId="3F997C7C">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制度缺1项扣1分；1项制度未运行或运行差扣1分</w:t>
            </w:r>
          </w:p>
        </w:tc>
        <w:tc>
          <w:tcPr>
            <w:tcW w:w="535" w:type="dxa"/>
            <w:noWrap w:val="0"/>
            <w:vAlign w:val="center"/>
          </w:tcPr>
          <w:p w14:paraId="5E89C648">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0</w:t>
            </w:r>
          </w:p>
        </w:tc>
      </w:tr>
      <w:tr w14:paraId="4956F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733" w:type="dxa"/>
            <w:vMerge w:val="continue"/>
            <w:noWrap w:val="0"/>
            <w:vAlign w:val="center"/>
          </w:tcPr>
          <w:p w14:paraId="2A1CAEFC">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2937" w:type="dxa"/>
            <w:noWrap w:val="0"/>
            <w:vAlign w:val="center"/>
          </w:tcPr>
          <w:p w14:paraId="51B8E4B7">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3.4制定各工种岗位安全操作规程。</w:t>
            </w:r>
          </w:p>
        </w:tc>
        <w:tc>
          <w:tcPr>
            <w:tcW w:w="1501" w:type="dxa"/>
            <w:vMerge w:val="continue"/>
            <w:noWrap w:val="0"/>
            <w:vAlign w:val="center"/>
          </w:tcPr>
          <w:p w14:paraId="4113B7DB">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925" w:type="dxa"/>
            <w:vMerge w:val="continue"/>
            <w:noWrap w:val="0"/>
            <w:vAlign w:val="center"/>
          </w:tcPr>
          <w:p w14:paraId="44DF07C2">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827" w:type="dxa"/>
            <w:noWrap w:val="0"/>
            <w:vAlign w:val="center"/>
          </w:tcPr>
          <w:p w14:paraId="301FDED3">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eastAsia" w:cs="Times New Roman"/>
                <w:color w:val="auto"/>
                <w:kern w:val="0"/>
                <w:sz w:val="21"/>
                <w:szCs w:val="21"/>
                <w:lang w:val="en-US" w:eastAsia="zh-CN"/>
              </w:rPr>
              <w:t>无</w:t>
            </w:r>
          </w:p>
        </w:tc>
        <w:tc>
          <w:tcPr>
            <w:tcW w:w="731" w:type="dxa"/>
            <w:noWrap w:val="0"/>
            <w:vAlign w:val="center"/>
          </w:tcPr>
          <w:p w14:paraId="544B4A6E">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2</w:t>
            </w:r>
          </w:p>
        </w:tc>
        <w:tc>
          <w:tcPr>
            <w:tcW w:w="1097" w:type="dxa"/>
            <w:noWrap w:val="0"/>
            <w:vAlign w:val="center"/>
          </w:tcPr>
          <w:p w14:paraId="06A3D4D5">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缺1项</w:t>
            </w:r>
          </w:p>
          <w:p w14:paraId="40890BA9">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扣1分</w:t>
            </w:r>
          </w:p>
        </w:tc>
        <w:tc>
          <w:tcPr>
            <w:tcW w:w="535" w:type="dxa"/>
            <w:noWrap w:val="0"/>
            <w:vAlign w:val="center"/>
          </w:tcPr>
          <w:p w14:paraId="6331C437">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eastAsia" w:cs="Times New Roman"/>
                <w:color w:val="auto"/>
                <w:kern w:val="0"/>
                <w:sz w:val="21"/>
                <w:szCs w:val="21"/>
                <w:lang w:val="en-US" w:eastAsia="zh-CN"/>
              </w:rPr>
              <w:t>0</w:t>
            </w:r>
          </w:p>
        </w:tc>
      </w:tr>
      <w:tr w14:paraId="046AD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33" w:type="dxa"/>
            <w:vMerge w:val="continue"/>
            <w:noWrap w:val="0"/>
            <w:vAlign w:val="center"/>
          </w:tcPr>
          <w:p w14:paraId="1C5AEF78">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2937" w:type="dxa"/>
            <w:noWrap w:val="0"/>
            <w:vAlign w:val="center"/>
          </w:tcPr>
          <w:p w14:paraId="46596665">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3.5主要负责人、分管安全工作负责人和安全管理人员经过安全培训，考核合格，持证上岗。</w:t>
            </w:r>
          </w:p>
        </w:tc>
        <w:tc>
          <w:tcPr>
            <w:tcW w:w="1501" w:type="dxa"/>
            <w:vMerge w:val="continue"/>
            <w:noWrap w:val="0"/>
            <w:vAlign w:val="center"/>
          </w:tcPr>
          <w:p w14:paraId="3AD98DC5">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925" w:type="dxa"/>
            <w:vMerge w:val="continue"/>
            <w:noWrap w:val="0"/>
            <w:vAlign w:val="center"/>
          </w:tcPr>
          <w:p w14:paraId="274CA863">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827" w:type="dxa"/>
            <w:noWrap w:val="0"/>
            <w:vAlign w:val="center"/>
          </w:tcPr>
          <w:p w14:paraId="550F4ECB">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eastAsia" w:ascii="Times New Roman" w:hAnsi="Times New Roman" w:eastAsia="宋体" w:cs="Times New Roman"/>
                <w:color w:val="auto"/>
                <w:kern w:val="0"/>
                <w:sz w:val="21"/>
                <w:szCs w:val="21"/>
                <w:lang w:val="en-US" w:eastAsia="zh-CN"/>
              </w:rPr>
              <w:t>无</w:t>
            </w:r>
          </w:p>
        </w:tc>
        <w:tc>
          <w:tcPr>
            <w:tcW w:w="731" w:type="dxa"/>
            <w:noWrap w:val="0"/>
            <w:vAlign w:val="center"/>
          </w:tcPr>
          <w:p w14:paraId="7982BCA8">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否决项</w:t>
            </w:r>
          </w:p>
        </w:tc>
        <w:tc>
          <w:tcPr>
            <w:tcW w:w="1097" w:type="dxa"/>
            <w:noWrap w:val="0"/>
            <w:vAlign w:val="center"/>
          </w:tcPr>
          <w:p w14:paraId="4A9B33A3">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任一类</w:t>
            </w:r>
          </w:p>
          <w:p w14:paraId="67096FF8">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人员无证</w:t>
            </w:r>
          </w:p>
          <w:p w14:paraId="1A20FE68">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就否</w:t>
            </w:r>
          </w:p>
        </w:tc>
        <w:tc>
          <w:tcPr>
            <w:tcW w:w="535" w:type="dxa"/>
            <w:noWrap w:val="0"/>
            <w:vAlign w:val="center"/>
          </w:tcPr>
          <w:p w14:paraId="6B56485E">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eastAsia" w:ascii="Times New Roman" w:hAnsi="Times New Roman" w:eastAsia="宋体" w:cs="Times New Roman"/>
                <w:color w:val="auto"/>
                <w:kern w:val="0"/>
                <w:sz w:val="21"/>
                <w:szCs w:val="21"/>
                <w:lang w:val="en-US" w:eastAsia="zh-CN"/>
              </w:rPr>
              <w:t>不</w:t>
            </w:r>
            <w:r>
              <w:rPr>
                <w:rFonts w:hint="default" w:ascii="Times New Roman" w:hAnsi="Times New Roman" w:eastAsia="宋体" w:cs="Times New Roman"/>
                <w:color w:val="auto"/>
                <w:kern w:val="0"/>
                <w:sz w:val="21"/>
                <w:szCs w:val="21"/>
                <w:lang w:val="zh-CN"/>
              </w:rPr>
              <w:t>符合</w:t>
            </w:r>
          </w:p>
        </w:tc>
      </w:tr>
      <w:tr w14:paraId="58089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33" w:type="dxa"/>
            <w:vMerge w:val="continue"/>
            <w:noWrap w:val="0"/>
            <w:vAlign w:val="center"/>
          </w:tcPr>
          <w:p w14:paraId="5E7CD689">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2937" w:type="dxa"/>
            <w:noWrap w:val="0"/>
            <w:vAlign w:val="center"/>
          </w:tcPr>
          <w:p w14:paraId="008472D2">
            <w:pPr>
              <w:keepNext w:val="0"/>
              <w:keepLines w:val="0"/>
              <w:pageBreakBefore w:val="0"/>
              <w:widowControl w:val="0"/>
              <w:kinsoku/>
              <w:wordWrap/>
              <w:overflowPunct/>
              <w:topLinePunct w:val="0"/>
              <w:autoSpaceDE w:val="0"/>
              <w:autoSpaceDN w:val="0"/>
              <w:bidi w:val="0"/>
              <w:snapToGrid/>
              <w:spacing w:line="28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3.6特种作业人员经有关部门考核合格，取得上岗资格。</w:t>
            </w:r>
          </w:p>
        </w:tc>
        <w:tc>
          <w:tcPr>
            <w:tcW w:w="1501" w:type="dxa"/>
            <w:vMerge w:val="continue"/>
            <w:noWrap w:val="0"/>
            <w:vAlign w:val="center"/>
          </w:tcPr>
          <w:p w14:paraId="47B69A3F">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925" w:type="dxa"/>
            <w:vMerge w:val="continue"/>
            <w:noWrap w:val="0"/>
            <w:vAlign w:val="center"/>
          </w:tcPr>
          <w:p w14:paraId="2109B381">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827" w:type="dxa"/>
            <w:noWrap w:val="0"/>
            <w:vAlign w:val="center"/>
          </w:tcPr>
          <w:p w14:paraId="24804E7B">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en-US"/>
              </w:rPr>
            </w:pPr>
            <w:r>
              <w:rPr>
                <w:rFonts w:hint="eastAsia" w:ascii="Times New Roman" w:hAnsi="Times New Roman" w:eastAsia="宋体" w:cs="Times New Roman"/>
                <w:color w:val="auto"/>
                <w:kern w:val="0"/>
                <w:sz w:val="21"/>
                <w:szCs w:val="21"/>
                <w:lang w:val="en-US" w:eastAsia="zh-CN"/>
              </w:rPr>
              <w:t>有</w:t>
            </w:r>
            <w:r>
              <w:rPr>
                <w:rFonts w:hint="eastAsia" w:cs="Times New Roman"/>
                <w:color w:val="auto"/>
                <w:kern w:val="0"/>
                <w:sz w:val="21"/>
                <w:szCs w:val="21"/>
                <w:lang w:val="en-US" w:eastAsia="zh-CN"/>
              </w:rPr>
              <w:t>1人持证上岗</w:t>
            </w:r>
          </w:p>
        </w:tc>
        <w:tc>
          <w:tcPr>
            <w:tcW w:w="731" w:type="dxa"/>
            <w:noWrap w:val="0"/>
            <w:vAlign w:val="center"/>
          </w:tcPr>
          <w:p w14:paraId="1D46F0CE">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否决项</w:t>
            </w:r>
          </w:p>
        </w:tc>
        <w:tc>
          <w:tcPr>
            <w:tcW w:w="1097" w:type="dxa"/>
            <w:noWrap w:val="0"/>
            <w:vAlign w:val="center"/>
          </w:tcPr>
          <w:p w14:paraId="02A62FB5">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尾矿工</w:t>
            </w:r>
          </w:p>
          <w:p w14:paraId="673DBCC4">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无证就否</w:t>
            </w:r>
          </w:p>
        </w:tc>
        <w:tc>
          <w:tcPr>
            <w:tcW w:w="535" w:type="dxa"/>
            <w:noWrap w:val="0"/>
            <w:vAlign w:val="center"/>
          </w:tcPr>
          <w:p w14:paraId="29CE5975">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符合</w:t>
            </w:r>
          </w:p>
        </w:tc>
      </w:tr>
      <w:tr w14:paraId="2178F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33" w:type="dxa"/>
            <w:vMerge w:val="continue"/>
            <w:noWrap w:val="0"/>
            <w:vAlign w:val="center"/>
          </w:tcPr>
          <w:p w14:paraId="4ECACB1B">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2937" w:type="dxa"/>
            <w:noWrap w:val="0"/>
            <w:vAlign w:val="center"/>
          </w:tcPr>
          <w:p w14:paraId="0F07FCF3">
            <w:pPr>
              <w:keepNext w:val="0"/>
              <w:keepLines w:val="0"/>
              <w:pageBreakBefore w:val="0"/>
              <w:widowControl w:val="0"/>
              <w:kinsoku/>
              <w:wordWrap/>
              <w:overflowPunct/>
              <w:topLinePunct w:val="0"/>
              <w:autoSpaceDE w:val="0"/>
              <w:autoSpaceDN w:val="0"/>
              <w:bidi w:val="0"/>
              <w:snapToGrid/>
              <w:spacing w:line="28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3.7对从业人员进行安全知识培训，新员工、转岗员工应接受三级安全教育。</w:t>
            </w:r>
          </w:p>
        </w:tc>
        <w:tc>
          <w:tcPr>
            <w:tcW w:w="1501" w:type="dxa"/>
            <w:vMerge w:val="continue"/>
            <w:noWrap w:val="0"/>
            <w:vAlign w:val="center"/>
          </w:tcPr>
          <w:p w14:paraId="5985B6FB">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925" w:type="dxa"/>
            <w:vMerge w:val="continue"/>
            <w:noWrap w:val="0"/>
            <w:vAlign w:val="center"/>
          </w:tcPr>
          <w:p w14:paraId="457EB16D">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827" w:type="dxa"/>
            <w:noWrap w:val="0"/>
            <w:vAlign w:val="center"/>
          </w:tcPr>
          <w:p w14:paraId="325B44BC">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eastAsia" w:ascii="Times New Roman" w:hAnsi="Times New Roman" w:eastAsia="宋体" w:cs="Times New Roman"/>
                <w:color w:val="auto"/>
                <w:kern w:val="0"/>
                <w:sz w:val="21"/>
                <w:szCs w:val="21"/>
                <w:lang w:val="en-US" w:eastAsia="zh-CN"/>
              </w:rPr>
              <w:t>无</w:t>
            </w:r>
          </w:p>
        </w:tc>
        <w:tc>
          <w:tcPr>
            <w:tcW w:w="731" w:type="dxa"/>
            <w:noWrap w:val="0"/>
            <w:vAlign w:val="center"/>
          </w:tcPr>
          <w:p w14:paraId="1331FA9B">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3</w:t>
            </w:r>
          </w:p>
        </w:tc>
        <w:tc>
          <w:tcPr>
            <w:tcW w:w="1097" w:type="dxa"/>
            <w:vMerge w:val="restart"/>
            <w:noWrap w:val="0"/>
            <w:vAlign w:val="center"/>
          </w:tcPr>
          <w:p w14:paraId="750E977C">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不符合</w:t>
            </w:r>
          </w:p>
          <w:p w14:paraId="45DFAE69">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不得分</w:t>
            </w:r>
          </w:p>
        </w:tc>
        <w:tc>
          <w:tcPr>
            <w:tcW w:w="535" w:type="dxa"/>
            <w:noWrap w:val="0"/>
            <w:vAlign w:val="center"/>
          </w:tcPr>
          <w:p w14:paraId="793F6F1A">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eastAsia" w:ascii="Times New Roman" w:hAnsi="Times New Roman" w:eastAsia="宋体" w:cs="Times New Roman"/>
                <w:color w:val="auto"/>
                <w:kern w:val="0"/>
                <w:sz w:val="21"/>
                <w:szCs w:val="21"/>
                <w:lang w:val="en-US" w:eastAsia="zh-CN"/>
              </w:rPr>
              <w:t>0</w:t>
            </w:r>
          </w:p>
        </w:tc>
      </w:tr>
      <w:tr w14:paraId="1380D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481" w:hRule="atLeast"/>
          <w:jc w:val="center"/>
        </w:trPr>
        <w:tc>
          <w:tcPr>
            <w:tcW w:w="733" w:type="dxa"/>
            <w:vMerge w:val="continue"/>
            <w:noWrap w:val="0"/>
            <w:vAlign w:val="center"/>
          </w:tcPr>
          <w:p w14:paraId="5E38D1CA">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2937" w:type="dxa"/>
            <w:noWrap w:val="0"/>
            <w:vAlign w:val="center"/>
          </w:tcPr>
          <w:p w14:paraId="4467CFEF">
            <w:pPr>
              <w:keepNext w:val="0"/>
              <w:keepLines w:val="0"/>
              <w:pageBreakBefore w:val="0"/>
              <w:widowControl w:val="0"/>
              <w:kinsoku/>
              <w:wordWrap/>
              <w:overflowPunct/>
              <w:topLinePunct w:val="0"/>
              <w:autoSpaceDE w:val="0"/>
              <w:autoSpaceDN w:val="0"/>
              <w:bidi w:val="0"/>
              <w:snapToGrid/>
              <w:spacing w:line="28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3.8制定应急救援预案及进行不定期演练，有与邻近应急救援组织签订的救护协议。</w:t>
            </w:r>
          </w:p>
        </w:tc>
        <w:tc>
          <w:tcPr>
            <w:tcW w:w="1501" w:type="dxa"/>
            <w:vMerge w:val="continue"/>
            <w:noWrap w:val="0"/>
            <w:vAlign w:val="center"/>
          </w:tcPr>
          <w:p w14:paraId="53A73C68">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925" w:type="dxa"/>
            <w:vMerge w:val="continue"/>
            <w:noWrap w:val="0"/>
            <w:vAlign w:val="center"/>
          </w:tcPr>
          <w:p w14:paraId="6A90FDA2">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827" w:type="dxa"/>
            <w:noWrap w:val="0"/>
            <w:vAlign w:val="center"/>
          </w:tcPr>
          <w:p w14:paraId="310ADB5C">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zh-CN"/>
              </w:rPr>
              <w:t>应急</w:t>
            </w:r>
            <w:r>
              <w:rPr>
                <w:rFonts w:hint="eastAsia" w:ascii="Times New Roman" w:hAnsi="Times New Roman" w:eastAsia="宋体" w:cs="Times New Roman"/>
                <w:color w:val="auto"/>
                <w:kern w:val="0"/>
                <w:sz w:val="21"/>
                <w:szCs w:val="21"/>
                <w:lang w:val="en-US" w:eastAsia="zh-CN"/>
              </w:rPr>
              <w:t>预案已进行演练，没有应急救援协议</w:t>
            </w:r>
          </w:p>
        </w:tc>
        <w:tc>
          <w:tcPr>
            <w:tcW w:w="731" w:type="dxa"/>
            <w:noWrap w:val="0"/>
            <w:vAlign w:val="center"/>
          </w:tcPr>
          <w:p w14:paraId="149B82DB">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5</w:t>
            </w:r>
          </w:p>
        </w:tc>
        <w:tc>
          <w:tcPr>
            <w:tcW w:w="1097" w:type="dxa"/>
            <w:vMerge w:val="continue"/>
            <w:noWrap w:val="0"/>
            <w:vAlign w:val="center"/>
          </w:tcPr>
          <w:p w14:paraId="02278DB8">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535" w:type="dxa"/>
            <w:noWrap w:val="0"/>
            <w:vAlign w:val="center"/>
          </w:tcPr>
          <w:p w14:paraId="1368F6C8">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eastAsia" w:ascii="Times New Roman" w:hAnsi="Times New Roman" w:eastAsia="宋体" w:cs="Times New Roman"/>
                <w:color w:val="auto"/>
                <w:kern w:val="0"/>
                <w:sz w:val="21"/>
                <w:szCs w:val="21"/>
                <w:lang w:val="zh-CN" w:eastAsia="zh-CN"/>
              </w:rPr>
            </w:pPr>
            <w:r>
              <w:rPr>
                <w:rFonts w:hint="eastAsia" w:ascii="Times New Roman" w:hAnsi="Times New Roman" w:eastAsia="宋体" w:cs="Times New Roman"/>
                <w:color w:val="auto"/>
                <w:kern w:val="0"/>
                <w:sz w:val="21"/>
                <w:szCs w:val="21"/>
                <w:lang w:val="en-US" w:eastAsia="zh-CN"/>
              </w:rPr>
              <w:t>0</w:t>
            </w:r>
          </w:p>
        </w:tc>
      </w:tr>
      <w:tr w14:paraId="2323D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83" w:hRule="atLeast"/>
          <w:jc w:val="center"/>
        </w:trPr>
        <w:tc>
          <w:tcPr>
            <w:tcW w:w="733" w:type="dxa"/>
            <w:vMerge w:val="continue"/>
            <w:noWrap w:val="0"/>
            <w:vAlign w:val="center"/>
          </w:tcPr>
          <w:p w14:paraId="4DB43253">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2937" w:type="dxa"/>
            <w:noWrap w:val="0"/>
            <w:vAlign w:val="center"/>
          </w:tcPr>
          <w:p w14:paraId="1649E0D0">
            <w:pPr>
              <w:keepNext w:val="0"/>
              <w:keepLines w:val="0"/>
              <w:pageBreakBefore w:val="0"/>
              <w:widowControl w:val="0"/>
              <w:kinsoku/>
              <w:wordWrap/>
              <w:overflowPunct/>
              <w:topLinePunct w:val="0"/>
              <w:autoSpaceDE w:val="0"/>
              <w:autoSpaceDN w:val="0"/>
              <w:bidi w:val="0"/>
              <w:snapToGrid/>
              <w:spacing w:line="28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3.9按规定提取和使用安全技术措施费用；</w:t>
            </w:r>
          </w:p>
          <w:p w14:paraId="7113346C">
            <w:pPr>
              <w:keepNext w:val="0"/>
              <w:keepLines w:val="0"/>
              <w:pageBreakBefore w:val="0"/>
              <w:widowControl w:val="0"/>
              <w:kinsoku/>
              <w:wordWrap/>
              <w:overflowPunct/>
              <w:topLinePunct w:val="0"/>
              <w:autoSpaceDE w:val="0"/>
              <w:autoSpaceDN w:val="0"/>
              <w:bidi w:val="0"/>
              <w:snapToGrid/>
              <w:spacing w:line="28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3.9.1有保证安全生产投入的文件；</w:t>
            </w:r>
          </w:p>
          <w:p w14:paraId="5E6AD72B">
            <w:pPr>
              <w:keepNext w:val="0"/>
              <w:keepLines w:val="0"/>
              <w:pageBreakBefore w:val="0"/>
              <w:widowControl w:val="0"/>
              <w:kinsoku/>
              <w:wordWrap/>
              <w:overflowPunct/>
              <w:topLinePunct w:val="0"/>
              <w:autoSpaceDE w:val="0"/>
              <w:autoSpaceDN w:val="0"/>
              <w:bidi w:val="0"/>
              <w:snapToGrid/>
              <w:spacing w:line="28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3.9.2有安全投入使用计划；</w:t>
            </w:r>
          </w:p>
          <w:p w14:paraId="24C3BEBA">
            <w:pPr>
              <w:keepNext w:val="0"/>
              <w:keepLines w:val="0"/>
              <w:pageBreakBefore w:val="0"/>
              <w:widowControl w:val="0"/>
              <w:kinsoku/>
              <w:wordWrap/>
              <w:overflowPunct/>
              <w:topLinePunct w:val="0"/>
              <w:autoSpaceDE w:val="0"/>
              <w:autoSpaceDN w:val="0"/>
              <w:bidi w:val="0"/>
              <w:snapToGrid/>
              <w:spacing w:line="28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3.9.3有购置安全设施设备等实物证明。</w:t>
            </w:r>
          </w:p>
        </w:tc>
        <w:tc>
          <w:tcPr>
            <w:tcW w:w="1501" w:type="dxa"/>
            <w:vMerge w:val="continue"/>
            <w:noWrap w:val="0"/>
            <w:vAlign w:val="center"/>
          </w:tcPr>
          <w:p w14:paraId="3A97A2C1">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925" w:type="dxa"/>
            <w:vMerge w:val="continue"/>
            <w:noWrap w:val="0"/>
            <w:vAlign w:val="center"/>
          </w:tcPr>
          <w:p w14:paraId="42CB4749">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827" w:type="dxa"/>
            <w:noWrap w:val="0"/>
            <w:vAlign w:val="center"/>
          </w:tcPr>
          <w:p w14:paraId="67BA3160">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无</w:t>
            </w:r>
          </w:p>
        </w:tc>
        <w:tc>
          <w:tcPr>
            <w:tcW w:w="731" w:type="dxa"/>
            <w:noWrap w:val="0"/>
            <w:vAlign w:val="center"/>
          </w:tcPr>
          <w:p w14:paraId="6E140C58">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5</w:t>
            </w:r>
          </w:p>
        </w:tc>
        <w:tc>
          <w:tcPr>
            <w:tcW w:w="1097" w:type="dxa"/>
            <w:noWrap w:val="0"/>
            <w:vAlign w:val="center"/>
          </w:tcPr>
          <w:p w14:paraId="66EDA764">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缺1项</w:t>
            </w:r>
          </w:p>
          <w:p w14:paraId="5FB6C749">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扣1分</w:t>
            </w:r>
          </w:p>
        </w:tc>
        <w:tc>
          <w:tcPr>
            <w:tcW w:w="535" w:type="dxa"/>
            <w:noWrap w:val="0"/>
            <w:vAlign w:val="center"/>
          </w:tcPr>
          <w:p w14:paraId="0F689C33">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eastAsia" w:ascii="Times New Roman" w:hAnsi="Times New Roman" w:eastAsia="宋体" w:cs="Times New Roman"/>
                <w:color w:val="auto"/>
                <w:kern w:val="0"/>
                <w:sz w:val="21"/>
                <w:szCs w:val="21"/>
                <w:lang w:val="zh-CN" w:eastAsia="zh-CN"/>
              </w:rPr>
            </w:pPr>
            <w:r>
              <w:rPr>
                <w:rFonts w:hint="eastAsia" w:ascii="Times New Roman" w:hAnsi="Times New Roman" w:eastAsia="宋体" w:cs="Times New Roman"/>
                <w:color w:val="auto"/>
                <w:kern w:val="0"/>
                <w:sz w:val="21"/>
                <w:szCs w:val="21"/>
                <w:lang w:val="en-US" w:eastAsia="zh-CN"/>
              </w:rPr>
              <w:t>0</w:t>
            </w:r>
          </w:p>
        </w:tc>
      </w:tr>
      <w:tr w14:paraId="69D02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733" w:type="dxa"/>
            <w:vMerge w:val="continue"/>
            <w:noWrap w:val="0"/>
            <w:vAlign w:val="center"/>
          </w:tcPr>
          <w:p w14:paraId="02E1FA45">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2937" w:type="dxa"/>
            <w:noWrap w:val="0"/>
            <w:vAlign w:val="center"/>
          </w:tcPr>
          <w:p w14:paraId="6442390F">
            <w:pPr>
              <w:keepNext w:val="0"/>
              <w:keepLines w:val="0"/>
              <w:pageBreakBefore w:val="0"/>
              <w:widowControl w:val="0"/>
              <w:kinsoku/>
              <w:wordWrap/>
              <w:overflowPunct/>
              <w:topLinePunct w:val="0"/>
              <w:autoSpaceDE w:val="0"/>
              <w:autoSpaceDN w:val="0"/>
              <w:bidi w:val="0"/>
              <w:snapToGrid/>
              <w:spacing w:line="28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3.10从业人员按规定穿戴和使用劳动保护用品与用具。</w:t>
            </w:r>
          </w:p>
        </w:tc>
        <w:tc>
          <w:tcPr>
            <w:tcW w:w="1501" w:type="dxa"/>
            <w:vMerge w:val="continue"/>
            <w:noWrap w:val="0"/>
            <w:vAlign w:val="center"/>
          </w:tcPr>
          <w:p w14:paraId="4BD4190F">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925" w:type="dxa"/>
            <w:vMerge w:val="continue"/>
            <w:noWrap w:val="0"/>
            <w:vAlign w:val="center"/>
          </w:tcPr>
          <w:p w14:paraId="2F32C173">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827" w:type="dxa"/>
            <w:noWrap w:val="0"/>
            <w:vAlign w:val="center"/>
          </w:tcPr>
          <w:p w14:paraId="54BE17C1">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符合</w:t>
            </w:r>
          </w:p>
        </w:tc>
        <w:tc>
          <w:tcPr>
            <w:tcW w:w="731" w:type="dxa"/>
            <w:noWrap w:val="0"/>
            <w:vAlign w:val="center"/>
          </w:tcPr>
          <w:p w14:paraId="434DA83C">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2</w:t>
            </w:r>
          </w:p>
        </w:tc>
        <w:tc>
          <w:tcPr>
            <w:tcW w:w="1097" w:type="dxa"/>
            <w:vMerge w:val="restart"/>
            <w:noWrap w:val="0"/>
            <w:vAlign w:val="center"/>
          </w:tcPr>
          <w:p w14:paraId="7863D9CB">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不符合</w:t>
            </w:r>
          </w:p>
          <w:p w14:paraId="7DA22802">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不得分</w:t>
            </w:r>
          </w:p>
        </w:tc>
        <w:tc>
          <w:tcPr>
            <w:tcW w:w="535" w:type="dxa"/>
            <w:noWrap w:val="0"/>
            <w:vAlign w:val="center"/>
          </w:tcPr>
          <w:p w14:paraId="489F8D74">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eastAsia" w:ascii="Times New Roman" w:hAnsi="Times New Roman" w:eastAsia="宋体" w:cs="Times New Roman"/>
                <w:color w:val="auto"/>
                <w:kern w:val="0"/>
                <w:sz w:val="21"/>
                <w:szCs w:val="21"/>
                <w:lang w:val="en-US" w:eastAsia="zh-CN"/>
              </w:rPr>
              <w:t>2</w:t>
            </w:r>
          </w:p>
        </w:tc>
      </w:tr>
      <w:tr w14:paraId="73166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33" w:type="dxa"/>
            <w:vMerge w:val="continue"/>
            <w:noWrap w:val="0"/>
            <w:vAlign w:val="center"/>
          </w:tcPr>
          <w:p w14:paraId="442BDC8F">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2937" w:type="dxa"/>
            <w:noWrap w:val="0"/>
            <w:vAlign w:val="center"/>
          </w:tcPr>
          <w:p w14:paraId="1BFC9B82">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3.11参加安全生产保险；</w:t>
            </w:r>
          </w:p>
          <w:p w14:paraId="02DB9125">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3.12有为从业人员缴纳安全生产责任保险证明；</w:t>
            </w:r>
          </w:p>
          <w:p w14:paraId="4946A2BD">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3.13保险人数与从事尾矿库管理、尾矿工的实际人数相符。</w:t>
            </w:r>
          </w:p>
        </w:tc>
        <w:tc>
          <w:tcPr>
            <w:tcW w:w="1501" w:type="dxa"/>
            <w:vMerge w:val="continue"/>
            <w:noWrap w:val="0"/>
            <w:vAlign w:val="center"/>
          </w:tcPr>
          <w:p w14:paraId="1431D6B9">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925" w:type="dxa"/>
            <w:vMerge w:val="continue"/>
            <w:noWrap w:val="0"/>
            <w:vAlign w:val="center"/>
          </w:tcPr>
          <w:p w14:paraId="605CF7C4">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827" w:type="dxa"/>
            <w:noWrap w:val="0"/>
            <w:vAlign w:val="center"/>
          </w:tcPr>
          <w:p w14:paraId="08B87584">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eastAsia" w:cs="Times New Roman"/>
                <w:color w:val="auto"/>
                <w:kern w:val="0"/>
                <w:sz w:val="21"/>
                <w:szCs w:val="21"/>
                <w:lang w:val="en-US" w:eastAsia="zh-CN"/>
              </w:rPr>
              <w:t>部分员工参加了工伤保险</w:t>
            </w:r>
          </w:p>
        </w:tc>
        <w:tc>
          <w:tcPr>
            <w:tcW w:w="731" w:type="dxa"/>
            <w:noWrap w:val="0"/>
            <w:vAlign w:val="center"/>
          </w:tcPr>
          <w:p w14:paraId="7AE4C059">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5</w:t>
            </w:r>
          </w:p>
        </w:tc>
        <w:tc>
          <w:tcPr>
            <w:tcW w:w="1097" w:type="dxa"/>
            <w:vMerge w:val="continue"/>
            <w:noWrap w:val="0"/>
            <w:vAlign w:val="center"/>
          </w:tcPr>
          <w:p w14:paraId="3E244CFB">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535" w:type="dxa"/>
            <w:noWrap w:val="0"/>
            <w:vAlign w:val="center"/>
          </w:tcPr>
          <w:p w14:paraId="346092D8">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eastAsia" w:cs="Times New Roman"/>
                <w:color w:val="auto"/>
                <w:kern w:val="0"/>
                <w:sz w:val="21"/>
                <w:szCs w:val="21"/>
                <w:lang w:val="en-US" w:eastAsia="zh-CN"/>
              </w:rPr>
              <w:t>0</w:t>
            </w:r>
          </w:p>
        </w:tc>
      </w:tr>
      <w:tr w14:paraId="5F7BA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76" w:hRule="atLeast"/>
          <w:jc w:val="center"/>
        </w:trPr>
        <w:tc>
          <w:tcPr>
            <w:tcW w:w="733" w:type="dxa"/>
            <w:vMerge w:val="continue"/>
            <w:noWrap w:val="0"/>
            <w:vAlign w:val="center"/>
          </w:tcPr>
          <w:p w14:paraId="717CF4EE">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2937" w:type="dxa"/>
            <w:noWrap w:val="0"/>
            <w:vAlign w:val="center"/>
          </w:tcPr>
          <w:p w14:paraId="199BE5D7">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3.14应有防震与抗震措施。</w:t>
            </w:r>
          </w:p>
        </w:tc>
        <w:tc>
          <w:tcPr>
            <w:tcW w:w="1501" w:type="dxa"/>
            <w:noWrap w:val="0"/>
            <w:vAlign w:val="center"/>
          </w:tcPr>
          <w:p w14:paraId="278AA70B">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sz w:val="21"/>
                <w:szCs w:val="21"/>
              </w:rPr>
              <w:t>《尾矿库安全安全生产标准化评分办法》</w:t>
            </w:r>
          </w:p>
        </w:tc>
        <w:tc>
          <w:tcPr>
            <w:tcW w:w="925" w:type="dxa"/>
            <w:noWrap w:val="0"/>
            <w:vAlign w:val="center"/>
          </w:tcPr>
          <w:p w14:paraId="57CF9B82">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查记录</w:t>
            </w:r>
          </w:p>
        </w:tc>
        <w:tc>
          <w:tcPr>
            <w:tcW w:w="827" w:type="dxa"/>
            <w:noWrap w:val="0"/>
            <w:vAlign w:val="center"/>
          </w:tcPr>
          <w:p w14:paraId="5B318B05">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符合</w:t>
            </w:r>
          </w:p>
        </w:tc>
        <w:tc>
          <w:tcPr>
            <w:tcW w:w="731" w:type="dxa"/>
            <w:noWrap w:val="0"/>
            <w:vAlign w:val="center"/>
          </w:tcPr>
          <w:p w14:paraId="44D88E20">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5</w:t>
            </w:r>
          </w:p>
        </w:tc>
        <w:tc>
          <w:tcPr>
            <w:tcW w:w="1097" w:type="dxa"/>
            <w:vMerge w:val="continue"/>
            <w:noWrap w:val="0"/>
            <w:vAlign w:val="center"/>
          </w:tcPr>
          <w:p w14:paraId="6F8A2526">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535" w:type="dxa"/>
            <w:noWrap w:val="0"/>
            <w:vAlign w:val="center"/>
          </w:tcPr>
          <w:p w14:paraId="2532C8E4">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eastAsia" w:ascii="Times New Roman" w:hAnsi="Times New Roman" w:eastAsia="宋体" w:cs="Times New Roman"/>
                <w:color w:val="auto"/>
                <w:kern w:val="0"/>
                <w:sz w:val="21"/>
                <w:szCs w:val="21"/>
                <w:lang w:val="en-US" w:eastAsia="zh-CN"/>
              </w:rPr>
              <w:t>5</w:t>
            </w:r>
          </w:p>
        </w:tc>
      </w:tr>
      <w:tr w14:paraId="59C0F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33" w:type="dxa"/>
            <w:noWrap w:val="0"/>
            <w:vAlign w:val="center"/>
          </w:tcPr>
          <w:p w14:paraId="79547C89">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小计</w:t>
            </w:r>
          </w:p>
        </w:tc>
        <w:tc>
          <w:tcPr>
            <w:tcW w:w="2937" w:type="dxa"/>
            <w:noWrap w:val="0"/>
            <w:vAlign w:val="center"/>
          </w:tcPr>
          <w:p w14:paraId="0DC58EF0">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1501" w:type="dxa"/>
            <w:noWrap w:val="0"/>
            <w:vAlign w:val="center"/>
          </w:tcPr>
          <w:p w14:paraId="03D42DBB">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sz w:val="21"/>
                <w:szCs w:val="21"/>
              </w:rPr>
            </w:pPr>
          </w:p>
        </w:tc>
        <w:tc>
          <w:tcPr>
            <w:tcW w:w="925" w:type="dxa"/>
            <w:noWrap w:val="0"/>
            <w:vAlign w:val="center"/>
          </w:tcPr>
          <w:p w14:paraId="3413299C">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827" w:type="dxa"/>
            <w:noWrap w:val="0"/>
            <w:vAlign w:val="center"/>
          </w:tcPr>
          <w:p w14:paraId="556E24D7">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731" w:type="dxa"/>
            <w:noWrap w:val="0"/>
            <w:vAlign w:val="center"/>
          </w:tcPr>
          <w:p w14:paraId="346471DA">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51</w:t>
            </w:r>
          </w:p>
        </w:tc>
        <w:tc>
          <w:tcPr>
            <w:tcW w:w="1097" w:type="dxa"/>
            <w:noWrap w:val="0"/>
            <w:vAlign w:val="center"/>
          </w:tcPr>
          <w:p w14:paraId="78BC38C2">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535" w:type="dxa"/>
            <w:noWrap w:val="0"/>
            <w:vAlign w:val="center"/>
          </w:tcPr>
          <w:p w14:paraId="29858DAD">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7</w:t>
            </w:r>
          </w:p>
        </w:tc>
      </w:tr>
    </w:tbl>
    <w:p w14:paraId="6E145A70">
      <w:pPr>
        <w:pStyle w:val="4"/>
        <w:bidi w:val="0"/>
        <w:rPr>
          <w:rFonts w:hint="eastAsia"/>
          <w:color w:val="auto"/>
          <w:lang w:val="en-US" w:eastAsia="zh-CN"/>
        </w:rPr>
      </w:pPr>
      <w:bookmarkStart w:id="451" w:name="_Toc3381"/>
      <w:bookmarkStart w:id="452" w:name="_Toc32002"/>
      <w:bookmarkStart w:id="453" w:name="_Toc13960"/>
      <w:bookmarkStart w:id="454" w:name="_Toc12912"/>
      <w:bookmarkStart w:id="455" w:name="_Toc26657"/>
      <w:r>
        <w:rPr>
          <w:rFonts w:hint="default"/>
          <w:color w:val="auto"/>
          <w:lang w:val="en-US" w:eastAsia="zh-CN"/>
        </w:rPr>
        <w:t>5.1.2</w:t>
      </w:r>
      <w:r>
        <w:rPr>
          <w:rFonts w:hint="eastAsia"/>
          <w:color w:val="auto"/>
          <w:lang w:val="en-US" w:eastAsia="zh-CN"/>
        </w:rPr>
        <w:t xml:space="preserve"> 评价小结</w:t>
      </w:r>
      <w:bookmarkEnd w:id="451"/>
      <w:bookmarkEnd w:id="452"/>
      <w:bookmarkEnd w:id="453"/>
      <w:bookmarkEnd w:id="454"/>
      <w:bookmarkEnd w:id="455"/>
    </w:p>
    <w:p w14:paraId="5723D082">
      <w:pPr>
        <w:rPr>
          <w:rFonts w:hint="default"/>
          <w:color w:val="auto"/>
          <w:lang w:val="en-US" w:eastAsia="zh-CN"/>
        </w:rPr>
      </w:pPr>
      <w:r>
        <w:rPr>
          <w:rFonts w:hint="default"/>
          <w:color w:val="auto"/>
          <w:lang w:val="en-US" w:eastAsia="zh-CN"/>
        </w:rPr>
        <w:t>经检查，岿美山钨矿2018年初停产，尾矿库亦已停止使用</w:t>
      </w:r>
      <w:r>
        <w:rPr>
          <w:rFonts w:hint="eastAsia" w:ascii="Times New Roman" w:hAnsi="Times New Roman" w:cs="Times New Roman"/>
          <w:color w:val="auto"/>
          <w:lang w:val="en-US" w:eastAsia="zh-CN"/>
        </w:rPr>
        <w:t>至今</w:t>
      </w:r>
      <w:r>
        <w:rPr>
          <w:rFonts w:hint="eastAsia"/>
          <w:color w:val="auto"/>
          <w:lang w:val="en-US" w:eastAsia="zh-CN"/>
        </w:rPr>
        <w:t>。</w:t>
      </w:r>
      <w:r>
        <w:rPr>
          <w:rFonts w:hint="eastAsia"/>
          <w:strike w:val="0"/>
          <w:dstrike w:val="0"/>
          <w:color w:val="auto"/>
          <w:lang w:val="en-US" w:eastAsia="zh-CN"/>
        </w:rPr>
        <w:t>岿美山尾矿库目前未取得安全生产许可证，无主要负责人、</w:t>
      </w:r>
      <w:r>
        <w:rPr>
          <w:rFonts w:hint="eastAsia"/>
          <w:color w:val="auto"/>
          <w:lang w:val="en-US" w:eastAsia="zh-CN"/>
        </w:rPr>
        <w:t>安全生产管理人员，仅有1名尾矿工持证上岗，不满足现行法律法规要求。</w:t>
      </w:r>
      <w:r>
        <w:rPr>
          <w:rFonts w:hint="default"/>
          <w:color w:val="auto"/>
          <w:lang w:val="en-US" w:eastAsia="zh-CN"/>
        </w:rPr>
        <w:t>尾矿库综合安全管理单元应得分51分，实际分</w:t>
      </w:r>
      <w:r>
        <w:rPr>
          <w:rFonts w:hint="eastAsia"/>
          <w:color w:val="auto"/>
          <w:lang w:val="en-US" w:eastAsia="zh-CN"/>
        </w:rPr>
        <w:t>7</w:t>
      </w:r>
      <w:r>
        <w:rPr>
          <w:rFonts w:hint="default"/>
          <w:color w:val="auto"/>
          <w:lang w:val="en-US" w:eastAsia="zh-CN"/>
        </w:rPr>
        <w:t>分，得分率为</w:t>
      </w:r>
      <w:r>
        <w:rPr>
          <w:rFonts w:hint="eastAsia"/>
          <w:color w:val="auto"/>
          <w:lang w:val="en-US" w:eastAsia="zh-CN"/>
        </w:rPr>
        <w:t>13.73</w:t>
      </w:r>
      <w:r>
        <w:rPr>
          <w:rFonts w:hint="default"/>
          <w:color w:val="auto"/>
          <w:lang w:val="en-US" w:eastAsia="zh-CN"/>
        </w:rPr>
        <w:t>%。</w:t>
      </w:r>
    </w:p>
    <w:p w14:paraId="035D4E7D">
      <w:pPr>
        <w:rPr>
          <w:rFonts w:hint="default"/>
          <w:color w:val="auto"/>
          <w:lang w:val="en-US" w:eastAsia="zh-CN"/>
        </w:rPr>
      </w:pPr>
      <w:r>
        <w:rPr>
          <w:rFonts w:hint="default"/>
          <w:color w:val="auto"/>
          <w:lang w:val="en-US" w:eastAsia="zh-CN"/>
        </w:rPr>
        <w:t>江西岿美山钨业有限公司委托赣州有色冶金研究所有限公司完成了尾矿库隐蔽致灾因素普查工作，</w:t>
      </w:r>
      <w:r>
        <w:rPr>
          <w:rFonts w:hint="eastAsia"/>
          <w:color w:val="auto"/>
          <w:lang w:val="en-US" w:eastAsia="zh-CN"/>
        </w:rPr>
        <w:t>提交了相应报告，报告通过了专家评审，符合相关规范要求。</w:t>
      </w:r>
    </w:p>
    <w:p w14:paraId="7B97F13D">
      <w:pPr>
        <w:keepNext/>
        <w:keepLines/>
        <w:widowControl w:val="0"/>
        <w:bidi w:val="0"/>
        <w:spacing w:beforeLines="0" w:beforeAutospacing="0" w:afterLines="0" w:afterAutospacing="0" w:line="360" w:lineRule="auto"/>
        <w:ind w:left="280" w:leftChars="100" w:firstLine="0" w:firstLineChars="0"/>
        <w:jc w:val="both"/>
        <w:outlineLvl w:val="1"/>
        <w:rPr>
          <w:rFonts w:hint="eastAsia" w:ascii="Times New Roman" w:hAnsi="Times New Roman" w:eastAsia="黑体" w:cs="Times New Roman"/>
          <w:b/>
          <w:color w:val="auto"/>
          <w:kern w:val="2"/>
          <w:sz w:val="30"/>
          <w:szCs w:val="24"/>
          <w:lang w:val="en-US" w:eastAsia="zh-CN" w:bidi="ar-SA"/>
        </w:rPr>
      </w:pPr>
      <w:bookmarkStart w:id="456" w:name="_Toc22364"/>
      <w:bookmarkStart w:id="457" w:name="_Toc25306"/>
      <w:bookmarkStart w:id="458" w:name="_Toc16010"/>
      <w:bookmarkStart w:id="459" w:name="_Toc22418"/>
      <w:bookmarkStart w:id="460" w:name="_Toc20366"/>
      <w:bookmarkStart w:id="461" w:name="_Toc3825"/>
      <w:bookmarkStart w:id="462" w:name="_Toc665"/>
      <w:bookmarkStart w:id="463" w:name="_Toc30259"/>
      <w:bookmarkStart w:id="464" w:name="_Toc6170"/>
      <w:r>
        <w:rPr>
          <w:rFonts w:hint="eastAsia" w:ascii="Times New Roman" w:hAnsi="Times New Roman" w:eastAsia="黑体" w:cs="Times New Roman"/>
          <w:b/>
          <w:color w:val="auto"/>
          <w:kern w:val="2"/>
          <w:sz w:val="30"/>
          <w:szCs w:val="24"/>
          <w:lang w:val="en-US" w:eastAsia="zh-CN" w:bidi="ar-SA"/>
        </w:rPr>
        <w:t>5.2 尾矿坝体单元</w:t>
      </w:r>
      <w:bookmarkEnd w:id="456"/>
      <w:bookmarkEnd w:id="457"/>
      <w:bookmarkEnd w:id="458"/>
      <w:bookmarkEnd w:id="459"/>
      <w:bookmarkEnd w:id="460"/>
      <w:bookmarkEnd w:id="461"/>
      <w:bookmarkEnd w:id="462"/>
      <w:bookmarkEnd w:id="463"/>
    </w:p>
    <w:p w14:paraId="532F1C13">
      <w:pPr>
        <w:keepNext/>
        <w:keepLines/>
        <w:widowControl w:val="0"/>
        <w:bidi w:val="0"/>
        <w:spacing w:beforeLines="0" w:beforeAutospacing="0" w:afterLines="0" w:afterAutospacing="0" w:line="360" w:lineRule="auto"/>
        <w:ind w:left="560" w:leftChars="200" w:firstLine="0" w:firstLineChars="0"/>
        <w:jc w:val="both"/>
        <w:outlineLvl w:val="2"/>
        <w:rPr>
          <w:rFonts w:hint="eastAsia" w:ascii="Times New Roman" w:hAnsi="Times New Roman" w:eastAsia="黑体" w:cs="Times New Roman"/>
          <w:b/>
          <w:color w:val="auto"/>
          <w:kern w:val="2"/>
          <w:sz w:val="28"/>
          <w:szCs w:val="24"/>
          <w:lang w:val="en-US" w:eastAsia="zh-CN" w:bidi="ar-SA"/>
        </w:rPr>
      </w:pPr>
      <w:bookmarkStart w:id="465" w:name="_Toc7403"/>
      <w:bookmarkStart w:id="466" w:name="_Toc26048"/>
      <w:bookmarkStart w:id="467" w:name="_Toc25059"/>
      <w:bookmarkStart w:id="468" w:name="_Toc6112"/>
      <w:bookmarkStart w:id="469" w:name="_Toc9824"/>
      <w:bookmarkStart w:id="470" w:name="_Toc428"/>
      <w:bookmarkStart w:id="471" w:name="_Toc30188"/>
      <w:bookmarkStart w:id="472" w:name="_Toc17723"/>
      <w:r>
        <w:rPr>
          <w:rFonts w:hint="eastAsia" w:ascii="Times New Roman" w:hAnsi="Times New Roman" w:eastAsia="黑体" w:cs="Times New Roman"/>
          <w:b/>
          <w:color w:val="auto"/>
          <w:kern w:val="2"/>
          <w:sz w:val="28"/>
          <w:szCs w:val="24"/>
          <w:lang w:val="en-US" w:eastAsia="zh-CN" w:bidi="ar-SA"/>
        </w:rPr>
        <w:t>5.2.1 安全检查表评价</w:t>
      </w:r>
      <w:bookmarkEnd w:id="465"/>
      <w:bookmarkEnd w:id="466"/>
      <w:bookmarkEnd w:id="467"/>
      <w:bookmarkEnd w:id="468"/>
      <w:bookmarkEnd w:id="469"/>
      <w:bookmarkEnd w:id="470"/>
      <w:bookmarkEnd w:id="471"/>
      <w:bookmarkEnd w:id="472"/>
    </w:p>
    <w:p w14:paraId="10A20FFF">
      <w:pPr>
        <w:bidi w:val="0"/>
        <w:ind w:firstLine="883"/>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运用《江西省尾矿库安全检查表》对岿美山尾矿库坝体现状进行评判，对其安全性进行评述，具体见表5</w:t>
      </w:r>
      <w:r>
        <w:rPr>
          <w:rFonts w:hint="eastAsia" w:ascii="Times New Roman" w:hAnsi="Times New Roman" w:eastAsia="宋体" w:cs="Times New Roman"/>
          <w:color w:val="auto"/>
          <w:lang w:val="en-US" w:eastAsia="zh-CN"/>
        </w:rPr>
        <w:t>.2</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1</w:t>
      </w:r>
      <w:r>
        <w:rPr>
          <w:rFonts w:hint="eastAsia" w:ascii="Times New Roman" w:hAnsi="Times New Roman" w:eastAsia="宋体" w:cs="Times New Roman"/>
          <w:color w:val="auto"/>
          <w:lang w:eastAsia="zh-CN"/>
        </w:rPr>
        <w:t>。</w:t>
      </w:r>
    </w:p>
    <w:p w14:paraId="783871A9">
      <w:pPr>
        <w:bidi w:val="0"/>
        <w:ind w:left="0" w:leftChars="0" w:firstLine="0" w:firstLineChars="0"/>
        <w:jc w:val="center"/>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表5</w:t>
      </w:r>
      <w:r>
        <w:rPr>
          <w:rFonts w:hint="eastAsia" w:ascii="Times New Roman" w:hAnsi="Times New Roman" w:eastAsia="宋体" w:cs="Times New Roman"/>
          <w:color w:val="auto"/>
          <w:lang w:val="en-US" w:eastAsia="zh-CN"/>
        </w:rPr>
        <w:t>.2</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1</w:t>
      </w:r>
      <w:r>
        <w:rPr>
          <w:rFonts w:hint="eastAsia" w:ascii="Times New Roman" w:hAnsi="Times New Roman" w:eastAsia="宋体" w:cs="Times New Roman"/>
          <w:color w:val="auto"/>
          <w:lang w:eastAsia="zh-CN"/>
        </w:rPr>
        <w:t xml:space="preserve"> 尾矿坝体安全检查表</w:t>
      </w:r>
    </w:p>
    <w:tbl>
      <w:tblPr>
        <w:tblStyle w:val="32"/>
        <w:tblW w:w="89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510"/>
        <w:gridCol w:w="300"/>
        <w:gridCol w:w="2929"/>
        <w:gridCol w:w="1055"/>
        <w:gridCol w:w="999"/>
        <w:gridCol w:w="1114"/>
        <w:gridCol w:w="544"/>
        <w:gridCol w:w="751"/>
        <w:gridCol w:w="775"/>
      </w:tblGrid>
      <w:tr w14:paraId="66668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42" w:hRule="atLeast"/>
          <w:jc w:val="center"/>
        </w:trPr>
        <w:tc>
          <w:tcPr>
            <w:tcW w:w="810" w:type="dxa"/>
            <w:gridSpan w:val="2"/>
            <w:noWrap w:val="0"/>
            <w:vAlign w:val="center"/>
          </w:tcPr>
          <w:p w14:paraId="4DA94B6B">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zh-CN"/>
              </w:rPr>
            </w:pPr>
            <w:r>
              <w:rPr>
                <w:rFonts w:hint="default" w:ascii="Times New Roman" w:hAnsi="Times New Roman" w:eastAsia="宋体" w:cs="Times New Roman"/>
                <w:b/>
                <w:bCs/>
                <w:color w:val="auto"/>
                <w:kern w:val="0"/>
                <w:sz w:val="21"/>
                <w:szCs w:val="21"/>
                <w:lang w:val="zh-CN"/>
              </w:rPr>
              <w:t>项目</w:t>
            </w:r>
          </w:p>
        </w:tc>
        <w:tc>
          <w:tcPr>
            <w:tcW w:w="2929" w:type="dxa"/>
            <w:noWrap w:val="0"/>
            <w:vAlign w:val="center"/>
          </w:tcPr>
          <w:p w14:paraId="2D27C24C">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rPr>
              <w:t>检查内容</w:t>
            </w:r>
          </w:p>
        </w:tc>
        <w:tc>
          <w:tcPr>
            <w:tcW w:w="1055" w:type="dxa"/>
            <w:noWrap w:val="0"/>
            <w:vAlign w:val="center"/>
          </w:tcPr>
          <w:p w14:paraId="60A51C6E">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检查依据</w:t>
            </w:r>
          </w:p>
        </w:tc>
        <w:tc>
          <w:tcPr>
            <w:tcW w:w="999" w:type="dxa"/>
            <w:noWrap w:val="0"/>
            <w:vAlign w:val="center"/>
          </w:tcPr>
          <w:p w14:paraId="0456E64A">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zh-CN"/>
              </w:rPr>
            </w:pPr>
            <w:r>
              <w:rPr>
                <w:rFonts w:hint="default" w:ascii="Times New Roman" w:hAnsi="Times New Roman" w:eastAsia="宋体" w:cs="Times New Roman"/>
                <w:b/>
                <w:bCs/>
                <w:color w:val="auto"/>
                <w:sz w:val="21"/>
                <w:szCs w:val="21"/>
              </w:rPr>
              <w:t>检查方法及地点</w:t>
            </w:r>
          </w:p>
        </w:tc>
        <w:tc>
          <w:tcPr>
            <w:tcW w:w="1114" w:type="dxa"/>
            <w:noWrap w:val="0"/>
            <w:vAlign w:val="center"/>
          </w:tcPr>
          <w:p w14:paraId="488DA51A">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检查</w:t>
            </w:r>
          </w:p>
          <w:p w14:paraId="2AF915DC">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zh-CN"/>
              </w:rPr>
            </w:pPr>
            <w:r>
              <w:rPr>
                <w:rFonts w:hint="default" w:ascii="Times New Roman" w:hAnsi="Times New Roman" w:eastAsia="宋体" w:cs="Times New Roman"/>
                <w:b/>
                <w:bCs/>
                <w:color w:val="auto"/>
                <w:sz w:val="21"/>
                <w:szCs w:val="21"/>
              </w:rPr>
              <w:t>记录</w:t>
            </w:r>
          </w:p>
        </w:tc>
        <w:tc>
          <w:tcPr>
            <w:tcW w:w="544" w:type="dxa"/>
            <w:noWrap w:val="0"/>
            <w:vAlign w:val="center"/>
          </w:tcPr>
          <w:p w14:paraId="055AF74C">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zh-CN"/>
              </w:rPr>
            </w:pPr>
            <w:r>
              <w:rPr>
                <w:rFonts w:hint="default" w:ascii="Times New Roman" w:hAnsi="Times New Roman" w:eastAsia="宋体" w:cs="Times New Roman"/>
                <w:b/>
                <w:bCs/>
                <w:color w:val="auto"/>
                <w:kern w:val="0"/>
                <w:sz w:val="21"/>
                <w:szCs w:val="21"/>
                <w:lang w:val="zh-CN"/>
              </w:rPr>
              <w:t>标准</w:t>
            </w:r>
          </w:p>
          <w:p w14:paraId="63AF7AB9">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zh-CN"/>
              </w:rPr>
            </w:pPr>
            <w:r>
              <w:rPr>
                <w:rFonts w:hint="default" w:ascii="Times New Roman" w:hAnsi="Times New Roman" w:eastAsia="宋体" w:cs="Times New Roman"/>
                <w:b/>
                <w:bCs/>
                <w:color w:val="auto"/>
                <w:kern w:val="0"/>
                <w:sz w:val="21"/>
                <w:szCs w:val="21"/>
                <w:lang w:val="zh-CN"/>
              </w:rPr>
              <w:t>分值</w:t>
            </w:r>
          </w:p>
        </w:tc>
        <w:tc>
          <w:tcPr>
            <w:tcW w:w="751" w:type="dxa"/>
            <w:noWrap w:val="0"/>
            <w:vAlign w:val="center"/>
          </w:tcPr>
          <w:p w14:paraId="24E92EFB">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zh-CN"/>
              </w:rPr>
            </w:pPr>
            <w:r>
              <w:rPr>
                <w:rFonts w:hint="default" w:ascii="Times New Roman" w:hAnsi="Times New Roman" w:eastAsia="宋体" w:cs="Times New Roman"/>
                <w:b/>
                <w:bCs/>
                <w:color w:val="auto"/>
                <w:kern w:val="0"/>
                <w:sz w:val="21"/>
                <w:szCs w:val="21"/>
                <w:lang w:val="zh-CN"/>
              </w:rPr>
              <w:t>评分</w:t>
            </w:r>
          </w:p>
          <w:p w14:paraId="0D268F9D">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zh-CN"/>
              </w:rPr>
            </w:pPr>
            <w:r>
              <w:rPr>
                <w:rFonts w:hint="default" w:ascii="Times New Roman" w:hAnsi="Times New Roman" w:eastAsia="宋体" w:cs="Times New Roman"/>
                <w:b/>
                <w:bCs/>
                <w:color w:val="auto"/>
                <w:kern w:val="0"/>
                <w:sz w:val="21"/>
                <w:szCs w:val="21"/>
                <w:lang w:val="zh-CN"/>
              </w:rPr>
              <w:t>标准</w:t>
            </w:r>
          </w:p>
        </w:tc>
        <w:tc>
          <w:tcPr>
            <w:tcW w:w="775" w:type="dxa"/>
            <w:noWrap w:val="0"/>
            <w:vAlign w:val="center"/>
          </w:tcPr>
          <w:p w14:paraId="089E7694">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zh-CN"/>
              </w:rPr>
            </w:pPr>
            <w:r>
              <w:rPr>
                <w:rFonts w:hint="default" w:ascii="Times New Roman" w:hAnsi="Times New Roman" w:eastAsia="宋体" w:cs="Times New Roman"/>
                <w:b/>
                <w:bCs/>
                <w:color w:val="auto"/>
                <w:kern w:val="0"/>
                <w:sz w:val="21"/>
                <w:szCs w:val="21"/>
                <w:lang w:val="zh-CN"/>
              </w:rPr>
              <w:t>得分</w:t>
            </w:r>
          </w:p>
        </w:tc>
      </w:tr>
      <w:tr w14:paraId="2338C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10" w:type="dxa"/>
            <w:vMerge w:val="restart"/>
            <w:noWrap w:val="0"/>
            <w:vAlign w:val="center"/>
          </w:tcPr>
          <w:p w14:paraId="217F0860">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初期坝、拦挡坝、堆积坝、副坝、拦水坝坝体和排水棱体</w:t>
            </w:r>
          </w:p>
          <w:p w14:paraId="684FF460">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rPr>
            </w:pPr>
          </w:p>
          <w:p w14:paraId="00289EFC">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sz w:val="21"/>
                <w:szCs w:val="21"/>
              </w:rPr>
              <w:br w:type="page"/>
            </w:r>
          </w:p>
        </w:tc>
        <w:tc>
          <w:tcPr>
            <w:tcW w:w="300" w:type="dxa"/>
            <w:vMerge w:val="restart"/>
            <w:noWrap w:val="0"/>
            <w:vAlign w:val="center"/>
          </w:tcPr>
          <w:p w14:paraId="427827E9">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坝</w:t>
            </w:r>
          </w:p>
          <w:p w14:paraId="5684EA76">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体</w:t>
            </w:r>
          </w:p>
        </w:tc>
        <w:tc>
          <w:tcPr>
            <w:tcW w:w="2929" w:type="dxa"/>
            <w:noWrap w:val="0"/>
            <w:vAlign w:val="center"/>
          </w:tcPr>
          <w:p w14:paraId="7E109F26">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1.初期坝、拦挡坝、堆积坝、副坝、拦水坝坝体和排水棱体</w:t>
            </w:r>
          </w:p>
          <w:p w14:paraId="2FAC1332">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1.1顶高程必须符合设计要求</w:t>
            </w:r>
          </w:p>
          <w:p w14:paraId="2FBA7A37">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1.2顶宽度必须符合设计要求</w:t>
            </w:r>
          </w:p>
          <w:p w14:paraId="035847AA">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1.3筑坝材料必须符合设计要求</w:t>
            </w:r>
          </w:p>
          <w:p w14:paraId="31F95A7B">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left"/>
              <w:textAlignment w:val="auto"/>
              <w:rPr>
                <w:rFonts w:hint="eastAsia" w:ascii="Times New Roman" w:hAnsi="Times New Roman" w:eastAsia="宋体" w:cs="Times New Roman"/>
                <w:color w:val="auto"/>
                <w:kern w:val="0"/>
                <w:sz w:val="21"/>
                <w:szCs w:val="21"/>
                <w:lang w:eastAsia="zh-CN"/>
              </w:rPr>
            </w:pPr>
            <w:r>
              <w:rPr>
                <w:rFonts w:hint="default" w:ascii="Times New Roman" w:hAnsi="Times New Roman" w:eastAsia="宋体" w:cs="Times New Roman"/>
                <w:color w:val="auto"/>
                <w:kern w:val="0"/>
                <w:sz w:val="21"/>
                <w:szCs w:val="21"/>
              </w:rPr>
              <w:t>1.4内外坡比必须符合设计要求，当坝坡陡于设计值时，其稳定性必须符合规范要求</w:t>
            </w:r>
            <w:r>
              <w:rPr>
                <w:rFonts w:hint="eastAsia" w:ascii="Times New Roman" w:hAnsi="Times New Roman" w:eastAsia="宋体" w:cs="Times New Roman"/>
                <w:color w:val="auto"/>
                <w:kern w:val="0"/>
                <w:sz w:val="21"/>
                <w:szCs w:val="21"/>
                <w:lang w:eastAsia="zh-CN"/>
              </w:rPr>
              <w:t>。</w:t>
            </w:r>
          </w:p>
        </w:tc>
        <w:tc>
          <w:tcPr>
            <w:tcW w:w="1055" w:type="dxa"/>
            <w:noWrap w:val="0"/>
            <w:vAlign w:val="center"/>
          </w:tcPr>
          <w:p w14:paraId="5C307A4F">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《尾矿库安全规程》第5.6.2、6.1.5、6.1.6条</w:t>
            </w:r>
          </w:p>
        </w:tc>
        <w:tc>
          <w:tcPr>
            <w:tcW w:w="999" w:type="dxa"/>
            <w:noWrap w:val="0"/>
            <w:vAlign w:val="center"/>
          </w:tcPr>
          <w:p w14:paraId="20C08335">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对照设计、稳定性分析文件查现场</w:t>
            </w:r>
          </w:p>
        </w:tc>
        <w:tc>
          <w:tcPr>
            <w:tcW w:w="1114" w:type="dxa"/>
            <w:noWrap w:val="0"/>
            <w:vAlign w:val="center"/>
          </w:tcPr>
          <w:p w14:paraId="308DD803">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副坝标高和高度与设计不一致</w:t>
            </w:r>
          </w:p>
        </w:tc>
        <w:tc>
          <w:tcPr>
            <w:tcW w:w="544" w:type="dxa"/>
            <w:noWrap w:val="0"/>
            <w:vAlign w:val="center"/>
          </w:tcPr>
          <w:p w14:paraId="1C114F85">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10</w:t>
            </w:r>
          </w:p>
        </w:tc>
        <w:tc>
          <w:tcPr>
            <w:tcW w:w="751" w:type="dxa"/>
            <w:noWrap w:val="0"/>
            <w:vAlign w:val="center"/>
          </w:tcPr>
          <w:p w14:paraId="2B00353F">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任1项</w:t>
            </w:r>
          </w:p>
          <w:p w14:paraId="7DCCEB98">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不符合</w:t>
            </w:r>
          </w:p>
          <w:p w14:paraId="74EEFD4B">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就不得分</w:t>
            </w:r>
          </w:p>
        </w:tc>
        <w:tc>
          <w:tcPr>
            <w:tcW w:w="775" w:type="dxa"/>
            <w:noWrap w:val="0"/>
            <w:vAlign w:val="center"/>
          </w:tcPr>
          <w:p w14:paraId="75689FA8">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0</w:t>
            </w:r>
          </w:p>
        </w:tc>
      </w:tr>
      <w:tr w14:paraId="243F7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028" w:hRule="atLeast"/>
          <w:jc w:val="center"/>
        </w:trPr>
        <w:tc>
          <w:tcPr>
            <w:tcW w:w="510" w:type="dxa"/>
            <w:vMerge w:val="continue"/>
            <w:noWrap w:val="0"/>
            <w:vAlign w:val="center"/>
          </w:tcPr>
          <w:p w14:paraId="21F0886D">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300" w:type="dxa"/>
            <w:vMerge w:val="continue"/>
            <w:noWrap w:val="0"/>
            <w:vAlign w:val="center"/>
          </w:tcPr>
          <w:p w14:paraId="706C0493">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2929" w:type="dxa"/>
            <w:noWrap w:val="0"/>
            <w:vAlign w:val="center"/>
          </w:tcPr>
          <w:p w14:paraId="242BD8EF">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1.5坝体出现贯穿性横向裂缝，且出现较大范围管涌、流土变形，坝体出现深层滑动迹象。</w:t>
            </w:r>
          </w:p>
        </w:tc>
        <w:tc>
          <w:tcPr>
            <w:tcW w:w="1055" w:type="dxa"/>
            <w:vMerge w:val="restart"/>
            <w:noWrap w:val="0"/>
            <w:vAlign w:val="center"/>
          </w:tcPr>
          <w:p w14:paraId="0D3CE040">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《尾矿库安全规程》第6.9条</w:t>
            </w:r>
          </w:p>
        </w:tc>
        <w:tc>
          <w:tcPr>
            <w:tcW w:w="999" w:type="dxa"/>
            <w:noWrap w:val="0"/>
            <w:vAlign w:val="center"/>
          </w:tcPr>
          <w:p w14:paraId="3AA56BA7">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查现场</w:t>
            </w:r>
          </w:p>
        </w:tc>
        <w:tc>
          <w:tcPr>
            <w:tcW w:w="1114" w:type="dxa"/>
            <w:noWrap w:val="0"/>
            <w:vAlign w:val="center"/>
          </w:tcPr>
          <w:p w14:paraId="4EDF389F">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无此现象</w:t>
            </w:r>
          </w:p>
        </w:tc>
        <w:tc>
          <w:tcPr>
            <w:tcW w:w="544" w:type="dxa"/>
            <w:vMerge w:val="restart"/>
            <w:noWrap w:val="0"/>
            <w:vAlign w:val="center"/>
          </w:tcPr>
          <w:p w14:paraId="1C2B7E59">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重大险情</w:t>
            </w:r>
          </w:p>
        </w:tc>
        <w:tc>
          <w:tcPr>
            <w:tcW w:w="751" w:type="dxa"/>
            <w:noWrap w:val="0"/>
            <w:vAlign w:val="center"/>
          </w:tcPr>
          <w:p w14:paraId="0B3991CD">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775" w:type="dxa"/>
            <w:noWrap w:val="0"/>
            <w:vAlign w:val="center"/>
          </w:tcPr>
          <w:p w14:paraId="1236690D">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eastAsia" w:ascii="Times New Roman" w:hAnsi="Times New Roman" w:eastAsia="宋体" w:cs="Times New Roman"/>
                <w:color w:val="auto"/>
                <w:kern w:val="0"/>
                <w:sz w:val="21"/>
                <w:szCs w:val="21"/>
                <w:lang w:val="en-US" w:eastAsia="zh-CN"/>
              </w:rPr>
              <w:t>/</w:t>
            </w:r>
          </w:p>
        </w:tc>
      </w:tr>
      <w:tr w14:paraId="3A9C4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05" w:hRule="atLeast"/>
          <w:jc w:val="center"/>
        </w:trPr>
        <w:tc>
          <w:tcPr>
            <w:tcW w:w="510" w:type="dxa"/>
            <w:vMerge w:val="continue"/>
            <w:noWrap w:val="0"/>
            <w:vAlign w:val="center"/>
          </w:tcPr>
          <w:p w14:paraId="061E6784">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300" w:type="dxa"/>
            <w:vMerge w:val="continue"/>
            <w:noWrap w:val="0"/>
            <w:vAlign w:val="center"/>
          </w:tcPr>
          <w:p w14:paraId="7A856207">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2929" w:type="dxa"/>
            <w:noWrap w:val="0"/>
            <w:vAlign w:val="center"/>
          </w:tcPr>
          <w:p w14:paraId="62275BC0">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1.6经验算，坝体抗滑稳定最小安全系数小于规范值的0.95。</w:t>
            </w:r>
          </w:p>
        </w:tc>
        <w:tc>
          <w:tcPr>
            <w:tcW w:w="1055" w:type="dxa"/>
            <w:vMerge w:val="continue"/>
            <w:noWrap w:val="0"/>
            <w:vAlign w:val="center"/>
          </w:tcPr>
          <w:p w14:paraId="4018E37A">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sz w:val="21"/>
                <w:szCs w:val="21"/>
              </w:rPr>
            </w:pPr>
          </w:p>
        </w:tc>
        <w:tc>
          <w:tcPr>
            <w:tcW w:w="999" w:type="dxa"/>
            <w:noWrap w:val="0"/>
            <w:vAlign w:val="center"/>
          </w:tcPr>
          <w:p w14:paraId="04B76EC3">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查稳定性分析文件</w:t>
            </w:r>
          </w:p>
        </w:tc>
        <w:tc>
          <w:tcPr>
            <w:tcW w:w="1114" w:type="dxa"/>
            <w:noWrap w:val="0"/>
            <w:vAlign w:val="center"/>
          </w:tcPr>
          <w:p w14:paraId="7765C3EE">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大于规范值</w:t>
            </w:r>
          </w:p>
        </w:tc>
        <w:tc>
          <w:tcPr>
            <w:tcW w:w="544" w:type="dxa"/>
            <w:vMerge w:val="continue"/>
            <w:noWrap w:val="0"/>
            <w:vAlign w:val="center"/>
          </w:tcPr>
          <w:p w14:paraId="143B5C32">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751" w:type="dxa"/>
            <w:noWrap w:val="0"/>
            <w:vAlign w:val="center"/>
          </w:tcPr>
          <w:p w14:paraId="533F6ACE">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775" w:type="dxa"/>
            <w:noWrap w:val="0"/>
            <w:vAlign w:val="center"/>
          </w:tcPr>
          <w:p w14:paraId="5797F447">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eastAsia" w:ascii="Times New Roman" w:hAnsi="Times New Roman" w:eastAsia="宋体" w:cs="Times New Roman"/>
                <w:color w:val="auto"/>
                <w:kern w:val="0"/>
                <w:sz w:val="21"/>
                <w:szCs w:val="21"/>
                <w:lang w:val="en-US" w:eastAsia="zh-CN"/>
              </w:rPr>
              <w:t>/</w:t>
            </w:r>
          </w:p>
        </w:tc>
      </w:tr>
      <w:tr w14:paraId="140AC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33" w:hRule="atLeast"/>
          <w:jc w:val="center"/>
        </w:trPr>
        <w:tc>
          <w:tcPr>
            <w:tcW w:w="510" w:type="dxa"/>
            <w:vMerge w:val="continue"/>
            <w:noWrap w:val="0"/>
            <w:vAlign w:val="center"/>
          </w:tcPr>
          <w:p w14:paraId="6D8A4F72">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300" w:type="dxa"/>
            <w:vMerge w:val="continue"/>
            <w:noWrap w:val="0"/>
            <w:vAlign w:val="center"/>
          </w:tcPr>
          <w:p w14:paraId="2897F5BE">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2929" w:type="dxa"/>
            <w:noWrap w:val="0"/>
            <w:vAlign w:val="center"/>
          </w:tcPr>
          <w:p w14:paraId="1710B7F8">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1.7坝体出现浅层滑动迹象。</w:t>
            </w:r>
          </w:p>
        </w:tc>
        <w:tc>
          <w:tcPr>
            <w:tcW w:w="1055" w:type="dxa"/>
            <w:vMerge w:val="restart"/>
            <w:noWrap w:val="0"/>
            <w:vAlign w:val="center"/>
          </w:tcPr>
          <w:p w14:paraId="7820F205">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《尾矿库安全规程》第6.9条</w:t>
            </w:r>
          </w:p>
        </w:tc>
        <w:tc>
          <w:tcPr>
            <w:tcW w:w="999" w:type="dxa"/>
            <w:noWrap w:val="0"/>
            <w:vAlign w:val="center"/>
          </w:tcPr>
          <w:p w14:paraId="64FF8007">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查现场</w:t>
            </w:r>
          </w:p>
        </w:tc>
        <w:tc>
          <w:tcPr>
            <w:tcW w:w="1114" w:type="dxa"/>
            <w:noWrap w:val="0"/>
            <w:vAlign w:val="center"/>
          </w:tcPr>
          <w:p w14:paraId="2FE8FAF9">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无</w:t>
            </w:r>
          </w:p>
        </w:tc>
        <w:tc>
          <w:tcPr>
            <w:tcW w:w="544" w:type="dxa"/>
            <w:vMerge w:val="restart"/>
            <w:noWrap w:val="0"/>
            <w:vAlign w:val="center"/>
          </w:tcPr>
          <w:p w14:paraId="63AC78A2">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重大隐患</w:t>
            </w:r>
          </w:p>
        </w:tc>
        <w:tc>
          <w:tcPr>
            <w:tcW w:w="751" w:type="dxa"/>
            <w:noWrap w:val="0"/>
            <w:vAlign w:val="center"/>
          </w:tcPr>
          <w:p w14:paraId="39139D06">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775" w:type="dxa"/>
            <w:noWrap w:val="0"/>
            <w:vAlign w:val="center"/>
          </w:tcPr>
          <w:p w14:paraId="1D72D22D">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eastAsia" w:ascii="Times New Roman" w:hAnsi="Times New Roman" w:eastAsia="宋体" w:cs="Times New Roman"/>
                <w:color w:val="auto"/>
                <w:kern w:val="0"/>
                <w:sz w:val="21"/>
                <w:szCs w:val="21"/>
                <w:lang w:val="en-US" w:eastAsia="zh-CN"/>
              </w:rPr>
              <w:t>/</w:t>
            </w:r>
          </w:p>
        </w:tc>
      </w:tr>
      <w:tr w14:paraId="148DE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87" w:hRule="atLeast"/>
          <w:jc w:val="center"/>
        </w:trPr>
        <w:tc>
          <w:tcPr>
            <w:tcW w:w="510" w:type="dxa"/>
            <w:vMerge w:val="continue"/>
            <w:noWrap w:val="0"/>
            <w:vAlign w:val="center"/>
          </w:tcPr>
          <w:p w14:paraId="2B7C375F">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300" w:type="dxa"/>
            <w:vMerge w:val="continue"/>
            <w:noWrap w:val="0"/>
            <w:vAlign w:val="center"/>
          </w:tcPr>
          <w:p w14:paraId="5CA6A672">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2929" w:type="dxa"/>
            <w:noWrap w:val="0"/>
            <w:vAlign w:val="center"/>
          </w:tcPr>
          <w:p w14:paraId="100B2DE9">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1.8经验算，坝体抗滑稳定最小安全系数小于规范值的0.98。</w:t>
            </w:r>
          </w:p>
        </w:tc>
        <w:tc>
          <w:tcPr>
            <w:tcW w:w="1055" w:type="dxa"/>
            <w:vMerge w:val="continue"/>
            <w:noWrap w:val="0"/>
            <w:vAlign w:val="center"/>
          </w:tcPr>
          <w:p w14:paraId="02F481AC">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sz w:val="21"/>
                <w:szCs w:val="21"/>
              </w:rPr>
            </w:pPr>
          </w:p>
        </w:tc>
        <w:tc>
          <w:tcPr>
            <w:tcW w:w="999" w:type="dxa"/>
            <w:noWrap w:val="0"/>
            <w:vAlign w:val="center"/>
          </w:tcPr>
          <w:p w14:paraId="4866DA3E">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查稳定性分析文件</w:t>
            </w:r>
          </w:p>
        </w:tc>
        <w:tc>
          <w:tcPr>
            <w:tcW w:w="1114" w:type="dxa"/>
            <w:noWrap w:val="0"/>
            <w:vAlign w:val="center"/>
          </w:tcPr>
          <w:p w14:paraId="09629321">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无此现象</w:t>
            </w:r>
          </w:p>
        </w:tc>
        <w:tc>
          <w:tcPr>
            <w:tcW w:w="544" w:type="dxa"/>
            <w:vMerge w:val="continue"/>
            <w:noWrap w:val="0"/>
            <w:vAlign w:val="center"/>
          </w:tcPr>
          <w:p w14:paraId="44A2B837">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751" w:type="dxa"/>
            <w:noWrap w:val="0"/>
            <w:vAlign w:val="center"/>
          </w:tcPr>
          <w:p w14:paraId="7E6E6BFC">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775" w:type="dxa"/>
            <w:noWrap w:val="0"/>
            <w:vAlign w:val="center"/>
          </w:tcPr>
          <w:p w14:paraId="502398C3">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eastAsia" w:ascii="Times New Roman" w:hAnsi="Times New Roman" w:eastAsia="宋体" w:cs="Times New Roman"/>
                <w:color w:val="auto"/>
                <w:kern w:val="0"/>
                <w:sz w:val="21"/>
                <w:szCs w:val="21"/>
                <w:lang w:val="en-US" w:eastAsia="zh-CN"/>
              </w:rPr>
              <w:t>/</w:t>
            </w:r>
          </w:p>
        </w:tc>
      </w:tr>
      <w:tr w14:paraId="02904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9" w:hRule="atLeast"/>
          <w:jc w:val="center"/>
        </w:trPr>
        <w:tc>
          <w:tcPr>
            <w:tcW w:w="510" w:type="dxa"/>
            <w:vMerge w:val="continue"/>
            <w:noWrap w:val="0"/>
            <w:vAlign w:val="center"/>
          </w:tcPr>
          <w:p w14:paraId="4ED75BAF">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300" w:type="dxa"/>
            <w:vMerge w:val="continue"/>
            <w:noWrap w:val="0"/>
            <w:vAlign w:val="center"/>
          </w:tcPr>
          <w:p w14:paraId="6D7101EB">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2929" w:type="dxa"/>
            <w:noWrap w:val="0"/>
            <w:vAlign w:val="center"/>
          </w:tcPr>
          <w:p w14:paraId="3D7056C0">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1.9坝体出现大面积纵向裂缝，且出现较大范围渗透水高位出逸，出现大面积沼泽化。</w:t>
            </w:r>
          </w:p>
        </w:tc>
        <w:tc>
          <w:tcPr>
            <w:tcW w:w="1055" w:type="dxa"/>
            <w:vMerge w:val="continue"/>
            <w:noWrap w:val="0"/>
            <w:vAlign w:val="center"/>
          </w:tcPr>
          <w:p w14:paraId="3DA43B2A">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sz w:val="21"/>
                <w:szCs w:val="21"/>
              </w:rPr>
            </w:pPr>
          </w:p>
        </w:tc>
        <w:tc>
          <w:tcPr>
            <w:tcW w:w="999" w:type="dxa"/>
            <w:noWrap w:val="0"/>
            <w:vAlign w:val="center"/>
          </w:tcPr>
          <w:p w14:paraId="3215AC4B">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查现场</w:t>
            </w:r>
          </w:p>
        </w:tc>
        <w:tc>
          <w:tcPr>
            <w:tcW w:w="1114" w:type="dxa"/>
            <w:noWrap w:val="0"/>
            <w:vAlign w:val="center"/>
          </w:tcPr>
          <w:p w14:paraId="2799583B">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无此现象</w:t>
            </w:r>
          </w:p>
        </w:tc>
        <w:tc>
          <w:tcPr>
            <w:tcW w:w="544" w:type="dxa"/>
            <w:vMerge w:val="continue"/>
            <w:noWrap w:val="0"/>
            <w:vAlign w:val="center"/>
          </w:tcPr>
          <w:p w14:paraId="18CA06B7">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751" w:type="dxa"/>
            <w:noWrap w:val="0"/>
            <w:vAlign w:val="center"/>
          </w:tcPr>
          <w:p w14:paraId="53634661">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775" w:type="dxa"/>
            <w:noWrap w:val="0"/>
            <w:vAlign w:val="center"/>
          </w:tcPr>
          <w:p w14:paraId="1F363BC8">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eastAsia" w:ascii="Times New Roman" w:hAnsi="Times New Roman" w:eastAsia="宋体" w:cs="Times New Roman"/>
                <w:color w:val="auto"/>
                <w:kern w:val="0"/>
                <w:sz w:val="21"/>
                <w:szCs w:val="21"/>
                <w:lang w:val="en-US" w:eastAsia="zh-CN"/>
              </w:rPr>
              <w:t>/</w:t>
            </w:r>
          </w:p>
        </w:tc>
      </w:tr>
      <w:tr w14:paraId="23034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7" w:hRule="atLeast"/>
          <w:jc w:val="center"/>
        </w:trPr>
        <w:tc>
          <w:tcPr>
            <w:tcW w:w="510" w:type="dxa"/>
            <w:vMerge w:val="continue"/>
            <w:noWrap w:val="0"/>
            <w:vAlign w:val="center"/>
          </w:tcPr>
          <w:p w14:paraId="7C4D7846">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300" w:type="dxa"/>
            <w:vMerge w:val="continue"/>
            <w:noWrap w:val="0"/>
            <w:vAlign w:val="center"/>
          </w:tcPr>
          <w:p w14:paraId="5596AE6A">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2929" w:type="dxa"/>
            <w:noWrap w:val="0"/>
            <w:vAlign w:val="center"/>
          </w:tcPr>
          <w:p w14:paraId="6699019F">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1.10经验算，坝体抗滑稳定最小安全系数满足规范规定值，但部分高程上堆积边坡过陡，可能出现局部失稳。</w:t>
            </w:r>
          </w:p>
        </w:tc>
        <w:tc>
          <w:tcPr>
            <w:tcW w:w="1055" w:type="dxa"/>
            <w:vMerge w:val="continue"/>
            <w:noWrap w:val="0"/>
            <w:vAlign w:val="center"/>
          </w:tcPr>
          <w:p w14:paraId="4DE2C9B6">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sz w:val="21"/>
                <w:szCs w:val="21"/>
              </w:rPr>
            </w:pPr>
          </w:p>
        </w:tc>
        <w:tc>
          <w:tcPr>
            <w:tcW w:w="999" w:type="dxa"/>
            <w:noWrap w:val="0"/>
            <w:vAlign w:val="center"/>
          </w:tcPr>
          <w:p w14:paraId="17E83928">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查稳定分析文件和现场</w:t>
            </w:r>
          </w:p>
        </w:tc>
        <w:tc>
          <w:tcPr>
            <w:tcW w:w="1114" w:type="dxa"/>
            <w:noWrap w:val="0"/>
            <w:vAlign w:val="center"/>
          </w:tcPr>
          <w:p w14:paraId="7CE0EA03">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无此现象</w:t>
            </w:r>
          </w:p>
        </w:tc>
        <w:tc>
          <w:tcPr>
            <w:tcW w:w="544" w:type="dxa"/>
            <w:noWrap w:val="0"/>
            <w:vAlign w:val="center"/>
          </w:tcPr>
          <w:p w14:paraId="730BB67B">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一般隐患</w:t>
            </w:r>
          </w:p>
        </w:tc>
        <w:tc>
          <w:tcPr>
            <w:tcW w:w="751" w:type="dxa"/>
            <w:noWrap w:val="0"/>
            <w:vAlign w:val="center"/>
          </w:tcPr>
          <w:p w14:paraId="7B790CC0">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775" w:type="dxa"/>
            <w:noWrap w:val="0"/>
            <w:vAlign w:val="center"/>
          </w:tcPr>
          <w:p w14:paraId="54E578AD">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eastAsia" w:ascii="Times New Roman" w:hAnsi="Times New Roman" w:eastAsia="宋体" w:cs="Times New Roman"/>
                <w:color w:val="auto"/>
                <w:kern w:val="0"/>
                <w:sz w:val="21"/>
                <w:szCs w:val="21"/>
                <w:lang w:val="en-US" w:eastAsia="zh-CN"/>
              </w:rPr>
              <w:t>/</w:t>
            </w:r>
          </w:p>
        </w:tc>
      </w:tr>
      <w:tr w14:paraId="7951A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54" w:hRule="atLeast"/>
          <w:jc w:val="center"/>
        </w:trPr>
        <w:tc>
          <w:tcPr>
            <w:tcW w:w="510" w:type="dxa"/>
            <w:vMerge w:val="restart"/>
            <w:noWrap w:val="0"/>
            <w:vAlign w:val="center"/>
          </w:tcPr>
          <w:p w14:paraId="2FD338AB">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300" w:type="dxa"/>
            <w:vMerge w:val="restart"/>
            <w:noWrap w:val="0"/>
            <w:vAlign w:val="center"/>
          </w:tcPr>
          <w:p w14:paraId="67056852">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堆积坝</w:t>
            </w:r>
          </w:p>
        </w:tc>
        <w:tc>
          <w:tcPr>
            <w:tcW w:w="2929" w:type="dxa"/>
            <w:noWrap w:val="0"/>
            <w:vAlign w:val="center"/>
          </w:tcPr>
          <w:p w14:paraId="7F702491">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2.1坝体应设位移、沉降和浸润线观测设施。</w:t>
            </w:r>
          </w:p>
        </w:tc>
        <w:tc>
          <w:tcPr>
            <w:tcW w:w="1055" w:type="dxa"/>
            <w:noWrap w:val="0"/>
            <w:vAlign w:val="center"/>
          </w:tcPr>
          <w:p w14:paraId="1513DA6F">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《尾矿库安全规程》第5.5.2条</w:t>
            </w:r>
          </w:p>
        </w:tc>
        <w:tc>
          <w:tcPr>
            <w:tcW w:w="999" w:type="dxa"/>
            <w:noWrap w:val="0"/>
            <w:vAlign w:val="center"/>
          </w:tcPr>
          <w:p w14:paraId="6F5387BB">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rPr>
              <w:t>对照</w:t>
            </w:r>
            <w:r>
              <w:rPr>
                <w:rFonts w:hint="default" w:ascii="Times New Roman" w:hAnsi="Times New Roman" w:eastAsia="宋体" w:cs="Times New Roman"/>
                <w:color w:val="auto"/>
                <w:kern w:val="0"/>
                <w:sz w:val="21"/>
                <w:szCs w:val="21"/>
                <w:lang w:val="zh-CN"/>
              </w:rPr>
              <w:t>设计</w:t>
            </w:r>
          </w:p>
          <w:p w14:paraId="6A376B9E">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查现场</w:t>
            </w:r>
          </w:p>
        </w:tc>
        <w:tc>
          <w:tcPr>
            <w:tcW w:w="1114" w:type="dxa"/>
            <w:noWrap w:val="0"/>
            <w:vAlign w:val="center"/>
          </w:tcPr>
          <w:p w14:paraId="534B7FBE">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已设置</w:t>
            </w:r>
          </w:p>
        </w:tc>
        <w:tc>
          <w:tcPr>
            <w:tcW w:w="544" w:type="dxa"/>
            <w:noWrap w:val="0"/>
            <w:vAlign w:val="center"/>
          </w:tcPr>
          <w:p w14:paraId="7F6475C7">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5</w:t>
            </w:r>
          </w:p>
        </w:tc>
        <w:tc>
          <w:tcPr>
            <w:tcW w:w="751" w:type="dxa"/>
            <w:noWrap w:val="0"/>
            <w:vAlign w:val="center"/>
          </w:tcPr>
          <w:p w14:paraId="19FC6363">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不符合</w:t>
            </w:r>
          </w:p>
          <w:p w14:paraId="1FB177D7">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不得分</w:t>
            </w:r>
          </w:p>
        </w:tc>
        <w:tc>
          <w:tcPr>
            <w:tcW w:w="775" w:type="dxa"/>
            <w:noWrap w:val="0"/>
            <w:vAlign w:val="center"/>
          </w:tcPr>
          <w:p w14:paraId="6A115E74">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eastAsia" w:ascii="Times New Roman" w:hAnsi="Times New Roman" w:eastAsia="宋体" w:cs="Times New Roman"/>
                <w:color w:val="auto"/>
                <w:kern w:val="0"/>
                <w:sz w:val="21"/>
                <w:szCs w:val="21"/>
                <w:lang w:val="zh-CN" w:eastAsia="zh-CN"/>
              </w:rPr>
            </w:pPr>
            <w:r>
              <w:rPr>
                <w:rFonts w:hint="eastAsia" w:ascii="Times New Roman" w:hAnsi="Times New Roman" w:eastAsia="宋体" w:cs="Times New Roman"/>
                <w:color w:val="auto"/>
                <w:kern w:val="0"/>
                <w:sz w:val="21"/>
                <w:szCs w:val="21"/>
                <w:lang w:val="en-US" w:eastAsia="zh-CN"/>
              </w:rPr>
              <w:t>5</w:t>
            </w:r>
          </w:p>
        </w:tc>
      </w:tr>
      <w:tr w14:paraId="77E7C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1" w:hRule="atLeast"/>
          <w:jc w:val="center"/>
        </w:trPr>
        <w:tc>
          <w:tcPr>
            <w:tcW w:w="510" w:type="dxa"/>
            <w:vMerge w:val="continue"/>
            <w:noWrap w:val="0"/>
            <w:vAlign w:val="center"/>
          </w:tcPr>
          <w:p w14:paraId="5C61E9A9">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300" w:type="dxa"/>
            <w:vMerge w:val="continue"/>
            <w:noWrap w:val="0"/>
            <w:vAlign w:val="center"/>
          </w:tcPr>
          <w:p w14:paraId="6E7D90AD">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2929" w:type="dxa"/>
            <w:noWrap w:val="0"/>
            <w:vAlign w:val="center"/>
          </w:tcPr>
          <w:p w14:paraId="3DB57805">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2.2浸润线位置局部过高，有渗透水逸出，坝面局部出现沼泽化。</w:t>
            </w:r>
          </w:p>
        </w:tc>
        <w:tc>
          <w:tcPr>
            <w:tcW w:w="1055" w:type="dxa"/>
            <w:vMerge w:val="restart"/>
            <w:noWrap w:val="0"/>
            <w:vAlign w:val="center"/>
          </w:tcPr>
          <w:p w14:paraId="23DFF02A">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《尾矿库安全规程》第6.9条</w:t>
            </w:r>
          </w:p>
        </w:tc>
        <w:tc>
          <w:tcPr>
            <w:tcW w:w="999" w:type="dxa"/>
            <w:noWrap w:val="0"/>
            <w:vAlign w:val="center"/>
          </w:tcPr>
          <w:p w14:paraId="32595CFA">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查观测</w:t>
            </w:r>
          </w:p>
          <w:p w14:paraId="04420AF2">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记录、现场</w:t>
            </w:r>
          </w:p>
        </w:tc>
        <w:tc>
          <w:tcPr>
            <w:tcW w:w="1114" w:type="dxa"/>
            <w:noWrap w:val="0"/>
            <w:vAlign w:val="center"/>
          </w:tcPr>
          <w:p w14:paraId="0853E8BF">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无此现象</w:t>
            </w:r>
          </w:p>
        </w:tc>
        <w:tc>
          <w:tcPr>
            <w:tcW w:w="544" w:type="dxa"/>
            <w:vMerge w:val="restart"/>
            <w:noWrap w:val="0"/>
            <w:vAlign w:val="center"/>
          </w:tcPr>
          <w:p w14:paraId="001A3C1E">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一般隐患</w:t>
            </w:r>
          </w:p>
        </w:tc>
        <w:tc>
          <w:tcPr>
            <w:tcW w:w="751" w:type="dxa"/>
            <w:noWrap w:val="0"/>
            <w:vAlign w:val="center"/>
          </w:tcPr>
          <w:p w14:paraId="124AF7CC">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775" w:type="dxa"/>
            <w:noWrap w:val="0"/>
            <w:vAlign w:val="center"/>
          </w:tcPr>
          <w:p w14:paraId="17A63D0F">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正常</w:t>
            </w:r>
            <w:r>
              <w:rPr>
                <w:rFonts w:hint="default" w:ascii="Times New Roman" w:hAnsi="Times New Roman" w:eastAsia="宋体" w:cs="Times New Roman"/>
                <w:color w:val="auto"/>
                <w:kern w:val="0"/>
                <w:sz w:val="21"/>
                <w:szCs w:val="21"/>
                <w:lang w:val="zh-CN"/>
              </w:rPr>
              <w:t>库</w:t>
            </w:r>
          </w:p>
        </w:tc>
      </w:tr>
      <w:tr w14:paraId="395EA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71" w:hRule="atLeast"/>
          <w:jc w:val="center"/>
        </w:trPr>
        <w:tc>
          <w:tcPr>
            <w:tcW w:w="510" w:type="dxa"/>
            <w:vMerge w:val="continue"/>
            <w:noWrap w:val="0"/>
            <w:vAlign w:val="center"/>
          </w:tcPr>
          <w:p w14:paraId="6F603731">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300" w:type="dxa"/>
            <w:vMerge w:val="continue"/>
            <w:noWrap w:val="0"/>
            <w:vAlign w:val="center"/>
          </w:tcPr>
          <w:p w14:paraId="03AEC9CF">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2929" w:type="dxa"/>
            <w:noWrap w:val="0"/>
            <w:vAlign w:val="center"/>
          </w:tcPr>
          <w:p w14:paraId="1F924552">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2.3坝面出现纵向或横向裂缝。</w:t>
            </w:r>
          </w:p>
        </w:tc>
        <w:tc>
          <w:tcPr>
            <w:tcW w:w="1055" w:type="dxa"/>
            <w:vMerge w:val="continue"/>
            <w:noWrap w:val="0"/>
            <w:vAlign w:val="center"/>
          </w:tcPr>
          <w:p w14:paraId="070F15AE">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sz w:val="21"/>
                <w:szCs w:val="21"/>
              </w:rPr>
            </w:pPr>
          </w:p>
        </w:tc>
        <w:tc>
          <w:tcPr>
            <w:tcW w:w="999" w:type="dxa"/>
            <w:noWrap w:val="0"/>
            <w:vAlign w:val="center"/>
          </w:tcPr>
          <w:p w14:paraId="5BC3F9DB">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查现场</w:t>
            </w:r>
          </w:p>
        </w:tc>
        <w:tc>
          <w:tcPr>
            <w:tcW w:w="1114" w:type="dxa"/>
            <w:noWrap w:val="0"/>
            <w:vAlign w:val="center"/>
          </w:tcPr>
          <w:p w14:paraId="7EAA107D">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无裂缝</w:t>
            </w:r>
          </w:p>
        </w:tc>
        <w:tc>
          <w:tcPr>
            <w:tcW w:w="544" w:type="dxa"/>
            <w:vMerge w:val="continue"/>
            <w:noWrap w:val="0"/>
            <w:vAlign w:val="center"/>
          </w:tcPr>
          <w:p w14:paraId="390365F8">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751" w:type="dxa"/>
            <w:noWrap w:val="0"/>
            <w:vAlign w:val="center"/>
          </w:tcPr>
          <w:p w14:paraId="27CCA447">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775" w:type="dxa"/>
            <w:noWrap w:val="0"/>
            <w:vAlign w:val="center"/>
          </w:tcPr>
          <w:p w14:paraId="490F4702">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正常库</w:t>
            </w:r>
          </w:p>
        </w:tc>
      </w:tr>
      <w:tr w14:paraId="7A641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67" w:hRule="atLeast"/>
          <w:jc w:val="center"/>
        </w:trPr>
        <w:tc>
          <w:tcPr>
            <w:tcW w:w="510" w:type="dxa"/>
            <w:vMerge w:val="continue"/>
            <w:noWrap w:val="0"/>
            <w:vAlign w:val="center"/>
          </w:tcPr>
          <w:p w14:paraId="29E632FD">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300" w:type="dxa"/>
            <w:vMerge w:val="continue"/>
            <w:noWrap w:val="0"/>
            <w:vAlign w:val="center"/>
          </w:tcPr>
          <w:p w14:paraId="6ECCF573">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2929" w:type="dxa"/>
            <w:noWrap w:val="0"/>
            <w:vAlign w:val="center"/>
          </w:tcPr>
          <w:p w14:paraId="768F2AE9">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2.4马道的高程、宽度必须符合设计要求。</w:t>
            </w:r>
          </w:p>
        </w:tc>
        <w:tc>
          <w:tcPr>
            <w:tcW w:w="1055" w:type="dxa"/>
            <w:vMerge w:val="restart"/>
            <w:noWrap w:val="0"/>
            <w:vAlign w:val="center"/>
          </w:tcPr>
          <w:p w14:paraId="2D1067C6">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《尾矿设施设计规范》第4.5.5、4.5.7条，《尾矿库安全规程》第5.3.20条</w:t>
            </w:r>
          </w:p>
        </w:tc>
        <w:tc>
          <w:tcPr>
            <w:tcW w:w="999" w:type="dxa"/>
            <w:vMerge w:val="restart"/>
            <w:noWrap w:val="0"/>
            <w:vAlign w:val="center"/>
          </w:tcPr>
          <w:p w14:paraId="23DCEF9E">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对照设计查现场</w:t>
            </w:r>
          </w:p>
        </w:tc>
        <w:tc>
          <w:tcPr>
            <w:tcW w:w="1114" w:type="dxa"/>
            <w:noWrap w:val="0"/>
            <w:vAlign w:val="center"/>
          </w:tcPr>
          <w:p w14:paraId="0FDB1D59">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en-US"/>
              </w:rPr>
            </w:pPr>
            <w:r>
              <w:rPr>
                <w:rFonts w:hint="eastAsia" w:cs="Times New Roman"/>
                <w:color w:val="auto"/>
                <w:kern w:val="0"/>
                <w:sz w:val="21"/>
                <w:szCs w:val="21"/>
                <w:lang w:val="en-US" w:eastAsia="zh-CN"/>
              </w:rPr>
              <w:t>符合</w:t>
            </w:r>
          </w:p>
        </w:tc>
        <w:tc>
          <w:tcPr>
            <w:tcW w:w="544" w:type="dxa"/>
            <w:noWrap w:val="0"/>
            <w:vAlign w:val="center"/>
          </w:tcPr>
          <w:p w14:paraId="54EEB105">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4</w:t>
            </w:r>
          </w:p>
        </w:tc>
        <w:tc>
          <w:tcPr>
            <w:tcW w:w="751" w:type="dxa"/>
            <w:vMerge w:val="restart"/>
            <w:noWrap w:val="0"/>
            <w:vAlign w:val="center"/>
          </w:tcPr>
          <w:p w14:paraId="02081842">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不符合</w:t>
            </w:r>
          </w:p>
          <w:p w14:paraId="73CDF9FD">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不得分</w:t>
            </w:r>
          </w:p>
        </w:tc>
        <w:tc>
          <w:tcPr>
            <w:tcW w:w="775" w:type="dxa"/>
            <w:noWrap w:val="0"/>
            <w:vAlign w:val="center"/>
          </w:tcPr>
          <w:p w14:paraId="43B5385A">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eastAsia" w:ascii="Times New Roman" w:hAnsi="Times New Roman" w:eastAsia="宋体" w:cs="Times New Roman"/>
                <w:color w:val="auto"/>
                <w:kern w:val="0"/>
                <w:sz w:val="21"/>
                <w:szCs w:val="21"/>
                <w:lang w:val="zh-CN" w:eastAsia="zh-CN"/>
              </w:rPr>
            </w:pPr>
            <w:r>
              <w:rPr>
                <w:rFonts w:hint="eastAsia" w:cs="Times New Roman"/>
                <w:color w:val="auto"/>
                <w:kern w:val="0"/>
                <w:sz w:val="21"/>
                <w:szCs w:val="21"/>
                <w:lang w:val="en-US" w:eastAsia="zh-CN"/>
              </w:rPr>
              <w:t>4</w:t>
            </w:r>
          </w:p>
        </w:tc>
      </w:tr>
      <w:tr w14:paraId="79FA8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74" w:hRule="atLeast"/>
          <w:jc w:val="center"/>
        </w:trPr>
        <w:tc>
          <w:tcPr>
            <w:tcW w:w="510" w:type="dxa"/>
            <w:vMerge w:val="continue"/>
            <w:noWrap w:val="0"/>
            <w:vAlign w:val="center"/>
          </w:tcPr>
          <w:p w14:paraId="354FA0BF">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300" w:type="dxa"/>
            <w:vMerge w:val="continue"/>
            <w:noWrap w:val="0"/>
            <w:vAlign w:val="center"/>
          </w:tcPr>
          <w:p w14:paraId="2E329525">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2929" w:type="dxa"/>
            <w:noWrap w:val="0"/>
            <w:vAlign w:val="center"/>
          </w:tcPr>
          <w:p w14:paraId="7F8FF609">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2.5坝面排水沟的数量、尺寸必须符合设计要求，并保持畅通。</w:t>
            </w:r>
          </w:p>
        </w:tc>
        <w:tc>
          <w:tcPr>
            <w:tcW w:w="1055" w:type="dxa"/>
            <w:vMerge w:val="continue"/>
            <w:noWrap w:val="0"/>
            <w:vAlign w:val="center"/>
          </w:tcPr>
          <w:p w14:paraId="43450D7D">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sz w:val="21"/>
                <w:szCs w:val="21"/>
              </w:rPr>
            </w:pPr>
          </w:p>
        </w:tc>
        <w:tc>
          <w:tcPr>
            <w:tcW w:w="999" w:type="dxa"/>
            <w:vMerge w:val="continue"/>
            <w:noWrap w:val="0"/>
            <w:vAlign w:val="center"/>
          </w:tcPr>
          <w:p w14:paraId="131E6520">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1114" w:type="dxa"/>
            <w:noWrap w:val="0"/>
            <w:vAlign w:val="center"/>
          </w:tcPr>
          <w:p w14:paraId="3B2FBDE0">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en-US"/>
              </w:rPr>
            </w:pPr>
            <w:r>
              <w:rPr>
                <w:rFonts w:hint="eastAsia" w:ascii="Times New Roman" w:hAnsi="Times New Roman" w:eastAsia="宋体" w:cs="Times New Roman"/>
                <w:color w:val="auto"/>
                <w:kern w:val="0"/>
                <w:sz w:val="21"/>
                <w:szCs w:val="21"/>
                <w:lang w:val="en-US" w:eastAsia="zh-CN"/>
              </w:rPr>
              <w:t>符合</w:t>
            </w:r>
          </w:p>
        </w:tc>
        <w:tc>
          <w:tcPr>
            <w:tcW w:w="544" w:type="dxa"/>
            <w:noWrap w:val="0"/>
            <w:vAlign w:val="center"/>
          </w:tcPr>
          <w:p w14:paraId="755FE169">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4</w:t>
            </w:r>
          </w:p>
        </w:tc>
        <w:tc>
          <w:tcPr>
            <w:tcW w:w="751" w:type="dxa"/>
            <w:vMerge w:val="continue"/>
            <w:noWrap w:val="0"/>
            <w:vAlign w:val="center"/>
          </w:tcPr>
          <w:p w14:paraId="49CD33F5">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textAlignment w:val="auto"/>
              <w:rPr>
                <w:rFonts w:hint="default" w:ascii="Times New Roman" w:hAnsi="Times New Roman" w:eastAsia="宋体" w:cs="Times New Roman"/>
                <w:color w:val="auto"/>
                <w:kern w:val="0"/>
                <w:sz w:val="21"/>
                <w:szCs w:val="21"/>
                <w:lang w:val="zh-CN"/>
              </w:rPr>
            </w:pPr>
          </w:p>
        </w:tc>
        <w:tc>
          <w:tcPr>
            <w:tcW w:w="775" w:type="dxa"/>
            <w:noWrap w:val="0"/>
            <w:vAlign w:val="center"/>
          </w:tcPr>
          <w:p w14:paraId="152F6233">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eastAsia" w:ascii="Times New Roman" w:hAnsi="Times New Roman" w:eastAsia="宋体" w:cs="Times New Roman"/>
                <w:color w:val="auto"/>
                <w:kern w:val="0"/>
                <w:sz w:val="21"/>
                <w:szCs w:val="21"/>
                <w:lang w:val="zh-CN" w:eastAsia="zh-CN"/>
              </w:rPr>
            </w:pPr>
            <w:r>
              <w:rPr>
                <w:rFonts w:hint="default" w:ascii="Times New Roman" w:hAnsi="Times New Roman" w:eastAsia="宋体" w:cs="Times New Roman"/>
                <w:color w:val="auto"/>
                <w:kern w:val="0"/>
                <w:sz w:val="21"/>
                <w:szCs w:val="21"/>
                <w:lang w:val="zh-CN"/>
              </w:rPr>
              <w:t>4</w:t>
            </w:r>
          </w:p>
        </w:tc>
      </w:tr>
      <w:tr w14:paraId="49A22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12" w:hRule="atLeast"/>
          <w:jc w:val="center"/>
        </w:trPr>
        <w:tc>
          <w:tcPr>
            <w:tcW w:w="510" w:type="dxa"/>
            <w:vMerge w:val="continue"/>
            <w:noWrap w:val="0"/>
            <w:vAlign w:val="center"/>
          </w:tcPr>
          <w:p w14:paraId="1862F382">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300" w:type="dxa"/>
            <w:vMerge w:val="continue"/>
            <w:noWrap w:val="0"/>
            <w:vAlign w:val="center"/>
          </w:tcPr>
          <w:p w14:paraId="31F213D6">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2929" w:type="dxa"/>
            <w:noWrap w:val="0"/>
            <w:vAlign w:val="center"/>
          </w:tcPr>
          <w:p w14:paraId="140FBE0F">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2.6上游式尾矿坝的堆积坝下游坡面上，应结合排渗设施每隔6～10m高差设排水沟。</w:t>
            </w:r>
          </w:p>
        </w:tc>
        <w:tc>
          <w:tcPr>
            <w:tcW w:w="1055" w:type="dxa"/>
            <w:vMerge w:val="continue"/>
            <w:noWrap w:val="0"/>
            <w:vAlign w:val="center"/>
          </w:tcPr>
          <w:p w14:paraId="25C591FC">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sz w:val="21"/>
                <w:szCs w:val="21"/>
              </w:rPr>
            </w:pPr>
          </w:p>
        </w:tc>
        <w:tc>
          <w:tcPr>
            <w:tcW w:w="999" w:type="dxa"/>
            <w:noWrap w:val="0"/>
            <w:vAlign w:val="center"/>
          </w:tcPr>
          <w:p w14:paraId="28D86846">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对照设计、规范查现场</w:t>
            </w:r>
          </w:p>
        </w:tc>
        <w:tc>
          <w:tcPr>
            <w:tcW w:w="1114" w:type="dxa"/>
            <w:noWrap w:val="0"/>
            <w:vAlign w:val="center"/>
          </w:tcPr>
          <w:p w14:paraId="1155EBDC">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eastAsia" w:ascii="Times New Roman" w:hAnsi="Times New Roman" w:eastAsia="宋体" w:cs="Times New Roman"/>
                <w:color w:val="auto"/>
                <w:kern w:val="0"/>
                <w:sz w:val="21"/>
                <w:szCs w:val="21"/>
                <w:lang w:val="en-US" w:eastAsia="zh-CN"/>
              </w:rPr>
              <w:t>符合</w:t>
            </w:r>
          </w:p>
        </w:tc>
        <w:tc>
          <w:tcPr>
            <w:tcW w:w="544" w:type="dxa"/>
            <w:noWrap w:val="0"/>
            <w:vAlign w:val="center"/>
          </w:tcPr>
          <w:p w14:paraId="23A82A60">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3</w:t>
            </w:r>
          </w:p>
        </w:tc>
        <w:tc>
          <w:tcPr>
            <w:tcW w:w="751" w:type="dxa"/>
            <w:vMerge w:val="continue"/>
            <w:noWrap w:val="0"/>
            <w:vAlign w:val="center"/>
          </w:tcPr>
          <w:p w14:paraId="54B7C626">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textAlignment w:val="auto"/>
              <w:rPr>
                <w:rFonts w:hint="default" w:ascii="Times New Roman" w:hAnsi="Times New Roman" w:eastAsia="宋体" w:cs="Times New Roman"/>
                <w:color w:val="auto"/>
                <w:kern w:val="0"/>
                <w:sz w:val="21"/>
                <w:szCs w:val="21"/>
                <w:lang w:val="zh-CN"/>
              </w:rPr>
            </w:pPr>
          </w:p>
        </w:tc>
        <w:tc>
          <w:tcPr>
            <w:tcW w:w="775" w:type="dxa"/>
            <w:noWrap w:val="0"/>
            <w:vAlign w:val="center"/>
          </w:tcPr>
          <w:p w14:paraId="14865CAD">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eastAsia" w:ascii="Times New Roman" w:hAnsi="Times New Roman" w:eastAsia="宋体" w:cs="Times New Roman"/>
                <w:color w:val="auto"/>
                <w:kern w:val="0"/>
                <w:sz w:val="21"/>
                <w:szCs w:val="21"/>
                <w:lang w:val="zh-CN" w:eastAsia="zh-CN"/>
              </w:rPr>
            </w:pPr>
            <w:r>
              <w:rPr>
                <w:rFonts w:hint="eastAsia" w:ascii="Times New Roman" w:hAnsi="Times New Roman" w:eastAsia="宋体" w:cs="Times New Roman"/>
                <w:color w:val="auto"/>
                <w:kern w:val="0"/>
                <w:sz w:val="21"/>
                <w:szCs w:val="21"/>
                <w:lang w:val="en-US" w:eastAsia="zh-CN"/>
              </w:rPr>
              <w:t>3</w:t>
            </w:r>
          </w:p>
        </w:tc>
      </w:tr>
      <w:tr w14:paraId="58812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12" w:hRule="atLeast"/>
          <w:jc w:val="center"/>
        </w:trPr>
        <w:tc>
          <w:tcPr>
            <w:tcW w:w="510" w:type="dxa"/>
            <w:vMerge w:val="continue"/>
            <w:noWrap w:val="0"/>
            <w:vAlign w:val="center"/>
          </w:tcPr>
          <w:p w14:paraId="7913B66C">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300" w:type="dxa"/>
            <w:vMerge w:val="continue"/>
            <w:noWrap w:val="0"/>
            <w:vAlign w:val="center"/>
          </w:tcPr>
          <w:p w14:paraId="69E3DDED">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2929" w:type="dxa"/>
            <w:noWrap w:val="0"/>
            <w:vAlign w:val="center"/>
          </w:tcPr>
          <w:p w14:paraId="695284CB">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2.7坝面未按设计设置排水沟，冲蚀严重，形成较多或较大的冲沟。</w:t>
            </w:r>
          </w:p>
        </w:tc>
        <w:tc>
          <w:tcPr>
            <w:tcW w:w="1055" w:type="dxa"/>
            <w:vMerge w:val="restart"/>
            <w:noWrap w:val="0"/>
            <w:vAlign w:val="center"/>
          </w:tcPr>
          <w:p w14:paraId="13B24707">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《尾矿设施设计规范》第4.5.9条，《尾矿库安全规程》第6.9条、第5.3.20条</w:t>
            </w:r>
          </w:p>
        </w:tc>
        <w:tc>
          <w:tcPr>
            <w:tcW w:w="999" w:type="dxa"/>
            <w:noWrap w:val="0"/>
            <w:vAlign w:val="center"/>
          </w:tcPr>
          <w:p w14:paraId="4C0D2F7B">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rPr>
              <w:t>查现场</w:t>
            </w:r>
          </w:p>
        </w:tc>
        <w:tc>
          <w:tcPr>
            <w:tcW w:w="1114" w:type="dxa"/>
            <w:noWrap w:val="0"/>
            <w:vAlign w:val="center"/>
          </w:tcPr>
          <w:p w14:paraId="38A6F138">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按设计设置有排水沟</w:t>
            </w:r>
          </w:p>
        </w:tc>
        <w:tc>
          <w:tcPr>
            <w:tcW w:w="544" w:type="dxa"/>
            <w:vMerge w:val="restart"/>
            <w:noWrap w:val="0"/>
            <w:vAlign w:val="center"/>
          </w:tcPr>
          <w:p w14:paraId="01527E9C">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病库</w:t>
            </w:r>
          </w:p>
        </w:tc>
        <w:tc>
          <w:tcPr>
            <w:tcW w:w="751" w:type="dxa"/>
            <w:vMerge w:val="restart"/>
            <w:noWrap w:val="0"/>
            <w:vAlign w:val="center"/>
          </w:tcPr>
          <w:p w14:paraId="44F75FB0">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775" w:type="dxa"/>
            <w:noWrap w:val="0"/>
            <w:vAlign w:val="center"/>
          </w:tcPr>
          <w:p w14:paraId="354F266C">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eastAsia" w:ascii="Times New Roman" w:hAnsi="Times New Roman" w:eastAsia="宋体" w:cs="Times New Roman"/>
                <w:color w:val="auto"/>
                <w:kern w:val="0"/>
                <w:sz w:val="21"/>
                <w:szCs w:val="21"/>
                <w:lang w:val="zh-CN" w:eastAsia="zh-CN"/>
              </w:rPr>
            </w:pPr>
            <w:r>
              <w:rPr>
                <w:rFonts w:hint="default" w:ascii="Times New Roman" w:hAnsi="Times New Roman" w:eastAsia="宋体" w:cs="Times New Roman"/>
                <w:color w:val="auto"/>
                <w:kern w:val="0"/>
                <w:sz w:val="21"/>
                <w:szCs w:val="21"/>
                <w:lang w:val="zh-CN"/>
              </w:rPr>
              <w:t>正常库</w:t>
            </w:r>
          </w:p>
        </w:tc>
      </w:tr>
      <w:tr w14:paraId="18E5D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12" w:hRule="atLeast"/>
          <w:jc w:val="center"/>
        </w:trPr>
        <w:tc>
          <w:tcPr>
            <w:tcW w:w="510" w:type="dxa"/>
            <w:vMerge w:val="continue"/>
            <w:noWrap w:val="0"/>
            <w:vAlign w:val="center"/>
          </w:tcPr>
          <w:p w14:paraId="47E72244">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300" w:type="dxa"/>
            <w:vMerge w:val="continue"/>
            <w:noWrap w:val="0"/>
            <w:vAlign w:val="center"/>
          </w:tcPr>
          <w:p w14:paraId="1F82F6B7">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2929" w:type="dxa"/>
            <w:noWrap w:val="0"/>
            <w:vAlign w:val="center"/>
          </w:tcPr>
          <w:p w14:paraId="4B66CAB8">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2.8尾矿堆积坝下游坡与两岸山坡结合处的山坡上设置的截水沟应符合设计要求，并畅通。</w:t>
            </w:r>
          </w:p>
        </w:tc>
        <w:tc>
          <w:tcPr>
            <w:tcW w:w="1055" w:type="dxa"/>
            <w:vMerge w:val="continue"/>
            <w:noWrap w:val="0"/>
            <w:vAlign w:val="center"/>
          </w:tcPr>
          <w:p w14:paraId="208AAE1B">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sz w:val="21"/>
                <w:szCs w:val="21"/>
              </w:rPr>
            </w:pPr>
          </w:p>
        </w:tc>
        <w:tc>
          <w:tcPr>
            <w:tcW w:w="999" w:type="dxa"/>
            <w:vMerge w:val="restart"/>
            <w:noWrap w:val="0"/>
            <w:vAlign w:val="center"/>
          </w:tcPr>
          <w:p w14:paraId="7F99A63A">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对照设计</w:t>
            </w:r>
          </w:p>
          <w:p w14:paraId="06322927">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查现场</w:t>
            </w:r>
          </w:p>
        </w:tc>
        <w:tc>
          <w:tcPr>
            <w:tcW w:w="1114" w:type="dxa"/>
            <w:noWrap w:val="0"/>
            <w:vAlign w:val="center"/>
          </w:tcPr>
          <w:p w14:paraId="14C464D8">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eastAsia" w:ascii="Times New Roman" w:hAnsi="Times New Roman" w:eastAsia="宋体" w:cs="Times New Roman"/>
                <w:color w:val="auto"/>
                <w:kern w:val="0"/>
                <w:sz w:val="21"/>
                <w:szCs w:val="21"/>
                <w:lang w:val="zh-CN" w:eastAsia="zh-CN"/>
              </w:rPr>
            </w:pPr>
            <w:r>
              <w:rPr>
                <w:rFonts w:hint="eastAsia" w:ascii="Times New Roman" w:hAnsi="Times New Roman" w:eastAsia="宋体" w:cs="Times New Roman"/>
                <w:color w:val="auto"/>
                <w:kern w:val="0"/>
                <w:sz w:val="21"/>
                <w:szCs w:val="21"/>
                <w:lang w:val="en-US" w:eastAsia="zh-CN"/>
              </w:rPr>
              <w:t>符合</w:t>
            </w:r>
          </w:p>
        </w:tc>
        <w:tc>
          <w:tcPr>
            <w:tcW w:w="544" w:type="dxa"/>
            <w:vMerge w:val="continue"/>
            <w:noWrap w:val="0"/>
            <w:vAlign w:val="center"/>
          </w:tcPr>
          <w:p w14:paraId="62B918B6">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751" w:type="dxa"/>
            <w:vMerge w:val="continue"/>
            <w:noWrap w:val="0"/>
            <w:vAlign w:val="center"/>
          </w:tcPr>
          <w:p w14:paraId="7687C232">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775" w:type="dxa"/>
            <w:noWrap w:val="0"/>
            <w:vAlign w:val="center"/>
          </w:tcPr>
          <w:p w14:paraId="7987E16A">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eastAsia" w:ascii="Times New Roman" w:hAnsi="Times New Roman" w:eastAsia="宋体" w:cs="Times New Roman"/>
                <w:color w:val="auto"/>
                <w:kern w:val="0"/>
                <w:sz w:val="21"/>
                <w:szCs w:val="21"/>
                <w:lang w:val="zh-CN" w:eastAsia="zh-CN"/>
              </w:rPr>
            </w:pPr>
            <w:r>
              <w:rPr>
                <w:rFonts w:hint="default" w:ascii="Times New Roman" w:hAnsi="Times New Roman" w:eastAsia="宋体" w:cs="Times New Roman"/>
                <w:color w:val="auto"/>
                <w:kern w:val="0"/>
                <w:sz w:val="21"/>
                <w:szCs w:val="21"/>
                <w:lang w:val="zh-CN"/>
              </w:rPr>
              <w:t>正常库</w:t>
            </w:r>
          </w:p>
        </w:tc>
      </w:tr>
      <w:tr w14:paraId="7C54C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12" w:hRule="atLeast"/>
          <w:jc w:val="center"/>
        </w:trPr>
        <w:tc>
          <w:tcPr>
            <w:tcW w:w="510" w:type="dxa"/>
            <w:vMerge w:val="continue"/>
            <w:noWrap w:val="0"/>
            <w:vAlign w:val="center"/>
          </w:tcPr>
          <w:p w14:paraId="38FDE7EF">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300" w:type="dxa"/>
            <w:vMerge w:val="continue"/>
            <w:noWrap w:val="0"/>
            <w:vAlign w:val="center"/>
          </w:tcPr>
          <w:p w14:paraId="0DBEC136">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2929" w:type="dxa"/>
            <w:noWrap w:val="0"/>
            <w:vAlign w:val="center"/>
          </w:tcPr>
          <w:p w14:paraId="5A073653">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2.9堆积坝外坡未按设计覆土、植被。</w:t>
            </w:r>
          </w:p>
        </w:tc>
        <w:tc>
          <w:tcPr>
            <w:tcW w:w="1055" w:type="dxa"/>
            <w:vMerge w:val="continue"/>
            <w:noWrap w:val="0"/>
            <w:vAlign w:val="center"/>
          </w:tcPr>
          <w:p w14:paraId="33EEB687">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sz w:val="21"/>
                <w:szCs w:val="21"/>
              </w:rPr>
            </w:pPr>
          </w:p>
        </w:tc>
        <w:tc>
          <w:tcPr>
            <w:tcW w:w="999" w:type="dxa"/>
            <w:vMerge w:val="continue"/>
            <w:noWrap w:val="0"/>
            <w:vAlign w:val="center"/>
          </w:tcPr>
          <w:p w14:paraId="3470A3E9">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1114" w:type="dxa"/>
            <w:noWrap w:val="0"/>
            <w:vAlign w:val="center"/>
          </w:tcPr>
          <w:p w14:paraId="16555640">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eastAsia" w:ascii="Times New Roman" w:hAnsi="Times New Roman" w:eastAsia="宋体" w:cs="Times New Roman"/>
                <w:color w:val="auto"/>
                <w:kern w:val="0"/>
                <w:sz w:val="21"/>
                <w:szCs w:val="21"/>
                <w:lang w:val="zh-CN" w:eastAsia="zh-CN"/>
              </w:rPr>
            </w:pPr>
            <w:r>
              <w:rPr>
                <w:rFonts w:hint="eastAsia" w:ascii="Times New Roman" w:hAnsi="Times New Roman" w:eastAsia="宋体" w:cs="Times New Roman"/>
                <w:color w:val="auto"/>
                <w:kern w:val="0"/>
                <w:sz w:val="21"/>
                <w:szCs w:val="21"/>
                <w:lang w:val="en-US" w:eastAsia="zh-CN"/>
              </w:rPr>
              <w:t>符合</w:t>
            </w:r>
          </w:p>
        </w:tc>
        <w:tc>
          <w:tcPr>
            <w:tcW w:w="544" w:type="dxa"/>
            <w:vMerge w:val="continue"/>
            <w:noWrap w:val="0"/>
            <w:vAlign w:val="center"/>
          </w:tcPr>
          <w:p w14:paraId="3B65CED2">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751" w:type="dxa"/>
            <w:vMerge w:val="continue"/>
            <w:noWrap w:val="0"/>
            <w:vAlign w:val="center"/>
          </w:tcPr>
          <w:p w14:paraId="5768D8CE">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775" w:type="dxa"/>
            <w:noWrap w:val="0"/>
            <w:vAlign w:val="center"/>
          </w:tcPr>
          <w:p w14:paraId="20C4806D">
            <w:pPr>
              <w:keepNext w:val="0"/>
              <w:keepLines w:val="0"/>
              <w:pageBreakBefore w:val="0"/>
              <w:widowControl w:val="0"/>
              <w:kinsoku/>
              <w:wordWrap/>
              <w:overflowPunct/>
              <w:topLinePunct w:val="0"/>
              <w:bidi w:val="0"/>
              <w:snapToGrid/>
              <w:spacing w:line="280" w:lineRule="exact"/>
              <w:ind w:firstLine="0" w:firstLineChars="0"/>
              <w:jc w:val="center"/>
              <w:textAlignment w:val="auto"/>
              <w:rPr>
                <w:rFonts w:hint="eastAsia" w:ascii="Times New Roman" w:hAnsi="Times New Roman" w:eastAsia="宋体" w:cs="Times New Roman"/>
                <w:color w:val="auto"/>
                <w:sz w:val="21"/>
                <w:szCs w:val="21"/>
                <w:lang w:eastAsia="zh-CN"/>
              </w:rPr>
            </w:pPr>
            <w:r>
              <w:rPr>
                <w:rFonts w:hint="default" w:ascii="Times New Roman" w:hAnsi="Times New Roman" w:eastAsia="宋体" w:cs="Times New Roman"/>
                <w:color w:val="auto"/>
                <w:kern w:val="0"/>
                <w:sz w:val="21"/>
                <w:szCs w:val="21"/>
                <w:lang w:val="zh-CN"/>
              </w:rPr>
              <w:t>正常库</w:t>
            </w:r>
          </w:p>
        </w:tc>
      </w:tr>
      <w:tr w14:paraId="05255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510" w:type="dxa"/>
            <w:vMerge w:val="continue"/>
            <w:noWrap w:val="0"/>
            <w:vAlign w:val="center"/>
          </w:tcPr>
          <w:p w14:paraId="1B16214D">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300" w:type="dxa"/>
            <w:vMerge w:val="continue"/>
            <w:noWrap w:val="0"/>
            <w:vAlign w:val="center"/>
          </w:tcPr>
          <w:p w14:paraId="5DFB7F6A">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2929" w:type="dxa"/>
            <w:noWrap w:val="0"/>
            <w:vAlign w:val="center"/>
          </w:tcPr>
          <w:p w14:paraId="491D6F4B">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2.10尾矿坝下游坡面上，不得有积水坑存在。</w:t>
            </w:r>
          </w:p>
        </w:tc>
        <w:tc>
          <w:tcPr>
            <w:tcW w:w="1055" w:type="dxa"/>
            <w:noWrap w:val="0"/>
            <w:vAlign w:val="center"/>
          </w:tcPr>
          <w:p w14:paraId="3C8A1DFE">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《尾矿库安全规程》第6.3.11条</w:t>
            </w:r>
          </w:p>
        </w:tc>
        <w:tc>
          <w:tcPr>
            <w:tcW w:w="999" w:type="dxa"/>
            <w:noWrap w:val="0"/>
            <w:vAlign w:val="center"/>
          </w:tcPr>
          <w:p w14:paraId="0901956C">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ascii="Times New Roman" w:hAnsi="Times New Roman" w:eastAsia="宋体" w:cs="Times New Roman"/>
                <w:color w:val="auto"/>
                <w:kern w:val="0"/>
                <w:sz w:val="21"/>
                <w:szCs w:val="21"/>
                <w:lang w:val="zh-CN"/>
              </w:rPr>
              <w:t>查现场</w:t>
            </w:r>
          </w:p>
        </w:tc>
        <w:tc>
          <w:tcPr>
            <w:tcW w:w="1114" w:type="dxa"/>
            <w:noWrap w:val="0"/>
            <w:vAlign w:val="center"/>
          </w:tcPr>
          <w:p w14:paraId="30F1E675">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无积水坑</w:t>
            </w:r>
          </w:p>
        </w:tc>
        <w:tc>
          <w:tcPr>
            <w:tcW w:w="544" w:type="dxa"/>
            <w:noWrap w:val="0"/>
            <w:vAlign w:val="center"/>
          </w:tcPr>
          <w:p w14:paraId="6DC6D00F">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3</w:t>
            </w:r>
          </w:p>
        </w:tc>
        <w:tc>
          <w:tcPr>
            <w:tcW w:w="751" w:type="dxa"/>
            <w:noWrap w:val="0"/>
            <w:vAlign w:val="center"/>
          </w:tcPr>
          <w:p w14:paraId="6878A4FC">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不符合</w:t>
            </w:r>
          </w:p>
          <w:p w14:paraId="13034ADA">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不得分</w:t>
            </w:r>
          </w:p>
        </w:tc>
        <w:tc>
          <w:tcPr>
            <w:tcW w:w="775" w:type="dxa"/>
            <w:noWrap w:val="0"/>
            <w:vAlign w:val="center"/>
          </w:tcPr>
          <w:p w14:paraId="777B9CAE">
            <w:pPr>
              <w:keepNext w:val="0"/>
              <w:keepLines w:val="0"/>
              <w:pageBreakBefore w:val="0"/>
              <w:widowControl w:val="0"/>
              <w:kinsoku/>
              <w:wordWrap/>
              <w:overflowPunct/>
              <w:topLinePunct w:val="0"/>
              <w:bidi w:val="0"/>
              <w:snapToGrid/>
              <w:spacing w:line="280" w:lineRule="exact"/>
              <w:ind w:firstLine="0" w:firstLineChars="0"/>
              <w:jc w:val="center"/>
              <w:textAlignment w:val="auto"/>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kern w:val="0"/>
                <w:sz w:val="21"/>
                <w:szCs w:val="21"/>
                <w:lang w:val="en-US" w:eastAsia="zh-CN"/>
              </w:rPr>
              <w:t>3</w:t>
            </w:r>
          </w:p>
        </w:tc>
      </w:tr>
      <w:tr w14:paraId="2CE47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510" w:type="dxa"/>
            <w:vMerge w:val="continue"/>
            <w:noWrap w:val="0"/>
            <w:vAlign w:val="center"/>
          </w:tcPr>
          <w:p w14:paraId="096D5D79">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300" w:type="dxa"/>
            <w:vMerge w:val="restart"/>
            <w:noWrap w:val="0"/>
            <w:vAlign w:val="center"/>
          </w:tcPr>
          <w:p w14:paraId="781F6C7D">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拦挡坝</w:t>
            </w:r>
          </w:p>
        </w:tc>
        <w:tc>
          <w:tcPr>
            <w:tcW w:w="2929" w:type="dxa"/>
            <w:noWrap w:val="0"/>
            <w:vAlign w:val="center"/>
          </w:tcPr>
          <w:p w14:paraId="5D694B3C">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3.1尾矿库拦挡坝在设计洪水位时，其安全超高不得小于最小安全超高、最大风雍水面高度和最大风浪爬高三者之和。地震雍浪高度可根据抗震设防烈度和水深确定，可采用0.5～1.5m。</w:t>
            </w:r>
          </w:p>
        </w:tc>
        <w:tc>
          <w:tcPr>
            <w:tcW w:w="1055" w:type="dxa"/>
            <w:noWrap w:val="0"/>
            <w:vAlign w:val="center"/>
          </w:tcPr>
          <w:p w14:paraId="0B80EEF5">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《尾矿设施设计规范》第4.2.3条，《尾矿库安全规程》第5.3.11、5.3.12条第5.3.11、12条</w:t>
            </w:r>
          </w:p>
        </w:tc>
        <w:tc>
          <w:tcPr>
            <w:tcW w:w="999" w:type="dxa"/>
            <w:noWrap w:val="0"/>
            <w:vAlign w:val="center"/>
          </w:tcPr>
          <w:p w14:paraId="001FEE88">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对照设计查现场</w:t>
            </w:r>
          </w:p>
        </w:tc>
        <w:tc>
          <w:tcPr>
            <w:tcW w:w="1114" w:type="dxa"/>
            <w:noWrap w:val="0"/>
            <w:vAlign w:val="center"/>
          </w:tcPr>
          <w:p w14:paraId="5B0F6DF7">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eastAsia" w:ascii="Times New Roman" w:hAnsi="Times New Roman" w:eastAsia="宋体" w:cs="Times New Roman"/>
                <w:color w:val="auto"/>
                <w:kern w:val="0"/>
                <w:sz w:val="21"/>
                <w:szCs w:val="21"/>
                <w:lang w:val="zh-CN"/>
              </w:rPr>
              <w:t>无</w:t>
            </w:r>
            <w:r>
              <w:rPr>
                <w:rFonts w:hint="eastAsia" w:ascii="Times New Roman" w:hAnsi="Times New Roman" w:eastAsia="宋体" w:cs="Times New Roman"/>
                <w:color w:val="auto"/>
                <w:kern w:val="0"/>
                <w:sz w:val="21"/>
                <w:szCs w:val="21"/>
                <w:lang w:val="en-US" w:eastAsia="zh-CN"/>
              </w:rPr>
              <w:t>此项</w:t>
            </w:r>
          </w:p>
        </w:tc>
        <w:tc>
          <w:tcPr>
            <w:tcW w:w="544" w:type="dxa"/>
            <w:noWrap w:val="0"/>
            <w:vAlign w:val="center"/>
          </w:tcPr>
          <w:p w14:paraId="0E7CB698">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5</w:t>
            </w:r>
          </w:p>
        </w:tc>
        <w:tc>
          <w:tcPr>
            <w:tcW w:w="751" w:type="dxa"/>
            <w:noWrap w:val="0"/>
            <w:vAlign w:val="center"/>
          </w:tcPr>
          <w:p w14:paraId="529B9461">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775" w:type="dxa"/>
            <w:noWrap w:val="0"/>
            <w:vAlign w:val="center"/>
          </w:tcPr>
          <w:p w14:paraId="28169D7D">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eastAsia" w:ascii="Times New Roman" w:hAnsi="Times New Roman" w:eastAsia="宋体" w:cs="Times New Roman"/>
                <w:color w:val="auto"/>
                <w:kern w:val="0"/>
                <w:sz w:val="21"/>
                <w:szCs w:val="21"/>
                <w:lang w:val="zh-CN" w:eastAsia="zh-CN"/>
              </w:rPr>
            </w:pPr>
            <w:r>
              <w:rPr>
                <w:rFonts w:hint="eastAsia" w:ascii="Times New Roman" w:hAnsi="Times New Roman" w:eastAsia="宋体" w:cs="Times New Roman"/>
                <w:color w:val="auto"/>
                <w:kern w:val="0"/>
                <w:sz w:val="21"/>
                <w:szCs w:val="21"/>
                <w:lang w:val="en-US" w:eastAsia="zh-CN"/>
              </w:rPr>
              <w:t>/</w:t>
            </w:r>
          </w:p>
        </w:tc>
      </w:tr>
      <w:tr w14:paraId="3210C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54" w:hRule="atLeast"/>
          <w:jc w:val="center"/>
        </w:trPr>
        <w:tc>
          <w:tcPr>
            <w:tcW w:w="510" w:type="dxa"/>
            <w:vMerge w:val="continue"/>
            <w:noWrap w:val="0"/>
            <w:vAlign w:val="center"/>
          </w:tcPr>
          <w:p w14:paraId="5A549F4B">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300" w:type="dxa"/>
            <w:vMerge w:val="continue"/>
            <w:noWrap w:val="0"/>
            <w:vAlign w:val="center"/>
          </w:tcPr>
          <w:p w14:paraId="2074F2CA">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2929" w:type="dxa"/>
            <w:noWrap w:val="0"/>
            <w:vAlign w:val="center"/>
          </w:tcPr>
          <w:p w14:paraId="7568F1D2">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3.2挑流鼻坎应与设计的相符，施工质量合格，下泄水不得冲刷坝脚。</w:t>
            </w:r>
          </w:p>
        </w:tc>
        <w:tc>
          <w:tcPr>
            <w:tcW w:w="1055" w:type="dxa"/>
            <w:noWrap w:val="0"/>
            <w:vAlign w:val="center"/>
          </w:tcPr>
          <w:p w14:paraId="5D5C53D7">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《尾矿库安全规程》第5.6.2条</w:t>
            </w:r>
          </w:p>
        </w:tc>
        <w:tc>
          <w:tcPr>
            <w:tcW w:w="999" w:type="dxa"/>
            <w:noWrap w:val="0"/>
            <w:vAlign w:val="center"/>
          </w:tcPr>
          <w:p w14:paraId="0D0752A1">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对照设计查现场</w:t>
            </w:r>
          </w:p>
        </w:tc>
        <w:tc>
          <w:tcPr>
            <w:tcW w:w="1114" w:type="dxa"/>
            <w:noWrap w:val="0"/>
            <w:vAlign w:val="center"/>
          </w:tcPr>
          <w:p w14:paraId="3F761955">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无此项</w:t>
            </w:r>
          </w:p>
        </w:tc>
        <w:tc>
          <w:tcPr>
            <w:tcW w:w="544" w:type="dxa"/>
            <w:noWrap w:val="0"/>
            <w:vAlign w:val="center"/>
          </w:tcPr>
          <w:p w14:paraId="2123A39F">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5</w:t>
            </w:r>
          </w:p>
        </w:tc>
        <w:tc>
          <w:tcPr>
            <w:tcW w:w="751" w:type="dxa"/>
            <w:noWrap w:val="0"/>
            <w:vAlign w:val="center"/>
          </w:tcPr>
          <w:p w14:paraId="5D54BF0D">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775" w:type="dxa"/>
            <w:noWrap w:val="0"/>
            <w:vAlign w:val="center"/>
          </w:tcPr>
          <w:p w14:paraId="167C26C9">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eastAsia" w:ascii="Times New Roman" w:hAnsi="Times New Roman" w:eastAsia="宋体" w:cs="Times New Roman"/>
                <w:color w:val="auto"/>
                <w:kern w:val="0"/>
                <w:sz w:val="21"/>
                <w:szCs w:val="21"/>
                <w:lang w:val="en-US" w:eastAsia="zh-CN"/>
              </w:rPr>
              <w:t>/</w:t>
            </w:r>
          </w:p>
        </w:tc>
      </w:tr>
      <w:tr w14:paraId="13E32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460" w:hRule="atLeast"/>
          <w:jc w:val="center"/>
        </w:trPr>
        <w:tc>
          <w:tcPr>
            <w:tcW w:w="510" w:type="dxa"/>
            <w:vMerge w:val="restart"/>
            <w:noWrap w:val="0"/>
            <w:vAlign w:val="center"/>
          </w:tcPr>
          <w:p w14:paraId="4C9FCF42">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rPr>
              <w:t>初期坝、拦挡坝、堆积坝、副坝、拦水坝坝体和排水棱体</w:t>
            </w:r>
          </w:p>
        </w:tc>
        <w:tc>
          <w:tcPr>
            <w:tcW w:w="300" w:type="dxa"/>
            <w:vMerge w:val="restart"/>
            <w:noWrap w:val="0"/>
            <w:vAlign w:val="center"/>
          </w:tcPr>
          <w:p w14:paraId="7C053780">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初期坝</w:t>
            </w:r>
          </w:p>
        </w:tc>
        <w:tc>
          <w:tcPr>
            <w:tcW w:w="2929" w:type="dxa"/>
            <w:noWrap w:val="0"/>
            <w:vAlign w:val="center"/>
          </w:tcPr>
          <w:p w14:paraId="21E24696">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4.1上游式尾矿堆积坝的初期透水堆石坝坝高与总坝高之比值不宜小于1/8。</w:t>
            </w:r>
          </w:p>
        </w:tc>
        <w:tc>
          <w:tcPr>
            <w:tcW w:w="1055" w:type="dxa"/>
            <w:noWrap w:val="0"/>
            <w:vAlign w:val="center"/>
          </w:tcPr>
          <w:p w14:paraId="5EDE8F02">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《尾矿设施设计规范》第4.1.3条，《尾矿库安全规程》第5.3.3条</w:t>
            </w:r>
          </w:p>
        </w:tc>
        <w:tc>
          <w:tcPr>
            <w:tcW w:w="999" w:type="dxa"/>
            <w:noWrap w:val="0"/>
            <w:vAlign w:val="center"/>
          </w:tcPr>
          <w:p w14:paraId="6AB9E483">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查设计与现场并进行验算</w:t>
            </w:r>
          </w:p>
        </w:tc>
        <w:tc>
          <w:tcPr>
            <w:tcW w:w="1114" w:type="dxa"/>
            <w:noWrap w:val="0"/>
            <w:vAlign w:val="center"/>
          </w:tcPr>
          <w:p w14:paraId="3A5B1BAA">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eastAsia" w:ascii="Times New Roman" w:hAnsi="Times New Roman" w:eastAsia="宋体" w:cs="Times New Roman"/>
                <w:color w:val="auto"/>
                <w:kern w:val="0"/>
                <w:sz w:val="21"/>
                <w:szCs w:val="21"/>
                <w:lang w:val="zh-CN" w:eastAsia="zh-CN"/>
              </w:rPr>
            </w:pPr>
            <w:r>
              <w:rPr>
                <w:rFonts w:hint="eastAsia" w:ascii="Times New Roman" w:hAnsi="Times New Roman" w:eastAsia="宋体" w:cs="Times New Roman"/>
                <w:color w:val="auto"/>
                <w:kern w:val="0"/>
                <w:sz w:val="21"/>
                <w:szCs w:val="21"/>
                <w:lang w:val="en-US" w:eastAsia="zh-CN"/>
              </w:rPr>
              <w:t>符合</w:t>
            </w:r>
          </w:p>
        </w:tc>
        <w:tc>
          <w:tcPr>
            <w:tcW w:w="544" w:type="dxa"/>
            <w:noWrap w:val="0"/>
            <w:vAlign w:val="center"/>
          </w:tcPr>
          <w:p w14:paraId="2F852C94">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5</w:t>
            </w:r>
          </w:p>
        </w:tc>
        <w:tc>
          <w:tcPr>
            <w:tcW w:w="751" w:type="dxa"/>
            <w:noWrap w:val="0"/>
            <w:vAlign w:val="center"/>
          </w:tcPr>
          <w:p w14:paraId="1E63267E">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775" w:type="dxa"/>
            <w:noWrap w:val="0"/>
            <w:vAlign w:val="center"/>
          </w:tcPr>
          <w:p w14:paraId="11B6BF2C">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eastAsia" w:ascii="Times New Roman" w:hAnsi="Times New Roman" w:eastAsia="宋体" w:cs="Times New Roman"/>
                <w:color w:val="auto"/>
                <w:kern w:val="0"/>
                <w:sz w:val="21"/>
                <w:szCs w:val="21"/>
                <w:lang w:val="en-US" w:eastAsia="zh-CN"/>
              </w:rPr>
              <w:t>5</w:t>
            </w:r>
          </w:p>
        </w:tc>
      </w:tr>
      <w:tr w14:paraId="43092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430" w:hRule="atLeast"/>
          <w:jc w:val="center"/>
        </w:trPr>
        <w:tc>
          <w:tcPr>
            <w:tcW w:w="510" w:type="dxa"/>
            <w:vMerge w:val="continue"/>
            <w:noWrap w:val="0"/>
            <w:vAlign w:val="center"/>
          </w:tcPr>
          <w:p w14:paraId="7D79755D">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300" w:type="dxa"/>
            <w:vMerge w:val="continue"/>
            <w:noWrap w:val="0"/>
            <w:vAlign w:val="center"/>
          </w:tcPr>
          <w:p w14:paraId="41D0F8AE">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2929" w:type="dxa"/>
            <w:noWrap w:val="0"/>
            <w:vAlign w:val="center"/>
          </w:tcPr>
          <w:p w14:paraId="6350A47F">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lang w:val="zh-CN"/>
              </w:rPr>
              <w:t>4.2透水初期坝上游坡面采用土工布组合反滤层时，土工布嵌入坝基及坝肩的深度不得小于0.5m，并需用土料填塞密实。</w:t>
            </w:r>
          </w:p>
        </w:tc>
        <w:tc>
          <w:tcPr>
            <w:tcW w:w="1055" w:type="dxa"/>
            <w:noWrap w:val="0"/>
            <w:vAlign w:val="center"/>
          </w:tcPr>
          <w:p w14:paraId="18DD808E">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《尾矿设施设计规范》第4.5.4条</w:t>
            </w:r>
          </w:p>
        </w:tc>
        <w:tc>
          <w:tcPr>
            <w:tcW w:w="999" w:type="dxa"/>
            <w:noWrap w:val="0"/>
            <w:vAlign w:val="center"/>
          </w:tcPr>
          <w:p w14:paraId="5C1F6160">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rPr>
              <w:t>查设计文件、竣工、监理报告、现场</w:t>
            </w:r>
          </w:p>
        </w:tc>
        <w:tc>
          <w:tcPr>
            <w:tcW w:w="1114" w:type="dxa"/>
            <w:noWrap w:val="0"/>
            <w:vAlign w:val="center"/>
          </w:tcPr>
          <w:p w14:paraId="47A9563A">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eastAsia" w:ascii="Times New Roman" w:hAnsi="Times New Roman" w:eastAsia="宋体" w:cs="Times New Roman"/>
                <w:color w:val="auto"/>
                <w:kern w:val="0"/>
                <w:sz w:val="21"/>
                <w:szCs w:val="21"/>
                <w:lang w:val="zh-CN" w:eastAsia="zh-CN"/>
              </w:rPr>
            </w:pPr>
            <w:r>
              <w:rPr>
                <w:rFonts w:hint="eastAsia" w:ascii="Times New Roman" w:hAnsi="Times New Roman" w:eastAsia="宋体" w:cs="Times New Roman"/>
                <w:color w:val="auto"/>
                <w:kern w:val="0"/>
                <w:sz w:val="21"/>
                <w:szCs w:val="21"/>
                <w:lang w:val="en-US" w:eastAsia="zh-CN"/>
              </w:rPr>
              <w:t>符合</w:t>
            </w:r>
          </w:p>
        </w:tc>
        <w:tc>
          <w:tcPr>
            <w:tcW w:w="544" w:type="dxa"/>
            <w:noWrap w:val="0"/>
            <w:vAlign w:val="center"/>
          </w:tcPr>
          <w:p w14:paraId="7B6A0AB6">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5</w:t>
            </w:r>
          </w:p>
        </w:tc>
        <w:tc>
          <w:tcPr>
            <w:tcW w:w="751" w:type="dxa"/>
            <w:vMerge w:val="restart"/>
            <w:noWrap w:val="0"/>
            <w:vAlign w:val="center"/>
          </w:tcPr>
          <w:p w14:paraId="27E442BE">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不符合</w:t>
            </w:r>
          </w:p>
          <w:p w14:paraId="4D6EC22E">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不得分</w:t>
            </w:r>
          </w:p>
        </w:tc>
        <w:tc>
          <w:tcPr>
            <w:tcW w:w="775" w:type="dxa"/>
            <w:noWrap w:val="0"/>
            <w:vAlign w:val="center"/>
          </w:tcPr>
          <w:p w14:paraId="22F4512E">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eastAsia" w:ascii="Times New Roman" w:hAnsi="Times New Roman" w:eastAsia="宋体" w:cs="Times New Roman"/>
                <w:color w:val="auto"/>
                <w:kern w:val="0"/>
                <w:sz w:val="21"/>
                <w:szCs w:val="21"/>
                <w:lang w:val="zh-CN" w:eastAsia="zh-CN"/>
              </w:rPr>
            </w:pPr>
            <w:r>
              <w:rPr>
                <w:rFonts w:hint="eastAsia" w:ascii="Times New Roman" w:hAnsi="Times New Roman" w:eastAsia="宋体" w:cs="Times New Roman"/>
                <w:color w:val="auto"/>
                <w:kern w:val="0"/>
                <w:sz w:val="21"/>
                <w:szCs w:val="21"/>
                <w:lang w:val="en-US" w:eastAsia="zh-CN"/>
              </w:rPr>
              <w:t>5</w:t>
            </w:r>
          </w:p>
        </w:tc>
      </w:tr>
      <w:tr w14:paraId="0FD72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29" w:hRule="atLeast"/>
          <w:jc w:val="center"/>
        </w:trPr>
        <w:tc>
          <w:tcPr>
            <w:tcW w:w="510" w:type="dxa"/>
            <w:vMerge w:val="continue"/>
            <w:noWrap w:val="0"/>
            <w:vAlign w:val="center"/>
          </w:tcPr>
          <w:p w14:paraId="14CBEA04">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300" w:type="dxa"/>
            <w:vMerge w:val="continue"/>
            <w:noWrap w:val="0"/>
            <w:vAlign w:val="center"/>
          </w:tcPr>
          <w:p w14:paraId="1A312579">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2929" w:type="dxa"/>
            <w:noWrap w:val="0"/>
            <w:vAlign w:val="center"/>
          </w:tcPr>
          <w:p w14:paraId="0628C7CA">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4.3初期的安全超高和泄洪能力要满足初期设计洪水标准。</w:t>
            </w:r>
          </w:p>
        </w:tc>
        <w:tc>
          <w:tcPr>
            <w:tcW w:w="1055" w:type="dxa"/>
            <w:noWrap w:val="0"/>
            <w:vAlign w:val="center"/>
          </w:tcPr>
          <w:p w14:paraId="7DF54192">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sz w:val="21"/>
                <w:szCs w:val="21"/>
              </w:rPr>
              <w:t>《尾矿设施设计规范》第4.1.3条，《尾矿库安全规程》第5.3.3条</w:t>
            </w:r>
          </w:p>
        </w:tc>
        <w:tc>
          <w:tcPr>
            <w:tcW w:w="999" w:type="dxa"/>
            <w:noWrap w:val="0"/>
            <w:vAlign w:val="center"/>
          </w:tcPr>
          <w:p w14:paraId="31EDFFA5">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查设计与场察</w:t>
            </w:r>
          </w:p>
        </w:tc>
        <w:tc>
          <w:tcPr>
            <w:tcW w:w="1114" w:type="dxa"/>
            <w:noWrap w:val="0"/>
            <w:vAlign w:val="center"/>
          </w:tcPr>
          <w:p w14:paraId="76A2EAE4">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符合</w:t>
            </w:r>
          </w:p>
        </w:tc>
        <w:tc>
          <w:tcPr>
            <w:tcW w:w="544" w:type="dxa"/>
            <w:noWrap w:val="0"/>
            <w:vAlign w:val="center"/>
          </w:tcPr>
          <w:p w14:paraId="4EE93079">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7</w:t>
            </w:r>
          </w:p>
        </w:tc>
        <w:tc>
          <w:tcPr>
            <w:tcW w:w="751" w:type="dxa"/>
            <w:vMerge w:val="continue"/>
            <w:noWrap w:val="0"/>
            <w:vAlign w:val="center"/>
          </w:tcPr>
          <w:p w14:paraId="744802E7">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775" w:type="dxa"/>
            <w:noWrap w:val="0"/>
            <w:vAlign w:val="center"/>
          </w:tcPr>
          <w:p w14:paraId="3991D7AB">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eastAsia" w:ascii="Times New Roman" w:hAnsi="Times New Roman" w:eastAsia="宋体" w:cs="Times New Roman"/>
                <w:color w:val="auto"/>
                <w:kern w:val="0"/>
                <w:sz w:val="21"/>
                <w:szCs w:val="21"/>
                <w:lang w:val="zh-CN" w:eastAsia="zh-CN"/>
              </w:rPr>
            </w:pPr>
            <w:r>
              <w:rPr>
                <w:rFonts w:hint="eastAsia" w:ascii="Times New Roman" w:hAnsi="Times New Roman" w:eastAsia="宋体" w:cs="Times New Roman"/>
                <w:color w:val="auto"/>
                <w:kern w:val="0"/>
                <w:sz w:val="21"/>
                <w:szCs w:val="21"/>
                <w:lang w:val="en-US" w:eastAsia="zh-CN"/>
              </w:rPr>
              <w:t>7</w:t>
            </w:r>
          </w:p>
        </w:tc>
      </w:tr>
      <w:tr w14:paraId="48CFF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080" w:hRule="atLeast"/>
          <w:jc w:val="center"/>
        </w:trPr>
        <w:tc>
          <w:tcPr>
            <w:tcW w:w="510" w:type="dxa"/>
            <w:vMerge w:val="continue"/>
            <w:noWrap w:val="0"/>
            <w:vAlign w:val="center"/>
          </w:tcPr>
          <w:p w14:paraId="695C88F9">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300" w:type="dxa"/>
            <w:vMerge w:val="restart"/>
            <w:noWrap w:val="0"/>
            <w:vAlign w:val="center"/>
          </w:tcPr>
          <w:p w14:paraId="6F8A3B54">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堆积坝</w:t>
            </w:r>
          </w:p>
        </w:tc>
        <w:tc>
          <w:tcPr>
            <w:tcW w:w="2929" w:type="dxa"/>
            <w:noWrap w:val="0"/>
            <w:vAlign w:val="center"/>
          </w:tcPr>
          <w:p w14:paraId="7360093D">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5.1坝上必须配备有通讯照明设备、各种安全监测设施、救生设备。</w:t>
            </w:r>
          </w:p>
        </w:tc>
        <w:tc>
          <w:tcPr>
            <w:tcW w:w="1055" w:type="dxa"/>
            <w:noWrap w:val="0"/>
            <w:vAlign w:val="center"/>
          </w:tcPr>
          <w:p w14:paraId="061EFF3E">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《尾矿库安全规程》第9.7.1条</w:t>
            </w:r>
          </w:p>
        </w:tc>
        <w:tc>
          <w:tcPr>
            <w:tcW w:w="999" w:type="dxa"/>
            <w:noWrap w:val="0"/>
            <w:vAlign w:val="center"/>
          </w:tcPr>
          <w:p w14:paraId="6115AC9A">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查现场</w:t>
            </w:r>
          </w:p>
        </w:tc>
        <w:tc>
          <w:tcPr>
            <w:tcW w:w="1114" w:type="dxa"/>
            <w:noWrap w:val="0"/>
            <w:vAlign w:val="center"/>
          </w:tcPr>
          <w:p w14:paraId="3D8C718B">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有</w:t>
            </w:r>
          </w:p>
        </w:tc>
        <w:tc>
          <w:tcPr>
            <w:tcW w:w="544" w:type="dxa"/>
            <w:noWrap w:val="0"/>
            <w:vAlign w:val="center"/>
          </w:tcPr>
          <w:p w14:paraId="77AF1AFA">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2</w:t>
            </w:r>
          </w:p>
        </w:tc>
        <w:tc>
          <w:tcPr>
            <w:tcW w:w="751" w:type="dxa"/>
            <w:vMerge w:val="continue"/>
            <w:noWrap w:val="0"/>
            <w:vAlign w:val="center"/>
          </w:tcPr>
          <w:p w14:paraId="162D3663">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775" w:type="dxa"/>
            <w:noWrap w:val="0"/>
            <w:vAlign w:val="center"/>
          </w:tcPr>
          <w:p w14:paraId="69110D1E">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2</w:t>
            </w:r>
          </w:p>
        </w:tc>
      </w:tr>
      <w:tr w14:paraId="37708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970" w:hRule="atLeast"/>
          <w:jc w:val="center"/>
        </w:trPr>
        <w:tc>
          <w:tcPr>
            <w:tcW w:w="510" w:type="dxa"/>
            <w:vMerge w:val="continue"/>
            <w:noWrap w:val="0"/>
            <w:vAlign w:val="center"/>
          </w:tcPr>
          <w:p w14:paraId="2F89540B">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300" w:type="dxa"/>
            <w:vMerge w:val="continue"/>
            <w:noWrap w:val="0"/>
            <w:vAlign w:val="center"/>
          </w:tcPr>
          <w:p w14:paraId="60666096">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2929" w:type="dxa"/>
            <w:noWrap w:val="0"/>
            <w:vAlign w:val="center"/>
          </w:tcPr>
          <w:p w14:paraId="443F6F7A">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5.2每一期筑坝充填作业之前，必须进行岸坡处理。岸坡处理应做隐蔽工程记录，如遇泉眼水井、地道或洞穴等，要采取有效措施进行处理，经主管技术人员检查合格后方可充填筑坝。</w:t>
            </w:r>
          </w:p>
        </w:tc>
        <w:tc>
          <w:tcPr>
            <w:tcW w:w="1055" w:type="dxa"/>
            <w:noWrap w:val="0"/>
            <w:vAlign w:val="center"/>
          </w:tcPr>
          <w:p w14:paraId="07290007">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《尾矿库安全规程》</w:t>
            </w:r>
          </w:p>
          <w:p w14:paraId="2B293BC2">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sz w:val="21"/>
                <w:szCs w:val="21"/>
              </w:rPr>
              <w:t>第6.3.3条</w:t>
            </w:r>
          </w:p>
        </w:tc>
        <w:tc>
          <w:tcPr>
            <w:tcW w:w="999" w:type="dxa"/>
            <w:noWrap w:val="0"/>
            <w:vAlign w:val="center"/>
          </w:tcPr>
          <w:p w14:paraId="0BB53E25">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rPr>
              <w:t>查设尾矿库工程档案、现场</w:t>
            </w:r>
          </w:p>
        </w:tc>
        <w:tc>
          <w:tcPr>
            <w:tcW w:w="1114" w:type="dxa"/>
            <w:noWrap w:val="0"/>
            <w:vAlign w:val="center"/>
          </w:tcPr>
          <w:p w14:paraId="08D14805">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符合</w:t>
            </w:r>
          </w:p>
        </w:tc>
        <w:tc>
          <w:tcPr>
            <w:tcW w:w="544" w:type="dxa"/>
            <w:noWrap w:val="0"/>
            <w:vAlign w:val="center"/>
          </w:tcPr>
          <w:p w14:paraId="3B3DD7D3">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3</w:t>
            </w:r>
          </w:p>
        </w:tc>
        <w:tc>
          <w:tcPr>
            <w:tcW w:w="751" w:type="dxa"/>
            <w:vMerge w:val="continue"/>
            <w:noWrap w:val="0"/>
            <w:vAlign w:val="center"/>
          </w:tcPr>
          <w:p w14:paraId="718DDCEF">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775" w:type="dxa"/>
            <w:noWrap w:val="0"/>
            <w:vAlign w:val="center"/>
          </w:tcPr>
          <w:p w14:paraId="15A7A908">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eastAsia" w:ascii="Times New Roman" w:hAnsi="Times New Roman" w:eastAsia="宋体" w:cs="Times New Roman"/>
                <w:color w:val="auto"/>
                <w:kern w:val="0"/>
                <w:sz w:val="21"/>
                <w:szCs w:val="21"/>
                <w:lang w:val="zh-CN" w:eastAsia="zh-CN"/>
              </w:rPr>
            </w:pPr>
            <w:r>
              <w:rPr>
                <w:rFonts w:hint="eastAsia" w:ascii="Times New Roman" w:hAnsi="Times New Roman" w:eastAsia="宋体" w:cs="Times New Roman"/>
                <w:color w:val="auto"/>
                <w:kern w:val="0"/>
                <w:sz w:val="21"/>
                <w:szCs w:val="21"/>
                <w:lang w:val="en-US" w:eastAsia="zh-CN"/>
              </w:rPr>
              <w:t>3</w:t>
            </w:r>
          </w:p>
        </w:tc>
      </w:tr>
      <w:tr w14:paraId="1F43D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370" w:hRule="atLeast"/>
          <w:jc w:val="center"/>
        </w:trPr>
        <w:tc>
          <w:tcPr>
            <w:tcW w:w="510" w:type="dxa"/>
            <w:vMerge w:val="continue"/>
            <w:noWrap w:val="0"/>
            <w:vAlign w:val="center"/>
          </w:tcPr>
          <w:p w14:paraId="483651C9">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300" w:type="dxa"/>
            <w:vMerge w:val="continue"/>
            <w:noWrap w:val="0"/>
            <w:vAlign w:val="center"/>
          </w:tcPr>
          <w:p w14:paraId="031BC033">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2929" w:type="dxa"/>
            <w:noWrap w:val="0"/>
            <w:vAlign w:val="center"/>
          </w:tcPr>
          <w:p w14:paraId="3934D40A">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5.3每期子坝堆筑完毕，应进行质量检查，检查记录需经主管技术人员签字后存档备查。</w:t>
            </w:r>
          </w:p>
        </w:tc>
        <w:tc>
          <w:tcPr>
            <w:tcW w:w="1055" w:type="dxa"/>
            <w:noWrap w:val="0"/>
            <w:vAlign w:val="center"/>
          </w:tcPr>
          <w:p w14:paraId="7F37F1AE">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《尾矿库安全规程》第6.1.6、6.3.5条</w:t>
            </w:r>
          </w:p>
        </w:tc>
        <w:tc>
          <w:tcPr>
            <w:tcW w:w="999" w:type="dxa"/>
            <w:noWrap w:val="0"/>
            <w:vAlign w:val="center"/>
          </w:tcPr>
          <w:p w14:paraId="1BFB80C3">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rPr>
              <w:t>查现场查尾矿库工程档案</w:t>
            </w:r>
          </w:p>
        </w:tc>
        <w:tc>
          <w:tcPr>
            <w:tcW w:w="1114" w:type="dxa"/>
            <w:noWrap w:val="0"/>
            <w:vAlign w:val="center"/>
          </w:tcPr>
          <w:p w14:paraId="38795B93">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eastAsia" w:ascii="Times New Roman" w:hAnsi="Times New Roman" w:eastAsia="宋体" w:cs="Times New Roman"/>
                <w:color w:val="auto"/>
                <w:kern w:val="0"/>
                <w:sz w:val="21"/>
                <w:szCs w:val="21"/>
                <w:lang w:val="en-US" w:eastAsia="zh-CN"/>
              </w:rPr>
              <w:t>符合</w:t>
            </w:r>
          </w:p>
        </w:tc>
        <w:tc>
          <w:tcPr>
            <w:tcW w:w="544" w:type="dxa"/>
            <w:noWrap w:val="0"/>
            <w:vAlign w:val="center"/>
          </w:tcPr>
          <w:p w14:paraId="2F61F813">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2</w:t>
            </w:r>
          </w:p>
        </w:tc>
        <w:tc>
          <w:tcPr>
            <w:tcW w:w="751" w:type="dxa"/>
            <w:vMerge w:val="continue"/>
            <w:noWrap w:val="0"/>
            <w:vAlign w:val="center"/>
          </w:tcPr>
          <w:p w14:paraId="2002D7C9">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775" w:type="dxa"/>
            <w:noWrap w:val="0"/>
            <w:vAlign w:val="center"/>
          </w:tcPr>
          <w:p w14:paraId="1C811AED">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2</w:t>
            </w:r>
          </w:p>
        </w:tc>
      </w:tr>
      <w:tr w14:paraId="06BC5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510" w:type="dxa"/>
            <w:vMerge w:val="continue"/>
            <w:noWrap w:val="0"/>
            <w:vAlign w:val="center"/>
          </w:tcPr>
          <w:p w14:paraId="6B43E6AA">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300" w:type="dxa"/>
            <w:vMerge w:val="continue"/>
            <w:noWrap w:val="0"/>
            <w:vAlign w:val="center"/>
          </w:tcPr>
          <w:p w14:paraId="346DD860">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2929" w:type="dxa"/>
            <w:noWrap w:val="0"/>
            <w:vAlign w:val="center"/>
          </w:tcPr>
          <w:p w14:paraId="3E05FC3D">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5.4坝下游坡面不得有冲刷、拉沟现象。</w:t>
            </w:r>
          </w:p>
        </w:tc>
        <w:tc>
          <w:tcPr>
            <w:tcW w:w="1055" w:type="dxa"/>
            <w:noWrap w:val="0"/>
            <w:vAlign w:val="center"/>
          </w:tcPr>
          <w:p w14:paraId="65DBE89D">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sz w:val="21"/>
                <w:szCs w:val="21"/>
              </w:rPr>
              <w:t>《尾矿库安全规程》第6.3.11条</w:t>
            </w:r>
          </w:p>
        </w:tc>
        <w:tc>
          <w:tcPr>
            <w:tcW w:w="999" w:type="dxa"/>
            <w:noWrap w:val="0"/>
            <w:vAlign w:val="center"/>
          </w:tcPr>
          <w:p w14:paraId="3A289F2F">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查现场</w:t>
            </w:r>
          </w:p>
        </w:tc>
        <w:tc>
          <w:tcPr>
            <w:tcW w:w="1114" w:type="dxa"/>
            <w:noWrap w:val="0"/>
            <w:vAlign w:val="center"/>
          </w:tcPr>
          <w:p w14:paraId="05334E80">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eastAsia" w:ascii="Times New Roman" w:hAnsi="Times New Roman" w:eastAsia="宋体" w:cs="Times New Roman"/>
                <w:color w:val="auto"/>
                <w:kern w:val="0"/>
                <w:sz w:val="21"/>
                <w:szCs w:val="21"/>
                <w:lang w:val="zh-CN" w:eastAsia="zh-CN"/>
              </w:rPr>
            </w:pPr>
            <w:r>
              <w:rPr>
                <w:rFonts w:hint="eastAsia" w:ascii="Times New Roman" w:hAnsi="Times New Roman" w:eastAsia="宋体" w:cs="Times New Roman"/>
                <w:color w:val="auto"/>
                <w:kern w:val="0"/>
                <w:sz w:val="21"/>
                <w:szCs w:val="21"/>
                <w:lang w:val="en-US" w:eastAsia="zh-CN"/>
              </w:rPr>
              <w:t>局部冲刷、拉沟现象</w:t>
            </w:r>
          </w:p>
        </w:tc>
        <w:tc>
          <w:tcPr>
            <w:tcW w:w="544" w:type="dxa"/>
            <w:noWrap w:val="0"/>
            <w:vAlign w:val="center"/>
          </w:tcPr>
          <w:p w14:paraId="12670364">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4</w:t>
            </w:r>
          </w:p>
        </w:tc>
        <w:tc>
          <w:tcPr>
            <w:tcW w:w="751" w:type="dxa"/>
            <w:vMerge w:val="continue"/>
            <w:noWrap w:val="0"/>
            <w:vAlign w:val="center"/>
          </w:tcPr>
          <w:p w14:paraId="06830341">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775" w:type="dxa"/>
            <w:noWrap w:val="0"/>
            <w:vAlign w:val="center"/>
          </w:tcPr>
          <w:p w14:paraId="1158E8DB">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eastAsia" w:ascii="Times New Roman" w:hAnsi="Times New Roman" w:eastAsia="宋体" w:cs="Times New Roman"/>
                <w:color w:val="auto"/>
                <w:kern w:val="0"/>
                <w:sz w:val="21"/>
                <w:szCs w:val="21"/>
                <w:lang w:val="zh-CN" w:eastAsia="zh-CN"/>
              </w:rPr>
            </w:pPr>
            <w:r>
              <w:rPr>
                <w:rFonts w:hint="eastAsia" w:ascii="Times New Roman" w:hAnsi="Times New Roman" w:eastAsia="宋体" w:cs="Times New Roman"/>
                <w:color w:val="auto"/>
                <w:kern w:val="0"/>
                <w:sz w:val="21"/>
                <w:szCs w:val="21"/>
                <w:lang w:val="en-US" w:eastAsia="zh-CN"/>
              </w:rPr>
              <w:t>0</w:t>
            </w:r>
          </w:p>
        </w:tc>
      </w:tr>
      <w:tr w14:paraId="2328B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510" w:type="dxa"/>
            <w:vMerge w:val="continue"/>
            <w:noWrap w:val="0"/>
            <w:vAlign w:val="center"/>
          </w:tcPr>
          <w:p w14:paraId="6776BB39">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300" w:type="dxa"/>
            <w:vMerge w:val="continue"/>
            <w:noWrap w:val="0"/>
            <w:vAlign w:val="center"/>
          </w:tcPr>
          <w:p w14:paraId="34ACF44D">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2929" w:type="dxa"/>
            <w:noWrap w:val="0"/>
            <w:vAlign w:val="center"/>
          </w:tcPr>
          <w:p w14:paraId="68561BB5">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5.5若同一尾矿库内，建有一座或几座尾矿堆积坝体时，不得将细粒尾矿排至尾矿堆积坝前。</w:t>
            </w:r>
          </w:p>
        </w:tc>
        <w:tc>
          <w:tcPr>
            <w:tcW w:w="1055" w:type="dxa"/>
            <w:noWrap w:val="0"/>
            <w:vAlign w:val="center"/>
          </w:tcPr>
          <w:p w14:paraId="3097F878">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《冶金矿山尾矿设施管理规程》第4.2.9条</w:t>
            </w:r>
          </w:p>
        </w:tc>
        <w:tc>
          <w:tcPr>
            <w:tcW w:w="999" w:type="dxa"/>
            <w:noWrap w:val="0"/>
            <w:vAlign w:val="center"/>
          </w:tcPr>
          <w:p w14:paraId="52268021">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查现场</w:t>
            </w:r>
          </w:p>
        </w:tc>
        <w:tc>
          <w:tcPr>
            <w:tcW w:w="1114" w:type="dxa"/>
            <w:noWrap w:val="0"/>
            <w:vAlign w:val="center"/>
          </w:tcPr>
          <w:p w14:paraId="31A8AEF7">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无此项</w:t>
            </w:r>
          </w:p>
        </w:tc>
        <w:tc>
          <w:tcPr>
            <w:tcW w:w="544" w:type="dxa"/>
            <w:noWrap w:val="0"/>
            <w:vAlign w:val="center"/>
          </w:tcPr>
          <w:p w14:paraId="4D6A5614">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7</w:t>
            </w:r>
          </w:p>
        </w:tc>
        <w:tc>
          <w:tcPr>
            <w:tcW w:w="751" w:type="dxa"/>
            <w:vMerge w:val="continue"/>
            <w:noWrap w:val="0"/>
            <w:vAlign w:val="center"/>
          </w:tcPr>
          <w:p w14:paraId="0BEBCAFC">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775" w:type="dxa"/>
            <w:noWrap w:val="0"/>
            <w:vAlign w:val="center"/>
          </w:tcPr>
          <w:p w14:paraId="6391EB39">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eastAsia" w:ascii="Times New Roman" w:hAnsi="Times New Roman" w:eastAsia="宋体" w:cs="Times New Roman"/>
                <w:color w:val="auto"/>
                <w:kern w:val="0"/>
                <w:sz w:val="21"/>
                <w:szCs w:val="21"/>
                <w:lang w:val="en-US" w:eastAsia="zh-CN"/>
              </w:rPr>
              <w:t>/</w:t>
            </w:r>
          </w:p>
        </w:tc>
      </w:tr>
      <w:tr w14:paraId="7C440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85" w:hRule="atLeast"/>
          <w:jc w:val="center"/>
        </w:trPr>
        <w:tc>
          <w:tcPr>
            <w:tcW w:w="510" w:type="dxa"/>
            <w:vMerge w:val="continue"/>
            <w:noWrap w:val="0"/>
            <w:vAlign w:val="center"/>
          </w:tcPr>
          <w:p w14:paraId="1D26F4C3">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300" w:type="dxa"/>
            <w:vMerge w:val="continue"/>
            <w:noWrap w:val="0"/>
            <w:vAlign w:val="center"/>
          </w:tcPr>
          <w:p w14:paraId="0A771F26">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2929" w:type="dxa"/>
            <w:noWrap w:val="0"/>
            <w:vAlign w:val="center"/>
          </w:tcPr>
          <w:p w14:paraId="538DC451">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5.6坝面不得出现局部隆起、塌陷、流土、管涌、渗水量增大或渗水变浑等异常情况。</w:t>
            </w:r>
          </w:p>
        </w:tc>
        <w:tc>
          <w:tcPr>
            <w:tcW w:w="1055" w:type="dxa"/>
            <w:noWrap w:val="0"/>
            <w:vAlign w:val="center"/>
          </w:tcPr>
          <w:p w14:paraId="2B6C9623">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《尾矿库安全规程》第6.9条</w:t>
            </w:r>
          </w:p>
        </w:tc>
        <w:tc>
          <w:tcPr>
            <w:tcW w:w="999" w:type="dxa"/>
            <w:noWrap w:val="0"/>
            <w:vAlign w:val="center"/>
          </w:tcPr>
          <w:p w14:paraId="28B2DC8E">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查记录、</w:t>
            </w:r>
          </w:p>
          <w:p w14:paraId="586D8CA5">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现场</w:t>
            </w:r>
          </w:p>
        </w:tc>
        <w:tc>
          <w:tcPr>
            <w:tcW w:w="1114" w:type="dxa"/>
            <w:noWrap w:val="0"/>
            <w:vAlign w:val="center"/>
          </w:tcPr>
          <w:p w14:paraId="360BADAF">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eastAsia" w:ascii="Times New Roman" w:hAnsi="Times New Roman" w:eastAsia="宋体" w:cs="Times New Roman"/>
                <w:color w:val="auto"/>
                <w:kern w:val="0"/>
                <w:sz w:val="21"/>
                <w:szCs w:val="21"/>
                <w:lang w:val="zh-CN" w:eastAsia="zh-CN"/>
              </w:rPr>
            </w:pPr>
            <w:r>
              <w:rPr>
                <w:rFonts w:hint="eastAsia" w:ascii="Times New Roman" w:hAnsi="Times New Roman" w:eastAsia="宋体" w:cs="Times New Roman"/>
                <w:color w:val="auto"/>
                <w:kern w:val="0"/>
                <w:sz w:val="21"/>
                <w:szCs w:val="21"/>
                <w:lang w:val="en-US" w:eastAsia="zh-CN"/>
              </w:rPr>
              <w:t>符合</w:t>
            </w:r>
          </w:p>
        </w:tc>
        <w:tc>
          <w:tcPr>
            <w:tcW w:w="544" w:type="dxa"/>
            <w:noWrap w:val="0"/>
            <w:vAlign w:val="center"/>
          </w:tcPr>
          <w:p w14:paraId="11FC12BB">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7</w:t>
            </w:r>
          </w:p>
        </w:tc>
        <w:tc>
          <w:tcPr>
            <w:tcW w:w="751" w:type="dxa"/>
            <w:vMerge w:val="continue"/>
            <w:noWrap w:val="0"/>
            <w:vAlign w:val="center"/>
          </w:tcPr>
          <w:p w14:paraId="3CDBE309">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775" w:type="dxa"/>
            <w:noWrap w:val="0"/>
            <w:vAlign w:val="center"/>
          </w:tcPr>
          <w:p w14:paraId="2C8A39A3">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eastAsia" w:ascii="Times New Roman" w:hAnsi="Times New Roman" w:eastAsia="宋体" w:cs="Times New Roman"/>
                <w:color w:val="auto"/>
                <w:kern w:val="0"/>
                <w:sz w:val="21"/>
                <w:szCs w:val="21"/>
                <w:lang w:val="zh-CN" w:eastAsia="zh-CN"/>
              </w:rPr>
            </w:pPr>
            <w:r>
              <w:rPr>
                <w:rFonts w:hint="eastAsia" w:ascii="Times New Roman" w:hAnsi="Times New Roman" w:eastAsia="宋体" w:cs="Times New Roman"/>
                <w:color w:val="auto"/>
                <w:kern w:val="0"/>
                <w:sz w:val="21"/>
                <w:szCs w:val="21"/>
                <w:lang w:val="en-US" w:eastAsia="zh-CN"/>
              </w:rPr>
              <w:t>7</w:t>
            </w:r>
          </w:p>
        </w:tc>
      </w:tr>
      <w:tr w14:paraId="66571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710" w:hRule="atLeast"/>
          <w:jc w:val="center"/>
        </w:trPr>
        <w:tc>
          <w:tcPr>
            <w:tcW w:w="510" w:type="dxa"/>
            <w:vMerge w:val="continue"/>
            <w:noWrap w:val="0"/>
            <w:vAlign w:val="center"/>
          </w:tcPr>
          <w:p w14:paraId="7D343A51">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300" w:type="dxa"/>
            <w:vMerge w:val="continue"/>
            <w:noWrap w:val="0"/>
            <w:vAlign w:val="center"/>
          </w:tcPr>
          <w:p w14:paraId="0B768BD2">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2929" w:type="dxa"/>
            <w:noWrap w:val="0"/>
            <w:vAlign w:val="center"/>
          </w:tcPr>
          <w:p w14:paraId="38803051">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left"/>
              <w:textAlignment w:val="auto"/>
              <w:rPr>
                <w:rFonts w:hint="default" w:ascii="Times New Roman" w:hAnsi="Times New Roman" w:eastAsia="宋体" w:cs="Times New Roman"/>
                <w:color w:val="auto"/>
                <w:spacing w:val="4"/>
                <w:kern w:val="0"/>
                <w:sz w:val="21"/>
                <w:szCs w:val="21"/>
              </w:rPr>
            </w:pPr>
            <w:r>
              <w:rPr>
                <w:rFonts w:hint="default" w:ascii="Times New Roman" w:hAnsi="Times New Roman" w:eastAsia="宋体" w:cs="Times New Roman"/>
                <w:color w:val="auto"/>
                <w:spacing w:val="4"/>
                <w:kern w:val="0"/>
                <w:sz w:val="21"/>
                <w:szCs w:val="21"/>
              </w:rPr>
              <w:t>5.7上游式尾矿筑坝，应于坝前均匀分散放矿（修子坝或移动放矿管时除外）。在沉积滩范围内不允许有大面积矿泥沉积；沉积滩顶应均匀平整：沉积滩坡度及长度等应符合设计要求；矿浆排放不得冲刷初期坝和子坝，严禁矿浆沿子坝内坡趾流动冲刷坝体；放矿是否有专人管理。</w:t>
            </w:r>
          </w:p>
        </w:tc>
        <w:tc>
          <w:tcPr>
            <w:tcW w:w="1055" w:type="dxa"/>
            <w:noWrap w:val="0"/>
            <w:vAlign w:val="center"/>
          </w:tcPr>
          <w:p w14:paraId="7DBBACF7">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《尾矿库安全规程》第6.3.4条</w:t>
            </w:r>
          </w:p>
        </w:tc>
        <w:tc>
          <w:tcPr>
            <w:tcW w:w="999" w:type="dxa"/>
            <w:vMerge w:val="restart"/>
            <w:noWrap w:val="0"/>
            <w:vAlign w:val="center"/>
          </w:tcPr>
          <w:p w14:paraId="41FDE750">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rPr>
              <w:t>查尾矿库工程档案、现场</w:t>
            </w:r>
          </w:p>
        </w:tc>
        <w:tc>
          <w:tcPr>
            <w:tcW w:w="1114" w:type="dxa"/>
            <w:noWrap w:val="0"/>
            <w:vAlign w:val="center"/>
          </w:tcPr>
          <w:p w14:paraId="5D3B5CF6">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zh-CN"/>
              </w:rPr>
              <w:t>无此项</w:t>
            </w:r>
          </w:p>
        </w:tc>
        <w:tc>
          <w:tcPr>
            <w:tcW w:w="544" w:type="dxa"/>
            <w:noWrap w:val="0"/>
            <w:vAlign w:val="center"/>
          </w:tcPr>
          <w:p w14:paraId="15AA2B7E">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eastAsia" w:ascii="Times New Roman" w:hAnsi="Times New Roman" w:eastAsia="宋体" w:cs="Times New Roman"/>
                <w:color w:val="auto"/>
                <w:kern w:val="0"/>
                <w:sz w:val="21"/>
                <w:szCs w:val="21"/>
                <w:lang w:val="zh-CN" w:eastAsia="zh-CN"/>
              </w:rPr>
            </w:pPr>
            <w:r>
              <w:rPr>
                <w:rFonts w:hint="eastAsia" w:ascii="Times New Roman" w:hAnsi="Times New Roman" w:eastAsia="宋体" w:cs="Times New Roman"/>
                <w:color w:val="auto"/>
                <w:kern w:val="0"/>
                <w:sz w:val="21"/>
                <w:szCs w:val="21"/>
                <w:lang w:val="en-US" w:eastAsia="zh-CN"/>
              </w:rPr>
              <w:t>7</w:t>
            </w:r>
          </w:p>
        </w:tc>
        <w:tc>
          <w:tcPr>
            <w:tcW w:w="751" w:type="dxa"/>
            <w:noWrap w:val="0"/>
            <w:vAlign w:val="center"/>
          </w:tcPr>
          <w:p w14:paraId="672CAADF">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不符合</w:t>
            </w:r>
          </w:p>
          <w:p w14:paraId="3C4A9C02">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不得分</w:t>
            </w:r>
          </w:p>
        </w:tc>
        <w:tc>
          <w:tcPr>
            <w:tcW w:w="775" w:type="dxa"/>
            <w:noWrap w:val="0"/>
            <w:vAlign w:val="center"/>
          </w:tcPr>
          <w:p w14:paraId="737210CC">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eastAsia" w:ascii="Times New Roman" w:hAnsi="Times New Roman" w:eastAsia="宋体" w:cs="Times New Roman"/>
                <w:color w:val="auto"/>
                <w:kern w:val="0"/>
                <w:sz w:val="21"/>
                <w:szCs w:val="21"/>
                <w:lang w:val="zh-CN" w:eastAsia="zh-CN"/>
              </w:rPr>
            </w:pPr>
            <w:r>
              <w:rPr>
                <w:rFonts w:hint="eastAsia" w:ascii="Times New Roman" w:hAnsi="Times New Roman" w:eastAsia="宋体" w:cs="Times New Roman"/>
                <w:color w:val="auto"/>
                <w:kern w:val="0"/>
                <w:sz w:val="21"/>
                <w:szCs w:val="21"/>
                <w:lang w:val="en-US" w:eastAsia="zh-CN"/>
              </w:rPr>
              <w:t>/</w:t>
            </w:r>
          </w:p>
        </w:tc>
      </w:tr>
      <w:tr w14:paraId="05029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720" w:hRule="atLeast"/>
          <w:jc w:val="center"/>
        </w:trPr>
        <w:tc>
          <w:tcPr>
            <w:tcW w:w="510" w:type="dxa"/>
            <w:vMerge w:val="continue"/>
            <w:noWrap w:val="0"/>
            <w:vAlign w:val="center"/>
          </w:tcPr>
          <w:p w14:paraId="450B1BFB">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300" w:type="dxa"/>
            <w:vMerge w:val="continue"/>
            <w:noWrap w:val="0"/>
            <w:vAlign w:val="center"/>
          </w:tcPr>
          <w:p w14:paraId="39F461F6">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2929" w:type="dxa"/>
            <w:noWrap w:val="0"/>
            <w:vAlign w:val="center"/>
          </w:tcPr>
          <w:p w14:paraId="21341D61">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left"/>
              <w:textAlignment w:val="auto"/>
              <w:rPr>
                <w:rFonts w:hint="default" w:ascii="Times New Roman" w:hAnsi="Times New Roman" w:eastAsia="宋体" w:cs="Times New Roman"/>
                <w:color w:val="auto"/>
                <w:spacing w:val="4"/>
                <w:kern w:val="0"/>
                <w:sz w:val="21"/>
                <w:szCs w:val="21"/>
              </w:rPr>
            </w:pPr>
            <w:r>
              <w:rPr>
                <w:rFonts w:hint="default" w:ascii="Times New Roman" w:hAnsi="Times New Roman" w:eastAsia="宋体" w:cs="Times New Roman"/>
                <w:color w:val="auto"/>
                <w:spacing w:val="4"/>
                <w:kern w:val="0"/>
                <w:sz w:val="21"/>
                <w:szCs w:val="21"/>
              </w:rPr>
              <w:t>5.8坝体较长时应采用分段交替放矿作业，使坝体均匀上升，滩面不得出现侧坡、扇形坡或细颗粒尾矿大量集中沉积于一端或一侧。</w:t>
            </w:r>
          </w:p>
        </w:tc>
        <w:tc>
          <w:tcPr>
            <w:tcW w:w="1055" w:type="dxa"/>
            <w:noWrap w:val="0"/>
            <w:vAlign w:val="center"/>
          </w:tcPr>
          <w:p w14:paraId="1BF3046E">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《尾矿库安全规程》第6.3.4条</w:t>
            </w:r>
          </w:p>
        </w:tc>
        <w:tc>
          <w:tcPr>
            <w:tcW w:w="999" w:type="dxa"/>
            <w:vMerge w:val="continue"/>
            <w:noWrap w:val="0"/>
            <w:vAlign w:val="center"/>
          </w:tcPr>
          <w:p w14:paraId="001803B5">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rPr>
            </w:pPr>
          </w:p>
        </w:tc>
        <w:tc>
          <w:tcPr>
            <w:tcW w:w="1114" w:type="dxa"/>
            <w:noWrap w:val="0"/>
            <w:vAlign w:val="center"/>
          </w:tcPr>
          <w:p w14:paraId="4503C3C5">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zh-CN"/>
              </w:rPr>
            </w:pPr>
            <w:r>
              <w:rPr>
                <w:rFonts w:hint="default" w:ascii="Times New Roman" w:hAnsi="Times New Roman" w:eastAsia="宋体" w:cs="Times New Roman"/>
                <w:color w:val="auto"/>
                <w:kern w:val="0"/>
                <w:sz w:val="21"/>
                <w:szCs w:val="21"/>
                <w:lang w:val="zh-CN"/>
              </w:rPr>
              <w:t>无此项</w:t>
            </w:r>
          </w:p>
        </w:tc>
        <w:tc>
          <w:tcPr>
            <w:tcW w:w="544" w:type="dxa"/>
            <w:noWrap w:val="0"/>
            <w:vAlign w:val="center"/>
          </w:tcPr>
          <w:p w14:paraId="326A0C29">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zh-CN"/>
              </w:rPr>
            </w:pPr>
            <w:r>
              <w:rPr>
                <w:rFonts w:hint="eastAsia" w:ascii="Times New Roman" w:hAnsi="Times New Roman" w:eastAsia="宋体" w:cs="Times New Roman"/>
                <w:color w:val="auto"/>
                <w:kern w:val="0"/>
                <w:sz w:val="21"/>
                <w:szCs w:val="21"/>
                <w:lang w:val="en-US" w:eastAsia="zh-CN"/>
              </w:rPr>
              <w:t>6</w:t>
            </w:r>
          </w:p>
        </w:tc>
        <w:tc>
          <w:tcPr>
            <w:tcW w:w="751" w:type="dxa"/>
            <w:noWrap w:val="0"/>
            <w:vAlign w:val="center"/>
          </w:tcPr>
          <w:p w14:paraId="58FC96D0">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不符合</w:t>
            </w:r>
          </w:p>
          <w:p w14:paraId="2C3D1E48">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不得分</w:t>
            </w:r>
          </w:p>
        </w:tc>
        <w:tc>
          <w:tcPr>
            <w:tcW w:w="775" w:type="dxa"/>
            <w:noWrap w:val="0"/>
            <w:vAlign w:val="center"/>
          </w:tcPr>
          <w:p w14:paraId="6FD83389">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zh-CN"/>
              </w:rPr>
            </w:pPr>
            <w:r>
              <w:rPr>
                <w:rFonts w:hint="eastAsia" w:ascii="Times New Roman" w:hAnsi="Times New Roman" w:eastAsia="宋体" w:cs="Times New Roman"/>
                <w:color w:val="auto"/>
                <w:kern w:val="0"/>
                <w:sz w:val="21"/>
                <w:szCs w:val="21"/>
                <w:lang w:val="en-US" w:eastAsia="zh-CN"/>
              </w:rPr>
              <w:t>/</w:t>
            </w:r>
          </w:p>
        </w:tc>
      </w:tr>
      <w:tr w14:paraId="44BFE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60" w:hRule="atLeast"/>
          <w:jc w:val="center"/>
        </w:trPr>
        <w:tc>
          <w:tcPr>
            <w:tcW w:w="510" w:type="dxa"/>
            <w:noWrap w:val="0"/>
            <w:vAlign w:val="center"/>
          </w:tcPr>
          <w:p w14:paraId="0A6F6D31">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小计</w:t>
            </w:r>
          </w:p>
        </w:tc>
        <w:tc>
          <w:tcPr>
            <w:tcW w:w="6397" w:type="dxa"/>
            <w:gridSpan w:val="5"/>
            <w:noWrap w:val="0"/>
            <w:vAlign w:val="center"/>
          </w:tcPr>
          <w:p w14:paraId="07C0DED9">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544" w:type="dxa"/>
            <w:noWrap w:val="0"/>
            <w:vAlign w:val="center"/>
          </w:tcPr>
          <w:p w14:paraId="4BF75436">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64</w:t>
            </w:r>
          </w:p>
        </w:tc>
        <w:tc>
          <w:tcPr>
            <w:tcW w:w="751" w:type="dxa"/>
            <w:noWrap w:val="0"/>
            <w:vAlign w:val="center"/>
          </w:tcPr>
          <w:p w14:paraId="2F4DC184">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775" w:type="dxa"/>
            <w:noWrap w:val="0"/>
            <w:vAlign w:val="center"/>
          </w:tcPr>
          <w:p w14:paraId="2B1B11D6">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50</w:t>
            </w:r>
          </w:p>
        </w:tc>
      </w:tr>
    </w:tbl>
    <w:p w14:paraId="12A11338">
      <w:pPr>
        <w:keepNext/>
        <w:keepLines/>
        <w:widowControl w:val="0"/>
        <w:bidi w:val="0"/>
        <w:spacing w:line="360" w:lineRule="auto"/>
        <w:ind w:left="560" w:leftChars="200" w:firstLine="0" w:firstLineChars="0"/>
        <w:jc w:val="both"/>
        <w:outlineLvl w:val="2"/>
        <w:rPr>
          <w:rFonts w:hint="default" w:ascii="Times New Roman" w:hAnsi="Times New Roman" w:eastAsia="黑体" w:cs="Times New Roman"/>
          <w:b/>
          <w:bCs/>
          <w:color w:val="auto"/>
          <w:kern w:val="2"/>
          <w:sz w:val="28"/>
          <w:szCs w:val="32"/>
          <w:lang w:val="en-US" w:eastAsia="zh-CN" w:bidi="ar-SA"/>
        </w:rPr>
      </w:pPr>
      <w:bookmarkStart w:id="473" w:name="_Toc32110"/>
      <w:bookmarkStart w:id="474" w:name="_Toc5804"/>
      <w:bookmarkStart w:id="475" w:name="_Toc18917"/>
      <w:bookmarkStart w:id="476" w:name="_Toc2074"/>
      <w:bookmarkStart w:id="477" w:name="_Toc11423"/>
      <w:r>
        <w:rPr>
          <w:rFonts w:hint="default" w:ascii="Times New Roman" w:hAnsi="Times New Roman" w:eastAsia="黑体" w:cs="Times New Roman"/>
          <w:b/>
          <w:bCs/>
          <w:color w:val="auto"/>
          <w:kern w:val="2"/>
          <w:sz w:val="28"/>
          <w:szCs w:val="32"/>
          <w:lang w:val="en-US" w:eastAsia="zh-CN" w:bidi="ar-SA"/>
        </w:rPr>
        <w:t>5.</w:t>
      </w:r>
      <w:r>
        <w:rPr>
          <w:rFonts w:hint="eastAsia" w:ascii="Times New Roman" w:hAnsi="Times New Roman" w:eastAsia="黑体" w:cs="Times New Roman"/>
          <w:b/>
          <w:bCs/>
          <w:color w:val="auto"/>
          <w:kern w:val="2"/>
          <w:sz w:val="28"/>
          <w:szCs w:val="32"/>
          <w:lang w:val="en-US" w:eastAsia="zh-CN" w:bidi="ar-SA"/>
        </w:rPr>
        <w:t>2</w:t>
      </w:r>
      <w:r>
        <w:rPr>
          <w:rFonts w:hint="default" w:ascii="Times New Roman" w:hAnsi="Times New Roman" w:eastAsia="黑体" w:cs="Times New Roman"/>
          <w:b/>
          <w:bCs/>
          <w:color w:val="auto"/>
          <w:kern w:val="2"/>
          <w:sz w:val="28"/>
          <w:szCs w:val="32"/>
          <w:lang w:val="en-US" w:eastAsia="zh-CN" w:bidi="ar-SA"/>
        </w:rPr>
        <w:t>.2</w:t>
      </w:r>
      <w:r>
        <w:rPr>
          <w:rFonts w:hint="eastAsia" w:ascii="Times New Roman" w:hAnsi="Times New Roman" w:eastAsia="黑体" w:cs="Times New Roman"/>
          <w:b/>
          <w:bCs/>
          <w:color w:val="auto"/>
          <w:kern w:val="2"/>
          <w:sz w:val="28"/>
          <w:szCs w:val="32"/>
          <w:lang w:val="en-US" w:eastAsia="zh-CN" w:bidi="ar-SA"/>
        </w:rPr>
        <w:t xml:space="preserve"> </w:t>
      </w:r>
      <w:r>
        <w:rPr>
          <w:rFonts w:hint="default" w:ascii="Times New Roman" w:hAnsi="Times New Roman" w:eastAsia="黑体" w:cs="Times New Roman"/>
          <w:b/>
          <w:bCs/>
          <w:color w:val="auto"/>
          <w:kern w:val="2"/>
          <w:sz w:val="28"/>
          <w:szCs w:val="32"/>
          <w:lang w:val="en-US" w:eastAsia="zh-CN" w:bidi="ar-SA"/>
        </w:rPr>
        <w:t>尾矿坝稳定分析计算</w:t>
      </w:r>
      <w:bookmarkEnd w:id="473"/>
      <w:bookmarkEnd w:id="474"/>
      <w:bookmarkEnd w:id="475"/>
      <w:bookmarkEnd w:id="476"/>
      <w:bookmarkEnd w:id="477"/>
    </w:p>
    <w:p w14:paraId="72CD5CBD">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本节内容主要摘自20</w:t>
      </w:r>
      <w:r>
        <w:rPr>
          <w:rFonts w:hint="eastAsia" w:cs="Times New Roman"/>
          <w:color w:val="auto"/>
          <w:lang w:val="en-US" w:eastAsia="zh-CN"/>
        </w:rPr>
        <w:t>26</w:t>
      </w:r>
      <w:r>
        <w:rPr>
          <w:rFonts w:hint="eastAsia" w:ascii="Times New Roman" w:hAnsi="Times New Roman" w:eastAsia="宋体" w:cs="Times New Roman"/>
          <w:color w:val="auto"/>
          <w:lang w:val="en-US" w:eastAsia="zh-CN"/>
        </w:rPr>
        <w:t>年</w:t>
      </w:r>
      <w:r>
        <w:rPr>
          <w:rFonts w:hint="eastAsia" w:cs="Times New Roman"/>
          <w:color w:val="auto"/>
          <w:lang w:val="en-US" w:eastAsia="zh-CN"/>
        </w:rPr>
        <w:t>8</w:t>
      </w:r>
      <w:r>
        <w:rPr>
          <w:rFonts w:hint="eastAsia" w:ascii="Times New Roman" w:hAnsi="Times New Roman" w:eastAsia="宋体" w:cs="Times New Roman"/>
          <w:color w:val="auto"/>
          <w:lang w:val="en-US" w:eastAsia="zh-CN"/>
        </w:rPr>
        <w:t>月金建工程设计有限公司的《江西岿美山钨业有限公司尾矿库闭库工程可行性研究报告》。</w:t>
      </w:r>
    </w:p>
    <w:p w14:paraId="7EC7EF4F">
      <w:pP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 坝体稳定的计算方法</w:t>
      </w:r>
    </w:p>
    <w:p w14:paraId="341627AF">
      <w:pP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根据《尾矿设施设计规范》（GB50863-2013）第4.4.1条规定，尾矿初期坝与堆积坝坝坡的抗滑稳定性应根据坝体材料及坝基的物理力学性质经计算确定。计算方法应采用简化毕肖普法或瑞典圆弧法，地震荷载应按拟静力法计算。本次稳定计算采用简化毕肖普法计算。</w:t>
      </w:r>
    </w:p>
    <w:p w14:paraId="61B99A34">
      <w:pPr>
        <w:bidi w:val="0"/>
        <w:rPr>
          <w:rFonts w:hint="default" w:ascii="Times New Roman" w:hAnsi="Times New Roman" w:eastAsia="宋体" w:cs="Times New Roman"/>
          <w:color w:val="auto"/>
          <w:lang w:val="en-US" w:eastAsia="zh-CN"/>
        </w:rPr>
      </w:pPr>
      <w:r>
        <w:rPr>
          <w:rFonts w:hint="eastAsia" w:cs="Times New Roman"/>
          <w:color w:val="auto"/>
          <w:lang w:val="en-US" w:eastAsia="zh-CN"/>
        </w:rPr>
        <w:t>2. 坝体稳定分析要求</w:t>
      </w:r>
    </w:p>
    <w:p w14:paraId="0190CE28">
      <w:pPr>
        <w:bidi w:val="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本尾矿库所在地区地震设防烈度为6度，根据《构筑物抗震设计规范》（GB50191-2012）第23.1.6规定，6度时，四、五级尾矿坝可不进行抗震验算，但应符合相应的抗震构造措施要求。尾矿库所在地区抗震设防烈度为6度。</w:t>
      </w:r>
    </w:p>
    <w:p w14:paraId="1E5F83D6">
      <w:pPr>
        <w:bidi w:val="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稳定计算考虑正常运行、洪水运行、特殊运行三种运行条件。根据《尾矿设施设计规范》（GB50863-2013），不同运行条件的荷载组合见表5.2-2</w:t>
      </w:r>
      <w:r>
        <w:rPr>
          <w:rFonts w:hint="default" w:ascii="Times New Roman" w:hAnsi="Times New Roman" w:eastAsia="宋体" w:cs="Times New Roman"/>
          <w:color w:val="auto"/>
          <w:lang w:val="en-US" w:eastAsia="zh-CN"/>
        </w:rPr>
        <w:t>。</w:t>
      </w:r>
    </w:p>
    <w:p w14:paraId="6696B9D0">
      <w:pPr>
        <w:bidi w:val="0"/>
        <w:ind w:left="0" w:leftChars="0" w:firstLine="0" w:firstLineChars="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表</w:t>
      </w:r>
      <w:r>
        <w:rPr>
          <w:rFonts w:hint="eastAsia" w:ascii="Times New Roman" w:hAnsi="Times New Roman" w:eastAsia="宋体" w:cs="Times New Roman"/>
          <w:color w:val="auto"/>
          <w:lang w:val="en-US" w:eastAsia="zh-CN"/>
        </w:rPr>
        <w:t>5.2-2 尾矿坝稳定计算的荷载组合</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6"/>
        <w:gridCol w:w="2892"/>
        <w:gridCol w:w="860"/>
        <w:gridCol w:w="860"/>
        <w:gridCol w:w="860"/>
        <w:gridCol w:w="860"/>
        <w:gridCol w:w="858"/>
      </w:tblGrid>
      <w:tr w14:paraId="32972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blHeader/>
          <w:jc w:val="center"/>
        </w:trPr>
        <w:tc>
          <w:tcPr>
            <w:tcW w:w="1129" w:type="pct"/>
            <w:noWrap w:val="0"/>
            <w:vAlign w:val="center"/>
          </w:tcPr>
          <w:p w14:paraId="286A9F22">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运行条件</w:t>
            </w:r>
          </w:p>
        </w:tc>
        <w:tc>
          <w:tcPr>
            <w:tcW w:w="1557" w:type="pct"/>
            <w:tcBorders>
              <w:tl2br w:val="single" w:color="auto" w:sz="4" w:space="0"/>
            </w:tcBorders>
            <w:noWrap w:val="0"/>
            <w:vAlign w:val="center"/>
          </w:tcPr>
          <w:p w14:paraId="312BD856">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 xml:space="preserve">          荷载类别</w:t>
            </w:r>
          </w:p>
          <w:p w14:paraId="7B96E74A">
            <w:pPr>
              <w:widowControl w:val="0"/>
              <w:spacing w:line="240" w:lineRule="auto"/>
              <w:ind w:firstLine="0" w:firstLineChars="0"/>
              <w:jc w:val="left"/>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计算方法</w:t>
            </w:r>
          </w:p>
        </w:tc>
        <w:tc>
          <w:tcPr>
            <w:tcW w:w="463" w:type="pct"/>
            <w:noWrap w:val="0"/>
            <w:vAlign w:val="center"/>
          </w:tcPr>
          <w:p w14:paraId="68322D26">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1</w:t>
            </w:r>
          </w:p>
        </w:tc>
        <w:tc>
          <w:tcPr>
            <w:tcW w:w="463" w:type="pct"/>
            <w:noWrap w:val="0"/>
            <w:vAlign w:val="center"/>
          </w:tcPr>
          <w:p w14:paraId="0017C36B">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2</w:t>
            </w:r>
          </w:p>
        </w:tc>
        <w:tc>
          <w:tcPr>
            <w:tcW w:w="463" w:type="pct"/>
            <w:noWrap w:val="0"/>
            <w:vAlign w:val="center"/>
          </w:tcPr>
          <w:p w14:paraId="6844E497">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3</w:t>
            </w:r>
          </w:p>
        </w:tc>
        <w:tc>
          <w:tcPr>
            <w:tcW w:w="463" w:type="pct"/>
            <w:noWrap w:val="0"/>
            <w:vAlign w:val="center"/>
          </w:tcPr>
          <w:p w14:paraId="0745957C">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4</w:t>
            </w:r>
          </w:p>
        </w:tc>
        <w:tc>
          <w:tcPr>
            <w:tcW w:w="462" w:type="pct"/>
            <w:noWrap w:val="0"/>
            <w:vAlign w:val="center"/>
          </w:tcPr>
          <w:p w14:paraId="3CCC559E">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5</w:t>
            </w:r>
          </w:p>
        </w:tc>
      </w:tr>
      <w:tr w14:paraId="19242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129" w:type="pct"/>
            <w:vMerge w:val="restart"/>
            <w:noWrap w:val="0"/>
            <w:vAlign w:val="center"/>
          </w:tcPr>
          <w:p w14:paraId="017ECFE2">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正常运行</w:t>
            </w:r>
          </w:p>
        </w:tc>
        <w:tc>
          <w:tcPr>
            <w:tcW w:w="1557" w:type="pct"/>
            <w:noWrap w:val="0"/>
            <w:vAlign w:val="center"/>
          </w:tcPr>
          <w:p w14:paraId="4A0F5541">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总应力法</w:t>
            </w:r>
          </w:p>
        </w:tc>
        <w:tc>
          <w:tcPr>
            <w:tcW w:w="463" w:type="pct"/>
            <w:noWrap w:val="0"/>
            <w:vAlign w:val="center"/>
          </w:tcPr>
          <w:p w14:paraId="2481A450">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有</w:t>
            </w:r>
          </w:p>
        </w:tc>
        <w:tc>
          <w:tcPr>
            <w:tcW w:w="463" w:type="pct"/>
            <w:noWrap w:val="0"/>
            <w:vAlign w:val="center"/>
          </w:tcPr>
          <w:p w14:paraId="48396134">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有</w:t>
            </w:r>
          </w:p>
        </w:tc>
        <w:tc>
          <w:tcPr>
            <w:tcW w:w="463" w:type="pct"/>
            <w:noWrap w:val="0"/>
            <w:vAlign w:val="center"/>
          </w:tcPr>
          <w:p w14:paraId="20D41B6F">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w:t>
            </w:r>
          </w:p>
        </w:tc>
        <w:tc>
          <w:tcPr>
            <w:tcW w:w="463" w:type="pct"/>
            <w:noWrap w:val="0"/>
            <w:vAlign w:val="center"/>
          </w:tcPr>
          <w:p w14:paraId="01A32100">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w:t>
            </w:r>
          </w:p>
        </w:tc>
        <w:tc>
          <w:tcPr>
            <w:tcW w:w="462" w:type="pct"/>
            <w:noWrap w:val="0"/>
            <w:vAlign w:val="center"/>
          </w:tcPr>
          <w:p w14:paraId="1D39CACC">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w:t>
            </w:r>
          </w:p>
        </w:tc>
      </w:tr>
      <w:tr w14:paraId="4CAE9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129" w:type="pct"/>
            <w:vMerge w:val="continue"/>
            <w:noWrap w:val="0"/>
            <w:vAlign w:val="center"/>
          </w:tcPr>
          <w:p w14:paraId="77D047E3">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p>
        </w:tc>
        <w:tc>
          <w:tcPr>
            <w:tcW w:w="1557" w:type="pct"/>
            <w:noWrap w:val="0"/>
            <w:vAlign w:val="center"/>
          </w:tcPr>
          <w:p w14:paraId="50C5B89C">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有效应力法</w:t>
            </w:r>
          </w:p>
        </w:tc>
        <w:tc>
          <w:tcPr>
            <w:tcW w:w="463" w:type="pct"/>
            <w:noWrap w:val="0"/>
            <w:vAlign w:val="center"/>
          </w:tcPr>
          <w:p w14:paraId="40DC13AC">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有</w:t>
            </w:r>
          </w:p>
        </w:tc>
        <w:tc>
          <w:tcPr>
            <w:tcW w:w="463" w:type="pct"/>
            <w:noWrap w:val="0"/>
            <w:vAlign w:val="center"/>
          </w:tcPr>
          <w:p w14:paraId="45815A71">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有</w:t>
            </w:r>
          </w:p>
        </w:tc>
        <w:tc>
          <w:tcPr>
            <w:tcW w:w="463" w:type="pct"/>
            <w:noWrap w:val="0"/>
            <w:vAlign w:val="center"/>
          </w:tcPr>
          <w:p w14:paraId="74626027">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有</w:t>
            </w:r>
          </w:p>
        </w:tc>
        <w:tc>
          <w:tcPr>
            <w:tcW w:w="463" w:type="pct"/>
            <w:noWrap w:val="0"/>
            <w:vAlign w:val="center"/>
          </w:tcPr>
          <w:p w14:paraId="5473FA0C">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w:t>
            </w:r>
          </w:p>
        </w:tc>
        <w:tc>
          <w:tcPr>
            <w:tcW w:w="462" w:type="pct"/>
            <w:noWrap w:val="0"/>
            <w:vAlign w:val="center"/>
          </w:tcPr>
          <w:p w14:paraId="789371B8">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w:t>
            </w:r>
          </w:p>
        </w:tc>
      </w:tr>
      <w:tr w14:paraId="5F906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129" w:type="pct"/>
            <w:vMerge w:val="restart"/>
            <w:noWrap w:val="0"/>
            <w:vAlign w:val="center"/>
          </w:tcPr>
          <w:p w14:paraId="0AC15B49">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洪水运行</w:t>
            </w:r>
          </w:p>
        </w:tc>
        <w:tc>
          <w:tcPr>
            <w:tcW w:w="1557" w:type="pct"/>
            <w:noWrap w:val="0"/>
            <w:vAlign w:val="center"/>
          </w:tcPr>
          <w:p w14:paraId="38CE0849">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总应力法</w:t>
            </w:r>
          </w:p>
        </w:tc>
        <w:tc>
          <w:tcPr>
            <w:tcW w:w="463" w:type="pct"/>
            <w:noWrap w:val="0"/>
            <w:vAlign w:val="center"/>
          </w:tcPr>
          <w:p w14:paraId="232384D8">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w:t>
            </w:r>
          </w:p>
        </w:tc>
        <w:tc>
          <w:tcPr>
            <w:tcW w:w="463" w:type="pct"/>
            <w:noWrap w:val="0"/>
            <w:vAlign w:val="center"/>
          </w:tcPr>
          <w:p w14:paraId="425FB791">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有</w:t>
            </w:r>
          </w:p>
        </w:tc>
        <w:tc>
          <w:tcPr>
            <w:tcW w:w="463" w:type="pct"/>
            <w:noWrap w:val="0"/>
            <w:vAlign w:val="center"/>
          </w:tcPr>
          <w:p w14:paraId="731BA467">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w:t>
            </w:r>
          </w:p>
        </w:tc>
        <w:tc>
          <w:tcPr>
            <w:tcW w:w="463" w:type="pct"/>
            <w:noWrap w:val="0"/>
            <w:vAlign w:val="center"/>
          </w:tcPr>
          <w:p w14:paraId="260B1E0B">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有</w:t>
            </w:r>
          </w:p>
        </w:tc>
        <w:tc>
          <w:tcPr>
            <w:tcW w:w="462" w:type="pct"/>
            <w:noWrap w:val="0"/>
            <w:vAlign w:val="center"/>
          </w:tcPr>
          <w:p w14:paraId="2BD477EE">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w:t>
            </w:r>
          </w:p>
        </w:tc>
      </w:tr>
      <w:tr w14:paraId="35D2C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129" w:type="pct"/>
            <w:vMerge w:val="continue"/>
            <w:noWrap w:val="0"/>
            <w:vAlign w:val="center"/>
          </w:tcPr>
          <w:p w14:paraId="550EEB59">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p>
        </w:tc>
        <w:tc>
          <w:tcPr>
            <w:tcW w:w="1557" w:type="pct"/>
            <w:noWrap w:val="0"/>
            <w:vAlign w:val="center"/>
          </w:tcPr>
          <w:p w14:paraId="2922F9A4">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有效应力法</w:t>
            </w:r>
          </w:p>
        </w:tc>
        <w:tc>
          <w:tcPr>
            <w:tcW w:w="463" w:type="pct"/>
            <w:noWrap w:val="0"/>
            <w:vAlign w:val="center"/>
          </w:tcPr>
          <w:p w14:paraId="483E525A">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w:t>
            </w:r>
          </w:p>
        </w:tc>
        <w:tc>
          <w:tcPr>
            <w:tcW w:w="463" w:type="pct"/>
            <w:noWrap w:val="0"/>
            <w:vAlign w:val="center"/>
          </w:tcPr>
          <w:p w14:paraId="75EEFDED">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有</w:t>
            </w:r>
          </w:p>
        </w:tc>
        <w:tc>
          <w:tcPr>
            <w:tcW w:w="463" w:type="pct"/>
            <w:noWrap w:val="0"/>
            <w:vAlign w:val="center"/>
          </w:tcPr>
          <w:p w14:paraId="7C126FF5">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有</w:t>
            </w:r>
          </w:p>
        </w:tc>
        <w:tc>
          <w:tcPr>
            <w:tcW w:w="463" w:type="pct"/>
            <w:noWrap w:val="0"/>
            <w:vAlign w:val="center"/>
          </w:tcPr>
          <w:p w14:paraId="6D45255C">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有</w:t>
            </w:r>
          </w:p>
        </w:tc>
        <w:tc>
          <w:tcPr>
            <w:tcW w:w="462" w:type="pct"/>
            <w:noWrap w:val="0"/>
            <w:vAlign w:val="center"/>
          </w:tcPr>
          <w:p w14:paraId="7E710E1B">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w:t>
            </w:r>
          </w:p>
        </w:tc>
      </w:tr>
      <w:tr w14:paraId="6E86F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129" w:type="pct"/>
            <w:vMerge w:val="restart"/>
            <w:noWrap w:val="0"/>
            <w:vAlign w:val="center"/>
          </w:tcPr>
          <w:p w14:paraId="7127F48E">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特殊运行</w:t>
            </w:r>
          </w:p>
        </w:tc>
        <w:tc>
          <w:tcPr>
            <w:tcW w:w="1557" w:type="pct"/>
            <w:noWrap w:val="0"/>
            <w:vAlign w:val="center"/>
          </w:tcPr>
          <w:p w14:paraId="44854165">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总应力法</w:t>
            </w:r>
          </w:p>
        </w:tc>
        <w:tc>
          <w:tcPr>
            <w:tcW w:w="463" w:type="pct"/>
            <w:noWrap w:val="0"/>
            <w:vAlign w:val="center"/>
          </w:tcPr>
          <w:p w14:paraId="627297D4">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有</w:t>
            </w:r>
          </w:p>
        </w:tc>
        <w:tc>
          <w:tcPr>
            <w:tcW w:w="463" w:type="pct"/>
            <w:noWrap w:val="0"/>
            <w:vAlign w:val="center"/>
          </w:tcPr>
          <w:p w14:paraId="5C7661FF">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有</w:t>
            </w:r>
          </w:p>
        </w:tc>
        <w:tc>
          <w:tcPr>
            <w:tcW w:w="463" w:type="pct"/>
            <w:noWrap w:val="0"/>
            <w:vAlign w:val="center"/>
          </w:tcPr>
          <w:p w14:paraId="37CFD8BE">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w:t>
            </w:r>
          </w:p>
        </w:tc>
        <w:tc>
          <w:tcPr>
            <w:tcW w:w="463" w:type="pct"/>
            <w:noWrap w:val="0"/>
            <w:vAlign w:val="center"/>
          </w:tcPr>
          <w:p w14:paraId="05216CE1">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w:t>
            </w:r>
          </w:p>
        </w:tc>
        <w:tc>
          <w:tcPr>
            <w:tcW w:w="462" w:type="pct"/>
            <w:noWrap w:val="0"/>
            <w:vAlign w:val="center"/>
          </w:tcPr>
          <w:p w14:paraId="11FD4F0E">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有</w:t>
            </w:r>
          </w:p>
        </w:tc>
      </w:tr>
      <w:tr w14:paraId="6A989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129" w:type="pct"/>
            <w:vMerge w:val="continue"/>
            <w:noWrap w:val="0"/>
            <w:vAlign w:val="center"/>
          </w:tcPr>
          <w:p w14:paraId="50F90C41">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p>
        </w:tc>
        <w:tc>
          <w:tcPr>
            <w:tcW w:w="1557" w:type="pct"/>
            <w:noWrap w:val="0"/>
            <w:vAlign w:val="center"/>
          </w:tcPr>
          <w:p w14:paraId="4EDBB2CA">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有效应力法</w:t>
            </w:r>
          </w:p>
        </w:tc>
        <w:tc>
          <w:tcPr>
            <w:tcW w:w="463" w:type="pct"/>
            <w:noWrap w:val="0"/>
            <w:vAlign w:val="center"/>
          </w:tcPr>
          <w:p w14:paraId="39207F44">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有</w:t>
            </w:r>
          </w:p>
        </w:tc>
        <w:tc>
          <w:tcPr>
            <w:tcW w:w="463" w:type="pct"/>
            <w:noWrap w:val="0"/>
            <w:vAlign w:val="center"/>
          </w:tcPr>
          <w:p w14:paraId="0615C863">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有</w:t>
            </w:r>
          </w:p>
        </w:tc>
        <w:tc>
          <w:tcPr>
            <w:tcW w:w="463" w:type="pct"/>
            <w:noWrap w:val="0"/>
            <w:vAlign w:val="center"/>
          </w:tcPr>
          <w:p w14:paraId="4561C63C">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有</w:t>
            </w:r>
          </w:p>
        </w:tc>
        <w:tc>
          <w:tcPr>
            <w:tcW w:w="463" w:type="pct"/>
            <w:noWrap w:val="0"/>
            <w:vAlign w:val="center"/>
          </w:tcPr>
          <w:p w14:paraId="7BAA9437">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w:t>
            </w:r>
          </w:p>
        </w:tc>
        <w:tc>
          <w:tcPr>
            <w:tcW w:w="462" w:type="pct"/>
            <w:noWrap w:val="0"/>
            <w:vAlign w:val="center"/>
          </w:tcPr>
          <w:p w14:paraId="271EED6D">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有</w:t>
            </w:r>
          </w:p>
        </w:tc>
      </w:tr>
    </w:tbl>
    <w:p w14:paraId="5767EA5C">
      <w:pPr>
        <w:bidi w:val="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注：（1）荷载类别1系指运行期正常库水位时的稳定渗透压力；</w:t>
      </w:r>
    </w:p>
    <w:p w14:paraId="484DB029">
      <w:pPr>
        <w:bidi w:val="0"/>
        <w:ind w:firstLine="960" w:firstLineChars="4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（2）荷载类别2系指坝体自重；</w:t>
      </w:r>
    </w:p>
    <w:p w14:paraId="540FB8EE">
      <w:pPr>
        <w:bidi w:val="0"/>
        <w:ind w:firstLine="960" w:firstLineChars="4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（3）荷载类别3系指坝体及坝基中的孔隙水压力；</w:t>
      </w:r>
    </w:p>
    <w:p w14:paraId="502ECB03">
      <w:pPr>
        <w:bidi w:val="0"/>
        <w:ind w:firstLine="960" w:firstLineChars="4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（4）荷载类别4系指设计洪水位有可能形成的稳定渗透压力；</w:t>
      </w:r>
    </w:p>
    <w:p w14:paraId="38DB41D5">
      <w:pPr>
        <w:bidi w:val="0"/>
        <w:ind w:firstLine="960" w:firstLineChars="4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（5）荷载类别5系指地震荷载。</w:t>
      </w:r>
    </w:p>
    <w:p w14:paraId="3D0C752B">
      <w:pPr>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根据《尾矿设施设计规范》（GB50863-2013），按简化毕肖普法计算的三等尾矿库坝坡抗滑稳定最小安全系数值见表</w:t>
      </w:r>
      <w:r>
        <w:rPr>
          <w:rFonts w:hint="eastAsia" w:ascii="Times New Roman" w:hAnsi="Times New Roman" w:eastAsia="宋体" w:cs="Times New Roman"/>
          <w:color w:val="auto"/>
          <w:lang w:val="en-US" w:eastAsia="zh-CN"/>
        </w:rPr>
        <w:t>5.2-3</w:t>
      </w:r>
      <w:r>
        <w:rPr>
          <w:rFonts w:hint="default" w:ascii="Times New Roman" w:hAnsi="Times New Roman" w:eastAsia="宋体" w:cs="Times New Roman"/>
          <w:color w:val="auto"/>
          <w:lang w:val="en-US" w:eastAsia="zh-CN"/>
        </w:rPr>
        <w:t>。</w:t>
      </w:r>
    </w:p>
    <w:p w14:paraId="72F44DCE">
      <w:pPr>
        <w:bidi w:val="0"/>
        <w:ind w:left="0" w:leftChars="0" w:firstLine="0" w:firstLineChars="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表</w:t>
      </w:r>
      <w:r>
        <w:rPr>
          <w:rFonts w:hint="eastAsia" w:ascii="Times New Roman" w:hAnsi="Times New Roman" w:eastAsia="宋体" w:cs="Times New Roman"/>
          <w:color w:val="auto"/>
          <w:lang w:val="en-US" w:eastAsia="zh-CN"/>
        </w:rPr>
        <w:t>5.2-3 三等库坝坡抗滑稳定最小安全系数表</w:t>
      </w:r>
    </w:p>
    <w:tbl>
      <w:tblPr>
        <w:tblStyle w:val="32"/>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43"/>
        <w:gridCol w:w="2274"/>
        <w:gridCol w:w="2029"/>
        <w:gridCol w:w="1933"/>
      </w:tblGrid>
      <w:tr w14:paraId="61731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blHeader/>
          <w:jc w:val="center"/>
        </w:trPr>
        <w:tc>
          <w:tcPr>
            <w:tcW w:w="1639" w:type="pct"/>
            <w:tcBorders>
              <w:tl2br w:val="single" w:color="auto" w:sz="4" w:space="0"/>
            </w:tcBorders>
            <w:noWrap w:val="0"/>
            <w:vAlign w:val="center"/>
          </w:tcPr>
          <w:p w14:paraId="26D5CAF5">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 xml:space="preserve">          </w:t>
            </w:r>
            <w:r>
              <w:rPr>
                <w:rFonts w:hint="eastAsia" w:cs="Times New Roman"/>
                <w:color w:val="auto"/>
                <w:kern w:val="0"/>
                <w:sz w:val="24"/>
                <w:szCs w:val="24"/>
                <w:lang w:val="en-US" w:eastAsia="zh-CN" w:bidi="ar-SA"/>
              </w:rPr>
              <w:t>运行条件</w:t>
            </w:r>
          </w:p>
          <w:p w14:paraId="2E468E9A">
            <w:pPr>
              <w:widowControl w:val="0"/>
              <w:spacing w:line="240" w:lineRule="auto"/>
              <w:ind w:firstLine="0" w:firstLineChars="0"/>
              <w:jc w:val="left"/>
              <w:rPr>
                <w:rFonts w:hint="default" w:ascii="Times New Roman" w:hAnsi="Times New Roman" w:eastAsia="宋体" w:cs="Times New Roman"/>
                <w:color w:val="auto"/>
                <w:kern w:val="0"/>
                <w:sz w:val="24"/>
                <w:szCs w:val="24"/>
                <w:lang w:val="en-US" w:eastAsia="zh-CN" w:bidi="ar-SA"/>
              </w:rPr>
            </w:pPr>
            <w:r>
              <w:rPr>
                <w:rFonts w:hint="eastAsia" w:cs="Times New Roman"/>
                <w:color w:val="auto"/>
                <w:kern w:val="0"/>
                <w:sz w:val="24"/>
                <w:szCs w:val="24"/>
                <w:lang w:val="en-US" w:eastAsia="zh-CN" w:bidi="ar-SA"/>
              </w:rPr>
              <w:t>计算方法</w:t>
            </w:r>
          </w:p>
        </w:tc>
        <w:tc>
          <w:tcPr>
            <w:tcW w:w="1225" w:type="pct"/>
            <w:noWrap w:val="0"/>
            <w:vAlign w:val="center"/>
          </w:tcPr>
          <w:p w14:paraId="2938674C">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eastAsia" w:cs="Times New Roman"/>
                <w:color w:val="auto"/>
                <w:kern w:val="0"/>
                <w:sz w:val="24"/>
                <w:szCs w:val="24"/>
                <w:lang w:val="en-US" w:eastAsia="zh-CN" w:bidi="ar-SA"/>
              </w:rPr>
              <w:t>正常运行</w:t>
            </w:r>
          </w:p>
        </w:tc>
        <w:tc>
          <w:tcPr>
            <w:tcW w:w="1093" w:type="pct"/>
            <w:noWrap w:val="0"/>
            <w:vAlign w:val="center"/>
          </w:tcPr>
          <w:p w14:paraId="69752B06">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eastAsia" w:cs="Times New Roman"/>
                <w:color w:val="auto"/>
                <w:kern w:val="0"/>
                <w:sz w:val="24"/>
                <w:szCs w:val="24"/>
                <w:lang w:val="en-US" w:eastAsia="zh-CN" w:bidi="ar-SA"/>
              </w:rPr>
              <w:t>洪水运行</w:t>
            </w:r>
          </w:p>
        </w:tc>
        <w:tc>
          <w:tcPr>
            <w:tcW w:w="1041" w:type="pct"/>
            <w:noWrap w:val="0"/>
            <w:vAlign w:val="center"/>
          </w:tcPr>
          <w:p w14:paraId="13946B4C">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eastAsia" w:cs="Times New Roman"/>
                <w:color w:val="auto"/>
                <w:kern w:val="0"/>
                <w:sz w:val="24"/>
                <w:szCs w:val="24"/>
                <w:lang w:val="en-US" w:eastAsia="zh-CN" w:bidi="ar-SA"/>
              </w:rPr>
              <w:t>特殊运行</w:t>
            </w:r>
          </w:p>
        </w:tc>
      </w:tr>
      <w:tr w14:paraId="14208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639" w:type="pct"/>
            <w:noWrap w:val="0"/>
            <w:vAlign w:val="center"/>
          </w:tcPr>
          <w:p w14:paraId="3ACA9D28">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eastAsia" w:cs="Times New Roman"/>
                <w:color w:val="auto"/>
                <w:kern w:val="0"/>
                <w:sz w:val="24"/>
                <w:szCs w:val="24"/>
                <w:lang w:val="en-US" w:eastAsia="zh-CN" w:bidi="ar-SA"/>
              </w:rPr>
              <w:t>简化毕肖普法</w:t>
            </w:r>
          </w:p>
        </w:tc>
        <w:tc>
          <w:tcPr>
            <w:tcW w:w="1225" w:type="pct"/>
            <w:noWrap w:val="0"/>
            <w:vAlign w:val="center"/>
          </w:tcPr>
          <w:p w14:paraId="2B6D9708">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eastAsia" w:cs="Times New Roman"/>
                <w:color w:val="auto"/>
                <w:kern w:val="0"/>
                <w:sz w:val="24"/>
                <w:szCs w:val="24"/>
                <w:lang w:val="en-US" w:eastAsia="zh-CN" w:bidi="ar-SA"/>
              </w:rPr>
              <w:t>1.30</w:t>
            </w:r>
          </w:p>
        </w:tc>
        <w:tc>
          <w:tcPr>
            <w:tcW w:w="1093" w:type="pct"/>
            <w:noWrap w:val="0"/>
            <w:vAlign w:val="center"/>
          </w:tcPr>
          <w:p w14:paraId="28AC4430">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eastAsia" w:cs="Times New Roman"/>
                <w:color w:val="auto"/>
                <w:kern w:val="0"/>
                <w:sz w:val="24"/>
                <w:szCs w:val="24"/>
                <w:lang w:val="en-US" w:eastAsia="zh-CN" w:bidi="ar-SA"/>
              </w:rPr>
              <w:t>1.20</w:t>
            </w:r>
          </w:p>
        </w:tc>
        <w:tc>
          <w:tcPr>
            <w:tcW w:w="1041" w:type="pct"/>
            <w:noWrap w:val="0"/>
            <w:vAlign w:val="center"/>
          </w:tcPr>
          <w:p w14:paraId="20DE83F1">
            <w:pPr>
              <w:widowControl w:val="0"/>
              <w:spacing w:line="240" w:lineRule="auto"/>
              <w:ind w:firstLine="0" w:firstLineChars="0"/>
              <w:jc w:val="center"/>
              <w:rPr>
                <w:rFonts w:hint="default" w:ascii="Times New Roman" w:hAnsi="Times New Roman" w:eastAsia="宋体" w:cs="Times New Roman"/>
                <w:color w:val="auto"/>
                <w:kern w:val="0"/>
                <w:sz w:val="24"/>
                <w:szCs w:val="24"/>
                <w:lang w:val="en-US" w:eastAsia="zh-CN" w:bidi="ar-SA"/>
              </w:rPr>
            </w:pPr>
            <w:r>
              <w:rPr>
                <w:rFonts w:hint="eastAsia" w:cs="Times New Roman"/>
                <w:color w:val="auto"/>
                <w:kern w:val="0"/>
                <w:sz w:val="24"/>
                <w:szCs w:val="24"/>
                <w:lang w:val="en-US" w:eastAsia="zh-CN" w:bidi="ar-SA"/>
              </w:rPr>
              <w:t>1.15</w:t>
            </w:r>
          </w:p>
        </w:tc>
      </w:tr>
    </w:tbl>
    <w:p w14:paraId="1A475CBD">
      <w:pPr>
        <w:bidi w:val="0"/>
        <w:rPr>
          <w:rFonts w:hint="default" w:ascii="Times New Roman" w:hAnsi="Times New Roman" w:eastAsia="宋体" w:cs="Times New Roman"/>
          <w:color w:val="auto"/>
          <w:lang w:val="en-US" w:eastAsia="zh-CN"/>
        </w:rPr>
      </w:pPr>
      <w:r>
        <w:rPr>
          <w:rFonts w:hint="eastAsia" w:cs="Times New Roman"/>
          <w:color w:val="auto"/>
          <w:lang w:val="en-US" w:eastAsia="zh-CN"/>
        </w:rPr>
        <w:t>3</w:t>
      </w:r>
      <w:r>
        <w:rPr>
          <w:rFonts w:hint="eastAsia" w:ascii="Times New Roman" w:hAnsi="Times New Roman" w:eastAsia="宋体" w:cs="Times New Roman"/>
          <w:color w:val="auto"/>
          <w:lang w:val="en-US" w:eastAsia="zh-CN"/>
        </w:rPr>
        <w:t>.</w:t>
      </w:r>
      <w:r>
        <w:rPr>
          <w:rFonts w:hint="default" w:ascii="Times New Roman" w:hAnsi="Times New Roman" w:eastAsia="宋体" w:cs="Times New Roman"/>
          <w:color w:val="auto"/>
          <w:lang w:val="en-US" w:eastAsia="zh-CN"/>
        </w:rPr>
        <w:t xml:space="preserve"> 稳定分析计算剖面</w:t>
      </w:r>
    </w:p>
    <w:p w14:paraId="21838FD9">
      <w:pPr>
        <w:bidi w:val="0"/>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坝体稳定计算剖面选取垂直于尾矿库坝坝轴线处坝高最大位置，相对最不利于坝体稳定的一个典型剖面。本次稳定分析计算现状尾矿库主坝和副坝坝坡稳定安全系数</w:t>
      </w:r>
      <w:r>
        <w:rPr>
          <w:rFonts w:hint="eastAsia" w:ascii="Times New Roman" w:hAnsi="Times New Roman" w:eastAsia="宋体" w:cs="Times New Roman"/>
          <w:color w:val="auto"/>
          <w:lang w:val="en-US" w:eastAsia="zh-CN"/>
        </w:rPr>
        <w:t>。</w:t>
      </w:r>
    </w:p>
    <w:p w14:paraId="1EEB2645">
      <w:pPr>
        <w:bidi w:val="0"/>
        <w:ind w:left="0" w:leftChars="0" w:firstLine="0" w:firstLineChars="0"/>
        <w:jc w:val="center"/>
        <w:rPr>
          <w:color w:val="auto"/>
        </w:rPr>
      </w:pPr>
      <w:r>
        <w:rPr>
          <w:b/>
          <w:bCs/>
          <w:color w:val="auto"/>
        </w:rPr>
        <w:drawing>
          <wp:inline distT="0" distB="0" distL="0" distR="0">
            <wp:extent cx="5399405" cy="1033780"/>
            <wp:effectExtent l="0" t="0" r="10795" b="13970"/>
            <wp:docPr id="4" name="图片 47" descr="C:\Users\ncuzh\Documents\主坝1-1剖面岿美山现状正常稳定20260724-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7" descr="C:\Users\ncuzh\Documents\主坝1-1剖面岿美山现状正常稳定20260724-Model.jpg"/>
                    <pic:cNvPicPr>
                      <a:picLocks noChangeAspect="1" noChangeArrowheads="1"/>
                    </pic:cNvPicPr>
                  </pic:nvPicPr>
                  <pic:blipFill>
                    <a:blip r:embed="rId16"/>
                    <a:srcRect l="2613" t="49015" r="3659" b="25616"/>
                    <a:stretch>
                      <a:fillRect/>
                    </a:stretch>
                  </pic:blipFill>
                  <pic:spPr>
                    <a:xfrm>
                      <a:off x="0" y="0"/>
                      <a:ext cx="5400000" cy="1033829"/>
                    </a:xfrm>
                    <a:prstGeom prst="rect">
                      <a:avLst/>
                    </a:prstGeom>
                    <a:noFill/>
                    <a:ln w="9525">
                      <a:noFill/>
                      <a:miter lim="800000"/>
                      <a:headEnd/>
                      <a:tailEnd/>
                    </a:ln>
                  </pic:spPr>
                </pic:pic>
              </a:graphicData>
            </a:graphic>
          </wp:inline>
        </w:drawing>
      </w:r>
    </w:p>
    <w:p w14:paraId="35A39D95">
      <w:pPr>
        <w:bidi w:val="0"/>
        <w:ind w:left="0" w:leftChars="0" w:firstLine="0" w:firstLineChars="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图</w:t>
      </w:r>
      <w:r>
        <w:rPr>
          <w:rFonts w:hint="eastAsia" w:ascii="Times New Roman" w:hAnsi="Times New Roman" w:eastAsia="宋体" w:cs="Times New Roman"/>
          <w:color w:val="auto"/>
          <w:lang w:val="en-US" w:eastAsia="zh-CN"/>
        </w:rPr>
        <w:t>5.2</w:t>
      </w:r>
      <w:r>
        <w:rPr>
          <w:rFonts w:hint="default" w:ascii="Times New Roman" w:hAnsi="Times New Roman" w:eastAsia="宋体" w:cs="Times New Roman"/>
          <w:color w:val="auto"/>
          <w:lang w:val="en-US" w:eastAsia="zh-CN"/>
        </w:rPr>
        <w:t>-1</w:t>
      </w:r>
      <w:r>
        <w:rPr>
          <w:rFonts w:hint="eastAsia" w:ascii="Times New Roman" w:hAnsi="Times New Roman" w:eastAsia="宋体" w:cs="Times New Roman"/>
          <w:color w:val="auto"/>
          <w:lang w:val="en-US" w:eastAsia="zh-CN"/>
        </w:rPr>
        <w:t xml:space="preserve"> 现状尾矿库主坝1-1剖面稳定计算模型图</w:t>
      </w:r>
    </w:p>
    <w:p w14:paraId="4BEFFE6C">
      <w:pPr>
        <w:bidi w:val="0"/>
        <w:ind w:left="0" w:leftChars="0" w:firstLine="0" w:firstLineChars="0"/>
        <w:jc w:val="center"/>
        <w:rPr>
          <w:color w:val="auto"/>
        </w:rPr>
      </w:pPr>
      <w:r>
        <w:rPr>
          <w:b/>
          <w:bCs/>
          <w:color w:val="auto"/>
        </w:rPr>
        <w:drawing>
          <wp:inline distT="0" distB="0" distL="0" distR="0">
            <wp:extent cx="5467350" cy="1042035"/>
            <wp:effectExtent l="0" t="0" r="0" b="5715"/>
            <wp:docPr id="19" name="图片 50" descr="C:\Users\ncuzh\Documents\20260724主坝2-2剖面岿美山现状正常稳定-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0" descr="C:\Users\ncuzh\Documents\20260724主坝2-2剖面岿美山现状正常稳定-Model.jpg"/>
                    <pic:cNvPicPr>
                      <a:picLocks noChangeAspect="1" noChangeArrowheads="1"/>
                    </pic:cNvPicPr>
                  </pic:nvPicPr>
                  <pic:blipFill>
                    <a:blip r:embed="rId17"/>
                    <a:srcRect t="53695" b="19368"/>
                    <a:stretch>
                      <a:fillRect/>
                    </a:stretch>
                  </pic:blipFill>
                  <pic:spPr>
                    <a:xfrm>
                      <a:off x="0" y="0"/>
                      <a:ext cx="5467350" cy="1042354"/>
                    </a:xfrm>
                    <a:prstGeom prst="rect">
                      <a:avLst/>
                    </a:prstGeom>
                    <a:noFill/>
                    <a:ln w="9525">
                      <a:noFill/>
                      <a:miter lim="800000"/>
                      <a:headEnd/>
                      <a:tailEnd/>
                    </a:ln>
                  </pic:spPr>
                </pic:pic>
              </a:graphicData>
            </a:graphic>
          </wp:inline>
        </w:drawing>
      </w:r>
    </w:p>
    <w:p w14:paraId="70B99FEF">
      <w:pPr>
        <w:bidi w:val="0"/>
        <w:ind w:left="0" w:leftChars="0" w:firstLine="0" w:firstLineChars="0"/>
        <w:jc w:val="center"/>
        <w:rPr>
          <w:rFonts w:hint="default"/>
          <w:color w:val="auto"/>
          <w:lang w:val="en-US" w:eastAsia="zh-CN"/>
        </w:rPr>
      </w:pPr>
      <w:r>
        <w:rPr>
          <w:rFonts w:hint="default" w:ascii="Times New Roman" w:hAnsi="Times New Roman" w:eastAsia="宋体" w:cs="Times New Roman"/>
          <w:color w:val="auto"/>
          <w:lang w:val="en-US" w:eastAsia="zh-CN"/>
        </w:rPr>
        <w:t>图</w:t>
      </w:r>
      <w:r>
        <w:rPr>
          <w:rFonts w:hint="eastAsia" w:ascii="Times New Roman" w:hAnsi="Times New Roman" w:eastAsia="宋体" w:cs="Times New Roman"/>
          <w:color w:val="auto"/>
          <w:lang w:val="en-US" w:eastAsia="zh-CN"/>
        </w:rPr>
        <w:t>5.2</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2 现状尾矿库主坝2-2剖面稳定计算模型图</w:t>
      </w:r>
    </w:p>
    <w:p w14:paraId="6B6F0513">
      <w:pPr>
        <w:bidi w:val="0"/>
        <w:ind w:left="0" w:leftChars="0" w:firstLine="0" w:firstLineChars="0"/>
        <w:jc w:val="center"/>
        <w:rPr>
          <w:color w:val="auto"/>
        </w:rPr>
      </w:pPr>
      <w:r>
        <w:rPr>
          <w:b/>
          <w:bCs/>
          <w:color w:val="auto"/>
        </w:rPr>
        <w:drawing>
          <wp:inline distT="0" distB="0" distL="0" distR="0">
            <wp:extent cx="4319905" cy="1829435"/>
            <wp:effectExtent l="0" t="0" r="4445" b="18415"/>
            <wp:docPr id="1" name="图片 49" descr="C:\Users\ncuzh\Documents\20260724岿美山尾矿库现状副坝稳定性建模-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9" descr="C:\Users\ncuzh\Documents\20260724岿美山尾矿库现状副坝稳定性建模-Model.jpg"/>
                    <pic:cNvPicPr>
                      <a:picLocks noChangeAspect="1" noChangeArrowheads="1"/>
                    </pic:cNvPicPr>
                  </pic:nvPicPr>
                  <pic:blipFill>
                    <a:blip r:embed="rId18"/>
                    <a:srcRect l="2020" t="20635" b="20635"/>
                    <a:stretch>
                      <a:fillRect/>
                    </a:stretch>
                  </pic:blipFill>
                  <pic:spPr>
                    <a:xfrm>
                      <a:off x="0" y="0"/>
                      <a:ext cx="4319905" cy="1829435"/>
                    </a:xfrm>
                    <a:prstGeom prst="rect">
                      <a:avLst/>
                    </a:prstGeom>
                    <a:noFill/>
                    <a:ln w="9525">
                      <a:noFill/>
                      <a:miter lim="800000"/>
                      <a:headEnd/>
                      <a:tailEnd/>
                    </a:ln>
                  </pic:spPr>
                </pic:pic>
              </a:graphicData>
            </a:graphic>
          </wp:inline>
        </w:drawing>
      </w:r>
    </w:p>
    <w:p w14:paraId="405A178F">
      <w:pPr>
        <w:bidi w:val="0"/>
        <w:ind w:left="0" w:leftChars="0" w:firstLine="0" w:firstLineChars="0"/>
        <w:jc w:val="center"/>
        <w:rPr>
          <w:rFonts w:hint="default"/>
          <w:color w:val="auto"/>
          <w:lang w:val="en-US" w:eastAsia="zh-CN"/>
        </w:rPr>
      </w:pPr>
      <w:r>
        <w:rPr>
          <w:rFonts w:hint="default" w:ascii="Times New Roman" w:hAnsi="Times New Roman" w:eastAsia="宋体" w:cs="Times New Roman"/>
          <w:color w:val="auto"/>
          <w:lang w:val="en-US" w:eastAsia="zh-CN"/>
        </w:rPr>
        <w:t>图</w:t>
      </w:r>
      <w:r>
        <w:rPr>
          <w:rFonts w:hint="eastAsia" w:ascii="Times New Roman" w:hAnsi="Times New Roman" w:eastAsia="宋体" w:cs="Times New Roman"/>
          <w:color w:val="auto"/>
          <w:lang w:val="en-US" w:eastAsia="zh-CN"/>
        </w:rPr>
        <w:t>5.2</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3 现状尾矿库副坝稳定计算模型图</w:t>
      </w:r>
    </w:p>
    <w:p w14:paraId="6DBDD051">
      <w:pPr>
        <w:bidi w:val="0"/>
        <w:rPr>
          <w:rFonts w:hint="default" w:ascii="Times New Roman" w:hAnsi="Times New Roman" w:eastAsia="宋体" w:cs="Times New Roman"/>
          <w:color w:val="auto"/>
          <w:lang w:val="en-US" w:eastAsia="zh-CN"/>
        </w:rPr>
      </w:pPr>
      <w:r>
        <w:rPr>
          <w:rFonts w:hint="eastAsia" w:cs="Times New Roman"/>
          <w:color w:val="auto"/>
          <w:lang w:val="en-US" w:eastAsia="zh-CN"/>
        </w:rPr>
        <w:t>4</w:t>
      </w:r>
      <w:r>
        <w:rPr>
          <w:rFonts w:hint="default" w:ascii="Times New Roman" w:hAnsi="Times New Roman" w:eastAsia="宋体" w:cs="Times New Roman"/>
          <w:color w:val="auto"/>
          <w:lang w:val="en-US" w:eastAsia="zh-CN"/>
        </w:rPr>
        <w:t xml:space="preserve">. </w:t>
      </w:r>
      <w:r>
        <w:rPr>
          <w:rFonts w:hint="eastAsia" w:cs="Times New Roman"/>
          <w:color w:val="auto"/>
          <w:lang w:val="en-US" w:eastAsia="zh-CN"/>
        </w:rPr>
        <w:t>坝体</w:t>
      </w:r>
      <w:r>
        <w:rPr>
          <w:rFonts w:hint="default" w:ascii="Times New Roman" w:hAnsi="Times New Roman" w:eastAsia="宋体" w:cs="Times New Roman"/>
          <w:color w:val="auto"/>
          <w:lang w:val="en-US" w:eastAsia="zh-CN"/>
        </w:rPr>
        <w:t>稳定分析参数</w:t>
      </w:r>
    </w:p>
    <w:p w14:paraId="1FD54C0A">
      <w:pPr>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次稳定性计算所采用的岩土物理力学指标是根据《江西岿美山钨业有限公司尾矿库闭库工程（水文）地质勘察报告（详细勘察）》（江西省勘察设计研究院有限公司，2026年7月）并参考类似工程确定的。进行计算分析时，具体物理力学指标见表</w:t>
      </w:r>
      <w:r>
        <w:rPr>
          <w:rFonts w:hint="eastAsia" w:ascii="Times New Roman" w:hAnsi="Times New Roman" w:eastAsia="宋体" w:cs="Times New Roman"/>
          <w:color w:val="auto"/>
          <w:lang w:val="en-US" w:eastAsia="zh-CN"/>
        </w:rPr>
        <w:t>5.2-4</w:t>
      </w:r>
      <w:r>
        <w:rPr>
          <w:rFonts w:hint="default" w:ascii="Times New Roman" w:hAnsi="Times New Roman" w:eastAsia="宋体" w:cs="Times New Roman"/>
          <w:color w:val="auto"/>
          <w:lang w:val="en-US" w:eastAsia="zh-CN"/>
        </w:rPr>
        <w:t>。</w:t>
      </w:r>
    </w:p>
    <w:p w14:paraId="0A513FF6">
      <w:pPr>
        <w:bidi w:val="0"/>
        <w:ind w:left="0" w:leftChars="0" w:firstLine="0" w:firstLineChars="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表</w:t>
      </w:r>
      <w:r>
        <w:rPr>
          <w:rFonts w:hint="eastAsia" w:ascii="Times New Roman" w:hAnsi="Times New Roman" w:eastAsia="宋体" w:cs="Times New Roman"/>
          <w:color w:val="auto"/>
          <w:lang w:val="en-US" w:eastAsia="zh-CN"/>
        </w:rPr>
        <w:t>5.2-4 尾矿坝的物理力学指标取值表</w:t>
      </w:r>
    </w:p>
    <w:tbl>
      <w:tblPr>
        <w:tblStyle w:val="32"/>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801"/>
        <w:gridCol w:w="1480"/>
        <w:gridCol w:w="1408"/>
        <w:gridCol w:w="1328"/>
        <w:gridCol w:w="2269"/>
      </w:tblGrid>
      <w:tr w14:paraId="21ABC1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1" w:hRule="atLeast"/>
          <w:jc w:val="center"/>
        </w:trPr>
        <w:tc>
          <w:tcPr>
            <w:tcW w:w="1508" w:type="pct"/>
            <w:vMerge w:val="restart"/>
            <w:vAlign w:val="center"/>
          </w:tcPr>
          <w:p w14:paraId="238F94F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材   料</w:t>
            </w:r>
          </w:p>
        </w:tc>
        <w:tc>
          <w:tcPr>
            <w:tcW w:w="797" w:type="pct"/>
            <w:vMerge w:val="restart"/>
            <w:vAlign w:val="center"/>
          </w:tcPr>
          <w:p w14:paraId="42E7AED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天然容重</w:t>
            </w:r>
          </w:p>
          <w:p w14:paraId="0E03FF2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（kN/m</w:t>
            </w:r>
            <w:r>
              <w:rPr>
                <w:rFonts w:hint="eastAsia" w:ascii="Times New Roman" w:hAnsi="Times New Roman" w:eastAsia="宋体" w:cs="Times New Roman"/>
                <w:color w:val="auto"/>
                <w:sz w:val="21"/>
                <w:szCs w:val="21"/>
                <w:vertAlign w:val="superscript"/>
              </w:rPr>
              <w:t>3</w:t>
            </w:r>
            <w:r>
              <w:rPr>
                <w:rFonts w:hint="eastAsia" w:ascii="Times New Roman" w:hAnsi="Times New Roman" w:eastAsia="宋体" w:cs="Times New Roman"/>
                <w:color w:val="auto"/>
                <w:sz w:val="21"/>
                <w:szCs w:val="21"/>
              </w:rPr>
              <w:t>）</w:t>
            </w:r>
          </w:p>
        </w:tc>
        <w:tc>
          <w:tcPr>
            <w:tcW w:w="758" w:type="pct"/>
            <w:vMerge w:val="restart"/>
            <w:vAlign w:val="center"/>
          </w:tcPr>
          <w:p w14:paraId="3D80E91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渗透系数</w:t>
            </w:r>
          </w:p>
          <w:p w14:paraId="76DCEAD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（cm/s）</w:t>
            </w:r>
          </w:p>
        </w:tc>
        <w:tc>
          <w:tcPr>
            <w:tcW w:w="1937" w:type="pct"/>
            <w:gridSpan w:val="2"/>
            <w:vAlign w:val="center"/>
          </w:tcPr>
          <w:p w14:paraId="5D16FF9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抗剪强度</w:t>
            </w:r>
          </w:p>
        </w:tc>
      </w:tr>
      <w:tr w14:paraId="0C4214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9" w:hRule="atLeast"/>
          <w:jc w:val="center"/>
        </w:trPr>
        <w:tc>
          <w:tcPr>
            <w:tcW w:w="1508" w:type="pct"/>
            <w:vMerge w:val="continue"/>
            <w:vAlign w:val="center"/>
          </w:tcPr>
          <w:p w14:paraId="00F862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797" w:type="pct"/>
            <w:vMerge w:val="continue"/>
            <w:vAlign w:val="center"/>
          </w:tcPr>
          <w:p w14:paraId="0FC747B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758" w:type="pct"/>
            <w:vMerge w:val="continue"/>
          </w:tcPr>
          <w:p w14:paraId="0723B05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715" w:type="pct"/>
            <w:vAlign w:val="center"/>
          </w:tcPr>
          <w:p w14:paraId="1D44AC7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凝聚力C</w:t>
            </w:r>
          </w:p>
          <w:p w14:paraId="4B8221D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（kPa）</w:t>
            </w:r>
          </w:p>
        </w:tc>
        <w:tc>
          <w:tcPr>
            <w:tcW w:w="1222" w:type="pct"/>
            <w:vAlign w:val="center"/>
          </w:tcPr>
          <w:p w14:paraId="05CBBE7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内摩擦角（°）</w:t>
            </w:r>
          </w:p>
        </w:tc>
      </w:tr>
      <w:tr w14:paraId="125BD3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508" w:type="pct"/>
            <w:vAlign w:val="center"/>
          </w:tcPr>
          <w:p w14:paraId="6025CA9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尾砾砂</w:t>
            </w:r>
          </w:p>
        </w:tc>
        <w:tc>
          <w:tcPr>
            <w:tcW w:w="797" w:type="pct"/>
            <w:vAlign w:val="center"/>
          </w:tcPr>
          <w:p w14:paraId="6B1194C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19.5</w:t>
            </w:r>
          </w:p>
        </w:tc>
        <w:tc>
          <w:tcPr>
            <w:tcW w:w="758" w:type="pct"/>
            <w:vAlign w:val="center"/>
          </w:tcPr>
          <w:p w14:paraId="4D3CEF4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4.0e-2</w:t>
            </w:r>
          </w:p>
        </w:tc>
        <w:tc>
          <w:tcPr>
            <w:tcW w:w="715" w:type="pct"/>
            <w:vAlign w:val="center"/>
          </w:tcPr>
          <w:p w14:paraId="4439BCC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4.8</w:t>
            </w:r>
          </w:p>
        </w:tc>
        <w:tc>
          <w:tcPr>
            <w:tcW w:w="1222" w:type="pct"/>
            <w:vAlign w:val="center"/>
          </w:tcPr>
          <w:p w14:paraId="30E38ED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30.0</w:t>
            </w:r>
          </w:p>
        </w:tc>
      </w:tr>
      <w:tr w14:paraId="11B933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508" w:type="pct"/>
            <w:vAlign w:val="center"/>
          </w:tcPr>
          <w:p w14:paraId="15E9E07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尾细砂</w:t>
            </w:r>
          </w:p>
        </w:tc>
        <w:tc>
          <w:tcPr>
            <w:tcW w:w="797" w:type="pct"/>
            <w:vAlign w:val="center"/>
          </w:tcPr>
          <w:p w14:paraId="3E5C8A2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18.6</w:t>
            </w:r>
          </w:p>
        </w:tc>
        <w:tc>
          <w:tcPr>
            <w:tcW w:w="758" w:type="pct"/>
            <w:vAlign w:val="center"/>
          </w:tcPr>
          <w:p w14:paraId="4480AC2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1.5e-2</w:t>
            </w:r>
          </w:p>
        </w:tc>
        <w:tc>
          <w:tcPr>
            <w:tcW w:w="715" w:type="pct"/>
            <w:vAlign w:val="center"/>
          </w:tcPr>
          <w:p w14:paraId="0884608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9.5</w:t>
            </w:r>
          </w:p>
        </w:tc>
        <w:tc>
          <w:tcPr>
            <w:tcW w:w="1222" w:type="pct"/>
            <w:vAlign w:val="center"/>
          </w:tcPr>
          <w:p w14:paraId="5CD95AA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23.9</w:t>
            </w:r>
          </w:p>
        </w:tc>
      </w:tr>
      <w:tr w14:paraId="537391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508" w:type="pct"/>
            <w:vAlign w:val="center"/>
          </w:tcPr>
          <w:p w14:paraId="2EE6BD8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尾粉质黏土</w:t>
            </w:r>
          </w:p>
        </w:tc>
        <w:tc>
          <w:tcPr>
            <w:tcW w:w="797" w:type="pct"/>
            <w:vAlign w:val="center"/>
          </w:tcPr>
          <w:p w14:paraId="380CFF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17.6</w:t>
            </w:r>
          </w:p>
        </w:tc>
        <w:tc>
          <w:tcPr>
            <w:tcW w:w="758" w:type="pct"/>
            <w:vAlign w:val="center"/>
          </w:tcPr>
          <w:p w14:paraId="78BB12A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5.0e-5</w:t>
            </w:r>
          </w:p>
        </w:tc>
        <w:tc>
          <w:tcPr>
            <w:tcW w:w="715" w:type="pct"/>
            <w:vAlign w:val="center"/>
          </w:tcPr>
          <w:p w14:paraId="755B73D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8.2</w:t>
            </w:r>
          </w:p>
        </w:tc>
        <w:tc>
          <w:tcPr>
            <w:tcW w:w="1222" w:type="pct"/>
            <w:vAlign w:val="center"/>
          </w:tcPr>
          <w:p w14:paraId="646D2A1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5.2</w:t>
            </w:r>
          </w:p>
        </w:tc>
      </w:tr>
      <w:tr w14:paraId="7020DF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508" w:type="pct"/>
            <w:vAlign w:val="center"/>
          </w:tcPr>
          <w:p w14:paraId="38DE380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填碎石</w:t>
            </w:r>
          </w:p>
        </w:tc>
        <w:tc>
          <w:tcPr>
            <w:tcW w:w="797" w:type="pct"/>
            <w:vAlign w:val="center"/>
          </w:tcPr>
          <w:p w14:paraId="0368288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21.2</w:t>
            </w:r>
          </w:p>
        </w:tc>
        <w:tc>
          <w:tcPr>
            <w:tcW w:w="758" w:type="pct"/>
            <w:vAlign w:val="center"/>
          </w:tcPr>
          <w:p w14:paraId="046F5CB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9.0e-2</w:t>
            </w:r>
          </w:p>
        </w:tc>
        <w:tc>
          <w:tcPr>
            <w:tcW w:w="715" w:type="pct"/>
            <w:vAlign w:val="center"/>
          </w:tcPr>
          <w:p w14:paraId="0EBB660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3.0</w:t>
            </w:r>
          </w:p>
        </w:tc>
        <w:tc>
          <w:tcPr>
            <w:tcW w:w="1222" w:type="pct"/>
            <w:vAlign w:val="center"/>
          </w:tcPr>
          <w:p w14:paraId="4D9572B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38.0</w:t>
            </w:r>
          </w:p>
        </w:tc>
      </w:tr>
      <w:tr w14:paraId="535CFC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508" w:type="pct"/>
            <w:vAlign w:val="center"/>
          </w:tcPr>
          <w:p w14:paraId="262A8F5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碾压块石</w:t>
            </w:r>
          </w:p>
        </w:tc>
        <w:tc>
          <w:tcPr>
            <w:tcW w:w="797" w:type="pct"/>
            <w:vAlign w:val="center"/>
          </w:tcPr>
          <w:p w14:paraId="5F5F948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22.0</w:t>
            </w:r>
          </w:p>
        </w:tc>
        <w:tc>
          <w:tcPr>
            <w:tcW w:w="758" w:type="pct"/>
            <w:vAlign w:val="center"/>
          </w:tcPr>
          <w:p w14:paraId="33F5F79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1.0e-1</w:t>
            </w:r>
          </w:p>
        </w:tc>
        <w:tc>
          <w:tcPr>
            <w:tcW w:w="715" w:type="pct"/>
            <w:vAlign w:val="center"/>
          </w:tcPr>
          <w:p w14:paraId="76766DA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2.5</w:t>
            </w:r>
          </w:p>
        </w:tc>
        <w:tc>
          <w:tcPr>
            <w:tcW w:w="1222" w:type="pct"/>
            <w:vAlign w:val="center"/>
          </w:tcPr>
          <w:p w14:paraId="7546F6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33.0</w:t>
            </w:r>
          </w:p>
        </w:tc>
      </w:tr>
      <w:tr w14:paraId="3EDC93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508" w:type="pct"/>
            <w:vAlign w:val="center"/>
          </w:tcPr>
          <w:p w14:paraId="575F929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初期坝填土</w:t>
            </w:r>
          </w:p>
        </w:tc>
        <w:tc>
          <w:tcPr>
            <w:tcW w:w="797" w:type="pct"/>
            <w:vAlign w:val="center"/>
          </w:tcPr>
          <w:p w14:paraId="1544A60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18.5</w:t>
            </w:r>
          </w:p>
        </w:tc>
        <w:tc>
          <w:tcPr>
            <w:tcW w:w="758" w:type="pct"/>
            <w:vAlign w:val="center"/>
          </w:tcPr>
          <w:p w14:paraId="05CA6D7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1.5e-5</w:t>
            </w:r>
          </w:p>
        </w:tc>
        <w:tc>
          <w:tcPr>
            <w:tcW w:w="715" w:type="pct"/>
            <w:vAlign w:val="center"/>
          </w:tcPr>
          <w:p w14:paraId="77F856C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28.8</w:t>
            </w:r>
          </w:p>
        </w:tc>
        <w:tc>
          <w:tcPr>
            <w:tcW w:w="1222" w:type="pct"/>
            <w:vAlign w:val="center"/>
          </w:tcPr>
          <w:p w14:paraId="4A04D39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12.6</w:t>
            </w:r>
          </w:p>
        </w:tc>
      </w:tr>
      <w:tr w14:paraId="04FE5A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508" w:type="pct"/>
            <w:vAlign w:val="center"/>
          </w:tcPr>
          <w:p w14:paraId="6809214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砾质黏性土</w:t>
            </w:r>
          </w:p>
        </w:tc>
        <w:tc>
          <w:tcPr>
            <w:tcW w:w="797" w:type="pct"/>
            <w:vAlign w:val="center"/>
          </w:tcPr>
          <w:p w14:paraId="6D577A4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19.3</w:t>
            </w:r>
          </w:p>
        </w:tc>
        <w:tc>
          <w:tcPr>
            <w:tcW w:w="758" w:type="pct"/>
            <w:vAlign w:val="center"/>
          </w:tcPr>
          <w:p w14:paraId="0CAF92C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3.99e-6</w:t>
            </w:r>
          </w:p>
        </w:tc>
        <w:tc>
          <w:tcPr>
            <w:tcW w:w="715" w:type="pct"/>
            <w:vAlign w:val="center"/>
          </w:tcPr>
          <w:p w14:paraId="11C1D8A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21.5</w:t>
            </w:r>
          </w:p>
        </w:tc>
        <w:tc>
          <w:tcPr>
            <w:tcW w:w="1222" w:type="pct"/>
            <w:vAlign w:val="center"/>
          </w:tcPr>
          <w:p w14:paraId="13681B2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15.3</w:t>
            </w:r>
          </w:p>
        </w:tc>
      </w:tr>
      <w:tr w14:paraId="6E14F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508" w:type="pct"/>
            <w:vAlign w:val="center"/>
          </w:tcPr>
          <w:p w14:paraId="64DCB27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全风化花岗岩</w:t>
            </w:r>
          </w:p>
        </w:tc>
        <w:tc>
          <w:tcPr>
            <w:tcW w:w="797" w:type="pct"/>
            <w:vAlign w:val="center"/>
          </w:tcPr>
          <w:p w14:paraId="0630B44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19.2</w:t>
            </w:r>
          </w:p>
        </w:tc>
        <w:tc>
          <w:tcPr>
            <w:tcW w:w="758" w:type="pct"/>
            <w:vAlign w:val="center"/>
          </w:tcPr>
          <w:p w14:paraId="612805B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3.84e-5</w:t>
            </w:r>
          </w:p>
        </w:tc>
        <w:tc>
          <w:tcPr>
            <w:tcW w:w="715" w:type="pct"/>
            <w:vAlign w:val="center"/>
          </w:tcPr>
          <w:p w14:paraId="18EA143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27.7</w:t>
            </w:r>
          </w:p>
        </w:tc>
        <w:tc>
          <w:tcPr>
            <w:tcW w:w="1222" w:type="pct"/>
            <w:vAlign w:val="center"/>
          </w:tcPr>
          <w:p w14:paraId="07688C1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20.5</w:t>
            </w:r>
          </w:p>
        </w:tc>
      </w:tr>
      <w:tr w14:paraId="60718D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508" w:type="pct"/>
            <w:vAlign w:val="center"/>
          </w:tcPr>
          <w:p w14:paraId="622E4BE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强风化花岗岩</w:t>
            </w:r>
          </w:p>
        </w:tc>
        <w:tc>
          <w:tcPr>
            <w:tcW w:w="797" w:type="pct"/>
            <w:vAlign w:val="center"/>
          </w:tcPr>
          <w:p w14:paraId="1C4494A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22.5</w:t>
            </w:r>
          </w:p>
        </w:tc>
        <w:tc>
          <w:tcPr>
            <w:tcW w:w="758" w:type="pct"/>
            <w:vAlign w:val="center"/>
          </w:tcPr>
          <w:p w14:paraId="1167AF8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6.5e-5</w:t>
            </w:r>
          </w:p>
        </w:tc>
        <w:tc>
          <w:tcPr>
            <w:tcW w:w="715" w:type="pct"/>
            <w:vAlign w:val="center"/>
          </w:tcPr>
          <w:p w14:paraId="39784AB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45.0</w:t>
            </w:r>
          </w:p>
        </w:tc>
        <w:tc>
          <w:tcPr>
            <w:tcW w:w="1222" w:type="pct"/>
            <w:vAlign w:val="center"/>
          </w:tcPr>
          <w:p w14:paraId="0F96DBF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25.0</w:t>
            </w:r>
          </w:p>
        </w:tc>
      </w:tr>
      <w:tr w14:paraId="7ACFEF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508" w:type="pct"/>
            <w:vAlign w:val="center"/>
          </w:tcPr>
          <w:p w14:paraId="5CAB24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中风化花岗岩</w:t>
            </w:r>
          </w:p>
        </w:tc>
        <w:tc>
          <w:tcPr>
            <w:tcW w:w="797" w:type="pct"/>
            <w:vAlign w:val="center"/>
          </w:tcPr>
          <w:p w14:paraId="3BCC21B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25.2</w:t>
            </w:r>
          </w:p>
        </w:tc>
        <w:tc>
          <w:tcPr>
            <w:tcW w:w="758" w:type="pct"/>
            <w:vAlign w:val="center"/>
          </w:tcPr>
          <w:p w14:paraId="6F855A2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1.5e-5</w:t>
            </w:r>
          </w:p>
        </w:tc>
        <w:tc>
          <w:tcPr>
            <w:tcW w:w="715" w:type="pct"/>
            <w:vAlign w:val="center"/>
          </w:tcPr>
          <w:p w14:paraId="69E9143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600.0</w:t>
            </w:r>
          </w:p>
        </w:tc>
        <w:tc>
          <w:tcPr>
            <w:tcW w:w="1222" w:type="pct"/>
            <w:vAlign w:val="center"/>
          </w:tcPr>
          <w:p w14:paraId="25AA4F4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39.0</w:t>
            </w:r>
          </w:p>
        </w:tc>
      </w:tr>
    </w:tbl>
    <w:p w14:paraId="3054586D">
      <w:pPr>
        <w:bidi w:val="0"/>
        <w:rPr>
          <w:rFonts w:hint="default" w:ascii="Times New Roman" w:hAnsi="Times New Roman" w:eastAsia="宋体" w:cs="Times New Roman"/>
          <w:color w:val="auto"/>
          <w:lang w:val="en-US" w:eastAsia="zh-CN"/>
        </w:rPr>
      </w:pPr>
      <w:r>
        <w:rPr>
          <w:rFonts w:hint="eastAsia" w:cs="Times New Roman"/>
          <w:color w:val="auto"/>
          <w:lang w:val="en-US" w:eastAsia="zh-CN"/>
        </w:rPr>
        <w:t>5</w:t>
      </w:r>
      <w:r>
        <w:rPr>
          <w:rFonts w:hint="eastAsia" w:ascii="Times New Roman" w:hAnsi="Times New Roman" w:eastAsia="宋体" w:cs="Times New Roman"/>
          <w:color w:val="auto"/>
          <w:lang w:val="en-US" w:eastAsia="zh-CN"/>
        </w:rPr>
        <w:t>.</w:t>
      </w:r>
      <w:r>
        <w:rPr>
          <w:rFonts w:hint="default" w:ascii="Times New Roman" w:hAnsi="Times New Roman" w:eastAsia="宋体" w:cs="Times New Roman"/>
          <w:color w:val="auto"/>
          <w:lang w:val="en-US" w:eastAsia="zh-CN"/>
        </w:rPr>
        <w:t xml:space="preserve"> 坝体稳定分析结果及分析</w:t>
      </w:r>
    </w:p>
    <w:p w14:paraId="30C4E719">
      <w:pPr>
        <w:bidi w:val="0"/>
        <w:rPr>
          <w:rFonts w:hint="eastAsia"/>
          <w:color w:val="auto"/>
          <w:lang w:val="en-US" w:eastAsia="zh-CN"/>
        </w:rPr>
      </w:pPr>
      <w:r>
        <w:rPr>
          <w:rFonts w:hint="eastAsia"/>
          <w:color w:val="auto"/>
          <w:lang w:val="en-US" w:eastAsia="zh-CN"/>
        </w:rPr>
        <w:t>本次抗滑稳定分析选用加拿大的Rocscience公司的Slide边坡稳定计算软件，采用尾矿坝最大横剖面，运用上文所确定的计算参数与运行工况，用简化毕肖普法计算分析现状尾矿库主坝1-1、2-2剖面和副坝下游坝坡安全稳定性，经稳定电算，现状尾矿库主坝1-1剖面坝坡抗滑稳定安全系数见表5.2-5，现状尾矿库主坝2-2剖面坝坡抗滑稳定安全系数见表5.2-6，现状副坝下游坝坡抗滑稳定安全系数见表5.2-7，稳定计算图见图5.2-4～5.2-12。</w:t>
      </w:r>
    </w:p>
    <w:p w14:paraId="24D89641">
      <w:pPr>
        <w:bidi w:val="0"/>
        <w:rPr>
          <w:rFonts w:hint="default"/>
          <w:color w:val="auto"/>
          <w:lang w:val="en-US" w:eastAsia="zh-CN"/>
        </w:rPr>
      </w:pPr>
      <w:r>
        <w:rPr>
          <w:rFonts w:hint="eastAsia"/>
          <w:color w:val="auto"/>
          <w:lang w:val="en-US" w:eastAsia="zh-CN"/>
        </w:rPr>
        <w:t>表5.2-5 尾矿库主坝1-1剖面下游坝坡抗滑稳定安全系数计算结果表</w:t>
      </w:r>
    </w:p>
    <w:tbl>
      <w:tblPr>
        <w:tblStyle w:val="32"/>
        <w:tblW w:w="4998" w:type="pct"/>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3212"/>
        <w:gridCol w:w="3511"/>
        <w:gridCol w:w="2559"/>
      </w:tblGrid>
      <w:tr w14:paraId="033C818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51" w:hRule="atLeast"/>
        </w:trPr>
        <w:tc>
          <w:tcPr>
            <w:tcW w:w="1730" w:type="pct"/>
            <w:vAlign w:val="center"/>
          </w:tcPr>
          <w:p w14:paraId="6334E644">
            <w:pPr>
              <w:pStyle w:val="102"/>
              <w:spacing w:line="240" w:lineRule="auto"/>
              <w:ind w:firstLine="0" w:firstLineChars="0"/>
              <w:jc w:val="center"/>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运行工况</w:t>
            </w:r>
          </w:p>
        </w:tc>
        <w:tc>
          <w:tcPr>
            <w:tcW w:w="1891" w:type="pct"/>
            <w:tcBorders>
              <w:right w:val="single" w:color="auto" w:sz="4" w:space="0"/>
            </w:tcBorders>
            <w:vAlign w:val="center"/>
          </w:tcPr>
          <w:p w14:paraId="6168F616">
            <w:pPr>
              <w:pStyle w:val="102"/>
              <w:spacing w:line="240" w:lineRule="auto"/>
              <w:ind w:firstLine="0" w:firstLineChars="0"/>
              <w:jc w:val="center"/>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安全系数</w:t>
            </w:r>
          </w:p>
        </w:tc>
        <w:tc>
          <w:tcPr>
            <w:tcW w:w="1378" w:type="pct"/>
            <w:vAlign w:val="center"/>
          </w:tcPr>
          <w:p w14:paraId="2A67B020">
            <w:pPr>
              <w:pStyle w:val="102"/>
              <w:spacing w:line="240" w:lineRule="auto"/>
              <w:ind w:firstLine="0" w:firstLineChars="0"/>
              <w:jc w:val="center"/>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规范值</w:t>
            </w:r>
          </w:p>
        </w:tc>
      </w:tr>
      <w:tr w14:paraId="7921CA2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95" w:hRule="atLeast"/>
        </w:trPr>
        <w:tc>
          <w:tcPr>
            <w:tcW w:w="1730" w:type="pct"/>
            <w:vAlign w:val="center"/>
          </w:tcPr>
          <w:p w14:paraId="67568906">
            <w:pPr>
              <w:pStyle w:val="102"/>
              <w:spacing w:line="240" w:lineRule="auto"/>
              <w:ind w:firstLine="0" w:firstLineChars="0"/>
              <w:jc w:val="center"/>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正常运行</w:t>
            </w:r>
          </w:p>
        </w:tc>
        <w:tc>
          <w:tcPr>
            <w:tcW w:w="1891" w:type="pct"/>
            <w:vAlign w:val="center"/>
          </w:tcPr>
          <w:p w14:paraId="6BADCBF0">
            <w:pPr>
              <w:pStyle w:val="102"/>
              <w:spacing w:line="240" w:lineRule="auto"/>
              <w:ind w:firstLine="0" w:firstLineChars="0"/>
              <w:jc w:val="center"/>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1.333</w:t>
            </w:r>
          </w:p>
        </w:tc>
        <w:tc>
          <w:tcPr>
            <w:tcW w:w="1378" w:type="pct"/>
            <w:vAlign w:val="center"/>
          </w:tcPr>
          <w:p w14:paraId="53A35FE1">
            <w:pPr>
              <w:pStyle w:val="102"/>
              <w:spacing w:line="240" w:lineRule="auto"/>
              <w:ind w:firstLine="0" w:firstLineChars="0"/>
              <w:jc w:val="center"/>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1.30</w:t>
            </w:r>
          </w:p>
        </w:tc>
      </w:tr>
      <w:tr w14:paraId="58E3005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2" w:hRule="atLeast"/>
        </w:trPr>
        <w:tc>
          <w:tcPr>
            <w:tcW w:w="1730" w:type="pct"/>
            <w:vAlign w:val="center"/>
          </w:tcPr>
          <w:p w14:paraId="31A4F972">
            <w:pPr>
              <w:pStyle w:val="102"/>
              <w:spacing w:line="240" w:lineRule="auto"/>
              <w:ind w:firstLine="0" w:firstLineChars="0"/>
              <w:jc w:val="center"/>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洪水运行</w:t>
            </w:r>
          </w:p>
        </w:tc>
        <w:tc>
          <w:tcPr>
            <w:tcW w:w="1891" w:type="pct"/>
            <w:vAlign w:val="center"/>
          </w:tcPr>
          <w:p w14:paraId="26FCFDB9">
            <w:pPr>
              <w:pStyle w:val="102"/>
              <w:spacing w:line="240" w:lineRule="auto"/>
              <w:ind w:firstLine="0" w:firstLineChars="0"/>
              <w:jc w:val="center"/>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1.333</w:t>
            </w:r>
          </w:p>
        </w:tc>
        <w:tc>
          <w:tcPr>
            <w:tcW w:w="1378" w:type="pct"/>
            <w:vAlign w:val="center"/>
          </w:tcPr>
          <w:p w14:paraId="2FD0436E">
            <w:pPr>
              <w:pStyle w:val="102"/>
              <w:spacing w:line="240" w:lineRule="auto"/>
              <w:ind w:firstLine="0" w:firstLineChars="0"/>
              <w:jc w:val="center"/>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1.20</w:t>
            </w:r>
          </w:p>
        </w:tc>
      </w:tr>
      <w:tr w14:paraId="590E958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89" w:hRule="atLeast"/>
        </w:trPr>
        <w:tc>
          <w:tcPr>
            <w:tcW w:w="1730" w:type="pct"/>
            <w:vAlign w:val="center"/>
          </w:tcPr>
          <w:p w14:paraId="40BD64A5">
            <w:pPr>
              <w:pStyle w:val="102"/>
              <w:spacing w:line="240" w:lineRule="auto"/>
              <w:ind w:firstLine="0" w:firstLineChars="0"/>
              <w:jc w:val="center"/>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特殊运行</w:t>
            </w:r>
          </w:p>
        </w:tc>
        <w:tc>
          <w:tcPr>
            <w:tcW w:w="1891" w:type="pct"/>
            <w:vAlign w:val="center"/>
          </w:tcPr>
          <w:p w14:paraId="1A0213D6">
            <w:pPr>
              <w:pStyle w:val="102"/>
              <w:spacing w:line="240" w:lineRule="auto"/>
              <w:ind w:firstLine="0" w:firstLineChars="0"/>
              <w:jc w:val="center"/>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1.227</w:t>
            </w:r>
          </w:p>
        </w:tc>
        <w:tc>
          <w:tcPr>
            <w:tcW w:w="1378" w:type="pct"/>
            <w:vAlign w:val="center"/>
          </w:tcPr>
          <w:p w14:paraId="1832EEF6">
            <w:pPr>
              <w:pStyle w:val="102"/>
              <w:spacing w:line="240" w:lineRule="auto"/>
              <w:ind w:firstLine="0" w:firstLineChars="0"/>
              <w:jc w:val="center"/>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1.15</w:t>
            </w:r>
          </w:p>
        </w:tc>
      </w:tr>
    </w:tbl>
    <w:p w14:paraId="1A6FE238">
      <w:pPr>
        <w:bidi w:val="0"/>
        <w:rPr>
          <w:rFonts w:hint="default"/>
          <w:color w:val="auto"/>
          <w:lang w:val="en-US" w:eastAsia="zh-CN"/>
        </w:rPr>
      </w:pPr>
      <w:r>
        <w:rPr>
          <w:rFonts w:hint="eastAsia"/>
          <w:color w:val="auto"/>
          <w:lang w:val="en-US" w:eastAsia="zh-CN"/>
        </w:rPr>
        <w:t>表5.2-6 尾矿库主坝2-2剖面下游坝坡抗滑稳定安全系数计算结果表</w:t>
      </w:r>
    </w:p>
    <w:tbl>
      <w:tblPr>
        <w:tblStyle w:val="32"/>
        <w:tblW w:w="4998" w:type="pct"/>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3212"/>
        <w:gridCol w:w="3511"/>
        <w:gridCol w:w="2559"/>
      </w:tblGrid>
      <w:tr w14:paraId="09E832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51" w:hRule="atLeast"/>
        </w:trPr>
        <w:tc>
          <w:tcPr>
            <w:tcW w:w="1730" w:type="pct"/>
            <w:vAlign w:val="center"/>
          </w:tcPr>
          <w:p w14:paraId="284340BD">
            <w:pPr>
              <w:pStyle w:val="102"/>
              <w:spacing w:line="240" w:lineRule="auto"/>
              <w:ind w:firstLine="0" w:firstLineChars="0"/>
              <w:jc w:val="center"/>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运行工况</w:t>
            </w:r>
          </w:p>
        </w:tc>
        <w:tc>
          <w:tcPr>
            <w:tcW w:w="1891" w:type="pct"/>
            <w:tcBorders>
              <w:right w:val="single" w:color="auto" w:sz="4" w:space="0"/>
            </w:tcBorders>
            <w:vAlign w:val="center"/>
          </w:tcPr>
          <w:p w14:paraId="61A9EE8E">
            <w:pPr>
              <w:pStyle w:val="102"/>
              <w:spacing w:line="240" w:lineRule="auto"/>
              <w:ind w:firstLine="0" w:firstLineChars="0"/>
              <w:jc w:val="center"/>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安全系数</w:t>
            </w:r>
          </w:p>
        </w:tc>
        <w:tc>
          <w:tcPr>
            <w:tcW w:w="1378" w:type="pct"/>
            <w:vAlign w:val="center"/>
          </w:tcPr>
          <w:p w14:paraId="13C8F176">
            <w:pPr>
              <w:pStyle w:val="102"/>
              <w:spacing w:line="240" w:lineRule="auto"/>
              <w:ind w:firstLine="0" w:firstLineChars="0"/>
              <w:jc w:val="center"/>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规范值</w:t>
            </w:r>
          </w:p>
        </w:tc>
      </w:tr>
      <w:tr w14:paraId="542608D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06" w:hRule="atLeast"/>
        </w:trPr>
        <w:tc>
          <w:tcPr>
            <w:tcW w:w="1730" w:type="pct"/>
            <w:vAlign w:val="center"/>
          </w:tcPr>
          <w:p w14:paraId="05430F0D">
            <w:pPr>
              <w:pStyle w:val="102"/>
              <w:spacing w:line="240" w:lineRule="auto"/>
              <w:ind w:firstLine="0" w:firstLineChars="0"/>
              <w:jc w:val="center"/>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正常运行</w:t>
            </w:r>
          </w:p>
        </w:tc>
        <w:tc>
          <w:tcPr>
            <w:tcW w:w="1891" w:type="pct"/>
            <w:vAlign w:val="center"/>
          </w:tcPr>
          <w:p w14:paraId="656EA7E8">
            <w:pPr>
              <w:pStyle w:val="102"/>
              <w:spacing w:line="240" w:lineRule="auto"/>
              <w:ind w:firstLine="0" w:firstLineChars="0"/>
              <w:jc w:val="center"/>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1.340</w:t>
            </w:r>
          </w:p>
        </w:tc>
        <w:tc>
          <w:tcPr>
            <w:tcW w:w="1378" w:type="pct"/>
            <w:vAlign w:val="center"/>
          </w:tcPr>
          <w:p w14:paraId="73588673">
            <w:pPr>
              <w:pStyle w:val="102"/>
              <w:spacing w:line="240" w:lineRule="auto"/>
              <w:ind w:firstLine="0" w:firstLineChars="0"/>
              <w:jc w:val="center"/>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1.30</w:t>
            </w:r>
          </w:p>
        </w:tc>
      </w:tr>
      <w:tr w14:paraId="471FB6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0" w:hRule="atLeast"/>
        </w:trPr>
        <w:tc>
          <w:tcPr>
            <w:tcW w:w="1730" w:type="pct"/>
            <w:vAlign w:val="center"/>
          </w:tcPr>
          <w:p w14:paraId="075DB2A2">
            <w:pPr>
              <w:pStyle w:val="102"/>
              <w:spacing w:line="240" w:lineRule="auto"/>
              <w:ind w:firstLine="0" w:firstLineChars="0"/>
              <w:jc w:val="center"/>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洪水运行</w:t>
            </w:r>
          </w:p>
        </w:tc>
        <w:tc>
          <w:tcPr>
            <w:tcW w:w="1891" w:type="pct"/>
            <w:vAlign w:val="center"/>
          </w:tcPr>
          <w:p w14:paraId="38F7520D">
            <w:pPr>
              <w:pStyle w:val="102"/>
              <w:spacing w:line="240" w:lineRule="auto"/>
              <w:ind w:firstLine="0" w:firstLineChars="0"/>
              <w:jc w:val="center"/>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1.286</w:t>
            </w:r>
          </w:p>
        </w:tc>
        <w:tc>
          <w:tcPr>
            <w:tcW w:w="1378" w:type="pct"/>
            <w:vAlign w:val="center"/>
          </w:tcPr>
          <w:p w14:paraId="53960828">
            <w:pPr>
              <w:pStyle w:val="102"/>
              <w:spacing w:line="240" w:lineRule="auto"/>
              <w:ind w:firstLine="0" w:firstLineChars="0"/>
              <w:jc w:val="center"/>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1.20</w:t>
            </w:r>
          </w:p>
        </w:tc>
      </w:tr>
      <w:tr w14:paraId="2FC645F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1" w:hRule="atLeast"/>
        </w:trPr>
        <w:tc>
          <w:tcPr>
            <w:tcW w:w="1730" w:type="pct"/>
            <w:vAlign w:val="center"/>
          </w:tcPr>
          <w:p w14:paraId="0E3A9AA9">
            <w:pPr>
              <w:pStyle w:val="102"/>
              <w:spacing w:line="240" w:lineRule="auto"/>
              <w:ind w:firstLine="0" w:firstLineChars="0"/>
              <w:jc w:val="center"/>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特殊运行</w:t>
            </w:r>
          </w:p>
        </w:tc>
        <w:tc>
          <w:tcPr>
            <w:tcW w:w="1891" w:type="pct"/>
            <w:vAlign w:val="center"/>
          </w:tcPr>
          <w:p w14:paraId="6FE89BA7">
            <w:pPr>
              <w:pStyle w:val="102"/>
              <w:spacing w:line="240" w:lineRule="auto"/>
              <w:ind w:firstLine="0" w:firstLineChars="0"/>
              <w:jc w:val="center"/>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1.173</w:t>
            </w:r>
          </w:p>
        </w:tc>
        <w:tc>
          <w:tcPr>
            <w:tcW w:w="1378" w:type="pct"/>
            <w:vAlign w:val="center"/>
          </w:tcPr>
          <w:p w14:paraId="048F1A21">
            <w:pPr>
              <w:pStyle w:val="102"/>
              <w:spacing w:line="240" w:lineRule="auto"/>
              <w:ind w:firstLine="0" w:firstLineChars="0"/>
              <w:jc w:val="center"/>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1.15</w:t>
            </w:r>
          </w:p>
        </w:tc>
      </w:tr>
    </w:tbl>
    <w:p w14:paraId="43BB85F8">
      <w:pPr>
        <w:bidi w:val="0"/>
        <w:ind w:left="0" w:leftChars="0" w:firstLine="0" w:firstLineChars="0"/>
        <w:jc w:val="center"/>
        <w:rPr>
          <w:rFonts w:hint="eastAsia"/>
          <w:color w:val="auto"/>
          <w:lang w:val="en-US" w:eastAsia="zh-CN"/>
        </w:rPr>
      </w:pPr>
      <w:r>
        <w:rPr>
          <w:rFonts w:hint="eastAsia"/>
          <w:color w:val="auto"/>
          <w:lang w:val="en-US" w:eastAsia="zh-CN"/>
        </w:rPr>
        <w:t>表5.2-7 尾矿库副坝下游坝坡抗滑稳定安全系数计算结果表</w:t>
      </w:r>
    </w:p>
    <w:tbl>
      <w:tblPr>
        <w:tblStyle w:val="32"/>
        <w:tblW w:w="4998" w:type="pct"/>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3212"/>
        <w:gridCol w:w="3511"/>
        <w:gridCol w:w="2559"/>
      </w:tblGrid>
      <w:tr w14:paraId="1EE55C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51" w:hRule="atLeast"/>
        </w:trPr>
        <w:tc>
          <w:tcPr>
            <w:tcW w:w="1730" w:type="pct"/>
            <w:vAlign w:val="center"/>
          </w:tcPr>
          <w:p w14:paraId="7BD51853">
            <w:pPr>
              <w:pStyle w:val="102"/>
              <w:spacing w:line="240" w:lineRule="auto"/>
              <w:ind w:firstLine="0" w:firstLineChars="0"/>
              <w:jc w:val="center"/>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运行工况</w:t>
            </w:r>
          </w:p>
        </w:tc>
        <w:tc>
          <w:tcPr>
            <w:tcW w:w="1891" w:type="pct"/>
            <w:tcBorders>
              <w:right w:val="single" w:color="auto" w:sz="4" w:space="0"/>
            </w:tcBorders>
            <w:vAlign w:val="center"/>
          </w:tcPr>
          <w:p w14:paraId="5B0B781A">
            <w:pPr>
              <w:pStyle w:val="102"/>
              <w:spacing w:line="240" w:lineRule="auto"/>
              <w:ind w:firstLine="0" w:firstLineChars="0"/>
              <w:jc w:val="center"/>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安全系数</w:t>
            </w:r>
          </w:p>
        </w:tc>
        <w:tc>
          <w:tcPr>
            <w:tcW w:w="1378" w:type="pct"/>
            <w:vAlign w:val="center"/>
          </w:tcPr>
          <w:p w14:paraId="1DAEE40F">
            <w:pPr>
              <w:pStyle w:val="102"/>
              <w:spacing w:line="240" w:lineRule="auto"/>
              <w:ind w:firstLine="0" w:firstLineChars="0"/>
              <w:jc w:val="center"/>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规范值</w:t>
            </w:r>
          </w:p>
        </w:tc>
      </w:tr>
      <w:tr w14:paraId="3355DD2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1" w:hRule="atLeast"/>
        </w:trPr>
        <w:tc>
          <w:tcPr>
            <w:tcW w:w="1730" w:type="pct"/>
            <w:vAlign w:val="center"/>
          </w:tcPr>
          <w:p w14:paraId="0CFC22CC">
            <w:pPr>
              <w:pStyle w:val="102"/>
              <w:spacing w:line="240" w:lineRule="auto"/>
              <w:ind w:firstLine="0" w:firstLineChars="0"/>
              <w:jc w:val="center"/>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正常运行</w:t>
            </w:r>
          </w:p>
        </w:tc>
        <w:tc>
          <w:tcPr>
            <w:tcW w:w="1891" w:type="pct"/>
            <w:vAlign w:val="center"/>
          </w:tcPr>
          <w:p w14:paraId="6C4C59BC">
            <w:pPr>
              <w:pStyle w:val="102"/>
              <w:spacing w:line="240" w:lineRule="auto"/>
              <w:ind w:firstLine="0" w:firstLineChars="0"/>
              <w:jc w:val="center"/>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1.349</w:t>
            </w:r>
          </w:p>
        </w:tc>
        <w:tc>
          <w:tcPr>
            <w:tcW w:w="1378" w:type="pct"/>
            <w:vAlign w:val="center"/>
          </w:tcPr>
          <w:p w14:paraId="7E490059">
            <w:pPr>
              <w:pStyle w:val="102"/>
              <w:spacing w:line="240" w:lineRule="auto"/>
              <w:ind w:firstLine="0" w:firstLineChars="0"/>
              <w:jc w:val="center"/>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1.30</w:t>
            </w:r>
          </w:p>
        </w:tc>
      </w:tr>
      <w:tr w14:paraId="6DE32BD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1" w:hRule="atLeast"/>
        </w:trPr>
        <w:tc>
          <w:tcPr>
            <w:tcW w:w="1730" w:type="pct"/>
            <w:vAlign w:val="center"/>
          </w:tcPr>
          <w:p w14:paraId="7656FD10">
            <w:pPr>
              <w:pStyle w:val="102"/>
              <w:spacing w:line="240" w:lineRule="auto"/>
              <w:ind w:firstLine="0" w:firstLineChars="0"/>
              <w:jc w:val="center"/>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洪水运行</w:t>
            </w:r>
          </w:p>
        </w:tc>
        <w:tc>
          <w:tcPr>
            <w:tcW w:w="1891" w:type="pct"/>
            <w:vAlign w:val="center"/>
          </w:tcPr>
          <w:p w14:paraId="4EDE810C">
            <w:pPr>
              <w:pStyle w:val="102"/>
              <w:spacing w:line="240" w:lineRule="auto"/>
              <w:ind w:firstLine="0" w:firstLineChars="0"/>
              <w:jc w:val="center"/>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1.281</w:t>
            </w:r>
          </w:p>
        </w:tc>
        <w:tc>
          <w:tcPr>
            <w:tcW w:w="1378" w:type="pct"/>
            <w:vAlign w:val="center"/>
          </w:tcPr>
          <w:p w14:paraId="703BBAE3">
            <w:pPr>
              <w:pStyle w:val="102"/>
              <w:spacing w:line="240" w:lineRule="auto"/>
              <w:ind w:firstLine="0" w:firstLineChars="0"/>
              <w:jc w:val="center"/>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1.20</w:t>
            </w:r>
          </w:p>
        </w:tc>
      </w:tr>
      <w:tr w14:paraId="68468ED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1" w:hRule="atLeast"/>
        </w:trPr>
        <w:tc>
          <w:tcPr>
            <w:tcW w:w="1730" w:type="pct"/>
            <w:vAlign w:val="center"/>
          </w:tcPr>
          <w:p w14:paraId="28A22775">
            <w:pPr>
              <w:pStyle w:val="102"/>
              <w:spacing w:line="240" w:lineRule="auto"/>
              <w:ind w:firstLine="0" w:firstLineChars="0"/>
              <w:jc w:val="center"/>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特殊运行</w:t>
            </w:r>
          </w:p>
        </w:tc>
        <w:tc>
          <w:tcPr>
            <w:tcW w:w="1891" w:type="pct"/>
            <w:vAlign w:val="center"/>
          </w:tcPr>
          <w:p w14:paraId="01BC9C59">
            <w:pPr>
              <w:pStyle w:val="102"/>
              <w:spacing w:line="240" w:lineRule="auto"/>
              <w:ind w:firstLine="0" w:firstLineChars="0"/>
              <w:jc w:val="center"/>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1.176</w:t>
            </w:r>
          </w:p>
        </w:tc>
        <w:tc>
          <w:tcPr>
            <w:tcW w:w="1378" w:type="pct"/>
            <w:vAlign w:val="center"/>
          </w:tcPr>
          <w:p w14:paraId="5B7039EE">
            <w:pPr>
              <w:pStyle w:val="102"/>
              <w:spacing w:line="240" w:lineRule="auto"/>
              <w:ind w:firstLine="0" w:firstLineChars="0"/>
              <w:jc w:val="center"/>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1.15</w:t>
            </w:r>
          </w:p>
        </w:tc>
      </w:tr>
    </w:tbl>
    <w:p w14:paraId="4F840673">
      <w:pPr>
        <w:bidi w:val="0"/>
        <w:ind w:left="0" w:leftChars="0" w:firstLine="0" w:firstLineChars="0"/>
        <w:jc w:val="center"/>
        <w:rPr>
          <w:bCs/>
          <w:color w:val="auto"/>
        </w:rPr>
      </w:pPr>
      <w:r>
        <w:rPr>
          <w:color w:val="auto"/>
        </w:rPr>
        <w:drawing>
          <wp:inline distT="0" distB="0" distL="114300" distR="114300">
            <wp:extent cx="5400040" cy="1716405"/>
            <wp:effectExtent l="0" t="0" r="10160" b="17145"/>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19"/>
                    <a:stretch>
                      <a:fillRect/>
                    </a:stretch>
                  </pic:blipFill>
                  <pic:spPr>
                    <a:xfrm>
                      <a:off x="0" y="0"/>
                      <a:ext cx="5400040" cy="1716405"/>
                    </a:xfrm>
                    <a:prstGeom prst="rect">
                      <a:avLst/>
                    </a:prstGeom>
                    <a:noFill/>
                    <a:ln>
                      <a:noFill/>
                    </a:ln>
                  </pic:spPr>
                </pic:pic>
              </a:graphicData>
            </a:graphic>
          </wp:inline>
        </w:drawing>
      </w:r>
    </w:p>
    <w:p w14:paraId="02F3E77F">
      <w:pPr>
        <w:bidi w:val="0"/>
        <w:ind w:left="0" w:leftChars="0" w:firstLine="0" w:firstLineChars="0"/>
        <w:jc w:val="center"/>
        <w:rPr>
          <w:rFonts w:hint="eastAsia" w:ascii="Times New Roman" w:hAnsi="Times New Roman" w:eastAsia="宋体" w:cs="Times New Roman"/>
          <w:color w:val="auto"/>
          <w:lang w:val="en-US" w:eastAsia="zh-CN"/>
        </w:rPr>
      </w:pPr>
      <w:r>
        <w:rPr>
          <w:rFonts w:hint="eastAsia"/>
          <w:color w:val="auto"/>
          <w:lang w:val="en-US" w:eastAsia="zh-CN"/>
        </w:rPr>
        <w:t>图</w:t>
      </w:r>
      <w:r>
        <w:rPr>
          <w:rFonts w:hint="eastAsia" w:ascii="Times New Roman" w:hAnsi="Times New Roman" w:eastAsia="宋体" w:cs="Times New Roman"/>
          <w:color w:val="auto"/>
          <w:lang w:val="en-US" w:eastAsia="zh-CN"/>
        </w:rPr>
        <w:t>5.2</w:t>
      </w:r>
      <w:r>
        <w:rPr>
          <w:rFonts w:hint="default" w:ascii="Times New Roman" w:hAnsi="Times New Roman" w:eastAsia="宋体" w:cs="Times New Roman"/>
          <w:color w:val="auto"/>
          <w:lang w:val="en-US" w:eastAsia="zh-CN"/>
        </w:rPr>
        <w:t>-</w:t>
      </w:r>
      <w:r>
        <w:rPr>
          <w:rFonts w:hint="eastAsia" w:cs="Times New Roman"/>
          <w:color w:val="auto"/>
          <w:lang w:val="en-US" w:eastAsia="zh-CN"/>
        </w:rPr>
        <w:t>4</w:t>
      </w:r>
      <w:r>
        <w:rPr>
          <w:rFonts w:hint="eastAsia" w:ascii="Times New Roman" w:hAnsi="Times New Roman" w:eastAsia="宋体" w:cs="Times New Roman"/>
          <w:color w:val="auto"/>
          <w:lang w:val="en-US" w:eastAsia="zh-CN"/>
        </w:rPr>
        <w:t xml:space="preserve"> 现状尾矿库主坝1-1剖面正常运行稳定计算</w:t>
      </w:r>
    </w:p>
    <w:p w14:paraId="251834A7">
      <w:pPr>
        <w:bidi w:val="0"/>
        <w:ind w:left="0" w:leftChars="0" w:firstLine="0" w:firstLineChars="0"/>
        <w:jc w:val="center"/>
        <w:rPr>
          <w:rFonts w:ascii="Times New Roman" w:hAnsi="Times New Roman" w:eastAsia="宋体" w:cs="Times New Roman"/>
          <w:color w:val="auto"/>
        </w:rPr>
      </w:pPr>
      <w:r>
        <w:rPr>
          <w:color w:val="auto"/>
        </w:rPr>
        <w:drawing>
          <wp:inline distT="0" distB="0" distL="114300" distR="114300">
            <wp:extent cx="5400040" cy="1724025"/>
            <wp:effectExtent l="0" t="0" r="10160" b="9525"/>
            <wp:docPr id="2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
                    <pic:cNvPicPr>
                      <a:picLocks noChangeAspect="1"/>
                    </pic:cNvPicPr>
                  </pic:nvPicPr>
                  <pic:blipFill>
                    <a:blip r:embed="rId20"/>
                    <a:stretch>
                      <a:fillRect/>
                    </a:stretch>
                  </pic:blipFill>
                  <pic:spPr>
                    <a:xfrm>
                      <a:off x="0" y="0"/>
                      <a:ext cx="5400040" cy="1724025"/>
                    </a:xfrm>
                    <a:prstGeom prst="rect">
                      <a:avLst/>
                    </a:prstGeom>
                    <a:noFill/>
                    <a:ln>
                      <a:noFill/>
                    </a:ln>
                  </pic:spPr>
                </pic:pic>
              </a:graphicData>
            </a:graphic>
          </wp:inline>
        </w:drawing>
      </w:r>
    </w:p>
    <w:p w14:paraId="36B42EE7">
      <w:pPr>
        <w:bidi w:val="0"/>
        <w:ind w:left="0" w:leftChars="0" w:firstLine="0" w:firstLineChars="0"/>
        <w:jc w:val="center"/>
        <w:rPr>
          <w:rFonts w:hint="eastAsia" w:ascii="Times New Roman" w:hAnsi="Times New Roman" w:eastAsia="宋体" w:cs="Times New Roman"/>
          <w:color w:val="auto"/>
          <w:lang w:val="en-US" w:eastAsia="zh-CN"/>
        </w:rPr>
      </w:pPr>
      <w:r>
        <w:rPr>
          <w:rFonts w:hint="eastAsia"/>
          <w:color w:val="auto"/>
          <w:lang w:val="en-US" w:eastAsia="zh-CN"/>
        </w:rPr>
        <w:t>图</w:t>
      </w:r>
      <w:r>
        <w:rPr>
          <w:rFonts w:hint="eastAsia" w:ascii="Times New Roman" w:hAnsi="Times New Roman" w:eastAsia="宋体" w:cs="Times New Roman"/>
          <w:color w:val="auto"/>
          <w:lang w:val="en-US" w:eastAsia="zh-CN"/>
        </w:rPr>
        <w:t>5.2</w:t>
      </w:r>
      <w:r>
        <w:rPr>
          <w:rFonts w:hint="default" w:ascii="Times New Roman" w:hAnsi="Times New Roman" w:eastAsia="宋体" w:cs="Times New Roman"/>
          <w:color w:val="auto"/>
          <w:lang w:val="en-US" w:eastAsia="zh-CN"/>
        </w:rPr>
        <w:t>-</w:t>
      </w:r>
      <w:r>
        <w:rPr>
          <w:rFonts w:hint="eastAsia" w:cs="Times New Roman"/>
          <w:color w:val="auto"/>
          <w:lang w:val="en-US" w:eastAsia="zh-CN"/>
        </w:rPr>
        <w:t>5</w:t>
      </w:r>
      <w:r>
        <w:rPr>
          <w:rFonts w:hint="eastAsia" w:ascii="Times New Roman" w:hAnsi="Times New Roman" w:eastAsia="宋体" w:cs="Times New Roman"/>
          <w:color w:val="auto"/>
          <w:lang w:val="en-US" w:eastAsia="zh-CN"/>
        </w:rPr>
        <w:t xml:space="preserve"> 现状尾矿库主坝1-1剖面洪水运行稳定计算</w:t>
      </w:r>
    </w:p>
    <w:p w14:paraId="64784771">
      <w:pPr>
        <w:bidi w:val="0"/>
        <w:ind w:left="0" w:leftChars="0" w:firstLine="0" w:firstLineChars="0"/>
        <w:jc w:val="center"/>
        <w:rPr>
          <w:rFonts w:hint="eastAsia" w:ascii="Times New Roman" w:hAnsi="Times New Roman" w:eastAsia="宋体" w:cs="Times New Roman"/>
          <w:color w:val="auto"/>
          <w:lang w:val="en-US" w:eastAsia="zh-CN"/>
        </w:rPr>
      </w:pPr>
      <w:r>
        <w:rPr>
          <w:color w:val="auto"/>
        </w:rPr>
        <w:drawing>
          <wp:inline distT="0" distB="0" distL="114300" distR="114300">
            <wp:extent cx="5400040" cy="1736725"/>
            <wp:effectExtent l="0" t="0" r="10160" b="15875"/>
            <wp:docPr id="2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
                    <pic:cNvPicPr>
                      <a:picLocks noChangeAspect="1"/>
                    </pic:cNvPicPr>
                  </pic:nvPicPr>
                  <pic:blipFill>
                    <a:blip r:embed="rId21"/>
                    <a:stretch>
                      <a:fillRect/>
                    </a:stretch>
                  </pic:blipFill>
                  <pic:spPr>
                    <a:xfrm>
                      <a:off x="0" y="0"/>
                      <a:ext cx="5400040" cy="1736725"/>
                    </a:xfrm>
                    <a:prstGeom prst="rect">
                      <a:avLst/>
                    </a:prstGeom>
                    <a:noFill/>
                    <a:ln>
                      <a:noFill/>
                    </a:ln>
                  </pic:spPr>
                </pic:pic>
              </a:graphicData>
            </a:graphic>
          </wp:inline>
        </w:drawing>
      </w:r>
    </w:p>
    <w:p w14:paraId="067003DD">
      <w:pPr>
        <w:bidi w:val="0"/>
        <w:ind w:left="0" w:leftChars="0" w:firstLine="0" w:firstLineChars="0"/>
        <w:jc w:val="center"/>
        <w:rPr>
          <w:rFonts w:hint="eastAsia" w:ascii="Times New Roman" w:hAnsi="Times New Roman" w:eastAsia="宋体" w:cs="Times New Roman"/>
          <w:color w:val="auto"/>
          <w:lang w:val="en-US" w:eastAsia="zh-CN"/>
        </w:rPr>
      </w:pPr>
      <w:r>
        <w:rPr>
          <w:rFonts w:hint="eastAsia"/>
          <w:color w:val="auto"/>
          <w:lang w:val="en-US" w:eastAsia="zh-CN"/>
        </w:rPr>
        <w:t>图</w:t>
      </w:r>
      <w:r>
        <w:rPr>
          <w:rFonts w:hint="eastAsia" w:ascii="Times New Roman" w:hAnsi="Times New Roman" w:eastAsia="宋体" w:cs="Times New Roman"/>
          <w:color w:val="auto"/>
          <w:lang w:val="en-US" w:eastAsia="zh-CN"/>
        </w:rPr>
        <w:t>5.2</w:t>
      </w:r>
      <w:r>
        <w:rPr>
          <w:rFonts w:hint="default" w:ascii="Times New Roman" w:hAnsi="Times New Roman" w:eastAsia="宋体" w:cs="Times New Roman"/>
          <w:color w:val="auto"/>
          <w:lang w:val="en-US" w:eastAsia="zh-CN"/>
        </w:rPr>
        <w:t>-</w:t>
      </w:r>
      <w:r>
        <w:rPr>
          <w:rFonts w:hint="eastAsia" w:cs="Times New Roman"/>
          <w:color w:val="auto"/>
          <w:lang w:val="en-US" w:eastAsia="zh-CN"/>
        </w:rPr>
        <w:t>6</w:t>
      </w:r>
      <w:r>
        <w:rPr>
          <w:rFonts w:hint="eastAsia" w:ascii="Times New Roman" w:hAnsi="Times New Roman" w:eastAsia="宋体" w:cs="Times New Roman"/>
          <w:color w:val="auto"/>
          <w:lang w:val="en-US" w:eastAsia="zh-CN"/>
        </w:rPr>
        <w:t xml:space="preserve"> 现状尾矿库主坝1-1剖面特殊运行稳定计算</w:t>
      </w:r>
    </w:p>
    <w:p w14:paraId="63E641C5">
      <w:pPr>
        <w:bidi w:val="0"/>
        <w:ind w:left="0" w:leftChars="0" w:firstLine="0" w:firstLineChars="0"/>
        <w:jc w:val="center"/>
        <w:rPr>
          <w:rFonts w:ascii="Times New Roman" w:hAnsi="Times New Roman" w:eastAsia="宋体" w:cs="Times New Roman"/>
          <w:color w:val="auto"/>
        </w:rPr>
      </w:pPr>
      <w:r>
        <w:rPr>
          <w:color w:val="auto"/>
        </w:rPr>
        <w:drawing>
          <wp:inline distT="0" distB="0" distL="114300" distR="114300">
            <wp:extent cx="5400040" cy="1760220"/>
            <wp:effectExtent l="0" t="0" r="10160" b="11430"/>
            <wp:docPr id="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4"/>
                    <pic:cNvPicPr>
                      <a:picLocks noChangeAspect="1"/>
                    </pic:cNvPicPr>
                  </pic:nvPicPr>
                  <pic:blipFill>
                    <a:blip r:embed="rId22"/>
                    <a:stretch>
                      <a:fillRect/>
                    </a:stretch>
                  </pic:blipFill>
                  <pic:spPr>
                    <a:xfrm>
                      <a:off x="0" y="0"/>
                      <a:ext cx="5400040" cy="1760220"/>
                    </a:xfrm>
                    <a:prstGeom prst="rect">
                      <a:avLst/>
                    </a:prstGeom>
                    <a:noFill/>
                    <a:ln>
                      <a:noFill/>
                    </a:ln>
                  </pic:spPr>
                </pic:pic>
              </a:graphicData>
            </a:graphic>
          </wp:inline>
        </w:drawing>
      </w:r>
    </w:p>
    <w:p w14:paraId="643B0E04">
      <w:pPr>
        <w:bidi w:val="0"/>
        <w:ind w:left="0" w:leftChars="0" w:firstLine="0" w:firstLine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图5.2-</w:t>
      </w:r>
      <w:r>
        <w:rPr>
          <w:rFonts w:hint="eastAsia" w:cs="Times New Roman"/>
          <w:color w:val="auto"/>
          <w:lang w:val="en-US" w:eastAsia="zh-CN"/>
        </w:rPr>
        <w:t>7</w:t>
      </w:r>
      <w:r>
        <w:rPr>
          <w:rFonts w:hint="eastAsia" w:ascii="Times New Roman" w:hAnsi="Times New Roman" w:eastAsia="宋体" w:cs="Times New Roman"/>
          <w:color w:val="auto"/>
          <w:lang w:val="en-US" w:eastAsia="zh-CN"/>
        </w:rPr>
        <w:t xml:space="preserve"> 现状尾矿库主坝2-2剖面正常运行稳定计算</w:t>
      </w:r>
    </w:p>
    <w:p w14:paraId="051E6BC0">
      <w:pPr>
        <w:bidi w:val="0"/>
        <w:ind w:left="0" w:leftChars="0" w:firstLine="0" w:firstLineChars="0"/>
        <w:jc w:val="center"/>
        <w:rPr>
          <w:rFonts w:hint="eastAsia" w:ascii="Times New Roman" w:hAnsi="Times New Roman" w:eastAsia="宋体" w:cs="Times New Roman"/>
          <w:color w:val="auto"/>
          <w:lang w:val="en-US" w:eastAsia="zh-CN"/>
        </w:rPr>
      </w:pPr>
      <w:r>
        <w:rPr>
          <w:color w:val="auto"/>
        </w:rPr>
        <w:drawing>
          <wp:inline distT="0" distB="0" distL="114300" distR="114300">
            <wp:extent cx="5400040" cy="1762125"/>
            <wp:effectExtent l="0" t="0" r="10160" b="9525"/>
            <wp:docPr id="3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5"/>
                    <pic:cNvPicPr>
                      <a:picLocks noChangeAspect="1"/>
                    </pic:cNvPicPr>
                  </pic:nvPicPr>
                  <pic:blipFill>
                    <a:blip r:embed="rId23"/>
                    <a:stretch>
                      <a:fillRect/>
                    </a:stretch>
                  </pic:blipFill>
                  <pic:spPr>
                    <a:xfrm>
                      <a:off x="0" y="0"/>
                      <a:ext cx="5400040" cy="1762125"/>
                    </a:xfrm>
                    <a:prstGeom prst="rect">
                      <a:avLst/>
                    </a:prstGeom>
                    <a:noFill/>
                    <a:ln>
                      <a:noFill/>
                    </a:ln>
                  </pic:spPr>
                </pic:pic>
              </a:graphicData>
            </a:graphic>
          </wp:inline>
        </w:drawing>
      </w:r>
    </w:p>
    <w:p w14:paraId="0B318428">
      <w:pPr>
        <w:bidi w:val="0"/>
        <w:ind w:left="0" w:leftChars="0" w:firstLine="0" w:firstLineChars="0"/>
        <w:jc w:val="center"/>
        <w:rPr>
          <w:rFonts w:hint="eastAsia" w:ascii="Times New Roman" w:hAnsi="Times New Roman" w:eastAsia="宋体" w:cs="Times New Roman"/>
          <w:color w:val="auto"/>
          <w:lang w:val="en-US" w:eastAsia="zh-CN"/>
        </w:rPr>
      </w:pPr>
      <w:r>
        <w:rPr>
          <w:rFonts w:hint="eastAsia"/>
          <w:color w:val="auto"/>
          <w:lang w:val="en-US" w:eastAsia="zh-CN"/>
        </w:rPr>
        <w:t>图</w:t>
      </w:r>
      <w:r>
        <w:rPr>
          <w:rFonts w:hint="eastAsia" w:ascii="Times New Roman" w:hAnsi="Times New Roman" w:eastAsia="宋体" w:cs="Times New Roman"/>
          <w:color w:val="auto"/>
          <w:lang w:val="en-US" w:eastAsia="zh-CN"/>
        </w:rPr>
        <w:t>5.2</w:t>
      </w:r>
      <w:r>
        <w:rPr>
          <w:rFonts w:hint="default" w:ascii="Times New Roman" w:hAnsi="Times New Roman" w:eastAsia="宋体" w:cs="Times New Roman"/>
          <w:color w:val="auto"/>
          <w:lang w:val="en-US" w:eastAsia="zh-CN"/>
        </w:rPr>
        <w:t>-</w:t>
      </w:r>
      <w:r>
        <w:rPr>
          <w:rFonts w:hint="eastAsia" w:cs="Times New Roman"/>
          <w:color w:val="auto"/>
          <w:lang w:val="en-US" w:eastAsia="zh-CN"/>
        </w:rPr>
        <w:t>8</w:t>
      </w:r>
      <w:r>
        <w:rPr>
          <w:rFonts w:hint="eastAsia" w:ascii="Times New Roman" w:hAnsi="Times New Roman" w:eastAsia="宋体" w:cs="Times New Roman"/>
          <w:color w:val="auto"/>
          <w:lang w:val="en-US" w:eastAsia="zh-CN"/>
        </w:rPr>
        <w:t xml:space="preserve"> 现状尾矿库主坝2-2剖面洪水运行稳定计算</w:t>
      </w:r>
    </w:p>
    <w:p w14:paraId="4AACF089">
      <w:pPr>
        <w:bidi w:val="0"/>
        <w:ind w:left="0" w:leftChars="0" w:firstLine="0" w:firstLineChars="0"/>
        <w:jc w:val="center"/>
        <w:rPr>
          <w:rFonts w:hint="eastAsia" w:ascii="Times New Roman" w:hAnsi="Times New Roman" w:eastAsia="宋体" w:cs="Times New Roman"/>
          <w:color w:val="auto"/>
          <w:lang w:val="en-US" w:eastAsia="zh-CN"/>
        </w:rPr>
      </w:pPr>
      <w:r>
        <w:rPr>
          <w:color w:val="auto"/>
        </w:rPr>
        <w:drawing>
          <wp:inline distT="0" distB="0" distL="114300" distR="114300">
            <wp:extent cx="5400040" cy="1780540"/>
            <wp:effectExtent l="0" t="0" r="10160" b="10160"/>
            <wp:docPr id="4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6"/>
                    <pic:cNvPicPr>
                      <a:picLocks noChangeAspect="1"/>
                    </pic:cNvPicPr>
                  </pic:nvPicPr>
                  <pic:blipFill>
                    <a:blip r:embed="rId24"/>
                    <a:stretch>
                      <a:fillRect/>
                    </a:stretch>
                  </pic:blipFill>
                  <pic:spPr>
                    <a:xfrm>
                      <a:off x="0" y="0"/>
                      <a:ext cx="5400040" cy="1780540"/>
                    </a:xfrm>
                    <a:prstGeom prst="rect">
                      <a:avLst/>
                    </a:prstGeom>
                    <a:noFill/>
                    <a:ln>
                      <a:noFill/>
                    </a:ln>
                  </pic:spPr>
                </pic:pic>
              </a:graphicData>
            </a:graphic>
          </wp:inline>
        </w:drawing>
      </w:r>
    </w:p>
    <w:p w14:paraId="005BE211">
      <w:pPr>
        <w:bidi w:val="0"/>
        <w:ind w:left="0" w:leftChars="0" w:firstLine="0" w:firstLineChars="0"/>
        <w:jc w:val="center"/>
        <w:rPr>
          <w:rFonts w:hint="eastAsia" w:ascii="Times New Roman" w:hAnsi="Times New Roman" w:eastAsia="宋体" w:cs="Times New Roman"/>
          <w:color w:val="auto"/>
          <w:lang w:val="en-US" w:eastAsia="zh-CN"/>
        </w:rPr>
      </w:pPr>
      <w:r>
        <w:rPr>
          <w:rFonts w:hint="eastAsia"/>
          <w:color w:val="auto"/>
          <w:lang w:val="en-US" w:eastAsia="zh-CN"/>
        </w:rPr>
        <w:t>图</w:t>
      </w:r>
      <w:r>
        <w:rPr>
          <w:rFonts w:hint="eastAsia" w:ascii="Times New Roman" w:hAnsi="Times New Roman" w:eastAsia="宋体" w:cs="Times New Roman"/>
          <w:color w:val="auto"/>
          <w:lang w:val="en-US" w:eastAsia="zh-CN"/>
        </w:rPr>
        <w:t>5.2</w:t>
      </w:r>
      <w:r>
        <w:rPr>
          <w:rFonts w:hint="default" w:ascii="Times New Roman" w:hAnsi="Times New Roman" w:eastAsia="宋体" w:cs="Times New Roman"/>
          <w:color w:val="auto"/>
          <w:lang w:val="en-US" w:eastAsia="zh-CN"/>
        </w:rPr>
        <w:t>-</w:t>
      </w:r>
      <w:r>
        <w:rPr>
          <w:rFonts w:hint="eastAsia" w:cs="Times New Roman"/>
          <w:color w:val="auto"/>
          <w:lang w:val="en-US" w:eastAsia="zh-CN"/>
        </w:rPr>
        <w:t>9</w:t>
      </w:r>
      <w:r>
        <w:rPr>
          <w:rFonts w:hint="eastAsia" w:ascii="Times New Roman" w:hAnsi="Times New Roman" w:eastAsia="宋体" w:cs="Times New Roman"/>
          <w:color w:val="auto"/>
          <w:lang w:val="en-US" w:eastAsia="zh-CN"/>
        </w:rPr>
        <w:t xml:space="preserve"> 现状尾矿库主坝2-2剖面特殊运行稳定计算</w:t>
      </w:r>
    </w:p>
    <w:p w14:paraId="102D7455">
      <w:pPr>
        <w:bidi w:val="0"/>
        <w:ind w:left="0" w:leftChars="0" w:firstLine="0" w:firstLineChars="0"/>
        <w:jc w:val="center"/>
        <w:rPr>
          <w:rFonts w:hint="eastAsia" w:ascii="Times New Roman" w:hAnsi="Times New Roman" w:eastAsia="宋体" w:cs="Times New Roman"/>
          <w:color w:val="auto"/>
          <w:lang w:val="en-US" w:eastAsia="zh-CN"/>
        </w:rPr>
      </w:pPr>
      <w:r>
        <w:rPr>
          <w:color w:val="auto"/>
        </w:rPr>
        <w:drawing>
          <wp:inline distT="0" distB="0" distL="114300" distR="114300">
            <wp:extent cx="5400040" cy="2308860"/>
            <wp:effectExtent l="0" t="0" r="10160" b="15240"/>
            <wp:docPr id="4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7"/>
                    <pic:cNvPicPr>
                      <a:picLocks noChangeAspect="1"/>
                    </pic:cNvPicPr>
                  </pic:nvPicPr>
                  <pic:blipFill>
                    <a:blip r:embed="rId25"/>
                    <a:stretch>
                      <a:fillRect/>
                    </a:stretch>
                  </pic:blipFill>
                  <pic:spPr>
                    <a:xfrm>
                      <a:off x="0" y="0"/>
                      <a:ext cx="5400040" cy="2308860"/>
                    </a:xfrm>
                    <a:prstGeom prst="rect">
                      <a:avLst/>
                    </a:prstGeom>
                    <a:noFill/>
                    <a:ln>
                      <a:noFill/>
                    </a:ln>
                  </pic:spPr>
                </pic:pic>
              </a:graphicData>
            </a:graphic>
          </wp:inline>
        </w:drawing>
      </w:r>
    </w:p>
    <w:p w14:paraId="57EE509D">
      <w:pPr>
        <w:bidi w:val="0"/>
        <w:ind w:left="0" w:leftChars="0" w:firstLine="0" w:firstLineChars="0"/>
        <w:jc w:val="center"/>
        <w:rPr>
          <w:rFonts w:hint="eastAsia" w:ascii="Times New Roman" w:hAnsi="Times New Roman" w:eastAsia="宋体" w:cs="Times New Roman"/>
          <w:color w:val="auto"/>
          <w:lang w:val="en-US" w:eastAsia="zh-CN"/>
        </w:rPr>
      </w:pPr>
      <w:r>
        <w:rPr>
          <w:rFonts w:hint="eastAsia"/>
          <w:color w:val="auto"/>
          <w:lang w:val="en-US" w:eastAsia="zh-CN"/>
        </w:rPr>
        <w:t>图</w:t>
      </w:r>
      <w:r>
        <w:rPr>
          <w:rFonts w:hint="eastAsia" w:ascii="Times New Roman" w:hAnsi="Times New Roman" w:eastAsia="宋体" w:cs="Times New Roman"/>
          <w:color w:val="auto"/>
          <w:lang w:val="en-US" w:eastAsia="zh-CN"/>
        </w:rPr>
        <w:t>5.2</w:t>
      </w:r>
      <w:r>
        <w:rPr>
          <w:rFonts w:hint="default" w:ascii="Times New Roman" w:hAnsi="Times New Roman" w:eastAsia="宋体" w:cs="Times New Roman"/>
          <w:color w:val="auto"/>
          <w:lang w:val="en-US" w:eastAsia="zh-CN"/>
        </w:rPr>
        <w:t>-</w:t>
      </w:r>
      <w:r>
        <w:rPr>
          <w:rFonts w:hint="eastAsia" w:cs="Times New Roman"/>
          <w:color w:val="auto"/>
          <w:lang w:val="en-US" w:eastAsia="zh-CN"/>
        </w:rPr>
        <w:t>10</w:t>
      </w:r>
      <w:r>
        <w:rPr>
          <w:rFonts w:hint="eastAsia" w:ascii="Times New Roman" w:hAnsi="Times New Roman" w:eastAsia="宋体" w:cs="Times New Roman"/>
          <w:color w:val="auto"/>
          <w:lang w:val="en-US" w:eastAsia="zh-CN"/>
        </w:rPr>
        <w:t xml:space="preserve"> 现状副坝正常运行稳定计算</w:t>
      </w:r>
    </w:p>
    <w:p w14:paraId="3CAE54F4">
      <w:pPr>
        <w:bidi w:val="0"/>
        <w:ind w:left="0" w:leftChars="0" w:firstLine="0" w:firstLineChars="0"/>
        <w:jc w:val="center"/>
        <w:rPr>
          <w:rFonts w:hint="eastAsia" w:ascii="Times New Roman" w:hAnsi="Times New Roman" w:eastAsia="宋体" w:cs="Times New Roman"/>
          <w:color w:val="auto"/>
          <w:lang w:val="en-US" w:eastAsia="zh-CN"/>
        </w:rPr>
      </w:pPr>
      <w:r>
        <w:rPr>
          <w:color w:val="auto"/>
        </w:rPr>
        <w:drawing>
          <wp:inline distT="0" distB="0" distL="114300" distR="114300">
            <wp:extent cx="5400040" cy="2330450"/>
            <wp:effectExtent l="0" t="0" r="10160" b="12700"/>
            <wp:docPr id="4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8"/>
                    <pic:cNvPicPr>
                      <a:picLocks noChangeAspect="1"/>
                    </pic:cNvPicPr>
                  </pic:nvPicPr>
                  <pic:blipFill>
                    <a:blip r:embed="rId26"/>
                    <a:stretch>
                      <a:fillRect/>
                    </a:stretch>
                  </pic:blipFill>
                  <pic:spPr>
                    <a:xfrm>
                      <a:off x="0" y="0"/>
                      <a:ext cx="5400040" cy="2330450"/>
                    </a:xfrm>
                    <a:prstGeom prst="rect">
                      <a:avLst/>
                    </a:prstGeom>
                    <a:noFill/>
                    <a:ln>
                      <a:noFill/>
                    </a:ln>
                  </pic:spPr>
                </pic:pic>
              </a:graphicData>
            </a:graphic>
          </wp:inline>
        </w:drawing>
      </w:r>
    </w:p>
    <w:p w14:paraId="3D6D0F18">
      <w:pPr>
        <w:bidi w:val="0"/>
        <w:ind w:left="0" w:leftChars="0" w:firstLine="0" w:firstLineChars="0"/>
        <w:jc w:val="center"/>
        <w:rPr>
          <w:rFonts w:hint="eastAsia" w:ascii="Times New Roman" w:hAnsi="Times New Roman" w:eastAsia="宋体" w:cs="Times New Roman"/>
          <w:color w:val="auto"/>
          <w:lang w:val="en-US" w:eastAsia="zh-CN"/>
        </w:rPr>
      </w:pPr>
      <w:r>
        <w:rPr>
          <w:rFonts w:hint="eastAsia"/>
          <w:color w:val="auto"/>
          <w:lang w:val="en-US" w:eastAsia="zh-CN"/>
        </w:rPr>
        <w:t>图</w:t>
      </w:r>
      <w:r>
        <w:rPr>
          <w:rFonts w:hint="eastAsia" w:ascii="Times New Roman" w:hAnsi="Times New Roman" w:eastAsia="宋体" w:cs="Times New Roman"/>
          <w:color w:val="auto"/>
          <w:lang w:val="en-US" w:eastAsia="zh-CN"/>
        </w:rPr>
        <w:t>5.2</w:t>
      </w:r>
      <w:r>
        <w:rPr>
          <w:rFonts w:hint="default" w:ascii="Times New Roman" w:hAnsi="Times New Roman" w:eastAsia="宋体" w:cs="Times New Roman"/>
          <w:color w:val="auto"/>
          <w:lang w:val="en-US" w:eastAsia="zh-CN"/>
        </w:rPr>
        <w:t>-</w:t>
      </w:r>
      <w:r>
        <w:rPr>
          <w:rFonts w:hint="eastAsia" w:cs="Times New Roman"/>
          <w:color w:val="auto"/>
          <w:lang w:val="en-US" w:eastAsia="zh-CN"/>
        </w:rPr>
        <w:t>11</w:t>
      </w:r>
      <w:r>
        <w:rPr>
          <w:rFonts w:hint="eastAsia" w:ascii="Times New Roman" w:hAnsi="Times New Roman" w:eastAsia="宋体" w:cs="Times New Roman"/>
          <w:color w:val="auto"/>
          <w:lang w:val="en-US" w:eastAsia="zh-CN"/>
        </w:rPr>
        <w:t xml:space="preserve"> 现状副坝洪水运行稳定计算</w:t>
      </w:r>
    </w:p>
    <w:p w14:paraId="700B3D0B">
      <w:pPr>
        <w:bidi w:val="0"/>
        <w:ind w:left="0" w:leftChars="0" w:firstLine="0" w:firstLineChars="0"/>
        <w:jc w:val="center"/>
        <w:rPr>
          <w:rFonts w:hint="eastAsia" w:ascii="Times New Roman" w:hAnsi="Times New Roman" w:eastAsia="宋体" w:cs="Times New Roman"/>
          <w:color w:val="auto"/>
          <w:lang w:val="en-US" w:eastAsia="zh-CN"/>
        </w:rPr>
      </w:pPr>
      <w:r>
        <w:rPr>
          <w:color w:val="auto"/>
        </w:rPr>
        <w:drawing>
          <wp:inline distT="0" distB="0" distL="114300" distR="114300">
            <wp:extent cx="5400040" cy="2409825"/>
            <wp:effectExtent l="0" t="0" r="10160" b="9525"/>
            <wp:docPr id="4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9"/>
                    <pic:cNvPicPr>
                      <a:picLocks noChangeAspect="1"/>
                    </pic:cNvPicPr>
                  </pic:nvPicPr>
                  <pic:blipFill>
                    <a:blip r:embed="rId27"/>
                    <a:stretch>
                      <a:fillRect/>
                    </a:stretch>
                  </pic:blipFill>
                  <pic:spPr>
                    <a:xfrm>
                      <a:off x="0" y="0"/>
                      <a:ext cx="5400040" cy="2409825"/>
                    </a:xfrm>
                    <a:prstGeom prst="rect">
                      <a:avLst/>
                    </a:prstGeom>
                    <a:noFill/>
                    <a:ln>
                      <a:noFill/>
                    </a:ln>
                  </pic:spPr>
                </pic:pic>
              </a:graphicData>
            </a:graphic>
          </wp:inline>
        </w:drawing>
      </w:r>
    </w:p>
    <w:p w14:paraId="700F3D8F">
      <w:pPr>
        <w:bidi w:val="0"/>
        <w:ind w:left="0" w:leftChars="0" w:firstLine="0" w:firstLineChars="0"/>
        <w:jc w:val="center"/>
        <w:rPr>
          <w:rFonts w:hint="eastAsia" w:ascii="Times New Roman" w:hAnsi="Times New Roman" w:eastAsia="宋体" w:cs="Times New Roman"/>
          <w:color w:val="auto"/>
          <w:lang w:val="en-US" w:eastAsia="zh-CN"/>
        </w:rPr>
      </w:pPr>
      <w:r>
        <w:rPr>
          <w:rFonts w:hint="eastAsia"/>
          <w:color w:val="auto"/>
          <w:lang w:val="en-US" w:eastAsia="zh-CN"/>
        </w:rPr>
        <w:t>图</w:t>
      </w:r>
      <w:r>
        <w:rPr>
          <w:rFonts w:hint="eastAsia" w:ascii="Times New Roman" w:hAnsi="Times New Roman" w:eastAsia="宋体" w:cs="Times New Roman"/>
          <w:color w:val="auto"/>
          <w:lang w:val="en-US" w:eastAsia="zh-CN"/>
        </w:rPr>
        <w:t>5.2</w:t>
      </w:r>
      <w:r>
        <w:rPr>
          <w:rFonts w:hint="default" w:ascii="Times New Roman" w:hAnsi="Times New Roman" w:eastAsia="宋体" w:cs="Times New Roman"/>
          <w:color w:val="auto"/>
          <w:lang w:val="en-US" w:eastAsia="zh-CN"/>
        </w:rPr>
        <w:t>-</w:t>
      </w:r>
      <w:r>
        <w:rPr>
          <w:rFonts w:hint="eastAsia" w:cs="Times New Roman"/>
          <w:color w:val="auto"/>
          <w:lang w:val="en-US" w:eastAsia="zh-CN"/>
        </w:rPr>
        <w:t>12</w:t>
      </w:r>
      <w:r>
        <w:rPr>
          <w:rFonts w:hint="eastAsia" w:ascii="Times New Roman" w:hAnsi="Times New Roman" w:eastAsia="宋体" w:cs="Times New Roman"/>
          <w:color w:val="auto"/>
          <w:lang w:val="en-US" w:eastAsia="zh-CN"/>
        </w:rPr>
        <w:t xml:space="preserve"> 现状副坝特殊运行稳定计算</w:t>
      </w:r>
    </w:p>
    <w:p w14:paraId="0DB41DF5">
      <w:pPr>
        <w:bidi w:val="0"/>
        <w:rPr>
          <w:rFonts w:hint="eastAsia"/>
          <w:color w:val="auto"/>
          <w:lang w:val="en-US" w:eastAsia="zh-CN"/>
        </w:rPr>
      </w:pPr>
      <w:r>
        <w:rPr>
          <w:rFonts w:hint="eastAsia"/>
          <w:color w:val="auto"/>
          <w:lang w:val="en-US" w:eastAsia="zh-CN"/>
        </w:rPr>
        <w:t>根据稳定计算结果，现状尾矿库主坝和副坝稳定性在不同运行条件均满足规范要求，说明坝体是安全可靠的。</w:t>
      </w:r>
    </w:p>
    <w:p w14:paraId="59CE2570">
      <w:pPr>
        <w:keepNext/>
        <w:keepLines/>
        <w:widowControl w:val="0"/>
        <w:bidi w:val="0"/>
        <w:spacing w:beforeLines="0" w:beforeAutospacing="0" w:afterLines="0" w:afterAutospacing="0" w:line="360" w:lineRule="auto"/>
        <w:ind w:left="560" w:leftChars="200" w:firstLine="0" w:firstLineChars="0"/>
        <w:jc w:val="both"/>
        <w:outlineLvl w:val="2"/>
        <w:rPr>
          <w:rFonts w:hint="eastAsia" w:ascii="Times New Roman" w:hAnsi="Times New Roman" w:eastAsia="黑体" w:cs="Times New Roman"/>
          <w:b/>
          <w:color w:val="auto"/>
          <w:kern w:val="2"/>
          <w:sz w:val="28"/>
          <w:szCs w:val="24"/>
          <w:lang w:val="en-US" w:eastAsia="zh-CN" w:bidi="ar-SA"/>
        </w:rPr>
      </w:pPr>
      <w:bookmarkStart w:id="478" w:name="_Toc8793"/>
      <w:bookmarkStart w:id="479" w:name="_Toc4582"/>
      <w:bookmarkStart w:id="480" w:name="_Toc11771"/>
      <w:bookmarkStart w:id="481" w:name="_Toc437"/>
      <w:bookmarkStart w:id="482" w:name="_Toc28167"/>
      <w:r>
        <w:rPr>
          <w:rFonts w:hint="eastAsia" w:ascii="Times New Roman" w:hAnsi="Times New Roman" w:eastAsia="黑体" w:cs="Times New Roman"/>
          <w:b/>
          <w:color w:val="auto"/>
          <w:kern w:val="2"/>
          <w:sz w:val="28"/>
          <w:szCs w:val="24"/>
          <w:lang w:val="en-US" w:eastAsia="zh-CN" w:bidi="ar-SA"/>
        </w:rPr>
        <w:t>5.2.3 评价单元小结</w:t>
      </w:r>
      <w:bookmarkEnd w:id="478"/>
      <w:bookmarkEnd w:id="479"/>
      <w:bookmarkEnd w:id="480"/>
      <w:bookmarkEnd w:id="481"/>
      <w:bookmarkEnd w:id="482"/>
    </w:p>
    <w:p w14:paraId="15B5E779">
      <w:pPr>
        <w:ind w:firstLine="883"/>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w:t>
      </w:r>
      <w:r>
        <w:rPr>
          <w:rFonts w:hint="eastAsia" w:ascii="Times New Roman" w:hAnsi="Times New Roman" w:eastAsia="宋体" w:cs="Times New Roman"/>
          <w:color w:val="auto"/>
          <w:lang w:eastAsia="zh-CN"/>
        </w:rPr>
        <w:t>经现场检查，</w:t>
      </w:r>
      <w:r>
        <w:rPr>
          <w:rFonts w:hint="eastAsia" w:ascii="Times New Roman" w:hAnsi="Times New Roman" w:eastAsia="宋体" w:cs="Times New Roman"/>
          <w:color w:val="auto"/>
          <w:lang w:val="en-US" w:eastAsia="zh-CN"/>
        </w:rPr>
        <w:t>岿美山尾矿库</w:t>
      </w:r>
      <w:r>
        <w:rPr>
          <w:rFonts w:hint="eastAsia" w:cs="Times New Roman"/>
          <w:color w:val="auto"/>
          <w:lang w:val="en-US" w:eastAsia="zh-CN"/>
        </w:rPr>
        <w:t>主坝</w:t>
      </w:r>
      <w:r>
        <w:rPr>
          <w:rFonts w:hint="eastAsia" w:ascii="Times New Roman" w:hAnsi="Times New Roman" w:eastAsia="宋体" w:cs="Times New Roman"/>
          <w:color w:val="auto"/>
          <w:lang w:eastAsia="zh-CN"/>
        </w:rPr>
        <w:t>的外形尺寸（坝顶高程、上下游坡坡比等）符合设计要求，副坝标高和高度与</w:t>
      </w:r>
      <w:r>
        <w:rPr>
          <w:rFonts w:hint="eastAsia" w:cs="Times New Roman"/>
          <w:color w:val="auto"/>
          <w:lang w:val="en-US" w:eastAsia="zh-CN"/>
        </w:rPr>
        <w:t>设计</w:t>
      </w:r>
      <w:r>
        <w:rPr>
          <w:rFonts w:hint="eastAsia" w:ascii="Times New Roman" w:hAnsi="Times New Roman" w:eastAsia="宋体" w:cs="Times New Roman"/>
          <w:color w:val="auto"/>
          <w:lang w:eastAsia="zh-CN"/>
        </w:rPr>
        <w:t>不一致</w:t>
      </w:r>
      <w:r>
        <w:rPr>
          <w:rFonts w:hint="eastAsia" w:cs="Times New Roman"/>
          <w:color w:val="auto"/>
          <w:lang w:eastAsia="zh-CN"/>
        </w:rPr>
        <w:t>，</w:t>
      </w:r>
      <w:r>
        <w:rPr>
          <w:rFonts w:hint="eastAsia" w:ascii="Times New Roman" w:hAnsi="Times New Roman" w:eastAsia="宋体" w:cs="Times New Roman"/>
          <w:color w:val="auto"/>
          <w:lang w:val="en-US" w:eastAsia="zh-CN"/>
        </w:rPr>
        <w:t>各坝体均无位移、沉陷、滑坡及裂缝、渗透水、沼泽化等现象。</w:t>
      </w:r>
    </w:p>
    <w:p w14:paraId="4C8ACC8A">
      <w:pPr>
        <w:ind w:firstLine="883"/>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val="en-US" w:eastAsia="zh-CN"/>
        </w:rPr>
        <w:t>（</w:t>
      </w:r>
      <w:r>
        <w:rPr>
          <w:rFonts w:hint="eastAsia" w:cs="Times New Roman"/>
          <w:color w:val="auto"/>
          <w:lang w:val="en-US" w:eastAsia="zh-CN"/>
        </w:rPr>
        <w:t>2</w:t>
      </w:r>
      <w:r>
        <w:rPr>
          <w:rFonts w:hint="eastAsia" w:ascii="Times New Roman" w:hAnsi="Times New Roman" w:eastAsia="宋体" w:cs="Times New Roman"/>
          <w:color w:val="auto"/>
          <w:lang w:val="en-US" w:eastAsia="zh-CN"/>
        </w:rPr>
        <w:t>）</w:t>
      </w:r>
      <w:r>
        <w:rPr>
          <w:rFonts w:hint="eastAsia" w:ascii="Times New Roman" w:hAnsi="Times New Roman" w:eastAsia="宋体" w:cs="Times New Roman"/>
          <w:color w:val="auto"/>
          <w:lang w:eastAsia="zh-CN"/>
        </w:rPr>
        <w:t>通过尾矿坝稳定分析计算来看，尾矿坝体处在稳定状态。</w:t>
      </w:r>
    </w:p>
    <w:p w14:paraId="709507C4">
      <w:pPr>
        <w:ind w:firstLine="883"/>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3）可研方案对初期坝、堆积坝、副坝和滩面都进行整治措施，并对整治后的坝体进行了稳定性分析，闭库后尾矿库主坝坝下游坝坡抗滑稳定安全系数在不同运行条件下均满足规范要求，且有一定的安全储备，副坝闭库后库内水位降低，副坝安全度提高。</w:t>
      </w:r>
    </w:p>
    <w:p w14:paraId="27D84DEB">
      <w:pPr>
        <w:bidi w:val="0"/>
        <w:rPr>
          <w:rFonts w:hint="default"/>
          <w:color w:val="auto"/>
          <w:lang w:val="en-US" w:eastAsia="zh-CN"/>
        </w:rPr>
      </w:pPr>
      <w:r>
        <w:rPr>
          <w:rFonts w:hint="eastAsia" w:ascii="Times New Roman" w:hAnsi="Times New Roman" w:eastAsia="宋体" w:cs="Times New Roman"/>
          <w:color w:val="auto"/>
          <w:lang w:val="en-US" w:eastAsia="zh-CN"/>
        </w:rPr>
        <w:t>（</w:t>
      </w:r>
      <w:r>
        <w:rPr>
          <w:rFonts w:hint="eastAsia" w:cs="Times New Roman"/>
          <w:color w:val="auto"/>
          <w:lang w:val="en-US" w:eastAsia="zh-CN"/>
        </w:rPr>
        <w:t>4</w:t>
      </w:r>
      <w:r>
        <w:rPr>
          <w:rFonts w:hint="eastAsia" w:ascii="Times New Roman" w:hAnsi="Times New Roman" w:eastAsia="宋体" w:cs="Times New Roman"/>
          <w:color w:val="auto"/>
          <w:lang w:val="en-US" w:eastAsia="zh-CN"/>
        </w:rPr>
        <w:t>）</w:t>
      </w:r>
      <w:r>
        <w:rPr>
          <w:rFonts w:hint="eastAsia" w:ascii="Times New Roman" w:hAnsi="Times New Roman" w:eastAsia="宋体" w:cs="Times New Roman"/>
          <w:color w:val="auto"/>
          <w:lang w:eastAsia="zh-CN"/>
        </w:rPr>
        <w:t>经采用安全检查表法评判，尾矿坝体单元应得分</w:t>
      </w:r>
      <w:r>
        <w:rPr>
          <w:rFonts w:hint="eastAsia" w:ascii="Times New Roman" w:hAnsi="Times New Roman" w:eastAsia="宋体" w:cs="Times New Roman"/>
          <w:color w:val="auto"/>
          <w:lang w:val="en-US" w:eastAsia="zh-CN"/>
        </w:rPr>
        <w:t>64</w:t>
      </w:r>
      <w:r>
        <w:rPr>
          <w:rFonts w:hint="eastAsia" w:ascii="Times New Roman" w:hAnsi="Times New Roman" w:eastAsia="宋体" w:cs="Times New Roman"/>
          <w:color w:val="auto"/>
          <w:lang w:eastAsia="zh-CN"/>
        </w:rPr>
        <w:t>分，实际得分</w:t>
      </w:r>
      <w:r>
        <w:rPr>
          <w:rFonts w:hint="eastAsia" w:cs="Times New Roman"/>
          <w:color w:val="auto"/>
          <w:lang w:val="en-US" w:eastAsia="zh-CN"/>
        </w:rPr>
        <w:t>50</w:t>
      </w:r>
      <w:r>
        <w:rPr>
          <w:rFonts w:hint="eastAsia" w:ascii="Times New Roman" w:hAnsi="Times New Roman" w:eastAsia="宋体" w:cs="Times New Roman"/>
          <w:color w:val="auto"/>
          <w:lang w:eastAsia="zh-CN"/>
        </w:rPr>
        <w:t>分，得分率为</w:t>
      </w:r>
      <w:r>
        <w:rPr>
          <w:rFonts w:hint="eastAsia" w:cs="Times New Roman"/>
          <w:color w:val="auto"/>
          <w:lang w:val="en-US" w:eastAsia="zh-CN"/>
        </w:rPr>
        <w:t>78.13</w:t>
      </w:r>
      <w:r>
        <w:rPr>
          <w:rFonts w:hint="eastAsia" w:ascii="Times New Roman" w:hAnsi="Times New Roman" w:eastAsia="宋体" w:cs="Times New Roman"/>
          <w:color w:val="auto"/>
          <w:lang w:eastAsia="zh-CN"/>
        </w:rPr>
        <w:t>%</w:t>
      </w:r>
      <w:r>
        <w:rPr>
          <w:rFonts w:hint="eastAsia"/>
          <w:color w:val="auto"/>
          <w:lang w:eastAsia="zh-CN"/>
        </w:rPr>
        <w:t>。</w:t>
      </w:r>
    </w:p>
    <w:p w14:paraId="310CB6D7">
      <w:pPr>
        <w:keepNext/>
        <w:keepLines/>
        <w:widowControl w:val="0"/>
        <w:bidi w:val="0"/>
        <w:spacing w:beforeLines="0" w:beforeAutospacing="0" w:afterLines="0" w:afterAutospacing="0" w:line="360" w:lineRule="auto"/>
        <w:ind w:left="280" w:leftChars="100" w:firstLine="0" w:firstLineChars="0"/>
        <w:jc w:val="both"/>
        <w:outlineLvl w:val="1"/>
        <w:rPr>
          <w:rFonts w:hint="eastAsia" w:ascii="Times New Roman" w:hAnsi="Times New Roman" w:eastAsia="黑体" w:cs="Times New Roman"/>
          <w:b/>
          <w:color w:val="auto"/>
          <w:kern w:val="2"/>
          <w:sz w:val="30"/>
          <w:szCs w:val="24"/>
          <w:lang w:val="en-US" w:eastAsia="zh-CN" w:bidi="ar-SA"/>
        </w:rPr>
      </w:pPr>
      <w:bookmarkStart w:id="483" w:name="_Toc9686"/>
      <w:bookmarkStart w:id="484" w:name="_Toc12598"/>
      <w:bookmarkStart w:id="485" w:name="_Toc21840"/>
      <w:bookmarkStart w:id="486" w:name="_Toc541"/>
      <w:bookmarkStart w:id="487" w:name="_Toc14976"/>
      <w:r>
        <w:rPr>
          <w:rFonts w:hint="eastAsia" w:ascii="Times New Roman" w:hAnsi="Times New Roman" w:eastAsia="黑体" w:cs="Times New Roman"/>
          <w:b/>
          <w:color w:val="auto"/>
          <w:kern w:val="2"/>
          <w:sz w:val="30"/>
          <w:szCs w:val="24"/>
          <w:lang w:val="en-US" w:eastAsia="zh-CN" w:bidi="ar-SA"/>
        </w:rPr>
        <w:t>5.3 防排洪系统单元</w:t>
      </w:r>
      <w:bookmarkEnd w:id="483"/>
      <w:bookmarkEnd w:id="484"/>
      <w:bookmarkEnd w:id="485"/>
      <w:bookmarkEnd w:id="486"/>
      <w:bookmarkEnd w:id="487"/>
    </w:p>
    <w:p w14:paraId="48E5C03E">
      <w:pPr>
        <w:keepNext/>
        <w:keepLines/>
        <w:widowControl w:val="0"/>
        <w:bidi w:val="0"/>
        <w:spacing w:beforeLines="0" w:beforeAutospacing="0" w:afterLines="0" w:afterAutospacing="0" w:line="360" w:lineRule="auto"/>
        <w:ind w:left="560" w:leftChars="200" w:firstLine="0" w:firstLineChars="0"/>
        <w:jc w:val="both"/>
        <w:outlineLvl w:val="2"/>
        <w:rPr>
          <w:rFonts w:hint="eastAsia" w:ascii="Times New Roman" w:hAnsi="Times New Roman" w:eastAsia="黑体" w:cs="Times New Roman"/>
          <w:b/>
          <w:color w:val="auto"/>
          <w:kern w:val="2"/>
          <w:sz w:val="28"/>
          <w:szCs w:val="24"/>
          <w:lang w:val="en-US" w:eastAsia="zh-CN" w:bidi="ar-SA"/>
        </w:rPr>
      </w:pPr>
      <w:bookmarkStart w:id="488" w:name="_Toc11961"/>
      <w:bookmarkStart w:id="489" w:name="_Toc25600"/>
      <w:bookmarkStart w:id="490" w:name="_Toc633"/>
      <w:bookmarkStart w:id="491" w:name="_Toc921"/>
      <w:bookmarkStart w:id="492" w:name="_Toc29776"/>
      <w:r>
        <w:rPr>
          <w:rFonts w:hint="eastAsia" w:ascii="Times New Roman" w:hAnsi="Times New Roman" w:eastAsia="黑体" w:cs="Times New Roman"/>
          <w:b/>
          <w:color w:val="auto"/>
          <w:kern w:val="2"/>
          <w:sz w:val="28"/>
          <w:szCs w:val="24"/>
          <w:lang w:val="en-US" w:eastAsia="zh-CN" w:bidi="ar-SA"/>
        </w:rPr>
        <w:t>5.3.1 安全检查表评价</w:t>
      </w:r>
      <w:bookmarkEnd w:id="488"/>
      <w:bookmarkEnd w:id="489"/>
      <w:bookmarkEnd w:id="490"/>
      <w:bookmarkEnd w:id="491"/>
      <w:bookmarkEnd w:id="492"/>
    </w:p>
    <w:p w14:paraId="35B15A97">
      <w:pPr>
        <w:ind w:firstLine="883"/>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运用《江西省尾矿库安全检查表》，对</w:t>
      </w:r>
      <w:r>
        <w:rPr>
          <w:rFonts w:hint="eastAsia" w:ascii="Times New Roman" w:hAnsi="Times New Roman" w:eastAsia="宋体" w:cs="Times New Roman"/>
          <w:color w:val="auto"/>
          <w:lang w:val="en-US" w:eastAsia="zh-CN"/>
        </w:rPr>
        <w:t>岿美山尾矿库</w:t>
      </w:r>
      <w:r>
        <w:rPr>
          <w:rFonts w:hint="eastAsia" w:ascii="Times New Roman" w:hAnsi="Times New Roman" w:eastAsia="宋体" w:cs="Times New Roman"/>
          <w:color w:val="auto"/>
          <w:lang w:eastAsia="zh-CN"/>
        </w:rPr>
        <w:t>防排洪系统单元进行评判，具体见表5</w:t>
      </w:r>
      <w:r>
        <w:rPr>
          <w:rFonts w:hint="eastAsia" w:ascii="Times New Roman" w:hAnsi="Times New Roman" w:eastAsia="宋体" w:cs="Times New Roman"/>
          <w:color w:val="auto"/>
          <w:lang w:val="en-US" w:eastAsia="zh-CN"/>
        </w:rPr>
        <w:t>.3-1</w:t>
      </w:r>
      <w:r>
        <w:rPr>
          <w:rFonts w:hint="eastAsia" w:ascii="Times New Roman" w:hAnsi="Times New Roman" w:eastAsia="宋体" w:cs="Times New Roman"/>
          <w:color w:val="auto"/>
          <w:lang w:eastAsia="zh-CN"/>
        </w:rPr>
        <w:t>。</w:t>
      </w:r>
    </w:p>
    <w:p w14:paraId="560285F0">
      <w:pPr>
        <w:ind w:left="0" w:leftChars="0" w:firstLine="0" w:firstLineChars="0"/>
        <w:jc w:val="center"/>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表5</w:t>
      </w:r>
      <w:r>
        <w:rPr>
          <w:rFonts w:hint="eastAsia" w:ascii="Times New Roman" w:hAnsi="Times New Roman" w:eastAsia="宋体" w:cs="Times New Roman"/>
          <w:color w:val="auto"/>
          <w:lang w:val="en-US" w:eastAsia="zh-CN"/>
        </w:rPr>
        <w:t xml:space="preserve">.3-1 </w:t>
      </w:r>
      <w:r>
        <w:rPr>
          <w:rFonts w:hint="eastAsia" w:ascii="Times New Roman" w:hAnsi="Times New Roman" w:eastAsia="宋体" w:cs="Times New Roman"/>
          <w:color w:val="auto"/>
          <w:lang w:eastAsia="zh-CN"/>
        </w:rPr>
        <w:t>防排洪系统单元安全检查表</w:t>
      </w:r>
    </w:p>
    <w:tbl>
      <w:tblPr>
        <w:tblStyle w:val="32"/>
        <w:tblW w:w="501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579"/>
        <w:gridCol w:w="3282"/>
        <w:gridCol w:w="1685"/>
        <w:gridCol w:w="899"/>
        <w:gridCol w:w="658"/>
        <w:gridCol w:w="649"/>
        <w:gridCol w:w="824"/>
        <w:gridCol w:w="536"/>
      </w:tblGrid>
      <w:tr w14:paraId="6629F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318" w:type="pct"/>
            <w:noWrap w:val="0"/>
            <w:vAlign w:val="center"/>
          </w:tcPr>
          <w:p w14:paraId="7737BE22">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b/>
                <w:bCs/>
                <w:color w:val="auto"/>
                <w:kern w:val="0"/>
                <w:sz w:val="21"/>
                <w:szCs w:val="21"/>
                <w:lang w:val="zh-CN"/>
              </w:rPr>
            </w:pPr>
            <w:r>
              <w:rPr>
                <w:rFonts w:hint="default" w:ascii="Times New Roman" w:hAnsi="Times New Roman" w:eastAsia="宋体" w:cs="Times New Roman"/>
                <w:b/>
                <w:bCs/>
                <w:color w:val="auto"/>
                <w:kern w:val="0"/>
                <w:sz w:val="21"/>
                <w:szCs w:val="21"/>
                <w:lang w:val="zh-CN"/>
              </w:rPr>
              <w:t>项目</w:t>
            </w:r>
          </w:p>
        </w:tc>
        <w:tc>
          <w:tcPr>
            <w:tcW w:w="1800" w:type="pct"/>
            <w:noWrap w:val="0"/>
            <w:vAlign w:val="center"/>
          </w:tcPr>
          <w:p w14:paraId="0ABD327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rPr>
              <w:t>检查内容</w:t>
            </w:r>
          </w:p>
        </w:tc>
        <w:tc>
          <w:tcPr>
            <w:tcW w:w="924" w:type="pct"/>
            <w:noWrap w:val="0"/>
            <w:vAlign w:val="center"/>
          </w:tcPr>
          <w:p w14:paraId="299ECA72">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检查依据</w:t>
            </w:r>
          </w:p>
        </w:tc>
        <w:tc>
          <w:tcPr>
            <w:tcW w:w="493" w:type="pct"/>
            <w:noWrap w:val="0"/>
            <w:vAlign w:val="center"/>
          </w:tcPr>
          <w:p w14:paraId="5E48BAA5">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检查方法</w:t>
            </w:r>
          </w:p>
          <w:p w14:paraId="7A298697">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b/>
                <w:bCs/>
                <w:color w:val="auto"/>
                <w:kern w:val="0"/>
                <w:sz w:val="21"/>
                <w:szCs w:val="21"/>
                <w:lang w:val="zh-CN"/>
              </w:rPr>
            </w:pPr>
            <w:r>
              <w:rPr>
                <w:rFonts w:hint="default" w:ascii="Times New Roman" w:hAnsi="Times New Roman" w:eastAsia="宋体" w:cs="Times New Roman"/>
                <w:b/>
                <w:bCs/>
                <w:color w:val="auto"/>
                <w:sz w:val="21"/>
                <w:szCs w:val="21"/>
              </w:rPr>
              <w:t>及地点</w:t>
            </w:r>
          </w:p>
        </w:tc>
        <w:tc>
          <w:tcPr>
            <w:tcW w:w="361" w:type="pct"/>
            <w:noWrap w:val="0"/>
            <w:vAlign w:val="center"/>
          </w:tcPr>
          <w:p w14:paraId="3BCEE957">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检查</w:t>
            </w:r>
          </w:p>
          <w:p w14:paraId="202D381E">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b/>
                <w:bCs/>
                <w:color w:val="auto"/>
                <w:kern w:val="0"/>
                <w:sz w:val="21"/>
                <w:szCs w:val="21"/>
                <w:lang w:val="zh-CN"/>
              </w:rPr>
            </w:pPr>
            <w:r>
              <w:rPr>
                <w:rFonts w:hint="default" w:ascii="Times New Roman" w:hAnsi="Times New Roman" w:eastAsia="宋体" w:cs="Times New Roman"/>
                <w:b/>
                <w:bCs/>
                <w:color w:val="auto"/>
                <w:sz w:val="21"/>
                <w:szCs w:val="21"/>
              </w:rPr>
              <w:t>记录</w:t>
            </w:r>
          </w:p>
        </w:tc>
        <w:tc>
          <w:tcPr>
            <w:tcW w:w="356" w:type="pct"/>
            <w:noWrap w:val="0"/>
            <w:vAlign w:val="center"/>
          </w:tcPr>
          <w:p w14:paraId="1E6F2D8F">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b/>
                <w:bCs/>
                <w:color w:val="auto"/>
                <w:kern w:val="0"/>
                <w:sz w:val="21"/>
                <w:szCs w:val="21"/>
                <w:lang w:val="zh-CN"/>
              </w:rPr>
            </w:pPr>
            <w:r>
              <w:rPr>
                <w:rFonts w:hint="default" w:ascii="Times New Roman" w:hAnsi="Times New Roman" w:eastAsia="宋体" w:cs="Times New Roman"/>
                <w:b/>
                <w:bCs/>
                <w:color w:val="auto"/>
                <w:kern w:val="0"/>
                <w:sz w:val="21"/>
                <w:szCs w:val="21"/>
                <w:lang w:val="zh-CN"/>
              </w:rPr>
              <w:t>标准</w:t>
            </w:r>
          </w:p>
          <w:p w14:paraId="4AFAF1AF">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b/>
                <w:bCs/>
                <w:color w:val="auto"/>
                <w:kern w:val="0"/>
                <w:sz w:val="21"/>
                <w:szCs w:val="21"/>
                <w:lang w:val="zh-CN"/>
              </w:rPr>
            </w:pPr>
            <w:r>
              <w:rPr>
                <w:rFonts w:hint="default" w:ascii="Times New Roman" w:hAnsi="Times New Roman" w:eastAsia="宋体" w:cs="Times New Roman"/>
                <w:b/>
                <w:bCs/>
                <w:color w:val="auto"/>
                <w:kern w:val="0"/>
                <w:sz w:val="21"/>
                <w:szCs w:val="21"/>
                <w:lang w:val="zh-CN"/>
              </w:rPr>
              <w:t>分值</w:t>
            </w:r>
          </w:p>
        </w:tc>
        <w:tc>
          <w:tcPr>
            <w:tcW w:w="452" w:type="pct"/>
            <w:noWrap w:val="0"/>
            <w:vAlign w:val="center"/>
          </w:tcPr>
          <w:p w14:paraId="1189B406">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b/>
                <w:bCs/>
                <w:color w:val="auto"/>
                <w:kern w:val="0"/>
                <w:sz w:val="21"/>
                <w:szCs w:val="21"/>
                <w:lang w:val="zh-CN"/>
              </w:rPr>
            </w:pPr>
            <w:r>
              <w:rPr>
                <w:rFonts w:hint="default" w:ascii="Times New Roman" w:hAnsi="Times New Roman" w:eastAsia="宋体" w:cs="Times New Roman"/>
                <w:b/>
                <w:bCs/>
                <w:color w:val="auto"/>
                <w:kern w:val="0"/>
                <w:sz w:val="21"/>
                <w:szCs w:val="21"/>
                <w:lang w:val="zh-CN"/>
              </w:rPr>
              <w:t>评分</w:t>
            </w:r>
          </w:p>
          <w:p w14:paraId="4BE306B2">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b/>
                <w:bCs/>
                <w:color w:val="auto"/>
                <w:kern w:val="0"/>
                <w:sz w:val="21"/>
                <w:szCs w:val="21"/>
                <w:lang w:val="zh-CN"/>
              </w:rPr>
            </w:pPr>
            <w:r>
              <w:rPr>
                <w:rFonts w:hint="default" w:ascii="Times New Roman" w:hAnsi="Times New Roman" w:eastAsia="宋体" w:cs="Times New Roman"/>
                <w:b/>
                <w:bCs/>
                <w:color w:val="auto"/>
                <w:kern w:val="0"/>
                <w:sz w:val="21"/>
                <w:szCs w:val="21"/>
                <w:lang w:val="zh-CN"/>
              </w:rPr>
              <w:t>标准</w:t>
            </w:r>
          </w:p>
        </w:tc>
        <w:tc>
          <w:tcPr>
            <w:tcW w:w="294" w:type="pct"/>
            <w:noWrap w:val="0"/>
            <w:vAlign w:val="center"/>
          </w:tcPr>
          <w:p w14:paraId="0C85880E">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b/>
                <w:bCs/>
                <w:color w:val="auto"/>
                <w:kern w:val="0"/>
                <w:sz w:val="21"/>
                <w:szCs w:val="21"/>
                <w:lang w:val="zh-CN"/>
              </w:rPr>
            </w:pPr>
            <w:r>
              <w:rPr>
                <w:rFonts w:hint="default" w:ascii="Times New Roman" w:hAnsi="Times New Roman" w:eastAsia="宋体" w:cs="Times New Roman"/>
                <w:b/>
                <w:bCs/>
                <w:color w:val="auto"/>
                <w:kern w:val="0"/>
                <w:sz w:val="21"/>
                <w:szCs w:val="21"/>
                <w:lang w:val="zh-CN"/>
              </w:rPr>
              <w:t>得分</w:t>
            </w:r>
          </w:p>
        </w:tc>
      </w:tr>
      <w:tr w14:paraId="2775E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318" w:type="pct"/>
            <w:vMerge w:val="restart"/>
            <w:noWrap w:val="0"/>
            <w:vAlign w:val="center"/>
          </w:tcPr>
          <w:p w14:paraId="31C0DC41">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p>
          <w:p w14:paraId="0695F2D5">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防洪</w:t>
            </w:r>
          </w:p>
          <w:p w14:paraId="737B5688">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排水</w:t>
            </w:r>
          </w:p>
          <w:p w14:paraId="5BAC3B0F">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1800" w:type="pct"/>
            <w:noWrap w:val="0"/>
            <w:vAlign w:val="center"/>
          </w:tcPr>
          <w:p w14:paraId="3D5DCAE1">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1.调洪库容与安全超高、最小干滩长度</w:t>
            </w:r>
            <w:r>
              <w:rPr>
                <w:rFonts w:hint="eastAsia" w:ascii="Times New Roman" w:hAnsi="Times New Roman" w:eastAsia="宋体" w:cs="Times New Roman"/>
                <w:color w:val="auto"/>
                <w:kern w:val="0"/>
                <w:sz w:val="21"/>
                <w:szCs w:val="21"/>
                <w:lang w:val="zh-CN"/>
              </w:rPr>
              <w:t>。</w:t>
            </w:r>
          </w:p>
          <w:p w14:paraId="591A28F3">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1.1当尾矿库调洪库库容严重不足，在设计洪水位时，安全超高和最小干滩长度都不满足设计要求，将可能出现洪水漫顶。</w:t>
            </w:r>
          </w:p>
        </w:tc>
        <w:tc>
          <w:tcPr>
            <w:tcW w:w="924" w:type="pct"/>
            <w:noWrap w:val="0"/>
            <w:vAlign w:val="center"/>
          </w:tcPr>
          <w:p w14:paraId="37530527">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《尾矿库安全规程》第6.9.3条</w:t>
            </w:r>
          </w:p>
        </w:tc>
        <w:tc>
          <w:tcPr>
            <w:tcW w:w="493" w:type="pct"/>
            <w:noWrap w:val="0"/>
            <w:vAlign w:val="center"/>
          </w:tcPr>
          <w:p w14:paraId="54AFD5D9">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对照设计查现场、</w:t>
            </w:r>
          </w:p>
          <w:p w14:paraId="139B75A7">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图纸</w:t>
            </w:r>
          </w:p>
        </w:tc>
        <w:tc>
          <w:tcPr>
            <w:tcW w:w="361" w:type="pct"/>
            <w:noWrap w:val="0"/>
            <w:vAlign w:val="center"/>
          </w:tcPr>
          <w:p w14:paraId="46D4B30B">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符合</w:t>
            </w:r>
          </w:p>
        </w:tc>
        <w:tc>
          <w:tcPr>
            <w:tcW w:w="356" w:type="pct"/>
            <w:noWrap w:val="0"/>
            <w:vAlign w:val="center"/>
          </w:tcPr>
          <w:p w14:paraId="22948E7B">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重大</w:t>
            </w:r>
          </w:p>
          <w:p w14:paraId="341EB1FA">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险情</w:t>
            </w:r>
          </w:p>
        </w:tc>
        <w:tc>
          <w:tcPr>
            <w:tcW w:w="452" w:type="pct"/>
            <w:noWrap w:val="0"/>
            <w:vAlign w:val="center"/>
          </w:tcPr>
          <w:p w14:paraId="27ACD0BF">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294" w:type="pct"/>
            <w:noWrap w:val="0"/>
            <w:vAlign w:val="center"/>
          </w:tcPr>
          <w:p w14:paraId="3546ADAD">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eastAsia" w:ascii="Times New Roman" w:hAnsi="Times New Roman" w:eastAsia="宋体" w:cs="Times New Roman"/>
                <w:color w:val="auto"/>
                <w:kern w:val="0"/>
                <w:sz w:val="21"/>
                <w:szCs w:val="21"/>
                <w:lang w:val="zh-CN" w:eastAsia="zh-CN"/>
              </w:rPr>
            </w:pPr>
            <w:r>
              <w:rPr>
                <w:rFonts w:hint="eastAsia" w:ascii="Times New Roman" w:hAnsi="Times New Roman" w:eastAsia="宋体" w:cs="Times New Roman"/>
                <w:color w:val="auto"/>
                <w:kern w:val="0"/>
                <w:sz w:val="21"/>
                <w:szCs w:val="21"/>
                <w:lang w:val="en-US" w:eastAsia="zh-CN"/>
              </w:rPr>
              <w:t>/</w:t>
            </w:r>
          </w:p>
        </w:tc>
      </w:tr>
      <w:tr w14:paraId="5775D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318" w:type="pct"/>
            <w:vMerge w:val="continue"/>
            <w:noWrap w:val="0"/>
            <w:vAlign w:val="center"/>
          </w:tcPr>
          <w:p w14:paraId="234FFA44">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1800" w:type="pct"/>
            <w:noWrap w:val="0"/>
            <w:vAlign w:val="center"/>
          </w:tcPr>
          <w:p w14:paraId="6140E0AD">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1.2当尾矿库调洪库库容不足，在设计洪水位时安全超高和最小干滩长度均不满足设计要求。</w:t>
            </w:r>
          </w:p>
        </w:tc>
        <w:tc>
          <w:tcPr>
            <w:tcW w:w="924" w:type="pct"/>
            <w:noWrap w:val="0"/>
            <w:vAlign w:val="center"/>
          </w:tcPr>
          <w:p w14:paraId="038AF2F2">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《尾矿库安全规程》第6.9.2条</w:t>
            </w:r>
          </w:p>
        </w:tc>
        <w:tc>
          <w:tcPr>
            <w:tcW w:w="493" w:type="pct"/>
            <w:vMerge w:val="restart"/>
            <w:noWrap w:val="0"/>
            <w:vAlign w:val="center"/>
          </w:tcPr>
          <w:p w14:paraId="112B0FD0">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对照设计</w:t>
            </w:r>
          </w:p>
          <w:p w14:paraId="5D78EB0E">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查现场</w:t>
            </w:r>
          </w:p>
        </w:tc>
        <w:tc>
          <w:tcPr>
            <w:tcW w:w="361" w:type="pct"/>
            <w:noWrap w:val="0"/>
            <w:vAlign w:val="center"/>
          </w:tcPr>
          <w:p w14:paraId="2603FEC0">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eastAsia" w:ascii="Times New Roman" w:hAnsi="Times New Roman" w:eastAsia="宋体" w:cs="Times New Roman"/>
                <w:color w:val="auto"/>
                <w:kern w:val="0"/>
                <w:sz w:val="21"/>
                <w:szCs w:val="21"/>
                <w:lang w:val="en-US" w:eastAsia="zh-CN"/>
              </w:rPr>
              <w:t>符合</w:t>
            </w:r>
          </w:p>
        </w:tc>
        <w:tc>
          <w:tcPr>
            <w:tcW w:w="356" w:type="pct"/>
            <w:noWrap w:val="0"/>
            <w:vAlign w:val="center"/>
          </w:tcPr>
          <w:p w14:paraId="0BBC9019">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重大</w:t>
            </w:r>
          </w:p>
          <w:p w14:paraId="14412C29">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隐患</w:t>
            </w:r>
          </w:p>
        </w:tc>
        <w:tc>
          <w:tcPr>
            <w:tcW w:w="452" w:type="pct"/>
            <w:noWrap w:val="0"/>
            <w:vAlign w:val="center"/>
          </w:tcPr>
          <w:p w14:paraId="164721E4">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294" w:type="pct"/>
            <w:noWrap w:val="0"/>
            <w:vAlign w:val="center"/>
          </w:tcPr>
          <w:p w14:paraId="1F49AFDB">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eastAsia" w:ascii="Times New Roman" w:hAnsi="Times New Roman" w:eastAsia="宋体" w:cs="Times New Roman"/>
                <w:color w:val="auto"/>
                <w:kern w:val="0"/>
                <w:sz w:val="21"/>
                <w:szCs w:val="21"/>
                <w:lang w:val="zh-CN" w:eastAsia="zh-CN"/>
              </w:rPr>
            </w:pPr>
            <w:r>
              <w:rPr>
                <w:rFonts w:hint="eastAsia" w:ascii="Times New Roman" w:hAnsi="Times New Roman" w:eastAsia="宋体" w:cs="Times New Roman"/>
                <w:color w:val="auto"/>
                <w:kern w:val="0"/>
                <w:sz w:val="21"/>
                <w:szCs w:val="21"/>
                <w:lang w:val="en-US" w:eastAsia="zh-CN"/>
              </w:rPr>
              <w:t>/</w:t>
            </w:r>
          </w:p>
        </w:tc>
      </w:tr>
      <w:tr w14:paraId="7283D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318" w:type="pct"/>
            <w:vMerge w:val="continue"/>
            <w:noWrap w:val="0"/>
            <w:vAlign w:val="center"/>
          </w:tcPr>
          <w:p w14:paraId="67B27875">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1800" w:type="pct"/>
            <w:noWrap w:val="0"/>
            <w:vAlign w:val="center"/>
          </w:tcPr>
          <w:p w14:paraId="1F608C3D">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1.3当尾矿库调洪库库容不足，在设计洪水位时不能同时满足设计规定的安全超高和最小干滩长度要求。</w:t>
            </w:r>
          </w:p>
        </w:tc>
        <w:tc>
          <w:tcPr>
            <w:tcW w:w="924" w:type="pct"/>
            <w:noWrap w:val="0"/>
            <w:vAlign w:val="center"/>
          </w:tcPr>
          <w:p w14:paraId="7A6FE8E4">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《尾矿库安全规程》第6.9.1条</w:t>
            </w:r>
          </w:p>
        </w:tc>
        <w:tc>
          <w:tcPr>
            <w:tcW w:w="493" w:type="pct"/>
            <w:vMerge w:val="continue"/>
            <w:noWrap w:val="0"/>
            <w:vAlign w:val="center"/>
          </w:tcPr>
          <w:p w14:paraId="240A2A2B">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361" w:type="pct"/>
            <w:noWrap w:val="0"/>
            <w:vAlign w:val="center"/>
          </w:tcPr>
          <w:p w14:paraId="3FA989AA">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eastAsia" w:ascii="Times New Roman" w:hAnsi="Times New Roman" w:eastAsia="宋体" w:cs="Times New Roman"/>
                <w:color w:val="auto"/>
                <w:kern w:val="0"/>
                <w:sz w:val="21"/>
                <w:szCs w:val="21"/>
                <w:lang w:val="en-US" w:eastAsia="zh-CN"/>
              </w:rPr>
              <w:t>符合</w:t>
            </w:r>
          </w:p>
        </w:tc>
        <w:tc>
          <w:tcPr>
            <w:tcW w:w="356" w:type="pct"/>
            <w:noWrap w:val="0"/>
            <w:vAlign w:val="center"/>
          </w:tcPr>
          <w:p w14:paraId="6F307628">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一般</w:t>
            </w:r>
          </w:p>
          <w:p w14:paraId="6E5DA99A">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隐患</w:t>
            </w:r>
          </w:p>
        </w:tc>
        <w:tc>
          <w:tcPr>
            <w:tcW w:w="452" w:type="pct"/>
            <w:noWrap w:val="0"/>
            <w:vAlign w:val="center"/>
          </w:tcPr>
          <w:p w14:paraId="4B0C9FDB">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294" w:type="pct"/>
            <w:noWrap w:val="0"/>
            <w:vAlign w:val="center"/>
          </w:tcPr>
          <w:p w14:paraId="376AB5BD">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eastAsia" w:ascii="Times New Roman" w:hAnsi="Times New Roman" w:eastAsia="宋体" w:cs="Times New Roman"/>
                <w:color w:val="auto"/>
                <w:kern w:val="0"/>
                <w:sz w:val="21"/>
                <w:szCs w:val="21"/>
                <w:lang w:val="zh-CN" w:eastAsia="zh-CN"/>
              </w:rPr>
            </w:pPr>
            <w:r>
              <w:rPr>
                <w:rFonts w:hint="eastAsia" w:ascii="Times New Roman" w:hAnsi="Times New Roman" w:eastAsia="宋体" w:cs="Times New Roman"/>
                <w:color w:val="auto"/>
                <w:kern w:val="0"/>
                <w:sz w:val="21"/>
                <w:szCs w:val="21"/>
                <w:lang w:val="en-US" w:eastAsia="zh-CN"/>
              </w:rPr>
              <w:t>/</w:t>
            </w:r>
          </w:p>
        </w:tc>
      </w:tr>
      <w:tr w14:paraId="0C02A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318" w:type="pct"/>
            <w:vMerge w:val="continue"/>
            <w:noWrap w:val="0"/>
            <w:vAlign w:val="center"/>
          </w:tcPr>
          <w:p w14:paraId="1E62B764">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1800" w:type="pct"/>
            <w:noWrap w:val="0"/>
            <w:vAlign w:val="center"/>
          </w:tcPr>
          <w:p w14:paraId="3DF94086">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2.排洪系统</w:t>
            </w:r>
          </w:p>
          <w:p w14:paraId="64026A9C">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2.1尾矿库防洪能力低于设计能力（排洪、排水构筑物结构尺寸低于设计要求）</w:t>
            </w:r>
          </w:p>
          <w:p w14:paraId="0186FC6C">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2.2排洪系统严重堵塞或坍塌，不能排水或排水能力急剧下降。</w:t>
            </w:r>
          </w:p>
          <w:p w14:paraId="43B85823">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2.3排水井显著倾斜，有倒塌的迹象。</w:t>
            </w:r>
          </w:p>
        </w:tc>
        <w:tc>
          <w:tcPr>
            <w:tcW w:w="924" w:type="pct"/>
            <w:noWrap w:val="0"/>
            <w:vAlign w:val="center"/>
          </w:tcPr>
          <w:p w14:paraId="4FF73B39">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《尾矿库安全规程》第6.9.3条</w:t>
            </w:r>
          </w:p>
        </w:tc>
        <w:tc>
          <w:tcPr>
            <w:tcW w:w="493" w:type="pct"/>
            <w:vMerge w:val="continue"/>
            <w:noWrap w:val="0"/>
            <w:vAlign w:val="center"/>
          </w:tcPr>
          <w:p w14:paraId="4A8AD713">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361" w:type="pct"/>
            <w:noWrap w:val="0"/>
            <w:vAlign w:val="center"/>
          </w:tcPr>
          <w:p w14:paraId="251BAD64">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eastAsia" w:ascii="Times New Roman" w:hAnsi="Times New Roman" w:eastAsia="宋体" w:cs="Times New Roman"/>
                <w:color w:val="auto"/>
                <w:kern w:val="0"/>
                <w:sz w:val="21"/>
                <w:szCs w:val="21"/>
                <w:lang w:val="en-US" w:eastAsia="zh-CN"/>
              </w:rPr>
              <w:t>符合</w:t>
            </w:r>
          </w:p>
        </w:tc>
        <w:tc>
          <w:tcPr>
            <w:tcW w:w="356" w:type="pct"/>
            <w:noWrap w:val="0"/>
            <w:vAlign w:val="center"/>
          </w:tcPr>
          <w:p w14:paraId="0D806680">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重大</w:t>
            </w:r>
          </w:p>
          <w:p w14:paraId="559B4FA6">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险情</w:t>
            </w:r>
          </w:p>
        </w:tc>
        <w:tc>
          <w:tcPr>
            <w:tcW w:w="452" w:type="pct"/>
            <w:noWrap w:val="0"/>
            <w:vAlign w:val="center"/>
          </w:tcPr>
          <w:p w14:paraId="72ECE016">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有1项符合，就为重大险情</w:t>
            </w:r>
          </w:p>
        </w:tc>
        <w:tc>
          <w:tcPr>
            <w:tcW w:w="294" w:type="pct"/>
            <w:noWrap w:val="0"/>
            <w:vAlign w:val="center"/>
          </w:tcPr>
          <w:p w14:paraId="543B48E2">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eastAsia" w:ascii="Times New Roman" w:hAnsi="Times New Roman" w:eastAsia="宋体" w:cs="Times New Roman"/>
                <w:color w:val="auto"/>
                <w:kern w:val="0"/>
                <w:sz w:val="21"/>
                <w:szCs w:val="21"/>
                <w:lang w:val="zh-CN" w:eastAsia="zh-CN"/>
              </w:rPr>
            </w:pPr>
            <w:r>
              <w:rPr>
                <w:rFonts w:hint="eastAsia" w:ascii="Times New Roman" w:hAnsi="Times New Roman" w:eastAsia="宋体" w:cs="Times New Roman"/>
                <w:color w:val="auto"/>
                <w:kern w:val="0"/>
                <w:sz w:val="21"/>
                <w:szCs w:val="21"/>
                <w:lang w:val="en-US" w:eastAsia="zh-CN"/>
              </w:rPr>
              <w:t>/</w:t>
            </w:r>
          </w:p>
        </w:tc>
      </w:tr>
      <w:tr w14:paraId="0274D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318" w:type="pct"/>
            <w:vMerge w:val="continue"/>
            <w:noWrap w:val="0"/>
            <w:vAlign w:val="center"/>
          </w:tcPr>
          <w:p w14:paraId="60FDD3EC">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1800" w:type="pct"/>
            <w:noWrap w:val="0"/>
            <w:vAlign w:val="center"/>
          </w:tcPr>
          <w:p w14:paraId="4A4C5119">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2.4排洪系统部分堵塞或坍塌，排水能力有所降低，达不到设计要求。</w:t>
            </w:r>
          </w:p>
          <w:p w14:paraId="7CD76E16">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2.5排水井有所倾斜。</w:t>
            </w:r>
          </w:p>
        </w:tc>
        <w:tc>
          <w:tcPr>
            <w:tcW w:w="924" w:type="pct"/>
            <w:noWrap w:val="0"/>
            <w:vAlign w:val="center"/>
          </w:tcPr>
          <w:p w14:paraId="3A78C267">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《尾矿库安全规程》第6.9.2条</w:t>
            </w:r>
          </w:p>
        </w:tc>
        <w:tc>
          <w:tcPr>
            <w:tcW w:w="493" w:type="pct"/>
            <w:vMerge w:val="restart"/>
            <w:noWrap w:val="0"/>
            <w:vAlign w:val="center"/>
          </w:tcPr>
          <w:p w14:paraId="4E72E59C">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361" w:type="pct"/>
            <w:noWrap w:val="0"/>
            <w:vAlign w:val="center"/>
          </w:tcPr>
          <w:p w14:paraId="2FDE5409">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eastAsia" w:ascii="Times New Roman" w:hAnsi="Times New Roman" w:eastAsia="宋体" w:cs="Times New Roman"/>
                <w:color w:val="auto"/>
                <w:kern w:val="0"/>
                <w:sz w:val="21"/>
                <w:szCs w:val="21"/>
                <w:lang w:val="en-US" w:eastAsia="zh-CN"/>
              </w:rPr>
              <w:t>符合</w:t>
            </w:r>
          </w:p>
        </w:tc>
        <w:tc>
          <w:tcPr>
            <w:tcW w:w="356" w:type="pct"/>
            <w:noWrap w:val="0"/>
            <w:vAlign w:val="center"/>
          </w:tcPr>
          <w:p w14:paraId="0499FA71">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重大</w:t>
            </w:r>
          </w:p>
          <w:p w14:paraId="43BBDEB3">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隐患</w:t>
            </w:r>
          </w:p>
        </w:tc>
        <w:tc>
          <w:tcPr>
            <w:tcW w:w="452" w:type="pct"/>
            <w:noWrap w:val="0"/>
            <w:vAlign w:val="center"/>
          </w:tcPr>
          <w:p w14:paraId="3E564BE2">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有1项符合，就为重大隐患</w:t>
            </w:r>
          </w:p>
        </w:tc>
        <w:tc>
          <w:tcPr>
            <w:tcW w:w="294" w:type="pct"/>
            <w:noWrap w:val="0"/>
            <w:vAlign w:val="center"/>
          </w:tcPr>
          <w:p w14:paraId="667F0B29">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eastAsia" w:ascii="Times New Roman" w:hAnsi="Times New Roman" w:eastAsia="宋体" w:cs="Times New Roman"/>
                <w:color w:val="auto"/>
                <w:kern w:val="0"/>
                <w:sz w:val="21"/>
                <w:szCs w:val="21"/>
                <w:lang w:val="zh-CN" w:eastAsia="zh-CN"/>
              </w:rPr>
            </w:pPr>
            <w:r>
              <w:rPr>
                <w:rFonts w:hint="eastAsia" w:ascii="Times New Roman" w:hAnsi="Times New Roman" w:eastAsia="宋体" w:cs="Times New Roman"/>
                <w:color w:val="auto"/>
                <w:kern w:val="0"/>
                <w:sz w:val="21"/>
                <w:szCs w:val="21"/>
                <w:lang w:val="en-US" w:eastAsia="zh-CN"/>
              </w:rPr>
              <w:t>/</w:t>
            </w:r>
          </w:p>
        </w:tc>
      </w:tr>
      <w:tr w14:paraId="446B4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318" w:type="pct"/>
            <w:vMerge w:val="continue"/>
            <w:noWrap w:val="0"/>
            <w:vAlign w:val="center"/>
          </w:tcPr>
          <w:p w14:paraId="0450DA8A">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1800" w:type="pct"/>
            <w:noWrap w:val="0"/>
            <w:vAlign w:val="center"/>
          </w:tcPr>
          <w:p w14:paraId="378CE604">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2.6排水系统出现不影响安全使用的裂缝、腐蚀或磨损。</w:t>
            </w:r>
          </w:p>
        </w:tc>
        <w:tc>
          <w:tcPr>
            <w:tcW w:w="924" w:type="pct"/>
            <w:noWrap w:val="0"/>
            <w:vAlign w:val="center"/>
          </w:tcPr>
          <w:p w14:paraId="075205A6">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《尾矿库安全规程》第6.9.1条</w:t>
            </w:r>
          </w:p>
        </w:tc>
        <w:tc>
          <w:tcPr>
            <w:tcW w:w="493" w:type="pct"/>
            <w:vMerge w:val="continue"/>
            <w:noWrap w:val="0"/>
            <w:vAlign w:val="center"/>
          </w:tcPr>
          <w:p w14:paraId="7C8F78FE">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361" w:type="pct"/>
            <w:noWrap w:val="0"/>
            <w:vAlign w:val="center"/>
          </w:tcPr>
          <w:p w14:paraId="1CA9BE3F">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eastAsia" w:ascii="Times New Roman" w:hAnsi="Times New Roman" w:eastAsia="宋体" w:cs="Times New Roman"/>
                <w:color w:val="auto"/>
                <w:kern w:val="0"/>
                <w:sz w:val="21"/>
                <w:szCs w:val="21"/>
                <w:lang w:val="en-US" w:eastAsia="zh-CN"/>
              </w:rPr>
              <w:t>符合</w:t>
            </w:r>
          </w:p>
        </w:tc>
        <w:tc>
          <w:tcPr>
            <w:tcW w:w="356" w:type="pct"/>
            <w:noWrap w:val="0"/>
            <w:vAlign w:val="center"/>
          </w:tcPr>
          <w:p w14:paraId="548B66B0">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一般</w:t>
            </w:r>
          </w:p>
          <w:p w14:paraId="23E8F1C8">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隐患</w:t>
            </w:r>
          </w:p>
        </w:tc>
        <w:tc>
          <w:tcPr>
            <w:tcW w:w="452" w:type="pct"/>
            <w:noWrap w:val="0"/>
            <w:vAlign w:val="center"/>
          </w:tcPr>
          <w:p w14:paraId="35C33ADD">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294" w:type="pct"/>
            <w:noWrap w:val="0"/>
            <w:vAlign w:val="center"/>
          </w:tcPr>
          <w:p w14:paraId="1C92297A">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eastAsia" w:ascii="Times New Roman" w:hAnsi="Times New Roman" w:eastAsia="宋体" w:cs="Times New Roman"/>
                <w:color w:val="auto"/>
                <w:kern w:val="0"/>
                <w:sz w:val="21"/>
                <w:szCs w:val="21"/>
                <w:lang w:val="zh-CN" w:eastAsia="zh-CN"/>
              </w:rPr>
            </w:pPr>
            <w:r>
              <w:rPr>
                <w:rFonts w:hint="eastAsia" w:ascii="Times New Roman" w:hAnsi="Times New Roman" w:eastAsia="宋体" w:cs="Times New Roman"/>
                <w:color w:val="auto"/>
                <w:kern w:val="0"/>
                <w:sz w:val="21"/>
                <w:szCs w:val="21"/>
                <w:lang w:val="en-US" w:eastAsia="zh-CN"/>
              </w:rPr>
              <w:t>/</w:t>
            </w:r>
          </w:p>
        </w:tc>
      </w:tr>
      <w:tr w14:paraId="68297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7" w:hRule="atLeast"/>
          <w:jc w:val="center"/>
        </w:trPr>
        <w:tc>
          <w:tcPr>
            <w:tcW w:w="318" w:type="pct"/>
            <w:vMerge w:val="continue"/>
            <w:noWrap w:val="0"/>
            <w:vAlign w:val="center"/>
          </w:tcPr>
          <w:p w14:paraId="4DE3874D">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1800" w:type="pct"/>
            <w:noWrap w:val="0"/>
            <w:vAlign w:val="center"/>
          </w:tcPr>
          <w:p w14:paraId="16B196A2">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3.1库内应在适当地点设置清晰醒目的水位观测标尺，并标明正常运行水位和警戒水位。</w:t>
            </w:r>
          </w:p>
        </w:tc>
        <w:tc>
          <w:tcPr>
            <w:tcW w:w="924" w:type="pct"/>
            <w:noWrap w:val="0"/>
            <w:vAlign w:val="center"/>
          </w:tcPr>
          <w:p w14:paraId="53662971">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w:t>
            </w:r>
            <w:bookmarkStart w:id="493" w:name="_Toc234211588"/>
            <w:bookmarkStart w:id="494" w:name="_Toc217808581"/>
            <w:bookmarkStart w:id="495" w:name="_Toc241681168"/>
            <w:bookmarkStart w:id="496" w:name="_Toc217919923"/>
            <w:bookmarkStart w:id="497" w:name="_Toc254855236"/>
            <w:bookmarkStart w:id="498" w:name="_Toc217808842"/>
            <w:bookmarkStart w:id="499" w:name="_Toc243102931"/>
            <w:bookmarkStart w:id="500" w:name="_Toc254857127"/>
            <w:bookmarkStart w:id="501" w:name="_Toc234632459"/>
            <w:bookmarkStart w:id="502" w:name="_Toc215331725"/>
            <w:bookmarkStart w:id="503" w:name="_Toc217992854"/>
            <w:bookmarkStart w:id="504" w:name="_Toc242431498"/>
            <w:bookmarkStart w:id="505" w:name="_Toc216088241"/>
            <w:r>
              <w:rPr>
                <w:rFonts w:hint="default" w:ascii="Times New Roman" w:hAnsi="Times New Roman" w:eastAsia="宋体" w:cs="Times New Roman"/>
                <w:color w:val="auto"/>
                <w:kern w:val="0"/>
                <w:sz w:val="21"/>
                <w:szCs w:val="21"/>
                <w:lang w:val="zh-CN"/>
              </w:rPr>
              <w:t>尾矿库安全监测技术规范</w:t>
            </w:r>
            <w:bookmarkEnd w:id="493"/>
            <w:bookmarkEnd w:id="494"/>
            <w:bookmarkEnd w:id="495"/>
            <w:bookmarkEnd w:id="496"/>
            <w:bookmarkEnd w:id="497"/>
            <w:bookmarkEnd w:id="498"/>
            <w:bookmarkEnd w:id="499"/>
            <w:bookmarkEnd w:id="500"/>
            <w:bookmarkEnd w:id="501"/>
            <w:bookmarkEnd w:id="502"/>
            <w:bookmarkEnd w:id="503"/>
            <w:bookmarkEnd w:id="504"/>
            <w:bookmarkEnd w:id="505"/>
            <w:r>
              <w:rPr>
                <w:rFonts w:hint="default" w:ascii="Times New Roman" w:hAnsi="Times New Roman" w:eastAsia="宋体" w:cs="Times New Roman"/>
                <w:color w:val="auto"/>
                <w:kern w:val="0"/>
                <w:sz w:val="21"/>
                <w:szCs w:val="21"/>
                <w:lang w:val="zh-CN"/>
              </w:rPr>
              <w:t>》第8.2.1条，《尾矿库安全规程》第5.5.4、6.4.5条</w:t>
            </w:r>
          </w:p>
        </w:tc>
        <w:tc>
          <w:tcPr>
            <w:tcW w:w="493" w:type="pct"/>
            <w:noWrap w:val="0"/>
            <w:vAlign w:val="center"/>
          </w:tcPr>
          <w:p w14:paraId="3018B2C4">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查现场</w:t>
            </w:r>
          </w:p>
        </w:tc>
        <w:tc>
          <w:tcPr>
            <w:tcW w:w="361" w:type="pct"/>
            <w:noWrap w:val="0"/>
            <w:vAlign w:val="center"/>
          </w:tcPr>
          <w:p w14:paraId="575A0B74">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eastAsia" w:ascii="Times New Roman" w:hAnsi="Times New Roman" w:eastAsia="宋体" w:cs="Times New Roman"/>
                <w:color w:val="auto"/>
                <w:kern w:val="0"/>
                <w:sz w:val="21"/>
                <w:szCs w:val="21"/>
                <w:lang w:val="zh-CN" w:eastAsia="zh-CN"/>
              </w:rPr>
            </w:pPr>
            <w:r>
              <w:rPr>
                <w:rFonts w:hint="eastAsia" w:ascii="Times New Roman" w:hAnsi="Times New Roman" w:eastAsia="宋体" w:cs="Times New Roman"/>
                <w:color w:val="auto"/>
                <w:kern w:val="0"/>
                <w:sz w:val="21"/>
                <w:szCs w:val="21"/>
                <w:lang w:val="en-US" w:eastAsia="zh-CN"/>
              </w:rPr>
              <w:t>有</w:t>
            </w:r>
          </w:p>
        </w:tc>
        <w:tc>
          <w:tcPr>
            <w:tcW w:w="356" w:type="pct"/>
            <w:noWrap w:val="0"/>
            <w:vAlign w:val="center"/>
          </w:tcPr>
          <w:p w14:paraId="4D443D0D">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2</w:t>
            </w:r>
          </w:p>
        </w:tc>
        <w:tc>
          <w:tcPr>
            <w:tcW w:w="452" w:type="pct"/>
            <w:noWrap w:val="0"/>
            <w:vAlign w:val="center"/>
          </w:tcPr>
          <w:p w14:paraId="40DA79CA">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缺1项</w:t>
            </w:r>
          </w:p>
          <w:p w14:paraId="1EB1CF67">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扣1分</w:t>
            </w:r>
          </w:p>
        </w:tc>
        <w:tc>
          <w:tcPr>
            <w:tcW w:w="294" w:type="pct"/>
            <w:noWrap w:val="0"/>
            <w:vAlign w:val="center"/>
          </w:tcPr>
          <w:p w14:paraId="31E80AA6">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eastAsia="zh-CN"/>
              </w:rPr>
            </w:pPr>
            <w:r>
              <w:rPr>
                <w:rFonts w:hint="eastAsia" w:ascii="Times New Roman" w:hAnsi="Times New Roman" w:eastAsia="宋体" w:cs="Times New Roman"/>
                <w:color w:val="auto"/>
                <w:kern w:val="0"/>
                <w:sz w:val="21"/>
                <w:szCs w:val="21"/>
                <w:lang w:val="en-US" w:eastAsia="zh-CN"/>
              </w:rPr>
              <w:t>2</w:t>
            </w:r>
          </w:p>
        </w:tc>
      </w:tr>
      <w:tr w14:paraId="4BFAB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318" w:type="pct"/>
            <w:vMerge w:val="continue"/>
            <w:noWrap w:val="0"/>
            <w:vAlign w:val="center"/>
          </w:tcPr>
          <w:p w14:paraId="43A82896">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1800" w:type="pct"/>
            <w:noWrap w:val="0"/>
            <w:vAlign w:val="center"/>
          </w:tcPr>
          <w:p w14:paraId="409A75C6">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3.2尾矿库水边线应与坝轴线基本保持平行。</w:t>
            </w:r>
          </w:p>
        </w:tc>
        <w:tc>
          <w:tcPr>
            <w:tcW w:w="924" w:type="pct"/>
            <w:noWrap w:val="0"/>
            <w:vAlign w:val="center"/>
          </w:tcPr>
          <w:p w14:paraId="70343215">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《尾矿库安全生产标准化评分办法》</w:t>
            </w:r>
          </w:p>
        </w:tc>
        <w:tc>
          <w:tcPr>
            <w:tcW w:w="493" w:type="pct"/>
            <w:noWrap w:val="0"/>
            <w:vAlign w:val="center"/>
          </w:tcPr>
          <w:p w14:paraId="30F6C815">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查现场</w:t>
            </w:r>
          </w:p>
        </w:tc>
        <w:tc>
          <w:tcPr>
            <w:tcW w:w="361" w:type="pct"/>
            <w:noWrap w:val="0"/>
            <w:vAlign w:val="center"/>
          </w:tcPr>
          <w:p w14:paraId="656A2705">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符合</w:t>
            </w:r>
          </w:p>
        </w:tc>
        <w:tc>
          <w:tcPr>
            <w:tcW w:w="356" w:type="pct"/>
            <w:noWrap w:val="0"/>
            <w:vAlign w:val="center"/>
          </w:tcPr>
          <w:p w14:paraId="77DBC49A">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3</w:t>
            </w:r>
          </w:p>
        </w:tc>
        <w:tc>
          <w:tcPr>
            <w:tcW w:w="452" w:type="pct"/>
            <w:noWrap w:val="0"/>
            <w:vAlign w:val="center"/>
          </w:tcPr>
          <w:p w14:paraId="36713D4F">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不符合</w:t>
            </w:r>
          </w:p>
          <w:p w14:paraId="2BA8F01E">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不得分</w:t>
            </w:r>
          </w:p>
        </w:tc>
        <w:tc>
          <w:tcPr>
            <w:tcW w:w="294" w:type="pct"/>
            <w:noWrap w:val="0"/>
            <w:vAlign w:val="center"/>
          </w:tcPr>
          <w:p w14:paraId="08761E49">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eastAsia="zh-CN"/>
              </w:rPr>
            </w:pPr>
            <w:r>
              <w:rPr>
                <w:rFonts w:hint="eastAsia" w:ascii="Times New Roman" w:hAnsi="Times New Roman" w:eastAsia="宋体" w:cs="Times New Roman"/>
                <w:color w:val="auto"/>
                <w:kern w:val="0"/>
                <w:sz w:val="21"/>
                <w:szCs w:val="21"/>
                <w:lang w:val="en-US" w:eastAsia="zh-CN"/>
              </w:rPr>
              <w:t>3</w:t>
            </w:r>
          </w:p>
        </w:tc>
      </w:tr>
      <w:tr w14:paraId="0B1AF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318" w:type="pct"/>
            <w:vMerge w:val="continue"/>
            <w:noWrap w:val="0"/>
            <w:vAlign w:val="center"/>
          </w:tcPr>
          <w:p w14:paraId="771A3837">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1800" w:type="pct"/>
            <w:noWrap w:val="0"/>
            <w:vAlign w:val="center"/>
          </w:tcPr>
          <w:p w14:paraId="2FDF61C5">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3.3应疏浚库区内截洪沟、坝面排水沟及下游排洪（渠）道；</w:t>
            </w:r>
          </w:p>
          <w:p w14:paraId="67D46C29">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3.4按设计确定的排洪底坎高程，将排洪底坎以上1.5倍调洪高度内的档板全部打开；</w:t>
            </w:r>
          </w:p>
          <w:p w14:paraId="6FC15CE6">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3.5清除排洪口前水面漂浮物；</w:t>
            </w:r>
          </w:p>
        </w:tc>
        <w:tc>
          <w:tcPr>
            <w:tcW w:w="924" w:type="pct"/>
            <w:noWrap w:val="0"/>
            <w:vAlign w:val="center"/>
          </w:tcPr>
          <w:p w14:paraId="61E6C7A3">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《尾矿库安全规程》第6.4.3条</w:t>
            </w:r>
          </w:p>
        </w:tc>
        <w:tc>
          <w:tcPr>
            <w:tcW w:w="493" w:type="pct"/>
            <w:noWrap w:val="0"/>
            <w:vAlign w:val="center"/>
          </w:tcPr>
          <w:p w14:paraId="3A07E4F9">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查现场</w:t>
            </w:r>
          </w:p>
        </w:tc>
        <w:tc>
          <w:tcPr>
            <w:tcW w:w="361" w:type="pct"/>
            <w:noWrap w:val="0"/>
            <w:vAlign w:val="center"/>
          </w:tcPr>
          <w:p w14:paraId="27F7DF7E">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符合</w:t>
            </w:r>
          </w:p>
        </w:tc>
        <w:tc>
          <w:tcPr>
            <w:tcW w:w="356" w:type="pct"/>
            <w:noWrap w:val="0"/>
            <w:vAlign w:val="center"/>
          </w:tcPr>
          <w:p w14:paraId="51A0ACCB">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6</w:t>
            </w:r>
          </w:p>
        </w:tc>
        <w:tc>
          <w:tcPr>
            <w:tcW w:w="452" w:type="pct"/>
            <w:noWrap w:val="0"/>
            <w:vAlign w:val="center"/>
          </w:tcPr>
          <w:p w14:paraId="42E1ACE1">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1项不符合扣2分</w:t>
            </w:r>
          </w:p>
        </w:tc>
        <w:tc>
          <w:tcPr>
            <w:tcW w:w="294" w:type="pct"/>
            <w:noWrap w:val="0"/>
            <w:vAlign w:val="center"/>
          </w:tcPr>
          <w:p w14:paraId="128CB3B8">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eastAsia" w:ascii="Times New Roman" w:hAnsi="Times New Roman" w:eastAsia="宋体" w:cs="Times New Roman"/>
                <w:color w:val="auto"/>
                <w:kern w:val="0"/>
                <w:sz w:val="21"/>
                <w:szCs w:val="21"/>
                <w:lang w:val="zh-CN" w:eastAsia="zh-CN"/>
              </w:rPr>
            </w:pPr>
            <w:r>
              <w:rPr>
                <w:rFonts w:hint="eastAsia" w:ascii="Times New Roman" w:hAnsi="Times New Roman" w:eastAsia="宋体" w:cs="Times New Roman"/>
                <w:color w:val="auto"/>
                <w:kern w:val="0"/>
                <w:sz w:val="21"/>
                <w:szCs w:val="21"/>
                <w:lang w:val="en-US" w:eastAsia="zh-CN"/>
              </w:rPr>
              <w:t>6</w:t>
            </w:r>
          </w:p>
        </w:tc>
      </w:tr>
      <w:tr w14:paraId="4B8A3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318" w:type="pct"/>
            <w:vMerge w:val="continue"/>
            <w:noWrap w:val="0"/>
            <w:vAlign w:val="center"/>
          </w:tcPr>
          <w:p w14:paraId="430100EC">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1800" w:type="pct"/>
            <w:noWrap w:val="0"/>
            <w:vAlign w:val="center"/>
          </w:tcPr>
          <w:p w14:paraId="71560D08">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3.6应备足抗洪抢险所需物资，落实应急救援措施；</w:t>
            </w:r>
          </w:p>
          <w:p w14:paraId="085AF52F">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3.7应确保上坝道路、通讯、供电及照明线路可靠和畅通；</w:t>
            </w:r>
          </w:p>
          <w:p w14:paraId="49448281">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3.8及时了解和掌握汛期水情和气象预报情况。</w:t>
            </w:r>
          </w:p>
        </w:tc>
        <w:tc>
          <w:tcPr>
            <w:tcW w:w="924" w:type="pct"/>
            <w:noWrap w:val="0"/>
            <w:vAlign w:val="center"/>
          </w:tcPr>
          <w:p w14:paraId="044B9639">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《尾矿库安全规程》第6.1.10、9.7.2、9.7.4、10.8条</w:t>
            </w:r>
          </w:p>
        </w:tc>
        <w:tc>
          <w:tcPr>
            <w:tcW w:w="493" w:type="pct"/>
            <w:noWrap w:val="0"/>
            <w:vAlign w:val="center"/>
          </w:tcPr>
          <w:p w14:paraId="37895E88">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查现场</w:t>
            </w:r>
          </w:p>
          <w:p w14:paraId="08920EC9">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和记录</w:t>
            </w:r>
          </w:p>
        </w:tc>
        <w:tc>
          <w:tcPr>
            <w:tcW w:w="361" w:type="pct"/>
            <w:noWrap w:val="0"/>
            <w:vAlign w:val="center"/>
          </w:tcPr>
          <w:p w14:paraId="642DE047">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应急物资不足</w:t>
            </w:r>
          </w:p>
        </w:tc>
        <w:tc>
          <w:tcPr>
            <w:tcW w:w="356" w:type="pct"/>
            <w:noWrap w:val="0"/>
            <w:vAlign w:val="center"/>
          </w:tcPr>
          <w:p w14:paraId="324790B1">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7</w:t>
            </w:r>
          </w:p>
        </w:tc>
        <w:tc>
          <w:tcPr>
            <w:tcW w:w="452" w:type="pct"/>
            <w:noWrap w:val="0"/>
            <w:vAlign w:val="center"/>
          </w:tcPr>
          <w:p w14:paraId="35873D13">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不达要求前2项有1项扣3分，后1项扣1分</w:t>
            </w:r>
          </w:p>
        </w:tc>
        <w:tc>
          <w:tcPr>
            <w:tcW w:w="294" w:type="pct"/>
            <w:noWrap w:val="0"/>
            <w:vAlign w:val="center"/>
          </w:tcPr>
          <w:p w14:paraId="2A7539B7">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eastAsia="zh-CN"/>
              </w:rPr>
            </w:pPr>
            <w:r>
              <w:rPr>
                <w:rFonts w:hint="eastAsia" w:ascii="Times New Roman" w:hAnsi="Times New Roman" w:eastAsia="宋体" w:cs="Times New Roman"/>
                <w:color w:val="auto"/>
                <w:kern w:val="0"/>
                <w:sz w:val="21"/>
                <w:szCs w:val="21"/>
                <w:lang w:val="en-US" w:eastAsia="zh-CN"/>
              </w:rPr>
              <w:t>4</w:t>
            </w:r>
          </w:p>
        </w:tc>
      </w:tr>
      <w:tr w14:paraId="768C2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073" w:hRule="atLeast"/>
          <w:jc w:val="center"/>
        </w:trPr>
        <w:tc>
          <w:tcPr>
            <w:tcW w:w="318" w:type="pct"/>
            <w:vMerge w:val="continue"/>
            <w:noWrap w:val="0"/>
            <w:vAlign w:val="center"/>
          </w:tcPr>
          <w:p w14:paraId="25FE392E">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1800" w:type="pct"/>
            <w:noWrap w:val="0"/>
            <w:vAlign w:val="center"/>
          </w:tcPr>
          <w:p w14:paraId="3EA16ACD">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3.9不得在尾矿滩面设置泄洪口。</w:t>
            </w:r>
          </w:p>
        </w:tc>
        <w:tc>
          <w:tcPr>
            <w:tcW w:w="924" w:type="pct"/>
            <w:noWrap w:val="0"/>
            <w:vAlign w:val="center"/>
          </w:tcPr>
          <w:p w14:paraId="5A6CC636">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《冶金矿山尾矿设施管理规程》第4.3.5条</w:t>
            </w:r>
          </w:p>
        </w:tc>
        <w:tc>
          <w:tcPr>
            <w:tcW w:w="493" w:type="pct"/>
            <w:noWrap w:val="0"/>
            <w:vAlign w:val="center"/>
          </w:tcPr>
          <w:p w14:paraId="2C4B04C1">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查现场</w:t>
            </w:r>
          </w:p>
        </w:tc>
        <w:tc>
          <w:tcPr>
            <w:tcW w:w="361" w:type="pct"/>
            <w:noWrap w:val="0"/>
            <w:vAlign w:val="center"/>
          </w:tcPr>
          <w:p w14:paraId="4EC50CB9">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无此现象</w:t>
            </w:r>
          </w:p>
        </w:tc>
        <w:tc>
          <w:tcPr>
            <w:tcW w:w="356" w:type="pct"/>
            <w:noWrap w:val="0"/>
            <w:vAlign w:val="center"/>
          </w:tcPr>
          <w:p w14:paraId="0078C007">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7</w:t>
            </w:r>
          </w:p>
        </w:tc>
        <w:tc>
          <w:tcPr>
            <w:tcW w:w="452" w:type="pct"/>
            <w:vMerge w:val="restart"/>
            <w:noWrap w:val="0"/>
            <w:vAlign w:val="center"/>
          </w:tcPr>
          <w:p w14:paraId="434F6FA8">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不符合</w:t>
            </w:r>
          </w:p>
          <w:p w14:paraId="15F0F0F4">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不得分</w:t>
            </w:r>
          </w:p>
        </w:tc>
        <w:tc>
          <w:tcPr>
            <w:tcW w:w="294" w:type="pct"/>
            <w:noWrap w:val="0"/>
            <w:vAlign w:val="center"/>
          </w:tcPr>
          <w:p w14:paraId="637207BF">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eastAsia" w:ascii="Times New Roman" w:hAnsi="Times New Roman" w:eastAsia="宋体" w:cs="Times New Roman"/>
                <w:color w:val="auto"/>
                <w:kern w:val="0"/>
                <w:sz w:val="21"/>
                <w:szCs w:val="21"/>
                <w:lang w:val="zh-CN" w:eastAsia="zh-CN"/>
              </w:rPr>
            </w:pPr>
            <w:r>
              <w:rPr>
                <w:rFonts w:hint="eastAsia" w:ascii="Times New Roman" w:hAnsi="Times New Roman" w:eastAsia="宋体" w:cs="Times New Roman"/>
                <w:color w:val="auto"/>
                <w:kern w:val="0"/>
                <w:sz w:val="21"/>
                <w:szCs w:val="21"/>
                <w:lang w:val="en-US" w:eastAsia="zh-CN"/>
              </w:rPr>
              <w:t>7</w:t>
            </w:r>
          </w:p>
        </w:tc>
      </w:tr>
      <w:tr w14:paraId="34940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156" w:hRule="atLeast"/>
          <w:jc w:val="center"/>
        </w:trPr>
        <w:tc>
          <w:tcPr>
            <w:tcW w:w="318" w:type="pct"/>
            <w:vMerge w:val="continue"/>
            <w:noWrap w:val="0"/>
            <w:vAlign w:val="center"/>
          </w:tcPr>
          <w:p w14:paraId="49A7D812">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1800" w:type="pct"/>
            <w:noWrap w:val="0"/>
            <w:vAlign w:val="center"/>
          </w:tcPr>
          <w:p w14:paraId="21A30071">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3.10尾矿库排水构筑物停止使用后，是否按照设计要求进行封堵。</w:t>
            </w:r>
          </w:p>
        </w:tc>
        <w:tc>
          <w:tcPr>
            <w:tcW w:w="924" w:type="pct"/>
            <w:noWrap w:val="0"/>
            <w:vAlign w:val="center"/>
          </w:tcPr>
          <w:p w14:paraId="3AADA0BF">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《尾矿库安全规程》第6.4.8条</w:t>
            </w:r>
          </w:p>
        </w:tc>
        <w:tc>
          <w:tcPr>
            <w:tcW w:w="493" w:type="pct"/>
            <w:noWrap w:val="0"/>
            <w:vAlign w:val="center"/>
          </w:tcPr>
          <w:p w14:paraId="1161945A">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rPr>
              <w:t>查设尾矿库工程档案和现场</w:t>
            </w:r>
          </w:p>
        </w:tc>
        <w:tc>
          <w:tcPr>
            <w:tcW w:w="361" w:type="pct"/>
            <w:noWrap w:val="0"/>
            <w:vAlign w:val="center"/>
          </w:tcPr>
          <w:p w14:paraId="1B95C582">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符合</w:t>
            </w:r>
          </w:p>
        </w:tc>
        <w:tc>
          <w:tcPr>
            <w:tcW w:w="356" w:type="pct"/>
            <w:noWrap w:val="0"/>
            <w:vAlign w:val="center"/>
          </w:tcPr>
          <w:p w14:paraId="24EC9662">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5</w:t>
            </w:r>
          </w:p>
        </w:tc>
        <w:tc>
          <w:tcPr>
            <w:tcW w:w="452" w:type="pct"/>
            <w:vMerge w:val="continue"/>
            <w:noWrap w:val="0"/>
            <w:vAlign w:val="center"/>
          </w:tcPr>
          <w:p w14:paraId="37C08163">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294" w:type="pct"/>
            <w:noWrap w:val="0"/>
            <w:vAlign w:val="center"/>
          </w:tcPr>
          <w:p w14:paraId="159D5F1A">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eastAsia="zh-CN"/>
              </w:rPr>
            </w:pPr>
            <w:r>
              <w:rPr>
                <w:rFonts w:hint="eastAsia" w:ascii="Times New Roman" w:hAnsi="Times New Roman" w:eastAsia="宋体" w:cs="Times New Roman"/>
                <w:color w:val="auto"/>
                <w:kern w:val="0"/>
                <w:sz w:val="21"/>
                <w:szCs w:val="21"/>
                <w:lang w:val="en-US" w:eastAsia="zh-CN"/>
              </w:rPr>
              <w:t>5</w:t>
            </w:r>
          </w:p>
        </w:tc>
      </w:tr>
      <w:tr w14:paraId="6B495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40" w:hRule="atLeast"/>
          <w:jc w:val="center"/>
        </w:trPr>
        <w:tc>
          <w:tcPr>
            <w:tcW w:w="318" w:type="pct"/>
            <w:vMerge w:val="continue"/>
            <w:noWrap w:val="0"/>
            <w:vAlign w:val="center"/>
          </w:tcPr>
          <w:p w14:paraId="3914E3FA">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1800" w:type="pct"/>
            <w:noWrap w:val="0"/>
            <w:vAlign w:val="center"/>
          </w:tcPr>
          <w:p w14:paraId="0282D65F">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3.12排水系统是否有变形、位移、损坏现象。</w:t>
            </w:r>
          </w:p>
        </w:tc>
        <w:tc>
          <w:tcPr>
            <w:tcW w:w="924" w:type="pct"/>
            <w:noWrap w:val="0"/>
            <w:vAlign w:val="center"/>
          </w:tcPr>
          <w:p w14:paraId="47411464">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《尾矿库安全规程》第9.2.5条</w:t>
            </w:r>
          </w:p>
        </w:tc>
        <w:tc>
          <w:tcPr>
            <w:tcW w:w="493" w:type="pct"/>
            <w:noWrap w:val="0"/>
            <w:vAlign w:val="center"/>
          </w:tcPr>
          <w:p w14:paraId="5F8C7587">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rPr>
              <w:t>查现场</w:t>
            </w:r>
          </w:p>
        </w:tc>
        <w:tc>
          <w:tcPr>
            <w:tcW w:w="361" w:type="pct"/>
            <w:noWrap w:val="0"/>
            <w:vAlign w:val="center"/>
          </w:tcPr>
          <w:p w14:paraId="7D7A26A2">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完好</w:t>
            </w:r>
          </w:p>
        </w:tc>
        <w:tc>
          <w:tcPr>
            <w:tcW w:w="356" w:type="pct"/>
            <w:noWrap w:val="0"/>
            <w:vAlign w:val="center"/>
          </w:tcPr>
          <w:p w14:paraId="381515C2">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7</w:t>
            </w:r>
          </w:p>
        </w:tc>
        <w:tc>
          <w:tcPr>
            <w:tcW w:w="452" w:type="pct"/>
            <w:vMerge w:val="continue"/>
            <w:noWrap w:val="0"/>
            <w:vAlign w:val="center"/>
          </w:tcPr>
          <w:p w14:paraId="5722F5F8">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294" w:type="pct"/>
            <w:noWrap w:val="0"/>
            <w:vAlign w:val="center"/>
          </w:tcPr>
          <w:p w14:paraId="01631F54">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7</w:t>
            </w:r>
          </w:p>
        </w:tc>
      </w:tr>
      <w:tr w14:paraId="4C5BB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318" w:type="pct"/>
            <w:vMerge w:val="continue"/>
            <w:noWrap w:val="0"/>
            <w:vAlign w:val="center"/>
          </w:tcPr>
          <w:p w14:paraId="1AB596DE">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1800" w:type="pct"/>
            <w:noWrap w:val="0"/>
            <w:vAlign w:val="center"/>
          </w:tcPr>
          <w:p w14:paraId="0BF551CB">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left"/>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spacing w:val="4"/>
                <w:kern w:val="0"/>
                <w:sz w:val="21"/>
                <w:szCs w:val="21"/>
              </w:rPr>
              <w:t>3.13未经技术论证，不得用常规子坝拦洪。</w:t>
            </w:r>
          </w:p>
        </w:tc>
        <w:tc>
          <w:tcPr>
            <w:tcW w:w="924" w:type="pct"/>
            <w:noWrap w:val="0"/>
            <w:vAlign w:val="center"/>
          </w:tcPr>
          <w:p w14:paraId="2C72E7E9">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《尾矿库安全规程》第6.4.3条</w:t>
            </w:r>
          </w:p>
        </w:tc>
        <w:tc>
          <w:tcPr>
            <w:tcW w:w="493" w:type="pct"/>
            <w:noWrap w:val="0"/>
            <w:vAlign w:val="center"/>
          </w:tcPr>
          <w:p w14:paraId="041D33D9">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对照设计、现场检查</w:t>
            </w:r>
          </w:p>
        </w:tc>
        <w:tc>
          <w:tcPr>
            <w:tcW w:w="361" w:type="pct"/>
            <w:noWrap w:val="0"/>
            <w:vAlign w:val="center"/>
          </w:tcPr>
          <w:p w14:paraId="01AEA567">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无此项</w:t>
            </w:r>
          </w:p>
        </w:tc>
        <w:tc>
          <w:tcPr>
            <w:tcW w:w="356" w:type="pct"/>
            <w:noWrap w:val="0"/>
            <w:vAlign w:val="center"/>
          </w:tcPr>
          <w:p w14:paraId="796956A1">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4</w:t>
            </w:r>
          </w:p>
        </w:tc>
        <w:tc>
          <w:tcPr>
            <w:tcW w:w="452" w:type="pct"/>
            <w:noWrap w:val="0"/>
            <w:vAlign w:val="center"/>
          </w:tcPr>
          <w:p w14:paraId="2E3CE9FB">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294" w:type="pct"/>
            <w:noWrap w:val="0"/>
            <w:vAlign w:val="center"/>
          </w:tcPr>
          <w:p w14:paraId="1D4C090A">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eastAsia" w:ascii="Times New Roman" w:hAnsi="Times New Roman" w:eastAsia="宋体" w:cs="Times New Roman"/>
                <w:color w:val="auto"/>
                <w:kern w:val="0"/>
                <w:sz w:val="21"/>
                <w:szCs w:val="21"/>
                <w:lang w:val="zh-CN" w:eastAsia="zh-CN"/>
              </w:rPr>
            </w:pPr>
            <w:r>
              <w:rPr>
                <w:rFonts w:hint="eastAsia" w:ascii="Times New Roman" w:hAnsi="Times New Roman" w:eastAsia="宋体" w:cs="Times New Roman"/>
                <w:color w:val="auto"/>
                <w:kern w:val="0"/>
                <w:sz w:val="21"/>
                <w:szCs w:val="21"/>
                <w:lang w:val="en-US" w:eastAsia="zh-CN"/>
              </w:rPr>
              <w:t>/</w:t>
            </w:r>
          </w:p>
        </w:tc>
      </w:tr>
      <w:tr w14:paraId="09A68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2118" w:type="pct"/>
            <w:gridSpan w:val="2"/>
            <w:noWrap w:val="0"/>
            <w:vAlign w:val="center"/>
          </w:tcPr>
          <w:p w14:paraId="040BEFD8">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r>
              <w:rPr>
                <w:rFonts w:hint="default" w:ascii="Times New Roman" w:hAnsi="Times New Roman" w:eastAsia="宋体" w:cs="Times New Roman"/>
                <w:color w:val="auto"/>
                <w:kern w:val="0"/>
                <w:sz w:val="21"/>
                <w:szCs w:val="21"/>
                <w:lang w:val="zh-CN"/>
              </w:rPr>
              <w:t>小计</w:t>
            </w:r>
          </w:p>
        </w:tc>
        <w:tc>
          <w:tcPr>
            <w:tcW w:w="924" w:type="pct"/>
            <w:noWrap w:val="0"/>
            <w:vAlign w:val="center"/>
          </w:tcPr>
          <w:p w14:paraId="54F531DB">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sz w:val="21"/>
                <w:szCs w:val="21"/>
              </w:rPr>
            </w:pPr>
          </w:p>
        </w:tc>
        <w:tc>
          <w:tcPr>
            <w:tcW w:w="493" w:type="pct"/>
            <w:noWrap w:val="0"/>
            <w:vAlign w:val="center"/>
          </w:tcPr>
          <w:p w14:paraId="20A68075">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361" w:type="pct"/>
            <w:noWrap w:val="0"/>
            <w:vAlign w:val="center"/>
          </w:tcPr>
          <w:p w14:paraId="3CDB59D8">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356" w:type="pct"/>
            <w:noWrap w:val="0"/>
            <w:vAlign w:val="center"/>
          </w:tcPr>
          <w:p w14:paraId="2AA8F378">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37</w:t>
            </w:r>
          </w:p>
        </w:tc>
        <w:tc>
          <w:tcPr>
            <w:tcW w:w="452" w:type="pct"/>
            <w:noWrap w:val="0"/>
            <w:vAlign w:val="center"/>
          </w:tcPr>
          <w:p w14:paraId="6B80557C">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294" w:type="pct"/>
            <w:noWrap w:val="0"/>
            <w:vAlign w:val="center"/>
          </w:tcPr>
          <w:p w14:paraId="3FD8EAB0">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34</w:t>
            </w:r>
          </w:p>
        </w:tc>
      </w:tr>
      <w:bookmarkEnd w:id="464"/>
    </w:tbl>
    <w:p w14:paraId="0D246C86">
      <w:pPr>
        <w:pStyle w:val="4"/>
        <w:bidi w:val="0"/>
        <w:rPr>
          <w:rFonts w:hint="default"/>
          <w:color w:val="auto"/>
          <w:lang w:val="en-US" w:eastAsia="zh-CN"/>
        </w:rPr>
      </w:pPr>
      <w:bookmarkStart w:id="506" w:name="_Toc3688"/>
      <w:bookmarkStart w:id="507" w:name="_Toc22625"/>
      <w:bookmarkStart w:id="508" w:name="_Toc20784"/>
      <w:bookmarkStart w:id="509" w:name="_Toc18898"/>
      <w:bookmarkStart w:id="510" w:name="_Toc28495"/>
      <w:r>
        <w:rPr>
          <w:rFonts w:hint="default"/>
          <w:color w:val="auto"/>
          <w:lang w:val="en-US" w:eastAsia="zh-CN"/>
        </w:rPr>
        <w:t>5.</w:t>
      </w:r>
      <w:r>
        <w:rPr>
          <w:rFonts w:hint="eastAsia"/>
          <w:color w:val="auto"/>
          <w:lang w:val="en-US" w:eastAsia="zh-CN"/>
        </w:rPr>
        <w:t>3</w:t>
      </w:r>
      <w:r>
        <w:rPr>
          <w:rFonts w:hint="default"/>
          <w:color w:val="auto"/>
          <w:lang w:val="en-US" w:eastAsia="zh-CN"/>
        </w:rPr>
        <w:t>.</w:t>
      </w:r>
      <w:r>
        <w:rPr>
          <w:rFonts w:hint="eastAsia"/>
          <w:color w:val="auto"/>
          <w:lang w:val="en-US" w:eastAsia="zh-CN"/>
        </w:rPr>
        <w:t xml:space="preserve">2 </w:t>
      </w:r>
      <w:r>
        <w:rPr>
          <w:rFonts w:hint="default"/>
          <w:color w:val="auto"/>
          <w:lang w:val="en-US" w:eastAsia="zh-CN"/>
        </w:rPr>
        <w:t>尾矿库调洪演算</w:t>
      </w:r>
      <w:bookmarkEnd w:id="506"/>
      <w:bookmarkEnd w:id="507"/>
      <w:bookmarkEnd w:id="508"/>
      <w:bookmarkEnd w:id="509"/>
      <w:bookmarkEnd w:id="510"/>
    </w:p>
    <w:p w14:paraId="6065AC99">
      <w:pPr>
        <w:bidi w:val="0"/>
        <w:rPr>
          <w:rFonts w:hint="default"/>
          <w:color w:val="auto"/>
          <w:lang w:val="en-US" w:eastAsia="zh-CN"/>
        </w:rPr>
      </w:pPr>
      <w:r>
        <w:rPr>
          <w:rFonts w:hint="eastAsia"/>
          <w:color w:val="auto"/>
          <w:lang w:val="en-US" w:eastAsia="zh-CN"/>
        </w:rPr>
        <w:t>1. 防洪标准</w:t>
      </w:r>
    </w:p>
    <w:p w14:paraId="5332FBF3">
      <w:pPr>
        <w:bidi w:val="0"/>
        <w:rPr>
          <w:color w:val="auto"/>
        </w:rPr>
      </w:pPr>
      <w:r>
        <w:rPr>
          <w:color w:val="auto"/>
        </w:rPr>
        <w:t>根据《尾矿设施设计规范》（GB50863-2013）第6.1.1条规定，尾矿库的防洪标准应根据各使用期的等别，综合考虑库容、坝高、使用年限及对下游造成的危害等因素，分别按表5</w:t>
      </w:r>
      <w:r>
        <w:rPr>
          <w:rFonts w:hint="eastAsia"/>
          <w:color w:val="auto"/>
          <w:lang w:val="en-US" w:eastAsia="zh-CN"/>
        </w:rPr>
        <w:t>.3</w:t>
      </w:r>
      <w:r>
        <w:rPr>
          <w:color w:val="auto"/>
        </w:rPr>
        <w:t>-</w:t>
      </w:r>
      <w:r>
        <w:rPr>
          <w:rFonts w:hint="eastAsia"/>
          <w:color w:val="auto"/>
          <w:lang w:val="en-US" w:eastAsia="zh-CN"/>
        </w:rPr>
        <w:t>2</w:t>
      </w:r>
      <w:r>
        <w:rPr>
          <w:color w:val="auto"/>
        </w:rPr>
        <w:t>确定。</w:t>
      </w:r>
    </w:p>
    <w:p w14:paraId="65F88BB1">
      <w:pPr>
        <w:bidi w:val="0"/>
        <w:ind w:left="0" w:leftChars="0" w:firstLine="0" w:firstLineChars="0"/>
        <w:jc w:val="center"/>
        <w:rPr>
          <w:rFonts w:ascii="Times New Roman" w:hAnsi="Times New Roman" w:eastAsia="宋体" w:cs="Times New Roman"/>
          <w:color w:val="auto"/>
        </w:rPr>
      </w:pPr>
      <w:r>
        <w:rPr>
          <w:rFonts w:ascii="Times New Roman" w:hAnsi="Times New Roman" w:eastAsia="宋体" w:cs="Times New Roman"/>
          <w:color w:val="auto"/>
          <w:lang w:eastAsia="en-US"/>
        </w:rPr>
        <w:t>表</w:t>
      </w:r>
      <w:r>
        <w:rPr>
          <w:rFonts w:ascii="Times New Roman" w:hAnsi="Times New Roman" w:eastAsia="宋体" w:cs="Times New Roman"/>
          <w:color w:val="auto"/>
        </w:rPr>
        <w:t>5</w:t>
      </w:r>
      <w:r>
        <w:rPr>
          <w:rFonts w:hint="eastAsia" w:ascii="Times New Roman" w:hAnsi="Times New Roman" w:eastAsia="宋体" w:cs="Times New Roman"/>
          <w:color w:val="auto"/>
          <w:lang w:val="en-US" w:eastAsia="zh-CN"/>
        </w:rPr>
        <w:t>.3</w:t>
      </w:r>
      <w:r>
        <w:rPr>
          <w:rFonts w:ascii="Times New Roman" w:hAnsi="Times New Roman" w:eastAsia="宋体" w:cs="Times New Roman"/>
          <w:color w:val="auto"/>
          <w:lang w:eastAsia="en-US"/>
        </w:rPr>
        <w:t>-</w:t>
      </w:r>
      <w:r>
        <w:rPr>
          <w:rFonts w:hint="eastAsia" w:ascii="Times New Roman" w:hAnsi="Times New Roman" w:eastAsia="宋体" w:cs="Times New Roman"/>
          <w:color w:val="auto"/>
          <w:lang w:val="en-US" w:eastAsia="zh-CN"/>
        </w:rPr>
        <w:t>2</w:t>
      </w:r>
      <w:r>
        <w:rPr>
          <w:rFonts w:ascii="Times New Roman" w:hAnsi="Times New Roman" w:eastAsia="宋体" w:cs="Times New Roman"/>
          <w:color w:val="auto"/>
        </w:rPr>
        <w:t xml:space="preserve"> </w:t>
      </w:r>
      <w:r>
        <w:rPr>
          <w:rFonts w:ascii="Times New Roman" w:hAnsi="Times New Roman" w:eastAsia="宋体" w:cs="Times New Roman"/>
          <w:color w:val="auto"/>
          <w:lang w:eastAsia="en-US"/>
        </w:rPr>
        <w:t>尾矿库防洪标准</w:t>
      </w:r>
    </w:p>
    <w:tbl>
      <w:tblPr>
        <w:tblStyle w:val="100"/>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083"/>
        <w:gridCol w:w="2405"/>
        <w:gridCol w:w="1530"/>
        <w:gridCol w:w="1441"/>
        <w:gridCol w:w="1613"/>
      </w:tblGrid>
      <w:tr w14:paraId="67CDB8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1" w:hRule="atLeast"/>
        </w:trPr>
        <w:tc>
          <w:tcPr>
            <w:tcW w:w="1148" w:type="pct"/>
            <w:vAlign w:val="center"/>
          </w:tcPr>
          <w:p w14:paraId="0B13ED28">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b/>
                <w:bCs/>
                <w:color w:val="auto"/>
                <w:kern w:val="0"/>
                <w:sz w:val="21"/>
                <w:szCs w:val="21"/>
                <w:lang w:val="zh-CN" w:eastAsia="en-US"/>
              </w:rPr>
            </w:pPr>
            <w:r>
              <w:rPr>
                <w:rFonts w:hint="default" w:ascii="Times New Roman" w:hAnsi="Times New Roman" w:eastAsia="宋体" w:cs="Times New Roman"/>
                <w:b/>
                <w:bCs/>
                <w:color w:val="auto"/>
                <w:kern w:val="0"/>
                <w:sz w:val="21"/>
                <w:szCs w:val="21"/>
                <w:lang w:val="zh-CN" w:eastAsia="en-US"/>
              </w:rPr>
              <w:t>尾矿库等别</w:t>
            </w:r>
          </w:p>
        </w:tc>
        <w:tc>
          <w:tcPr>
            <w:tcW w:w="1325" w:type="pct"/>
            <w:vAlign w:val="center"/>
          </w:tcPr>
          <w:p w14:paraId="167DC192">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b/>
                <w:bCs/>
                <w:color w:val="auto"/>
                <w:kern w:val="0"/>
                <w:sz w:val="21"/>
                <w:szCs w:val="21"/>
                <w:lang w:val="zh-CN" w:eastAsia="en-US"/>
              </w:rPr>
            </w:pPr>
            <w:r>
              <w:rPr>
                <w:rFonts w:hint="default" w:ascii="Times New Roman" w:hAnsi="Times New Roman" w:eastAsia="宋体" w:cs="Times New Roman"/>
                <w:b/>
                <w:bCs/>
                <w:color w:val="auto"/>
                <w:kern w:val="0"/>
                <w:sz w:val="21"/>
                <w:szCs w:val="21"/>
                <w:lang w:val="zh-CN" w:eastAsia="en-US"/>
              </w:rPr>
              <w:t>一</w:t>
            </w:r>
          </w:p>
        </w:tc>
        <w:tc>
          <w:tcPr>
            <w:tcW w:w="843" w:type="pct"/>
            <w:vAlign w:val="center"/>
          </w:tcPr>
          <w:p w14:paraId="7177ADB1">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b/>
                <w:bCs/>
                <w:color w:val="auto"/>
                <w:kern w:val="0"/>
                <w:sz w:val="21"/>
                <w:szCs w:val="21"/>
                <w:lang w:val="zh-CN" w:eastAsia="en-US"/>
              </w:rPr>
            </w:pPr>
            <w:r>
              <w:rPr>
                <w:rFonts w:hint="default" w:ascii="Times New Roman" w:hAnsi="Times New Roman" w:eastAsia="宋体" w:cs="Times New Roman"/>
                <w:b/>
                <w:bCs/>
                <w:color w:val="auto"/>
                <w:kern w:val="0"/>
                <w:sz w:val="21"/>
                <w:szCs w:val="21"/>
                <w:lang w:val="zh-CN" w:eastAsia="en-US"/>
              </w:rPr>
              <w:t>二</w:t>
            </w:r>
          </w:p>
        </w:tc>
        <w:tc>
          <w:tcPr>
            <w:tcW w:w="794" w:type="pct"/>
            <w:vAlign w:val="center"/>
          </w:tcPr>
          <w:p w14:paraId="174F4D39">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b/>
                <w:bCs/>
                <w:color w:val="auto"/>
                <w:kern w:val="0"/>
                <w:sz w:val="21"/>
                <w:szCs w:val="21"/>
                <w:lang w:val="zh-CN" w:eastAsia="en-US"/>
              </w:rPr>
            </w:pPr>
            <w:r>
              <w:rPr>
                <w:rFonts w:hint="default" w:ascii="Times New Roman" w:hAnsi="Times New Roman" w:eastAsia="宋体" w:cs="Times New Roman"/>
                <w:b/>
                <w:bCs/>
                <w:color w:val="auto"/>
                <w:kern w:val="0"/>
                <w:sz w:val="21"/>
                <w:szCs w:val="21"/>
                <w:lang w:val="zh-CN" w:eastAsia="en-US"/>
              </w:rPr>
              <w:t>三</w:t>
            </w:r>
          </w:p>
        </w:tc>
        <w:tc>
          <w:tcPr>
            <w:tcW w:w="889" w:type="pct"/>
            <w:vAlign w:val="center"/>
          </w:tcPr>
          <w:p w14:paraId="5852492A">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b/>
                <w:bCs/>
                <w:color w:val="auto"/>
                <w:kern w:val="0"/>
                <w:sz w:val="21"/>
                <w:szCs w:val="21"/>
                <w:lang w:val="zh-CN" w:eastAsia="en-US"/>
              </w:rPr>
            </w:pPr>
            <w:r>
              <w:rPr>
                <w:rFonts w:hint="default" w:ascii="Times New Roman" w:hAnsi="Times New Roman" w:eastAsia="宋体" w:cs="Times New Roman"/>
                <w:b/>
                <w:bCs/>
                <w:color w:val="auto"/>
                <w:kern w:val="0"/>
                <w:sz w:val="21"/>
                <w:szCs w:val="21"/>
                <w:lang w:val="zh-CN" w:eastAsia="en-US"/>
              </w:rPr>
              <w:t>四</w:t>
            </w:r>
          </w:p>
        </w:tc>
      </w:tr>
      <w:tr w14:paraId="74EE12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148" w:type="pct"/>
            <w:vAlign w:val="center"/>
          </w:tcPr>
          <w:p w14:paraId="5A33D989">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eastAsia="en-US"/>
              </w:rPr>
            </w:pPr>
            <w:r>
              <w:rPr>
                <w:rFonts w:hint="default" w:ascii="Times New Roman" w:hAnsi="Times New Roman" w:eastAsia="宋体" w:cs="Times New Roman"/>
                <w:color w:val="auto"/>
                <w:kern w:val="0"/>
                <w:sz w:val="21"/>
                <w:szCs w:val="21"/>
                <w:lang w:val="zh-CN" w:eastAsia="en-US"/>
              </w:rPr>
              <w:t>洪水重现期（年）</w:t>
            </w:r>
          </w:p>
        </w:tc>
        <w:tc>
          <w:tcPr>
            <w:tcW w:w="1325" w:type="pct"/>
            <w:vAlign w:val="center"/>
          </w:tcPr>
          <w:p w14:paraId="122D382F">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eastAsia="en-US"/>
              </w:rPr>
            </w:pPr>
            <w:r>
              <w:rPr>
                <w:rFonts w:hint="default" w:ascii="Times New Roman" w:hAnsi="Times New Roman" w:eastAsia="宋体" w:cs="Times New Roman"/>
                <w:color w:val="auto"/>
                <w:kern w:val="0"/>
                <w:sz w:val="21"/>
                <w:szCs w:val="21"/>
                <w:lang w:val="zh-CN" w:eastAsia="en-US"/>
              </w:rPr>
              <w:t>1000～5000或PMF</w:t>
            </w:r>
          </w:p>
        </w:tc>
        <w:tc>
          <w:tcPr>
            <w:tcW w:w="843" w:type="pct"/>
            <w:vAlign w:val="center"/>
          </w:tcPr>
          <w:p w14:paraId="6BD12DA0">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eastAsia="en-US"/>
              </w:rPr>
            </w:pPr>
            <w:r>
              <w:rPr>
                <w:rFonts w:hint="default" w:ascii="Times New Roman" w:hAnsi="Times New Roman" w:eastAsia="宋体" w:cs="Times New Roman"/>
                <w:color w:val="auto"/>
                <w:kern w:val="0"/>
                <w:sz w:val="21"/>
                <w:szCs w:val="21"/>
                <w:lang w:val="zh-CN" w:eastAsia="en-US"/>
              </w:rPr>
              <w:t>500</w:t>
            </w:r>
            <w:r>
              <w:rPr>
                <w:rFonts w:hint="eastAsia" w:ascii="Times New Roman" w:hAnsi="Times New Roman" w:eastAsia="宋体" w:cs="Times New Roman"/>
                <w:color w:val="auto"/>
                <w:kern w:val="0"/>
                <w:sz w:val="21"/>
                <w:szCs w:val="21"/>
                <w:lang w:val="zh-CN" w:eastAsia="zh-CN"/>
              </w:rPr>
              <w:t>~</w:t>
            </w:r>
            <w:r>
              <w:rPr>
                <w:rFonts w:hint="default" w:ascii="Times New Roman" w:hAnsi="Times New Roman" w:eastAsia="宋体" w:cs="Times New Roman"/>
                <w:color w:val="auto"/>
                <w:kern w:val="0"/>
                <w:sz w:val="21"/>
                <w:szCs w:val="21"/>
                <w:lang w:val="zh-CN" w:eastAsia="en-US"/>
              </w:rPr>
              <w:t>1000</w:t>
            </w:r>
          </w:p>
        </w:tc>
        <w:tc>
          <w:tcPr>
            <w:tcW w:w="794" w:type="pct"/>
            <w:vAlign w:val="center"/>
          </w:tcPr>
          <w:p w14:paraId="52D04910">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eastAsia="en-US"/>
              </w:rPr>
            </w:pPr>
            <w:r>
              <w:rPr>
                <w:rFonts w:hint="default" w:ascii="Times New Roman" w:hAnsi="Times New Roman" w:eastAsia="宋体" w:cs="Times New Roman"/>
                <w:color w:val="auto"/>
                <w:kern w:val="0"/>
                <w:sz w:val="21"/>
                <w:szCs w:val="21"/>
                <w:lang w:val="zh-CN" w:eastAsia="en-US"/>
              </w:rPr>
              <w:t>200</w:t>
            </w:r>
            <w:r>
              <w:rPr>
                <w:rFonts w:hint="eastAsia" w:ascii="Times New Roman" w:hAnsi="Times New Roman" w:eastAsia="宋体" w:cs="Times New Roman"/>
                <w:color w:val="auto"/>
                <w:kern w:val="0"/>
                <w:sz w:val="21"/>
                <w:szCs w:val="21"/>
                <w:lang w:val="zh-CN" w:eastAsia="zh-CN"/>
              </w:rPr>
              <w:t>~</w:t>
            </w:r>
            <w:r>
              <w:rPr>
                <w:rFonts w:hint="default" w:ascii="Times New Roman" w:hAnsi="Times New Roman" w:eastAsia="宋体" w:cs="Times New Roman"/>
                <w:color w:val="auto"/>
                <w:kern w:val="0"/>
                <w:sz w:val="21"/>
                <w:szCs w:val="21"/>
                <w:lang w:val="zh-CN" w:eastAsia="en-US"/>
              </w:rPr>
              <w:t>500</w:t>
            </w:r>
          </w:p>
        </w:tc>
        <w:tc>
          <w:tcPr>
            <w:tcW w:w="889" w:type="pct"/>
            <w:vAlign w:val="center"/>
          </w:tcPr>
          <w:p w14:paraId="1B8FC10F">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auto"/>
                <w:kern w:val="0"/>
                <w:sz w:val="21"/>
                <w:szCs w:val="21"/>
                <w:lang w:val="zh-CN" w:eastAsia="en-US"/>
              </w:rPr>
            </w:pPr>
            <w:r>
              <w:rPr>
                <w:rFonts w:hint="default" w:ascii="Times New Roman" w:hAnsi="Times New Roman" w:eastAsia="宋体" w:cs="Times New Roman"/>
                <w:color w:val="auto"/>
                <w:kern w:val="0"/>
                <w:sz w:val="21"/>
                <w:szCs w:val="21"/>
                <w:lang w:val="zh-CN" w:eastAsia="en-US"/>
              </w:rPr>
              <w:t>100</w:t>
            </w:r>
            <w:r>
              <w:rPr>
                <w:rFonts w:hint="eastAsia" w:ascii="Times New Roman" w:hAnsi="Times New Roman" w:eastAsia="宋体" w:cs="Times New Roman"/>
                <w:color w:val="auto"/>
                <w:kern w:val="0"/>
                <w:sz w:val="21"/>
                <w:szCs w:val="21"/>
                <w:lang w:val="zh-CN" w:eastAsia="zh-CN"/>
              </w:rPr>
              <w:t>~</w:t>
            </w:r>
            <w:r>
              <w:rPr>
                <w:rFonts w:hint="default" w:ascii="Times New Roman" w:hAnsi="Times New Roman" w:eastAsia="宋体" w:cs="Times New Roman"/>
                <w:color w:val="auto"/>
                <w:kern w:val="0"/>
                <w:sz w:val="21"/>
                <w:szCs w:val="21"/>
                <w:lang w:val="zh-CN" w:eastAsia="en-US"/>
              </w:rPr>
              <w:t>200</w:t>
            </w:r>
          </w:p>
        </w:tc>
      </w:tr>
    </w:tbl>
    <w:p w14:paraId="2D288EB8">
      <w:pPr>
        <w:bidi w:val="0"/>
        <w:rPr>
          <w:rFonts w:ascii="Times New Roman" w:hAnsi="Times New Roman" w:eastAsia="宋体" w:cs="Times New Roman"/>
          <w:color w:val="auto"/>
        </w:rPr>
      </w:pPr>
      <w:r>
        <w:rPr>
          <w:rFonts w:ascii="Times New Roman" w:hAnsi="Times New Roman" w:eastAsia="宋体" w:cs="Times New Roman"/>
          <w:color w:val="auto"/>
        </w:rPr>
        <w:t>尾矿库主坝总坝高45.3m，副坝坝高19.2m，溢流坝最大坝高为17.0m</w:t>
      </w:r>
      <w:r>
        <w:rPr>
          <w:rFonts w:hint="eastAsia" w:ascii="Times New Roman" w:hAnsi="Times New Roman" w:eastAsia="宋体" w:cs="Times New Roman"/>
          <w:color w:val="auto"/>
        </w:rPr>
        <w:t>；</w:t>
      </w:r>
      <w:r>
        <w:rPr>
          <w:rFonts w:ascii="Times New Roman" w:hAnsi="Times New Roman" w:eastAsia="宋体" w:cs="Times New Roman"/>
          <w:color w:val="auto"/>
        </w:rPr>
        <w:t>尾矿库全库容为296.2</w:t>
      </w:r>
      <w:r>
        <w:rPr>
          <w:rFonts w:hint="eastAsia" w:ascii="Times New Roman" w:hAnsi="Times New Roman" w:eastAsia="宋体" w:cs="Times New Roman"/>
          <w:color w:val="auto"/>
          <w:lang w:val="en-US" w:eastAsia="zh-CN"/>
        </w:rPr>
        <w:t>×</w:t>
      </w:r>
      <w:r>
        <w:rPr>
          <w:rFonts w:ascii="Times New Roman" w:hAnsi="Times New Roman" w:eastAsia="宋体" w:cs="Times New Roman"/>
          <w:color w:val="auto"/>
        </w:rPr>
        <w:t>10</w:t>
      </w:r>
      <w:r>
        <w:rPr>
          <w:rFonts w:ascii="Times New Roman" w:hAnsi="Times New Roman" w:eastAsia="宋体" w:cs="Times New Roman"/>
          <w:color w:val="auto"/>
          <w:vertAlign w:val="superscript"/>
        </w:rPr>
        <w:t>4</w:t>
      </w:r>
      <w:r>
        <w:rPr>
          <w:rFonts w:ascii="Times New Roman" w:hAnsi="Times New Roman" w:eastAsia="宋体" w:cs="Times New Roman"/>
          <w:color w:val="auto"/>
        </w:rPr>
        <w:t>m</w:t>
      </w:r>
      <w:r>
        <w:rPr>
          <w:rFonts w:ascii="Times New Roman" w:hAnsi="Times New Roman" w:eastAsia="宋体" w:cs="Times New Roman"/>
          <w:color w:val="auto"/>
          <w:vertAlign w:val="superscript"/>
        </w:rPr>
        <w:t>3</w:t>
      </w:r>
      <w:r>
        <w:rPr>
          <w:rFonts w:ascii="Times New Roman" w:hAnsi="Times New Roman" w:eastAsia="宋体" w:cs="Times New Roman"/>
          <w:color w:val="auto"/>
        </w:rPr>
        <w:t>，已排尾砂量为251.8</w:t>
      </w:r>
      <w:r>
        <w:rPr>
          <w:rFonts w:hint="eastAsia" w:ascii="Times New Roman" w:hAnsi="Times New Roman" w:eastAsia="宋体" w:cs="Times New Roman"/>
          <w:color w:val="auto"/>
          <w:lang w:val="en-US" w:eastAsia="zh-CN"/>
        </w:rPr>
        <w:t>×</w:t>
      </w:r>
      <w:r>
        <w:rPr>
          <w:rFonts w:ascii="Times New Roman" w:hAnsi="Times New Roman" w:eastAsia="宋体" w:cs="Times New Roman"/>
          <w:color w:val="auto"/>
        </w:rPr>
        <w:t>10</w:t>
      </w:r>
      <w:r>
        <w:rPr>
          <w:rFonts w:ascii="Times New Roman" w:hAnsi="Times New Roman" w:eastAsia="宋体" w:cs="Times New Roman"/>
          <w:color w:val="auto"/>
          <w:vertAlign w:val="superscript"/>
        </w:rPr>
        <w:t>4</w:t>
      </w:r>
      <w:r>
        <w:rPr>
          <w:rFonts w:ascii="Times New Roman" w:hAnsi="Times New Roman" w:eastAsia="宋体" w:cs="Times New Roman"/>
          <w:color w:val="auto"/>
        </w:rPr>
        <w:t>m</w:t>
      </w:r>
      <w:r>
        <w:rPr>
          <w:rFonts w:ascii="Times New Roman" w:hAnsi="Times New Roman" w:eastAsia="宋体" w:cs="Times New Roman"/>
          <w:color w:val="auto"/>
          <w:vertAlign w:val="superscript"/>
        </w:rPr>
        <w:t>3</w:t>
      </w:r>
      <w:r>
        <w:rPr>
          <w:rFonts w:ascii="Times New Roman" w:hAnsi="Times New Roman" w:eastAsia="宋体" w:cs="Times New Roman"/>
          <w:color w:val="auto"/>
        </w:rPr>
        <w:t>，尾矿库为四等库。</w:t>
      </w:r>
      <w:r>
        <w:rPr>
          <w:rFonts w:hint="eastAsia" w:ascii="Times New Roman" w:hAnsi="Times New Roman" w:eastAsia="宋体" w:cs="Times New Roman"/>
          <w:color w:val="auto"/>
        </w:rPr>
        <w:t>因下游有居民，提等至三等库管理。四等库洪水重现期200年，三等库洪水重现期取500年。</w:t>
      </w:r>
      <w:r>
        <w:rPr>
          <w:rFonts w:ascii="Times New Roman" w:hAnsi="Times New Roman" w:eastAsia="宋体" w:cs="Times New Roman"/>
          <w:color w:val="auto"/>
        </w:rPr>
        <w:t>三等库洪水重现期取500年。上游法尾矿库的防洪要求见表5</w:t>
      </w:r>
      <w:r>
        <w:rPr>
          <w:rFonts w:hint="eastAsia" w:ascii="Times New Roman" w:hAnsi="Times New Roman" w:eastAsia="宋体" w:cs="Times New Roman"/>
          <w:color w:val="auto"/>
          <w:lang w:val="en-US" w:eastAsia="zh-CN"/>
        </w:rPr>
        <w:t>.3</w:t>
      </w:r>
      <w:r>
        <w:rPr>
          <w:rFonts w:ascii="Times New Roman" w:hAnsi="Times New Roman" w:eastAsia="宋体" w:cs="Times New Roman"/>
          <w:color w:val="auto"/>
        </w:rPr>
        <w:t>-</w:t>
      </w:r>
      <w:r>
        <w:rPr>
          <w:rFonts w:hint="eastAsia" w:ascii="Times New Roman" w:hAnsi="Times New Roman" w:eastAsia="宋体" w:cs="Times New Roman"/>
          <w:color w:val="auto"/>
          <w:lang w:val="en-US" w:eastAsia="zh-CN"/>
        </w:rPr>
        <w:t>3</w:t>
      </w:r>
      <w:r>
        <w:rPr>
          <w:rFonts w:ascii="Times New Roman" w:hAnsi="Times New Roman" w:eastAsia="宋体" w:cs="Times New Roman"/>
          <w:color w:val="auto"/>
        </w:rPr>
        <w:t>。</w:t>
      </w:r>
    </w:p>
    <w:p w14:paraId="7CF48133">
      <w:pPr>
        <w:bidi w:val="0"/>
        <w:ind w:left="0" w:leftChars="0" w:firstLine="0" w:firstLineChars="0"/>
        <w:jc w:val="center"/>
        <w:rPr>
          <w:rFonts w:ascii="Times New Roman" w:hAnsi="Times New Roman" w:eastAsia="宋体" w:cs="Times New Roman"/>
          <w:color w:val="auto"/>
          <w:lang w:eastAsia="en-US"/>
        </w:rPr>
      </w:pPr>
      <w:r>
        <w:rPr>
          <w:rFonts w:ascii="Times New Roman" w:hAnsi="Times New Roman" w:eastAsia="宋体" w:cs="Times New Roman"/>
          <w:color w:val="auto"/>
          <w:lang w:eastAsia="en-US"/>
        </w:rPr>
        <w:t>表5</w:t>
      </w:r>
      <w:r>
        <w:rPr>
          <w:rFonts w:hint="eastAsia" w:ascii="Times New Roman" w:hAnsi="Times New Roman" w:eastAsia="宋体" w:cs="Times New Roman"/>
          <w:color w:val="auto"/>
          <w:lang w:val="en-US" w:eastAsia="zh-CN"/>
        </w:rPr>
        <w:t>.3</w:t>
      </w:r>
      <w:r>
        <w:rPr>
          <w:rFonts w:ascii="Times New Roman" w:hAnsi="Times New Roman" w:eastAsia="宋体" w:cs="Times New Roman"/>
          <w:color w:val="auto"/>
          <w:lang w:eastAsia="en-US"/>
        </w:rPr>
        <w:t>-</w:t>
      </w:r>
      <w:r>
        <w:rPr>
          <w:rFonts w:hint="eastAsia" w:ascii="Times New Roman" w:hAnsi="Times New Roman" w:eastAsia="宋体" w:cs="Times New Roman"/>
          <w:color w:val="auto"/>
          <w:lang w:val="en-US" w:eastAsia="zh-CN"/>
        </w:rPr>
        <w:t>3</w:t>
      </w:r>
      <w:r>
        <w:rPr>
          <w:rFonts w:ascii="Times New Roman" w:hAnsi="Times New Roman" w:eastAsia="宋体" w:cs="Times New Roman"/>
          <w:color w:val="auto"/>
          <w:lang w:eastAsia="en-US"/>
        </w:rPr>
        <w:t xml:space="preserve"> 等别与相应的防洪要求</w:t>
      </w:r>
    </w:p>
    <w:tbl>
      <w:tblPr>
        <w:tblStyle w:val="100"/>
        <w:tblW w:w="829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03"/>
        <w:gridCol w:w="3481"/>
        <w:gridCol w:w="3415"/>
      </w:tblGrid>
      <w:tr w14:paraId="722DFD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jc w:val="center"/>
        </w:trPr>
        <w:tc>
          <w:tcPr>
            <w:tcW w:w="1403" w:type="dxa"/>
            <w:vAlign w:val="center"/>
          </w:tcPr>
          <w:p w14:paraId="4B0D8A4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zh-CN" w:eastAsia="en-US"/>
              </w:rPr>
            </w:pPr>
            <w:r>
              <w:rPr>
                <w:rFonts w:hint="default" w:ascii="Times New Roman" w:hAnsi="Times New Roman" w:eastAsia="宋体" w:cs="Times New Roman"/>
                <w:b/>
                <w:bCs/>
                <w:color w:val="auto"/>
                <w:kern w:val="0"/>
                <w:sz w:val="21"/>
                <w:szCs w:val="21"/>
                <w:lang w:val="zh-CN" w:eastAsia="en-US"/>
              </w:rPr>
              <w:t>等别</w:t>
            </w:r>
          </w:p>
        </w:tc>
        <w:tc>
          <w:tcPr>
            <w:tcW w:w="3481" w:type="dxa"/>
            <w:vAlign w:val="center"/>
          </w:tcPr>
          <w:p w14:paraId="617E65EF">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zh-CN" w:eastAsia="en-US"/>
              </w:rPr>
            </w:pPr>
            <w:r>
              <w:rPr>
                <w:rFonts w:hint="default" w:ascii="Times New Roman" w:hAnsi="Times New Roman" w:eastAsia="宋体" w:cs="Times New Roman"/>
                <w:b/>
                <w:bCs/>
                <w:color w:val="auto"/>
                <w:kern w:val="0"/>
                <w:sz w:val="21"/>
                <w:szCs w:val="21"/>
                <w:lang w:val="zh-CN" w:eastAsia="en-US"/>
              </w:rPr>
              <w:t>安全超高（m）</w:t>
            </w:r>
          </w:p>
        </w:tc>
        <w:tc>
          <w:tcPr>
            <w:tcW w:w="3415" w:type="dxa"/>
            <w:vAlign w:val="center"/>
          </w:tcPr>
          <w:p w14:paraId="49197F1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zh-CN" w:eastAsia="en-US"/>
              </w:rPr>
            </w:pPr>
            <w:r>
              <w:rPr>
                <w:rFonts w:hint="default" w:ascii="Times New Roman" w:hAnsi="Times New Roman" w:eastAsia="宋体" w:cs="Times New Roman"/>
                <w:b/>
                <w:bCs/>
                <w:color w:val="auto"/>
                <w:kern w:val="0"/>
                <w:sz w:val="21"/>
                <w:szCs w:val="21"/>
                <w:lang w:val="zh-CN" w:eastAsia="en-US"/>
              </w:rPr>
              <w:t>最小干滩长度（m）</w:t>
            </w:r>
          </w:p>
        </w:tc>
      </w:tr>
      <w:tr w14:paraId="42311B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jc w:val="center"/>
        </w:trPr>
        <w:tc>
          <w:tcPr>
            <w:tcW w:w="1403" w:type="dxa"/>
            <w:vAlign w:val="center"/>
          </w:tcPr>
          <w:p w14:paraId="6959ADA2">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zh-CN" w:eastAsia="en-US"/>
              </w:rPr>
            </w:pPr>
            <w:r>
              <w:rPr>
                <w:rFonts w:hint="default" w:ascii="Times New Roman" w:hAnsi="Times New Roman" w:eastAsia="宋体" w:cs="Times New Roman"/>
                <w:color w:val="auto"/>
                <w:kern w:val="0"/>
                <w:sz w:val="21"/>
                <w:szCs w:val="21"/>
                <w:lang w:val="zh-CN" w:eastAsia="en-US"/>
              </w:rPr>
              <w:t>一</w:t>
            </w:r>
          </w:p>
        </w:tc>
        <w:tc>
          <w:tcPr>
            <w:tcW w:w="3481" w:type="dxa"/>
            <w:vAlign w:val="center"/>
          </w:tcPr>
          <w:p w14:paraId="306705F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zh-CN" w:eastAsia="en-US"/>
              </w:rPr>
            </w:pPr>
            <w:r>
              <w:rPr>
                <w:rFonts w:hint="default" w:ascii="Times New Roman" w:hAnsi="Times New Roman" w:eastAsia="宋体" w:cs="Times New Roman"/>
                <w:color w:val="auto"/>
                <w:kern w:val="0"/>
                <w:sz w:val="21"/>
                <w:szCs w:val="21"/>
                <w:lang w:val="zh-CN" w:eastAsia="en-US"/>
              </w:rPr>
              <w:t>1.5</w:t>
            </w:r>
          </w:p>
        </w:tc>
        <w:tc>
          <w:tcPr>
            <w:tcW w:w="3415" w:type="dxa"/>
            <w:vAlign w:val="center"/>
          </w:tcPr>
          <w:p w14:paraId="7B5D37C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zh-CN" w:eastAsia="en-US"/>
              </w:rPr>
            </w:pPr>
            <w:r>
              <w:rPr>
                <w:rFonts w:hint="default" w:ascii="Times New Roman" w:hAnsi="Times New Roman" w:eastAsia="宋体" w:cs="Times New Roman"/>
                <w:color w:val="auto"/>
                <w:kern w:val="0"/>
                <w:sz w:val="21"/>
                <w:szCs w:val="21"/>
                <w:lang w:val="zh-CN" w:eastAsia="en-US"/>
              </w:rPr>
              <w:t>150</w:t>
            </w:r>
          </w:p>
        </w:tc>
      </w:tr>
      <w:tr w14:paraId="324DA4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jc w:val="center"/>
        </w:trPr>
        <w:tc>
          <w:tcPr>
            <w:tcW w:w="1403" w:type="dxa"/>
            <w:vAlign w:val="center"/>
          </w:tcPr>
          <w:p w14:paraId="7108C562">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zh-CN" w:eastAsia="en-US"/>
              </w:rPr>
            </w:pPr>
            <w:r>
              <w:rPr>
                <w:rFonts w:hint="default" w:ascii="Times New Roman" w:hAnsi="Times New Roman" w:eastAsia="宋体" w:cs="Times New Roman"/>
                <w:color w:val="auto"/>
                <w:kern w:val="0"/>
                <w:sz w:val="21"/>
                <w:szCs w:val="21"/>
                <w:lang w:val="zh-CN" w:eastAsia="en-US"/>
              </w:rPr>
              <w:t>二</w:t>
            </w:r>
          </w:p>
        </w:tc>
        <w:tc>
          <w:tcPr>
            <w:tcW w:w="3481" w:type="dxa"/>
            <w:vAlign w:val="center"/>
          </w:tcPr>
          <w:p w14:paraId="7889379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zh-CN" w:eastAsia="en-US"/>
              </w:rPr>
            </w:pPr>
            <w:r>
              <w:rPr>
                <w:rFonts w:hint="default" w:ascii="Times New Roman" w:hAnsi="Times New Roman" w:eastAsia="宋体" w:cs="Times New Roman"/>
                <w:color w:val="auto"/>
                <w:kern w:val="0"/>
                <w:sz w:val="21"/>
                <w:szCs w:val="21"/>
                <w:lang w:val="zh-CN" w:eastAsia="en-US"/>
              </w:rPr>
              <w:t>1.0</w:t>
            </w:r>
          </w:p>
        </w:tc>
        <w:tc>
          <w:tcPr>
            <w:tcW w:w="3415" w:type="dxa"/>
            <w:vAlign w:val="center"/>
          </w:tcPr>
          <w:p w14:paraId="4326606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zh-CN" w:eastAsia="en-US"/>
              </w:rPr>
            </w:pPr>
            <w:r>
              <w:rPr>
                <w:rFonts w:hint="default" w:ascii="Times New Roman" w:hAnsi="Times New Roman" w:eastAsia="宋体" w:cs="Times New Roman"/>
                <w:color w:val="auto"/>
                <w:kern w:val="0"/>
                <w:sz w:val="21"/>
                <w:szCs w:val="21"/>
                <w:lang w:val="zh-CN" w:eastAsia="en-US"/>
              </w:rPr>
              <w:t>100</w:t>
            </w:r>
          </w:p>
        </w:tc>
      </w:tr>
      <w:tr w14:paraId="2C9040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jc w:val="center"/>
        </w:trPr>
        <w:tc>
          <w:tcPr>
            <w:tcW w:w="1403" w:type="dxa"/>
            <w:vAlign w:val="center"/>
          </w:tcPr>
          <w:p w14:paraId="679EC68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zh-CN" w:eastAsia="en-US"/>
              </w:rPr>
            </w:pPr>
            <w:r>
              <w:rPr>
                <w:rFonts w:hint="default" w:ascii="Times New Roman" w:hAnsi="Times New Roman" w:eastAsia="宋体" w:cs="Times New Roman"/>
                <w:color w:val="auto"/>
                <w:kern w:val="0"/>
                <w:sz w:val="21"/>
                <w:szCs w:val="21"/>
                <w:lang w:val="zh-CN" w:eastAsia="en-US"/>
              </w:rPr>
              <w:t>三</w:t>
            </w:r>
          </w:p>
        </w:tc>
        <w:tc>
          <w:tcPr>
            <w:tcW w:w="3481" w:type="dxa"/>
            <w:vAlign w:val="center"/>
          </w:tcPr>
          <w:p w14:paraId="51340862">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zh-CN" w:eastAsia="en-US"/>
              </w:rPr>
            </w:pPr>
            <w:r>
              <w:rPr>
                <w:rFonts w:hint="default" w:ascii="Times New Roman" w:hAnsi="Times New Roman" w:eastAsia="宋体" w:cs="Times New Roman"/>
                <w:color w:val="auto"/>
                <w:kern w:val="0"/>
                <w:sz w:val="21"/>
                <w:szCs w:val="21"/>
                <w:lang w:val="zh-CN" w:eastAsia="en-US"/>
              </w:rPr>
              <w:t>0.7</w:t>
            </w:r>
          </w:p>
        </w:tc>
        <w:tc>
          <w:tcPr>
            <w:tcW w:w="3415" w:type="dxa"/>
            <w:vAlign w:val="center"/>
          </w:tcPr>
          <w:p w14:paraId="5432666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zh-CN" w:eastAsia="en-US"/>
              </w:rPr>
            </w:pPr>
            <w:r>
              <w:rPr>
                <w:rFonts w:hint="default" w:ascii="Times New Roman" w:hAnsi="Times New Roman" w:eastAsia="宋体" w:cs="Times New Roman"/>
                <w:color w:val="auto"/>
                <w:kern w:val="0"/>
                <w:sz w:val="21"/>
                <w:szCs w:val="21"/>
                <w:lang w:val="zh-CN" w:eastAsia="en-US"/>
              </w:rPr>
              <w:t>70</w:t>
            </w:r>
          </w:p>
        </w:tc>
      </w:tr>
      <w:tr w14:paraId="14738B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2" w:hRule="atLeast"/>
          <w:jc w:val="center"/>
        </w:trPr>
        <w:tc>
          <w:tcPr>
            <w:tcW w:w="1403" w:type="dxa"/>
            <w:vAlign w:val="center"/>
          </w:tcPr>
          <w:p w14:paraId="35103DAC">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zh-CN" w:eastAsia="en-US"/>
              </w:rPr>
            </w:pPr>
            <w:r>
              <w:rPr>
                <w:rFonts w:hint="default" w:ascii="Times New Roman" w:hAnsi="Times New Roman" w:eastAsia="宋体" w:cs="Times New Roman"/>
                <w:color w:val="auto"/>
                <w:kern w:val="0"/>
                <w:sz w:val="21"/>
                <w:szCs w:val="21"/>
                <w:lang w:val="zh-CN" w:eastAsia="en-US"/>
              </w:rPr>
              <w:t>四</w:t>
            </w:r>
          </w:p>
        </w:tc>
        <w:tc>
          <w:tcPr>
            <w:tcW w:w="3481" w:type="dxa"/>
            <w:vAlign w:val="center"/>
          </w:tcPr>
          <w:p w14:paraId="4B1AAD0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zh-CN" w:eastAsia="en-US"/>
              </w:rPr>
            </w:pPr>
            <w:r>
              <w:rPr>
                <w:rFonts w:hint="default" w:ascii="Times New Roman" w:hAnsi="Times New Roman" w:eastAsia="宋体" w:cs="Times New Roman"/>
                <w:color w:val="auto"/>
                <w:kern w:val="0"/>
                <w:sz w:val="21"/>
                <w:szCs w:val="21"/>
                <w:lang w:val="zh-CN" w:eastAsia="en-US"/>
              </w:rPr>
              <w:t>0.5</w:t>
            </w:r>
          </w:p>
        </w:tc>
        <w:tc>
          <w:tcPr>
            <w:tcW w:w="3415" w:type="dxa"/>
            <w:vAlign w:val="center"/>
          </w:tcPr>
          <w:p w14:paraId="596BB7B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zh-CN" w:eastAsia="en-US"/>
              </w:rPr>
            </w:pPr>
            <w:r>
              <w:rPr>
                <w:rFonts w:hint="default" w:ascii="Times New Roman" w:hAnsi="Times New Roman" w:eastAsia="宋体" w:cs="Times New Roman"/>
                <w:color w:val="auto"/>
                <w:kern w:val="0"/>
                <w:sz w:val="21"/>
                <w:szCs w:val="21"/>
                <w:lang w:val="zh-CN" w:eastAsia="en-US"/>
              </w:rPr>
              <w:t>50</w:t>
            </w:r>
          </w:p>
        </w:tc>
      </w:tr>
    </w:tbl>
    <w:p w14:paraId="018627B6">
      <w:pPr>
        <w:bidi w:val="0"/>
        <w:rPr>
          <w:color w:val="auto"/>
        </w:rPr>
      </w:pPr>
      <w:r>
        <w:rPr>
          <w:rFonts w:hint="eastAsia"/>
          <w:color w:val="auto"/>
        </w:rPr>
        <w:t>四等尾矿库最小安全超高0.5m，最小干滩长度50m，三等尾矿库最小安全超高0.7m，最小干滩长度70m</w:t>
      </w:r>
      <w:r>
        <w:rPr>
          <w:color w:val="auto"/>
        </w:rPr>
        <w:t>。</w:t>
      </w:r>
    </w:p>
    <w:p w14:paraId="5590E807">
      <w:pPr>
        <w:bidi w:val="0"/>
        <w:rPr>
          <w:rFonts w:hint="default"/>
          <w:color w:val="auto"/>
          <w:lang w:val="en-US" w:eastAsia="zh-CN"/>
        </w:rPr>
      </w:pPr>
      <w:r>
        <w:rPr>
          <w:rFonts w:hint="eastAsia"/>
          <w:color w:val="auto"/>
          <w:lang w:val="en-US" w:eastAsia="zh-CN"/>
        </w:rPr>
        <w:t>2. 洪水计算</w:t>
      </w:r>
    </w:p>
    <w:p w14:paraId="63EC2431">
      <w:pPr>
        <w:bidi w:val="0"/>
        <w:rPr>
          <w:rFonts w:hint="default"/>
          <w:color w:val="auto"/>
          <w:lang w:val="en-US" w:eastAsia="zh-CN"/>
        </w:rPr>
      </w:pPr>
      <w:r>
        <w:rPr>
          <w:rFonts w:hint="default"/>
          <w:color w:val="auto"/>
          <w:lang w:val="en-US" w:eastAsia="zh-CN"/>
        </w:rPr>
        <w:t>（1）洪水计算参数</w:t>
      </w:r>
    </w:p>
    <w:p w14:paraId="726E3BCD">
      <w:pPr>
        <w:bidi w:val="0"/>
        <w:rPr>
          <w:rFonts w:hint="default"/>
          <w:color w:val="auto"/>
          <w:lang w:val="en-US" w:eastAsia="zh-CN"/>
        </w:rPr>
      </w:pPr>
      <w:r>
        <w:rPr>
          <w:rFonts w:hint="default"/>
          <w:color w:val="auto"/>
          <w:lang w:val="en-US" w:eastAsia="zh-CN"/>
        </w:rPr>
        <w:t>根据1</w:t>
      </w:r>
      <w:r>
        <w:rPr>
          <w:rFonts w:hint="eastAsia"/>
          <w:color w:val="auto"/>
        </w:rPr>
        <w:t>∶</w:t>
      </w:r>
      <w:r>
        <w:rPr>
          <w:rFonts w:hint="default"/>
          <w:color w:val="auto"/>
          <w:lang w:val="en-US" w:eastAsia="zh-CN"/>
        </w:rPr>
        <w:t>10000地形图及实测1</w:t>
      </w:r>
      <w:r>
        <w:rPr>
          <w:rFonts w:hint="eastAsia"/>
          <w:color w:val="auto"/>
        </w:rPr>
        <w:t>∶</w:t>
      </w:r>
      <w:r>
        <w:rPr>
          <w:rFonts w:hint="default"/>
          <w:color w:val="auto"/>
          <w:lang w:val="en-US" w:eastAsia="zh-CN"/>
        </w:rPr>
        <w:t>1000地形图，岿美山尾矿库洪水计算地形参数如下表</w:t>
      </w:r>
      <w:r>
        <w:rPr>
          <w:rFonts w:hint="eastAsia"/>
          <w:color w:val="auto"/>
          <w:lang w:val="en-US" w:eastAsia="zh-CN"/>
        </w:rPr>
        <w:t>5.3-4</w:t>
      </w:r>
      <w:r>
        <w:rPr>
          <w:rFonts w:hint="default"/>
          <w:color w:val="auto"/>
          <w:lang w:val="en-US" w:eastAsia="zh-CN"/>
        </w:rPr>
        <w:t>。</w:t>
      </w:r>
    </w:p>
    <w:p w14:paraId="40B18C8A">
      <w:pPr>
        <w:bidi w:val="0"/>
        <w:ind w:left="0" w:leftChars="0" w:firstLine="0" w:firstLineChars="0"/>
        <w:jc w:val="center"/>
        <w:rPr>
          <w:rFonts w:hint="default"/>
          <w:color w:val="auto"/>
          <w:lang w:val="en-US" w:eastAsia="zh-CN"/>
        </w:rPr>
      </w:pPr>
      <w:r>
        <w:rPr>
          <w:rFonts w:hint="default"/>
          <w:color w:val="auto"/>
          <w:lang w:val="en-US" w:eastAsia="zh-CN"/>
        </w:rPr>
        <w:t>表</w:t>
      </w:r>
      <w:r>
        <w:rPr>
          <w:rFonts w:hint="eastAsia"/>
          <w:color w:val="auto"/>
          <w:lang w:val="en-US" w:eastAsia="zh-CN"/>
        </w:rPr>
        <w:t xml:space="preserve">5.3-4 </w:t>
      </w:r>
      <w:r>
        <w:rPr>
          <w:rFonts w:hint="default"/>
          <w:color w:val="auto"/>
          <w:lang w:val="en-US" w:eastAsia="zh-CN"/>
        </w:rPr>
        <w:t>岿美山尾矿库洪水计算地形参数表</w:t>
      </w:r>
    </w:p>
    <w:tbl>
      <w:tblPr>
        <w:tblStyle w:val="100"/>
        <w:tblW w:w="829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46"/>
        <w:gridCol w:w="3753"/>
      </w:tblGrid>
      <w:tr w14:paraId="14303A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jc w:val="center"/>
        </w:trPr>
        <w:tc>
          <w:tcPr>
            <w:tcW w:w="4546" w:type="dxa"/>
            <w:vAlign w:val="center"/>
          </w:tcPr>
          <w:p w14:paraId="55711A0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zh-CN" w:eastAsia="en-US"/>
              </w:rPr>
            </w:pPr>
            <w:r>
              <w:rPr>
                <w:rFonts w:hint="default" w:ascii="Times New Roman" w:hAnsi="Times New Roman" w:eastAsia="宋体" w:cs="Times New Roman"/>
                <w:color w:val="auto"/>
                <w:kern w:val="0"/>
                <w:sz w:val="21"/>
                <w:szCs w:val="21"/>
                <w:lang w:val="zh-CN" w:eastAsia="en-US"/>
              </w:rPr>
              <w:t>汇水面积</w:t>
            </w:r>
            <w:r>
              <w:rPr>
                <w:rFonts w:hint="eastAsia" w:ascii="Times New Roman" w:hAnsi="Times New Roman" w:eastAsia="宋体" w:cs="Times New Roman"/>
                <w:color w:val="auto"/>
                <w:kern w:val="0"/>
                <w:sz w:val="21"/>
                <w:szCs w:val="21"/>
                <w:lang w:val="zh-CN" w:eastAsia="en-US"/>
              </w:rPr>
              <w:t>（km</w:t>
            </w:r>
            <w:r>
              <w:rPr>
                <w:rFonts w:hint="eastAsia" w:ascii="Times New Roman" w:hAnsi="Times New Roman" w:eastAsia="宋体" w:cs="Times New Roman"/>
                <w:color w:val="auto"/>
                <w:kern w:val="0"/>
                <w:sz w:val="21"/>
                <w:szCs w:val="21"/>
                <w:vertAlign w:val="superscript"/>
                <w:lang w:val="zh-CN" w:eastAsia="en-US"/>
              </w:rPr>
              <w:t>2</w:t>
            </w:r>
            <w:r>
              <w:rPr>
                <w:rFonts w:hint="eastAsia" w:ascii="Times New Roman" w:hAnsi="Times New Roman" w:eastAsia="宋体" w:cs="Times New Roman"/>
                <w:color w:val="auto"/>
                <w:kern w:val="0"/>
                <w:sz w:val="21"/>
                <w:szCs w:val="21"/>
                <w:lang w:val="zh-CN" w:eastAsia="en-US"/>
              </w:rPr>
              <w:t>）</w:t>
            </w:r>
          </w:p>
        </w:tc>
        <w:tc>
          <w:tcPr>
            <w:tcW w:w="3753" w:type="dxa"/>
            <w:vAlign w:val="center"/>
          </w:tcPr>
          <w:p w14:paraId="6F00FE7F">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7.05</w:t>
            </w:r>
          </w:p>
        </w:tc>
      </w:tr>
      <w:tr w14:paraId="259B6F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jc w:val="center"/>
        </w:trPr>
        <w:tc>
          <w:tcPr>
            <w:tcW w:w="4546" w:type="dxa"/>
            <w:vAlign w:val="center"/>
          </w:tcPr>
          <w:p w14:paraId="1943537F">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主河槽长L（km）</w:t>
            </w:r>
          </w:p>
        </w:tc>
        <w:tc>
          <w:tcPr>
            <w:tcW w:w="3753" w:type="dxa"/>
            <w:vAlign w:val="center"/>
          </w:tcPr>
          <w:p w14:paraId="46E6F6E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6.39</w:t>
            </w:r>
          </w:p>
        </w:tc>
      </w:tr>
      <w:tr w14:paraId="466478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4546" w:type="dxa"/>
            <w:vAlign w:val="center"/>
          </w:tcPr>
          <w:p w14:paraId="57177B8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河槽加权平均坡降J</w:t>
            </w:r>
          </w:p>
        </w:tc>
        <w:tc>
          <w:tcPr>
            <w:tcW w:w="3753" w:type="dxa"/>
            <w:vAlign w:val="center"/>
          </w:tcPr>
          <w:p w14:paraId="3AEA379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0.046</w:t>
            </w:r>
          </w:p>
        </w:tc>
      </w:tr>
      <w:tr w14:paraId="53E745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4546" w:type="dxa"/>
            <w:vAlign w:val="center"/>
          </w:tcPr>
          <w:p w14:paraId="177DE00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汇流参数m</w:t>
            </w:r>
          </w:p>
        </w:tc>
        <w:tc>
          <w:tcPr>
            <w:tcW w:w="3753" w:type="dxa"/>
            <w:vAlign w:val="center"/>
          </w:tcPr>
          <w:p w14:paraId="5307236F">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0.692</w:t>
            </w:r>
          </w:p>
        </w:tc>
      </w:tr>
    </w:tbl>
    <w:p w14:paraId="6A60045F">
      <w:pPr>
        <w:bidi w:val="0"/>
        <w:rPr>
          <w:color w:val="auto"/>
        </w:rPr>
      </w:pPr>
      <w:r>
        <w:rPr>
          <w:color w:val="auto"/>
        </w:rPr>
        <w:t>根据《江西省暴雨洪水查算手册》（2010年10月）及1</w:t>
      </w:r>
      <w:r>
        <w:rPr>
          <w:rFonts w:hint="eastAsia"/>
          <w:color w:val="auto"/>
        </w:rPr>
        <w:t>∶</w:t>
      </w:r>
      <w:r>
        <w:rPr>
          <w:color w:val="auto"/>
        </w:rPr>
        <w:t>1000地形图，查算求得洪水计算主要参数：</w:t>
      </w:r>
    </w:p>
    <w:p w14:paraId="0094A82D">
      <w:pPr>
        <w:bidi w:val="0"/>
        <w:rPr>
          <w:color w:val="auto"/>
        </w:rPr>
      </w:pPr>
      <w:r>
        <w:rPr>
          <w:color w:val="auto"/>
        </w:rPr>
        <w:t>年最大24小时点暴雨均值：H</w:t>
      </w:r>
      <w:r>
        <w:rPr>
          <w:color w:val="auto"/>
          <w:vertAlign w:val="subscript"/>
        </w:rPr>
        <w:t>24</w:t>
      </w:r>
      <w:r>
        <w:rPr>
          <w:color w:val="auto"/>
        </w:rPr>
        <w:t>＝110mm；</w:t>
      </w:r>
    </w:p>
    <w:p w14:paraId="62047CE5">
      <w:pPr>
        <w:bidi w:val="0"/>
        <w:rPr>
          <w:color w:val="auto"/>
        </w:rPr>
      </w:pPr>
      <w:r>
        <w:rPr>
          <w:color w:val="auto"/>
        </w:rPr>
        <w:t>年最大24小时点暴雨变差系数：C</w:t>
      </w:r>
      <w:r>
        <w:rPr>
          <w:color w:val="auto"/>
          <w:vertAlign w:val="subscript"/>
        </w:rPr>
        <w:t>V</w:t>
      </w:r>
      <w:r>
        <w:rPr>
          <w:color w:val="auto"/>
        </w:rPr>
        <w:t>＝0.40；</w:t>
      </w:r>
    </w:p>
    <w:p w14:paraId="61384005">
      <w:pPr>
        <w:ind w:firstLine="560"/>
        <w:rPr>
          <w:rFonts w:eastAsia="仿宋_GB2312"/>
          <w:color w:val="auto"/>
        </w:rPr>
      </w:pPr>
      <w:r>
        <w:rPr>
          <w:rFonts w:ascii="Times New Roman" w:hAnsi="Times New Roman" w:eastAsia="宋体" w:cs="Times New Roman"/>
          <w:color w:val="auto"/>
        </w:rPr>
        <w:t>偏差系数：</w:t>
      </w:r>
      <w:r>
        <w:rPr>
          <w:rFonts w:eastAsia="仿宋_GB2312"/>
          <w:color w:val="auto"/>
        </w:rPr>
        <w:t>C</w:t>
      </w:r>
      <w:r>
        <w:rPr>
          <w:rFonts w:eastAsia="仿宋_GB2312"/>
          <w:color w:val="auto"/>
          <w:vertAlign w:val="subscript"/>
        </w:rPr>
        <w:t>S</w:t>
      </w:r>
      <w:r>
        <w:rPr>
          <w:rFonts w:eastAsia="仿宋_GB2312"/>
          <w:color w:val="auto"/>
        </w:rPr>
        <w:t>＝3.5C</w:t>
      </w:r>
      <w:r>
        <w:rPr>
          <w:rFonts w:eastAsia="仿宋_GB2312"/>
          <w:color w:val="auto"/>
          <w:vertAlign w:val="subscript"/>
        </w:rPr>
        <w:t>V</w:t>
      </w:r>
      <w:r>
        <w:rPr>
          <w:rFonts w:eastAsia="仿宋_GB2312"/>
          <w:color w:val="auto"/>
        </w:rPr>
        <w:t>；</w:t>
      </w:r>
    </w:p>
    <w:p w14:paraId="45FCFB86">
      <w:pPr>
        <w:ind w:firstLine="560"/>
        <w:rPr>
          <w:rFonts w:hint="eastAsia" w:eastAsia="仿宋_GB2312"/>
          <w:color w:val="auto"/>
          <w:lang w:eastAsia="zh-CN"/>
        </w:rPr>
      </w:pPr>
      <w:r>
        <w:rPr>
          <w:rFonts w:ascii="Times New Roman" w:hAnsi="Times New Roman" w:eastAsia="宋体" w:cs="Times New Roman"/>
          <w:color w:val="auto"/>
        </w:rPr>
        <w:t>前期雨量</w:t>
      </w:r>
      <w:r>
        <w:rPr>
          <w:rFonts w:eastAsia="仿宋_GB2312"/>
          <w:color w:val="auto"/>
        </w:rPr>
        <w:t>Pa=70.0mm</w:t>
      </w:r>
      <w:r>
        <w:rPr>
          <w:rFonts w:hint="eastAsia" w:eastAsia="仿宋_GB2312"/>
          <w:color w:val="auto"/>
          <w:lang w:eastAsia="zh-CN"/>
        </w:rPr>
        <w:t>；</w:t>
      </w:r>
    </w:p>
    <w:p w14:paraId="154A1940">
      <w:pPr>
        <w:ind w:firstLine="560"/>
        <w:rPr>
          <w:rFonts w:eastAsia="仿宋_GB2312"/>
          <w:color w:val="auto"/>
        </w:rPr>
      </w:pPr>
      <w:r>
        <w:rPr>
          <w:rFonts w:ascii="Times New Roman" w:hAnsi="Times New Roman" w:eastAsia="宋体" w:cs="Times New Roman"/>
          <w:color w:val="auto"/>
        </w:rPr>
        <w:t>下渗强度：</w:t>
      </w:r>
      <w:r>
        <w:rPr>
          <w:rFonts w:eastAsia="仿宋_GB2312"/>
          <w:color w:val="auto"/>
        </w:rPr>
        <w:t>μ=2.22mm/h；</w:t>
      </w:r>
    </w:p>
    <w:p w14:paraId="56B7705C">
      <w:pPr>
        <w:ind w:firstLine="560"/>
        <w:rPr>
          <w:rFonts w:eastAsia="仿宋_GB2312"/>
          <w:color w:val="auto"/>
        </w:rPr>
      </w:pPr>
      <w:r>
        <w:rPr>
          <w:rFonts w:ascii="Times New Roman" w:hAnsi="Times New Roman" w:eastAsia="宋体" w:cs="Times New Roman"/>
          <w:color w:val="auto"/>
        </w:rPr>
        <w:t>暴雨递减指数：</w:t>
      </w:r>
      <w:r>
        <w:rPr>
          <w:rFonts w:eastAsia="仿宋_GB2312"/>
          <w:color w:val="auto"/>
        </w:rPr>
        <w:t>n</w:t>
      </w:r>
      <w:r>
        <w:rPr>
          <w:rFonts w:eastAsia="仿宋_GB2312"/>
          <w:color w:val="auto"/>
          <w:vertAlign w:val="subscript"/>
        </w:rPr>
        <w:t>1</w:t>
      </w:r>
      <w:r>
        <w:rPr>
          <w:rFonts w:eastAsia="仿宋_GB2312"/>
          <w:color w:val="auto"/>
        </w:rPr>
        <w:t>＝0.451，n</w:t>
      </w:r>
      <w:r>
        <w:rPr>
          <w:rFonts w:eastAsia="仿宋_GB2312"/>
          <w:color w:val="auto"/>
          <w:vertAlign w:val="subscript"/>
        </w:rPr>
        <w:t>2</w:t>
      </w:r>
      <w:r>
        <w:rPr>
          <w:rFonts w:eastAsia="仿宋_GB2312"/>
          <w:color w:val="auto"/>
        </w:rPr>
        <w:t>＝0.687；</w:t>
      </w:r>
    </w:p>
    <w:p w14:paraId="565E5788">
      <w:pPr>
        <w:ind w:firstLine="560"/>
        <w:rPr>
          <w:rFonts w:ascii="Times New Roman" w:hAnsi="Times New Roman" w:eastAsia="宋体" w:cs="Times New Roman"/>
          <w:color w:val="auto"/>
        </w:rPr>
      </w:pPr>
      <w:r>
        <w:rPr>
          <w:rFonts w:ascii="Times New Roman" w:hAnsi="Times New Roman" w:eastAsia="宋体" w:cs="Times New Roman"/>
          <w:color w:val="auto"/>
        </w:rPr>
        <w:t>尾矿库位于第</w:t>
      </w:r>
      <w:r>
        <w:rPr>
          <w:rFonts w:hint="eastAsia" w:asciiTheme="minorEastAsia" w:hAnsiTheme="minorEastAsia" w:eastAsiaTheme="minorEastAsia" w:cstheme="minorEastAsia"/>
          <w:color w:val="auto"/>
        </w:rPr>
        <w:t>Ⅰ</w:t>
      </w:r>
      <w:r>
        <w:rPr>
          <w:rFonts w:ascii="Times New Roman" w:hAnsi="Times New Roman" w:eastAsia="宋体" w:cs="Times New Roman"/>
          <w:color w:val="auto"/>
        </w:rPr>
        <w:t>产流区，第</w:t>
      </w:r>
      <w:r>
        <w:rPr>
          <w:rFonts w:hint="eastAsia" w:asciiTheme="minorEastAsia" w:hAnsiTheme="minorEastAsia" w:eastAsiaTheme="minorEastAsia" w:cstheme="minorEastAsia"/>
          <w:color w:val="auto"/>
        </w:rPr>
        <w:t>Ⅰ</w:t>
      </w:r>
      <w:r>
        <w:rPr>
          <w:rFonts w:ascii="Times New Roman" w:hAnsi="Times New Roman" w:eastAsia="宋体" w:cs="Times New Roman"/>
          <w:color w:val="auto"/>
        </w:rPr>
        <w:t>汇流区。尾矿库汇水面积较小，因此不作点、面暴雨修正，直接以点暴雨代替面暴雨。</w:t>
      </w:r>
    </w:p>
    <w:p w14:paraId="7C50DBA3">
      <w:pPr>
        <w:ind w:firstLine="560"/>
        <w:rPr>
          <w:rFonts w:ascii="Times New Roman" w:hAnsi="Times New Roman" w:eastAsia="宋体" w:cs="Times New Roman"/>
          <w:color w:val="auto"/>
        </w:rPr>
      </w:pPr>
      <w:r>
        <w:rPr>
          <w:rFonts w:ascii="Times New Roman" w:hAnsi="Times New Roman" w:eastAsia="宋体" w:cs="Times New Roman"/>
          <w:color w:val="auto"/>
        </w:rPr>
        <w:t>（2）洪水计算成果</w:t>
      </w:r>
    </w:p>
    <w:p w14:paraId="4506F73F">
      <w:pPr>
        <w:ind w:firstLine="560"/>
        <w:rPr>
          <w:rFonts w:ascii="Times New Roman" w:hAnsi="Times New Roman" w:eastAsia="宋体" w:cs="Times New Roman"/>
          <w:color w:val="auto"/>
        </w:rPr>
      </w:pPr>
      <w:r>
        <w:rPr>
          <w:rFonts w:ascii="Times New Roman" w:hAnsi="Times New Roman" w:eastAsia="宋体" w:cs="Times New Roman"/>
          <w:color w:val="auto"/>
        </w:rPr>
        <w:t>洪水计算方法采用《江西省暴雨洪水查算手册》（江西省水文局，2010年10月）中的推理公式法推求设计洪水：</w:t>
      </w:r>
    </w:p>
    <w:p w14:paraId="37480F9E">
      <w:pPr>
        <w:widowControl/>
        <w:ind w:firstLine="560"/>
        <w:jc w:val="center"/>
        <w:rPr>
          <w:rFonts w:eastAsia="仿宋_GB2312"/>
          <w:color w:val="auto"/>
        </w:rPr>
      </w:pPr>
      <w:r>
        <w:rPr>
          <w:rFonts w:eastAsia="仿宋_GB2312"/>
          <w:i/>
          <w:iCs/>
          <w:color w:val="auto"/>
          <w:kern w:val="0"/>
          <w:lang w:bidi="ar"/>
        </w:rPr>
        <w:t>Q=</w:t>
      </w:r>
      <w:r>
        <w:rPr>
          <w:rFonts w:eastAsia="仿宋_GB2312"/>
          <w:color w:val="auto"/>
          <w:kern w:val="0"/>
          <w:lang w:bidi="ar"/>
        </w:rPr>
        <w:t>0.278ℎ/τ</w:t>
      </w:r>
      <w:r>
        <w:rPr>
          <w:rFonts w:eastAsia="仿宋_GB2312"/>
          <w:i/>
          <w:iCs/>
          <w:color w:val="auto"/>
          <w:kern w:val="0"/>
          <w:lang w:bidi="ar"/>
        </w:rPr>
        <w:t>F</w:t>
      </w:r>
      <w:r>
        <w:rPr>
          <w:rFonts w:eastAsia="仿宋_GB2312"/>
          <w:i/>
          <w:iCs/>
          <w:color w:val="auto"/>
          <w:kern w:val="0"/>
          <w:lang w:bidi="ar"/>
        </w:rPr>
        <w:tab/>
      </w:r>
      <w:r>
        <w:rPr>
          <w:rFonts w:eastAsia="仿宋_GB2312"/>
          <w:i/>
          <w:iCs/>
          <w:color w:val="auto"/>
          <w:kern w:val="0"/>
          <w:lang w:bidi="ar"/>
        </w:rPr>
        <w:tab/>
      </w:r>
      <w:r>
        <w:rPr>
          <w:rFonts w:eastAsia="仿宋_GB2312"/>
          <w:i/>
          <w:iCs/>
          <w:color w:val="auto"/>
          <w:kern w:val="0"/>
          <w:lang w:bidi="ar"/>
        </w:rPr>
        <w:tab/>
      </w:r>
      <w:r>
        <w:rPr>
          <w:rFonts w:eastAsia="仿宋_GB2312"/>
          <w:i/>
          <w:iCs/>
          <w:color w:val="auto"/>
          <w:kern w:val="0"/>
          <w:lang w:bidi="ar"/>
        </w:rPr>
        <w:tab/>
      </w:r>
      <w:r>
        <w:rPr>
          <w:rFonts w:eastAsia="仿宋_GB2312"/>
          <w:i/>
          <w:iCs/>
          <w:color w:val="auto"/>
          <w:kern w:val="0"/>
          <w:lang w:bidi="ar"/>
        </w:rPr>
        <w:tab/>
      </w:r>
      <w:r>
        <w:rPr>
          <w:rFonts w:eastAsia="仿宋_GB2312"/>
          <w:i/>
          <w:iCs/>
          <w:color w:val="auto"/>
          <w:kern w:val="0"/>
          <w:lang w:bidi="ar"/>
        </w:rPr>
        <w:tab/>
      </w:r>
      <w:r>
        <w:rPr>
          <w:rFonts w:eastAsia="仿宋_GB2312"/>
          <w:i/>
          <w:iCs/>
          <w:color w:val="auto"/>
          <w:kern w:val="0"/>
          <w:lang w:bidi="ar"/>
        </w:rPr>
        <w:t>(</w:t>
      </w:r>
      <w:r>
        <w:rPr>
          <w:rFonts w:eastAsia="仿宋_GB2312"/>
          <w:color w:val="auto"/>
          <w:kern w:val="0"/>
          <w:lang w:bidi="ar"/>
        </w:rPr>
        <w:t>5-1)</w:t>
      </w:r>
    </w:p>
    <w:p w14:paraId="628BF12B">
      <w:pPr>
        <w:widowControl/>
        <w:ind w:firstLine="560"/>
        <w:jc w:val="left"/>
        <w:rPr>
          <w:rFonts w:eastAsia="仿宋_GB2312"/>
          <w:color w:val="auto"/>
        </w:rPr>
      </w:pPr>
      <w:r>
        <w:rPr>
          <w:rFonts w:ascii="Times New Roman" w:hAnsi="Times New Roman" w:eastAsia="宋体" w:cs="Times New Roman"/>
          <w:color w:val="auto"/>
        </w:rPr>
        <w:t>式中：Q—设计频率洪峰流量，</w:t>
      </w:r>
      <w:r>
        <w:rPr>
          <w:rFonts w:eastAsia="仿宋_GB2312"/>
          <w:color w:val="auto"/>
          <w:kern w:val="0"/>
          <w:lang w:bidi="ar"/>
        </w:rPr>
        <w:t>m</w:t>
      </w:r>
      <w:r>
        <w:rPr>
          <w:rFonts w:hint="eastAsia" w:eastAsia="仿宋_GB2312"/>
          <w:color w:val="auto"/>
          <w:kern w:val="0"/>
          <w:vertAlign w:val="superscript"/>
          <w:lang w:val="en-US" w:eastAsia="zh-CN" w:bidi="ar"/>
        </w:rPr>
        <w:t>3</w:t>
      </w:r>
      <w:r>
        <w:rPr>
          <w:rFonts w:eastAsia="仿宋_GB2312"/>
          <w:color w:val="auto"/>
          <w:kern w:val="0"/>
          <w:lang w:bidi="ar"/>
        </w:rPr>
        <w:t>/s；</w:t>
      </w:r>
    </w:p>
    <w:p w14:paraId="2DAFF77B">
      <w:pPr>
        <w:widowControl/>
        <w:ind w:firstLine="1394" w:firstLineChars="498"/>
        <w:jc w:val="left"/>
        <w:rPr>
          <w:rFonts w:eastAsia="仿宋_GB2312"/>
          <w:color w:val="auto"/>
        </w:rPr>
      </w:pPr>
      <w:r>
        <w:rPr>
          <w:rFonts w:ascii="Times New Roman" w:hAnsi="Times New Roman" w:eastAsia="宋体" w:cs="Times New Roman"/>
          <w:color w:val="auto"/>
        </w:rPr>
        <w:t>h—设计频率暴雨量，</w:t>
      </w:r>
      <w:r>
        <w:rPr>
          <w:rFonts w:eastAsia="仿宋_GB2312"/>
          <w:color w:val="auto"/>
          <w:kern w:val="0"/>
          <w:lang w:bidi="ar"/>
        </w:rPr>
        <w:t>mm；</w:t>
      </w:r>
    </w:p>
    <w:p w14:paraId="52B602FF">
      <w:pPr>
        <w:widowControl/>
        <w:ind w:firstLine="1394" w:firstLineChars="498"/>
        <w:jc w:val="left"/>
        <w:rPr>
          <w:rFonts w:eastAsia="仿宋_GB2312"/>
          <w:color w:val="auto"/>
        </w:rPr>
      </w:pPr>
      <w:r>
        <w:rPr>
          <w:rFonts w:ascii="Times New Roman" w:hAnsi="Times New Roman" w:eastAsia="宋体" w:cs="Times New Roman"/>
          <w:color w:val="auto"/>
        </w:rPr>
        <w:t>τ—流域汇流时间，</w:t>
      </w:r>
      <w:r>
        <w:rPr>
          <w:rFonts w:eastAsia="仿宋_GB2312"/>
          <w:color w:val="auto"/>
          <w:kern w:val="0"/>
          <w:lang w:bidi="ar"/>
        </w:rPr>
        <w:t>h；</w:t>
      </w:r>
    </w:p>
    <w:p w14:paraId="2B9DDE42">
      <w:pPr>
        <w:widowControl/>
        <w:ind w:firstLine="1394" w:firstLineChars="498"/>
        <w:jc w:val="left"/>
        <w:rPr>
          <w:rFonts w:eastAsia="仿宋_GB2312"/>
          <w:color w:val="auto"/>
        </w:rPr>
      </w:pPr>
      <w:r>
        <w:rPr>
          <w:rFonts w:ascii="Times New Roman" w:hAnsi="Times New Roman" w:eastAsia="宋体" w:cs="Times New Roman"/>
          <w:color w:val="auto"/>
        </w:rPr>
        <w:t>F—坝址以上流域汇水面积，</w:t>
      </w:r>
      <w:r>
        <w:rPr>
          <w:rFonts w:eastAsia="仿宋_GB2312"/>
          <w:color w:val="auto"/>
          <w:kern w:val="0"/>
          <w:lang w:bidi="ar"/>
        </w:rPr>
        <w:t>km</w:t>
      </w:r>
      <w:r>
        <w:rPr>
          <w:rFonts w:hint="eastAsia" w:eastAsia="仿宋_GB2312"/>
          <w:color w:val="auto"/>
          <w:kern w:val="0"/>
          <w:vertAlign w:val="superscript"/>
          <w:lang w:val="en-US" w:eastAsia="zh-CN" w:bidi="ar"/>
        </w:rPr>
        <w:t>2</w:t>
      </w:r>
      <w:r>
        <w:rPr>
          <w:rFonts w:eastAsia="仿宋_GB2312"/>
          <w:color w:val="auto"/>
          <w:kern w:val="0"/>
          <w:lang w:bidi="ar"/>
        </w:rPr>
        <w:t>。</w:t>
      </w:r>
    </w:p>
    <w:p w14:paraId="626459D9">
      <w:pPr>
        <w:widowControl/>
        <w:ind w:firstLine="560"/>
        <w:jc w:val="center"/>
        <w:rPr>
          <w:rFonts w:eastAsia="仿宋_GB2312"/>
          <w:color w:val="auto"/>
        </w:rPr>
      </w:pPr>
      <w:r>
        <w:rPr>
          <w:rFonts w:eastAsia="仿宋_GB2312"/>
          <w:color w:val="auto"/>
          <w:kern w:val="0"/>
          <w:lang w:bidi="ar"/>
        </w:rPr>
        <w:t>τ=0.278</w:t>
      </w:r>
      <w:r>
        <w:rPr>
          <w:rFonts w:eastAsia="仿宋_GB2312"/>
          <w:i/>
          <w:iCs/>
          <w:color w:val="auto"/>
          <w:kern w:val="0"/>
          <w:lang w:bidi="ar"/>
        </w:rPr>
        <w:t>L</w:t>
      </w:r>
      <w:r>
        <w:rPr>
          <w:rFonts w:eastAsia="仿宋_GB2312"/>
          <w:color w:val="auto"/>
          <w:kern w:val="0"/>
          <w:lang w:bidi="ar"/>
        </w:rPr>
        <w:t>/</w:t>
      </w:r>
      <w:r>
        <w:rPr>
          <w:rFonts w:eastAsia="仿宋_GB2312"/>
          <w:i/>
          <w:iCs/>
          <w:color w:val="auto"/>
          <w:kern w:val="0"/>
          <w:lang w:bidi="ar"/>
        </w:rPr>
        <w:t>mJ</w:t>
      </w:r>
      <w:r>
        <w:rPr>
          <w:rFonts w:eastAsia="仿宋_GB2312"/>
          <w:color w:val="auto"/>
          <w:kern w:val="0"/>
          <w:vertAlign w:val="superscript"/>
          <w:lang w:bidi="ar"/>
        </w:rPr>
        <w:t>1/3</w:t>
      </w:r>
      <w:r>
        <w:rPr>
          <w:rFonts w:eastAsia="仿宋_GB2312"/>
          <w:i/>
          <w:iCs/>
          <w:color w:val="auto"/>
          <w:kern w:val="0"/>
          <w:lang w:bidi="ar"/>
        </w:rPr>
        <w:t>Q</w:t>
      </w:r>
      <w:r>
        <w:rPr>
          <w:rFonts w:eastAsia="仿宋_GB2312"/>
          <w:color w:val="auto"/>
          <w:kern w:val="0"/>
          <w:vertAlign w:val="superscript"/>
          <w:lang w:bidi="ar"/>
        </w:rPr>
        <w:t>1/4</w:t>
      </w:r>
      <w:r>
        <w:rPr>
          <w:rFonts w:eastAsia="仿宋_GB2312"/>
          <w:color w:val="auto"/>
          <w:kern w:val="0"/>
          <w:lang w:bidi="ar"/>
        </w:rPr>
        <w:tab/>
      </w:r>
      <w:r>
        <w:rPr>
          <w:rFonts w:eastAsia="仿宋_GB2312"/>
          <w:color w:val="auto"/>
          <w:kern w:val="0"/>
          <w:lang w:bidi="ar"/>
        </w:rPr>
        <w:tab/>
      </w:r>
      <w:r>
        <w:rPr>
          <w:rFonts w:eastAsia="仿宋_GB2312"/>
          <w:color w:val="auto"/>
          <w:kern w:val="0"/>
          <w:lang w:bidi="ar"/>
        </w:rPr>
        <w:tab/>
      </w:r>
      <w:r>
        <w:rPr>
          <w:rFonts w:eastAsia="仿宋_GB2312"/>
          <w:color w:val="auto"/>
          <w:kern w:val="0"/>
          <w:lang w:bidi="ar"/>
        </w:rPr>
        <w:tab/>
      </w:r>
      <w:r>
        <w:rPr>
          <w:rFonts w:eastAsia="仿宋_GB2312"/>
          <w:color w:val="auto"/>
          <w:kern w:val="0"/>
          <w:lang w:bidi="ar"/>
        </w:rPr>
        <w:tab/>
      </w:r>
      <w:r>
        <w:rPr>
          <w:rFonts w:eastAsia="仿宋_GB2312"/>
          <w:color w:val="auto"/>
          <w:kern w:val="0"/>
          <w:lang w:bidi="ar"/>
        </w:rPr>
        <w:tab/>
      </w:r>
      <w:r>
        <w:rPr>
          <w:rFonts w:eastAsia="仿宋_GB2312"/>
          <w:color w:val="auto"/>
          <w:kern w:val="0"/>
          <w:lang w:bidi="ar"/>
        </w:rPr>
        <w:t>(5-2)</w:t>
      </w:r>
    </w:p>
    <w:p w14:paraId="3ED7CBCC">
      <w:pPr>
        <w:widowControl/>
        <w:ind w:firstLine="560"/>
        <w:jc w:val="left"/>
        <w:rPr>
          <w:rFonts w:eastAsia="仿宋_GB2312"/>
          <w:color w:val="auto"/>
        </w:rPr>
      </w:pPr>
      <w:r>
        <w:rPr>
          <w:rFonts w:ascii="Times New Roman" w:hAnsi="Times New Roman" w:eastAsia="宋体" w:cs="Times New Roman"/>
          <w:color w:val="auto"/>
        </w:rPr>
        <w:t>式中：τ—流域汇流时间，</w:t>
      </w:r>
      <w:r>
        <w:rPr>
          <w:rFonts w:eastAsia="仿宋_GB2312"/>
          <w:color w:val="auto"/>
          <w:kern w:val="0"/>
          <w:lang w:bidi="ar"/>
        </w:rPr>
        <w:t>h；</w:t>
      </w:r>
    </w:p>
    <w:p w14:paraId="77B23583">
      <w:pPr>
        <w:widowControl/>
        <w:ind w:firstLine="1394" w:firstLineChars="498"/>
        <w:jc w:val="left"/>
        <w:rPr>
          <w:rFonts w:eastAsia="仿宋_GB2312"/>
          <w:color w:val="auto"/>
        </w:rPr>
      </w:pPr>
      <w:r>
        <w:rPr>
          <w:rFonts w:ascii="Times New Roman" w:hAnsi="Times New Roman" w:eastAsia="宋体" w:cs="Times New Roman"/>
          <w:color w:val="auto"/>
        </w:rPr>
        <w:t>L—坝址以上最大主河槽长，</w:t>
      </w:r>
      <w:r>
        <w:rPr>
          <w:rFonts w:eastAsia="仿宋_GB2312"/>
          <w:color w:val="auto"/>
          <w:kern w:val="0"/>
          <w:lang w:bidi="ar"/>
        </w:rPr>
        <w:t>km；</w:t>
      </w:r>
    </w:p>
    <w:p w14:paraId="0ABBCBB8">
      <w:pPr>
        <w:widowControl/>
        <w:ind w:firstLine="1394" w:firstLineChars="498"/>
        <w:jc w:val="left"/>
        <w:rPr>
          <w:rFonts w:ascii="Times New Roman" w:hAnsi="Times New Roman" w:eastAsia="宋体" w:cs="Times New Roman"/>
          <w:color w:val="auto"/>
        </w:rPr>
      </w:pPr>
      <w:r>
        <w:rPr>
          <w:rFonts w:ascii="Times New Roman" w:hAnsi="Times New Roman" w:eastAsia="宋体" w:cs="Times New Roman"/>
          <w:color w:val="auto"/>
        </w:rPr>
        <w:t>m—汇流参数；</w:t>
      </w:r>
    </w:p>
    <w:p w14:paraId="6182FF53">
      <w:pPr>
        <w:widowControl/>
        <w:ind w:firstLine="1394" w:firstLineChars="498"/>
        <w:jc w:val="left"/>
        <w:rPr>
          <w:rFonts w:ascii="Times New Roman" w:hAnsi="Times New Roman" w:eastAsia="宋体" w:cs="Times New Roman"/>
          <w:color w:val="auto"/>
        </w:rPr>
      </w:pPr>
      <w:r>
        <w:rPr>
          <w:rFonts w:ascii="Times New Roman" w:hAnsi="Times New Roman" w:eastAsia="宋体" w:cs="Times New Roman"/>
          <w:color w:val="auto"/>
        </w:rPr>
        <w:t>J—主河槽平均坡降。</w:t>
      </w:r>
    </w:p>
    <w:p w14:paraId="7989F6CE">
      <w:pPr>
        <w:bidi w:val="0"/>
        <w:rPr>
          <w:rFonts w:eastAsia="仿宋_GB2312"/>
          <w:color w:val="auto"/>
          <w:kern w:val="0"/>
          <w:lang w:bidi="ar"/>
        </w:rPr>
      </w:pPr>
      <w:r>
        <w:rPr>
          <w:rFonts w:ascii="Times New Roman" w:hAnsi="Times New Roman" w:eastAsia="宋体" w:cs="Times New Roman"/>
          <w:color w:val="auto"/>
        </w:rPr>
        <w:t>洪水计算采用以上公式求得，计算结果见表</w:t>
      </w:r>
      <w:r>
        <w:rPr>
          <w:rFonts w:eastAsia="仿宋_GB2312"/>
          <w:color w:val="auto"/>
          <w:kern w:val="0"/>
          <w:lang w:bidi="ar"/>
        </w:rPr>
        <w:t>5</w:t>
      </w:r>
      <w:r>
        <w:rPr>
          <w:rFonts w:hint="eastAsia" w:eastAsia="仿宋_GB2312"/>
          <w:color w:val="auto"/>
          <w:kern w:val="0"/>
          <w:lang w:val="en-US" w:eastAsia="zh-CN" w:bidi="ar"/>
        </w:rPr>
        <w:t>.3</w:t>
      </w:r>
      <w:r>
        <w:rPr>
          <w:rFonts w:eastAsia="仿宋_GB2312"/>
          <w:color w:val="auto"/>
          <w:kern w:val="0"/>
          <w:lang w:bidi="ar"/>
        </w:rPr>
        <w:t>-</w:t>
      </w:r>
      <w:r>
        <w:rPr>
          <w:rFonts w:hint="eastAsia" w:eastAsia="仿宋_GB2312"/>
          <w:color w:val="auto"/>
          <w:kern w:val="0"/>
          <w:lang w:val="en-US" w:eastAsia="zh-CN" w:bidi="ar"/>
        </w:rPr>
        <w:t>5</w:t>
      </w:r>
      <w:r>
        <w:rPr>
          <w:rFonts w:eastAsia="仿宋_GB2312"/>
          <w:color w:val="auto"/>
          <w:kern w:val="0"/>
          <w:lang w:bidi="ar"/>
        </w:rPr>
        <w:t>。</w:t>
      </w:r>
    </w:p>
    <w:p w14:paraId="4CA1560E">
      <w:pPr>
        <w:pStyle w:val="103"/>
        <w:rPr>
          <w:rFonts w:ascii="Times New Roman" w:hAnsi="Times New Roman" w:eastAsia="宋体" w:cs="Times New Roman"/>
          <w:color w:val="auto"/>
          <w:kern w:val="2"/>
          <w:sz w:val="28"/>
          <w:szCs w:val="24"/>
          <w:lang w:val="en-US" w:eastAsia="zh-CN" w:bidi="ar-SA"/>
        </w:rPr>
      </w:pPr>
      <w:r>
        <w:rPr>
          <w:rFonts w:ascii="Times New Roman" w:hAnsi="Times New Roman" w:eastAsia="宋体" w:cs="Times New Roman"/>
          <w:color w:val="auto"/>
        </w:rPr>
        <w:t>表</w:t>
      </w:r>
      <w:r>
        <w:rPr>
          <w:rFonts w:eastAsia="仿宋_GB2312"/>
          <w:color w:val="auto"/>
          <w:kern w:val="0"/>
          <w:lang w:bidi="ar"/>
        </w:rPr>
        <w:t>5</w:t>
      </w:r>
      <w:r>
        <w:rPr>
          <w:rFonts w:hint="eastAsia" w:eastAsia="仿宋_GB2312"/>
          <w:color w:val="auto"/>
          <w:kern w:val="0"/>
          <w:lang w:val="en-US" w:eastAsia="zh-CN" w:bidi="ar"/>
        </w:rPr>
        <w:t>.3</w:t>
      </w:r>
      <w:r>
        <w:rPr>
          <w:rFonts w:eastAsia="仿宋_GB2312"/>
          <w:color w:val="auto"/>
          <w:kern w:val="0"/>
          <w:lang w:bidi="ar"/>
        </w:rPr>
        <w:t>-</w:t>
      </w:r>
      <w:r>
        <w:rPr>
          <w:rFonts w:hint="eastAsia" w:eastAsia="仿宋_GB2312"/>
          <w:color w:val="auto"/>
          <w:kern w:val="0"/>
          <w:lang w:val="en-US" w:eastAsia="zh-CN" w:bidi="ar"/>
        </w:rPr>
        <w:t>5</w:t>
      </w:r>
      <w:r>
        <w:rPr>
          <w:rFonts w:ascii="Times New Roman" w:hAnsi="Times New Roman" w:eastAsia="宋体" w:cs="Times New Roman"/>
          <w:color w:val="auto"/>
          <w:kern w:val="2"/>
          <w:sz w:val="28"/>
          <w:szCs w:val="24"/>
          <w:lang w:val="en-US" w:eastAsia="zh-CN" w:bidi="ar-SA"/>
        </w:rPr>
        <w:t xml:space="preserve"> 本次洪水计算成果表</w:t>
      </w:r>
    </w:p>
    <w:tbl>
      <w:tblPr>
        <w:tblStyle w:val="100"/>
        <w:tblW w:w="5004"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496"/>
        <w:gridCol w:w="2026"/>
        <w:gridCol w:w="2257"/>
        <w:gridCol w:w="2015"/>
        <w:gridCol w:w="1289"/>
      </w:tblGrid>
      <w:tr w14:paraId="540A37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823" w:type="pct"/>
            <w:vAlign w:val="center"/>
          </w:tcPr>
          <w:p w14:paraId="646F36F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zh-CN" w:eastAsia="en-US"/>
              </w:rPr>
            </w:pPr>
            <w:r>
              <w:rPr>
                <w:rFonts w:hint="default" w:ascii="Times New Roman" w:hAnsi="Times New Roman" w:eastAsia="宋体" w:cs="Times New Roman"/>
                <w:b/>
                <w:bCs/>
                <w:color w:val="auto"/>
                <w:kern w:val="0"/>
                <w:sz w:val="21"/>
                <w:szCs w:val="21"/>
                <w:lang w:val="zh-CN" w:eastAsia="en-US"/>
              </w:rPr>
              <w:t>洪水重现期</w:t>
            </w:r>
          </w:p>
          <w:p w14:paraId="199D9B4C">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zh-CN" w:eastAsia="en-US"/>
              </w:rPr>
            </w:pPr>
            <w:r>
              <w:rPr>
                <w:rFonts w:hint="eastAsia" w:ascii="Times New Roman" w:hAnsi="Times New Roman" w:eastAsia="宋体" w:cs="Times New Roman"/>
                <w:b/>
                <w:bCs/>
                <w:color w:val="auto"/>
                <w:kern w:val="0"/>
                <w:sz w:val="21"/>
                <w:szCs w:val="21"/>
                <w:lang w:val="zh-CN" w:eastAsia="zh-CN"/>
              </w:rPr>
              <w:t>（</w:t>
            </w:r>
            <w:r>
              <w:rPr>
                <w:rFonts w:hint="default" w:ascii="Times New Roman" w:hAnsi="Times New Roman" w:eastAsia="宋体" w:cs="Times New Roman"/>
                <w:b/>
                <w:bCs/>
                <w:color w:val="auto"/>
                <w:kern w:val="0"/>
                <w:sz w:val="21"/>
                <w:szCs w:val="21"/>
                <w:lang w:val="zh-CN" w:eastAsia="en-US"/>
              </w:rPr>
              <w:t>年</w:t>
            </w:r>
            <w:r>
              <w:rPr>
                <w:rFonts w:hint="eastAsia" w:ascii="Times New Roman" w:hAnsi="Times New Roman" w:eastAsia="宋体" w:cs="Times New Roman"/>
                <w:b/>
                <w:bCs/>
                <w:color w:val="auto"/>
                <w:kern w:val="0"/>
                <w:sz w:val="21"/>
                <w:szCs w:val="21"/>
                <w:lang w:val="zh-CN" w:eastAsia="zh-CN"/>
              </w:rPr>
              <w:t>）</w:t>
            </w:r>
          </w:p>
        </w:tc>
        <w:tc>
          <w:tcPr>
            <w:tcW w:w="1115" w:type="pct"/>
            <w:vAlign w:val="center"/>
          </w:tcPr>
          <w:p w14:paraId="4E5B711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zh-CN" w:eastAsia="en-US"/>
              </w:rPr>
            </w:pPr>
            <w:r>
              <w:rPr>
                <w:rFonts w:hint="default" w:ascii="Times New Roman" w:hAnsi="Times New Roman" w:eastAsia="宋体" w:cs="Times New Roman"/>
                <w:b/>
                <w:bCs/>
                <w:color w:val="auto"/>
                <w:kern w:val="0"/>
                <w:sz w:val="21"/>
                <w:szCs w:val="21"/>
                <w:lang w:val="zh-CN" w:eastAsia="en-US"/>
              </w:rPr>
              <w:t>汇水面积</w:t>
            </w:r>
          </w:p>
          <w:p w14:paraId="250EB8A8">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zh-CN" w:eastAsia="en-US"/>
              </w:rPr>
            </w:pPr>
            <w:r>
              <w:rPr>
                <w:rFonts w:hint="default" w:ascii="Times New Roman" w:hAnsi="Times New Roman" w:eastAsia="宋体" w:cs="Times New Roman"/>
                <w:b/>
                <w:bCs/>
                <w:color w:val="auto"/>
                <w:kern w:val="0"/>
                <w:sz w:val="21"/>
                <w:szCs w:val="21"/>
                <w:lang w:val="zh-CN" w:eastAsia="en-US"/>
              </w:rPr>
              <w:t>（km</w:t>
            </w:r>
            <w:r>
              <w:rPr>
                <w:rFonts w:hint="default" w:ascii="Times New Roman" w:hAnsi="Times New Roman" w:eastAsia="宋体" w:cs="Times New Roman"/>
                <w:b/>
                <w:bCs/>
                <w:color w:val="auto"/>
                <w:kern w:val="0"/>
                <w:sz w:val="21"/>
                <w:szCs w:val="21"/>
                <w:vertAlign w:val="superscript"/>
                <w:lang w:val="zh-CN" w:eastAsia="en-US"/>
              </w:rPr>
              <w:t>2</w:t>
            </w:r>
            <w:r>
              <w:rPr>
                <w:rFonts w:hint="default" w:ascii="Times New Roman" w:hAnsi="Times New Roman" w:eastAsia="宋体" w:cs="Times New Roman"/>
                <w:b/>
                <w:bCs/>
                <w:color w:val="auto"/>
                <w:kern w:val="0"/>
                <w:sz w:val="21"/>
                <w:szCs w:val="21"/>
                <w:lang w:val="zh-CN" w:eastAsia="en-US"/>
              </w:rPr>
              <w:t>）</w:t>
            </w:r>
          </w:p>
        </w:tc>
        <w:tc>
          <w:tcPr>
            <w:tcW w:w="1242" w:type="pct"/>
            <w:vAlign w:val="center"/>
          </w:tcPr>
          <w:p w14:paraId="40CEC01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zh-CN" w:eastAsia="en-US"/>
              </w:rPr>
            </w:pPr>
            <w:r>
              <w:rPr>
                <w:rFonts w:hint="default" w:ascii="Times New Roman" w:hAnsi="Times New Roman" w:eastAsia="宋体" w:cs="Times New Roman"/>
                <w:b/>
                <w:bCs/>
                <w:color w:val="auto"/>
                <w:kern w:val="0"/>
                <w:sz w:val="21"/>
                <w:szCs w:val="21"/>
                <w:lang w:val="zh-CN" w:eastAsia="en-US"/>
              </w:rPr>
              <w:t>设计频率雨量</w:t>
            </w:r>
          </w:p>
          <w:p w14:paraId="56AB77D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zh-CN" w:eastAsia="en-US"/>
              </w:rPr>
            </w:pPr>
            <w:r>
              <w:rPr>
                <w:rFonts w:hint="default" w:ascii="Times New Roman" w:hAnsi="Times New Roman" w:eastAsia="宋体" w:cs="Times New Roman"/>
                <w:b/>
                <w:bCs/>
                <w:color w:val="auto"/>
                <w:kern w:val="0"/>
                <w:sz w:val="21"/>
                <w:szCs w:val="21"/>
                <w:lang w:val="zh-CN" w:eastAsia="en-US"/>
              </w:rPr>
              <w:t>H</w:t>
            </w:r>
            <w:r>
              <w:rPr>
                <w:rFonts w:hint="default" w:ascii="Times New Roman" w:hAnsi="Times New Roman" w:eastAsia="宋体" w:cs="Times New Roman"/>
                <w:b/>
                <w:bCs/>
                <w:color w:val="auto"/>
                <w:kern w:val="0"/>
                <w:sz w:val="21"/>
                <w:szCs w:val="21"/>
                <w:vertAlign w:val="subscript"/>
                <w:lang w:val="zh-CN" w:eastAsia="en-US"/>
              </w:rPr>
              <w:t>24</w:t>
            </w:r>
            <w:r>
              <w:rPr>
                <w:rFonts w:hint="default" w:ascii="Times New Roman" w:hAnsi="Times New Roman" w:eastAsia="宋体" w:cs="Times New Roman"/>
                <w:b/>
                <w:bCs/>
                <w:color w:val="auto"/>
                <w:kern w:val="0"/>
                <w:sz w:val="21"/>
                <w:szCs w:val="21"/>
                <w:lang w:val="zh-CN" w:eastAsia="en-US"/>
              </w:rPr>
              <w:t>P（mm）</w:t>
            </w:r>
          </w:p>
        </w:tc>
        <w:tc>
          <w:tcPr>
            <w:tcW w:w="1109" w:type="pct"/>
            <w:vAlign w:val="center"/>
          </w:tcPr>
          <w:p w14:paraId="0B212BE8">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zh-CN" w:eastAsia="en-US"/>
              </w:rPr>
            </w:pPr>
            <w:r>
              <w:rPr>
                <w:rFonts w:hint="default" w:ascii="Times New Roman" w:hAnsi="Times New Roman" w:eastAsia="宋体" w:cs="Times New Roman"/>
                <w:b/>
                <w:bCs/>
                <w:color w:val="auto"/>
                <w:kern w:val="0"/>
                <w:sz w:val="21"/>
                <w:szCs w:val="21"/>
                <w:lang w:val="zh-CN" w:eastAsia="en-US"/>
              </w:rPr>
              <w:t>洪峰流量（m</w:t>
            </w:r>
            <w:r>
              <w:rPr>
                <w:rFonts w:hint="default" w:ascii="Times New Roman" w:hAnsi="Times New Roman" w:eastAsia="宋体" w:cs="Times New Roman"/>
                <w:b/>
                <w:bCs/>
                <w:color w:val="auto"/>
                <w:kern w:val="0"/>
                <w:sz w:val="21"/>
                <w:szCs w:val="21"/>
                <w:vertAlign w:val="superscript"/>
                <w:lang w:val="zh-CN" w:eastAsia="en-US"/>
              </w:rPr>
              <w:t>3</w:t>
            </w:r>
            <w:r>
              <w:rPr>
                <w:rFonts w:hint="default" w:ascii="Times New Roman" w:hAnsi="Times New Roman" w:eastAsia="宋体" w:cs="Times New Roman"/>
                <w:b/>
                <w:bCs/>
                <w:color w:val="auto"/>
                <w:kern w:val="0"/>
                <w:sz w:val="21"/>
                <w:szCs w:val="21"/>
                <w:lang w:val="zh-CN" w:eastAsia="en-US"/>
              </w:rPr>
              <w:t>/s）</w:t>
            </w:r>
          </w:p>
        </w:tc>
        <w:tc>
          <w:tcPr>
            <w:tcW w:w="709" w:type="pct"/>
            <w:vAlign w:val="center"/>
          </w:tcPr>
          <w:p w14:paraId="1275F8E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zh-CN" w:eastAsia="en-US"/>
              </w:rPr>
            </w:pPr>
            <w:r>
              <w:rPr>
                <w:rFonts w:hint="default" w:ascii="Times New Roman" w:hAnsi="Times New Roman" w:eastAsia="宋体" w:cs="Times New Roman"/>
                <w:b/>
                <w:bCs/>
                <w:color w:val="auto"/>
                <w:kern w:val="0"/>
                <w:sz w:val="21"/>
                <w:szCs w:val="21"/>
                <w:lang w:val="zh-CN" w:eastAsia="en-US"/>
              </w:rPr>
              <w:t>洪水总量</w:t>
            </w:r>
          </w:p>
          <w:p w14:paraId="129E0A9F">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zh-CN" w:eastAsia="en-US"/>
              </w:rPr>
            </w:pPr>
            <w:r>
              <w:rPr>
                <w:rFonts w:hint="default" w:ascii="Times New Roman" w:hAnsi="Times New Roman" w:eastAsia="宋体" w:cs="Times New Roman"/>
                <w:b/>
                <w:bCs/>
                <w:color w:val="auto"/>
                <w:kern w:val="0"/>
                <w:sz w:val="21"/>
                <w:szCs w:val="21"/>
                <w:lang w:val="zh-CN" w:eastAsia="en-US"/>
              </w:rPr>
              <w:t>（万m</w:t>
            </w:r>
            <w:r>
              <w:rPr>
                <w:rFonts w:hint="default" w:ascii="Times New Roman" w:hAnsi="Times New Roman" w:eastAsia="宋体" w:cs="Times New Roman"/>
                <w:b/>
                <w:bCs/>
                <w:color w:val="auto"/>
                <w:kern w:val="0"/>
                <w:sz w:val="21"/>
                <w:szCs w:val="21"/>
                <w:vertAlign w:val="superscript"/>
                <w:lang w:val="zh-CN" w:eastAsia="en-US"/>
              </w:rPr>
              <w:t>3</w:t>
            </w:r>
            <w:r>
              <w:rPr>
                <w:rFonts w:hint="default" w:ascii="Times New Roman" w:hAnsi="Times New Roman" w:eastAsia="宋体" w:cs="Times New Roman"/>
                <w:b/>
                <w:bCs/>
                <w:color w:val="auto"/>
                <w:kern w:val="0"/>
                <w:sz w:val="21"/>
                <w:szCs w:val="21"/>
                <w:lang w:val="zh-CN" w:eastAsia="en-US"/>
              </w:rPr>
              <w:t>）</w:t>
            </w:r>
          </w:p>
        </w:tc>
      </w:tr>
      <w:tr w14:paraId="0B48E5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823" w:type="pct"/>
            <w:vAlign w:val="center"/>
          </w:tcPr>
          <w:p w14:paraId="26F0A2E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en-US" w:eastAsia="zh-CN"/>
              </w:rPr>
              <w:t>2</w:t>
            </w:r>
            <w:r>
              <w:rPr>
                <w:rFonts w:hint="eastAsia" w:ascii="Times New Roman" w:hAnsi="Times New Roman" w:eastAsia="宋体" w:cs="Times New Roman"/>
                <w:color w:val="auto"/>
                <w:kern w:val="0"/>
                <w:sz w:val="21"/>
                <w:szCs w:val="21"/>
                <w:lang w:val="zh-CN" w:eastAsia="en-US"/>
              </w:rPr>
              <w:t>00</w:t>
            </w:r>
          </w:p>
        </w:tc>
        <w:tc>
          <w:tcPr>
            <w:tcW w:w="1115" w:type="pct"/>
            <w:vAlign w:val="center"/>
          </w:tcPr>
          <w:p w14:paraId="78A67C8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zh-CN" w:eastAsia="en-US"/>
              </w:rPr>
            </w:pPr>
            <w:r>
              <w:rPr>
                <w:rFonts w:hint="default" w:ascii="Times New Roman" w:hAnsi="Times New Roman" w:eastAsia="宋体" w:cs="Times New Roman"/>
                <w:color w:val="auto"/>
                <w:kern w:val="0"/>
                <w:sz w:val="21"/>
                <w:szCs w:val="21"/>
                <w:lang w:val="zh-CN" w:eastAsia="en-US"/>
              </w:rPr>
              <w:t>7.05</w:t>
            </w:r>
          </w:p>
        </w:tc>
        <w:tc>
          <w:tcPr>
            <w:tcW w:w="1242" w:type="pct"/>
            <w:vAlign w:val="center"/>
          </w:tcPr>
          <w:p w14:paraId="2604A74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en-US" w:eastAsia="zh-CN"/>
              </w:rPr>
              <w:t>278</w:t>
            </w:r>
            <w:r>
              <w:rPr>
                <w:rFonts w:hint="default" w:ascii="Times New Roman" w:hAnsi="Times New Roman" w:eastAsia="宋体" w:cs="Times New Roman"/>
                <w:color w:val="auto"/>
                <w:kern w:val="0"/>
                <w:sz w:val="21"/>
                <w:szCs w:val="21"/>
                <w:lang w:val="zh-CN" w:eastAsia="en-US"/>
              </w:rPr>
              <w:t>.</w:t>
            </w:r>
            <w:r>
              <w:rPr>
                <w:rFonts w:hint="eastAsia" w:ascii="Times New Roman" w:hAnsi="Times New Roman" w:eastAsia="宋体" w:cs="Times New Roman"/>
                <w:color w:val="auto"/>
                <w:kern w:val="0"/>
                <w:sz w:val="21"/>
                <w:szCs w:val="21"/>
                <w:lang w:val="en-US" w:eastAsia="zh-CN"/>
              </w:rPr>
              <w:t>3</w:t>
            </w:r>
            <w:r>
              <w:rPr>
                <w:rFonts w:hint="default" w:ascii="Times New Roman" w:hAnsi="Times New Roman" w:eastAsia="宋体" w:cs="Times New Roman"/>
                <w:color w:val="auto"/>
                <w:kern w:val="0"/>
                <w:sz w:val="21"/>
                <w:szCs w:val="21"/>
                <w:lang w:val="zh-CN" w:eastAsia="en-US"/>
              </w:rPr>
              <w:t>0</w:t>
            </w:r>
          </w:p>
        </w:tc>
        <w:tc>
          <w:tcPr>
            <w:tcW w:w="1109" w:type="pct"/>
            <w:vAlign w:val="center"/>
          </w:tcPr>
          <w:p w14:paraId="1B9327D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zh-CN" w:eastAsia="en-US"/>
              </w:rPr>
            </w:pPr>
            <w:r>
              <w:rPr>
                <w:rFonts w:hint="default" w:ascii="Times New Roman" w:hAnsi="Times New Roman" w:eastAsia="宋体" w:cs="Times New Roman"/>
                <w:color w:val="auto"/>
                <w:kern w:val="0"/>
                <w:sz w:val="21"/>
                <w:szCs w:val="21"/>
                <w:lang w:val="zh-CN" w:eastAsia="en-US"/>
              </w:rPr>
              <w:t>1</w:t>
            </w:r>
            <w:r>
              <w:rPr>
                <w:rFonts w:hint="eastAsia" w:ascii="Times New Roman" w:hAnsi="Times New Roman" w:eastAsia="宋体" w:cs="Times New Roman"/>
                <w:color w:val="auto"/>
                <w:kern w:val="0"/>
                <w:sz w:val="21"/>
                <w:szCs w:val="21"/>
                <w:lang w:val="en-US" w:eastAsia="zh-CN"/>
              </w:rPr>
              <w:t>2</w:t>
            </w:r>
            <w:r>
              <w:rPr>
                <w:rFonts w:hint="default" w:ascii="Times New Roman" w:hAnsi="Times New Roman" w:eastAsia="宋体" w:cs="Times New Roman"/>
                <w:color w:val="auto"/>
                <w:kern w:val="0"/>
                <w:sz w:val="21"/>
                <w:szCs w:val="21"/>
                <w:lang w:val="zh-CN" w:eastAsia="en-US"/>
              </w:rPr>
              <w:t>4.</w:t>
            </w:r>
            <w:r>
              <w:rPr>
                <w:rFonts w:hint="eastAsia" w:ascii="Times New Roman" w:hAnsi="Times New Roman" w:eastAsia="宋体" w:cs="Times New Roman"/>
                <w:color w:val="auto"/>
                <w:kern w:val="0"/>
                <w:sz w:val="21"/>
                <w:szCs w:val="21"/>
                <w:lang w:val="en-US" w:eastAsia="zh-CN"/>
              </w:rPr>
              <w:t>18</w:t>
            </w:r>
          </w:p>
        </w:tc>
        <w:tc>
          <w:tcPr>
            <w:tcW w:w="709" w:type="pct"/>
            <w:vAlign w:val="center"/>
          </w:tcPr>
          <w:p w14:paraId="776C280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zh-CN" w:eastAsia="en-US"/>
              </w:rPr>
            </w:pPr>
            <w:r>
              <w:rPr>
                <w:rFonts w:hint="default" w:ascii="Times New Roman" w:hAnsi="Times New Roman" w:eastAsia="宋体" w:cs="Times New Roman"/>
                <w:color w:val="auto"/>
                <w:kern w:val="0"/>
                <w:sz w:val="21"/>
                <w:szCs w:val="21"/>
                <w:lang w:val="zh-CN" w:eastAsia="en-US"/>
              </w:rPr>
              <w:t>1</w:t>
            </w:r>
            <w:r>
              <w:rPr>
                <w:rFonts w:hint="eastAsia" w:ascii="Times New Roman" w:hAnsi="Times New Roman" w:eastAsia="宋体" w:cs="Times New Roman"/>
                <w:color w:val="auto"/>
                <w:kern w:val="0"/>
                <w:sz w:val="21"/>
                <w:szCs w:val="21"/>
                <w:lang w:val="en-US" w:eastAsia="zh-CN"/>
              </w:rPr>
              <w:t>45</w:t>
            </w:r>
            <w:r>
              <w:rPr>
                <w:rFonts w:hint="default" w:ascii="Times New Roman" w:hAnsi="Times New Roman" w:eastAsia="宋体" w:cs="Times New Roman"/>
                <w:color w:val="auto"/>
                <w:kern w:val="0"/>
                <w:sz w:val="21"/>
                <w:szCs w:val="21"/>
                <w:lang w:val="zh-CN" w:eastAsia="en-US"/>
              </w:rPr>
              <w:t>.</w:t>
            </w:r>
            <w:r>
              <w:rPr>
                <w:rFonts w:hint="eastAsia" w:ascii="Times New Roman" w:hAnsi="Times New Roman" w:eastAsia="宋体" w:cs="Times New Roman"/>
                <w:color w:val="auto"/>
                <w:kern w:val="0"/>
                <w:sz w:val="21"/>
                <w:szCs w:val="21"/>
                <w:lang w:val="en-US" w:eastAsia="zh-CN"/>
              </w:rPr>
              <w:t>61</w:t>
            </w:r>
          </w:p>
        </w:tc>
      </w:tr>
      <w:tr w14:paraId="2413D2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823" w:type="pct"/>
            <w:shd w:val="clear" w:color="auto" w:fill="auto"/>
            <w:vAlign w:val="center"/>
          </w:tcPr>
          <w:p w14:paraId="0D90E1B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zh-CN" w:eastAsia="en-US"/>
              </w:rPr>
              <w:t>500</w:t>
            </w:r>
          </w:p>
        </w:tc>
        <w:tc>
          <w:tcPr>
            <w:tcW w:w="1115" w:type="pct"/>
            <w:shd w:val="clear" w:color="auto" w:fill="auto"/>
            <w:vAlign w:val="center"/>
          </w:tcPr>
          <w:p w14:paraId="1764810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en-US"/>
              </w:rPr>
            </w:pPr>
            <w:r>
              <w:rPr>
                <w:rFonts w:hint="default" w:ascii="Times New Roman" w:hAnsi="Times New Roman" w:eastAsia="宋体" w:cs="Times New Roman"/>
                <w:color w:val="auto"/>
                <w:kern w:val="0"/>
                <w:sz w:val="21"/>
                <w:szCs w:val="21"/>
                <w:lang w:val="zh-CN" w:eastAsia="en-US"/>
              </w:rPr>
              <w:t>7.05</w:t>
            </w:r>
          </w:p>
        </w:tc>
        <w:tc>
          <w:tcPr>
            <w:tcW w:w="1242" w:type="pct"/>
            <w:shd w:val="clear" w:color="auto" w:fill="auto"/>
            <w:vAlign w:val="center"/>
          </w:tcPr>
          <w:p w14:paraId="794FCCC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en-US"/>
              </w:rPr>
            </w:pPr>
            <w:r>
              <w:rPr>
                <w:rFonts w:hint="default" w:ascii="Times New Roman" w:hAnsi="Times New Roman" w:eastAsia="宋体" w:cs="Times New Roman"/>
                <w:color w:val="auto"/>
                <w:kern w:val="0"/>
                <w:sz w:val="21"/>
                <w:szCs w:val="21"/>
                <w:lang w:val="zh-CN" w:eastAsia="en-US"/>
              </w:rPr>
              <w:t>310.20</w:t>
            </w:r>
          </w:p>
        </w:tc>
        <w:tc>
          <w:tcPr>
            <w:tcW w:w="1109" w:type="pct"/>
            <w:shd w:val="clear" w:color="auto" w:fill="auto"/>
            <w:vAlign w:val="center"/>
          </w:tcPr>
          <w:p w14:paraId="73D34D2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en-US"/>
              </w:rPr>
            </w:pPr>
            <w:r>
              <w:rPr>
                <w:rFonts w:hint="default" w:ascii="Times New Roman" w:hAnsi="Times New Roman" w:eastAsia="宋体" w:cs="Times New Roman"/>
                <w:color w:val="auto"/>
                <w:kern w:val="0"/>
                <w:sz w:val="21"/>
                <w:szCs w:val="21"/>
                <w:lang w:val="zh-CN" w:eastAsia="en-US"/>
              </w:rPr>
              <w:t>142.27</w:t>
            </w:r>
          </w:p>
        </w:tc>
        <w:tc>
          <w:tcPr>
            <w:tcW w:w="709" w:type="pct"/>
            <w:shd w:val="clear" w:color="auto" w:fill="auto"/>
            <w:vAlign w:val="center"/>
          </w:tcPr>
          <w:p w14:paraId="52FB6058">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en-US"/>
              </w:rPr>
            </w:pPr>
            <w:r>
              <w:rPr>
                <w:rFonts w:hint="default" w:ascii="Times New Roman" w:hAnsi="Times New Roman" w:eastAsia="宋体" w:cs="Times New Roman"/>
                <w:color w:val="auto"/>
                <w:kern w:val="0"/>
                <w:sz w:val="21"/>
                <w:szCs w:val="21"/>
                <w:lang w:val="zh-CN" w:eastAsia="en-US"/>
              </w:rPr>
              <w:t>164.72</w:t>
            </w:r>
          </w:p>
        </w:tc>
      </w:tr>
    </w:tbl>
    <w:p w14:paraId="069FA977">
      <w:pPr>
        <w:bidi w:val="0"/>
        <w:rPr>
          <w:color w:val="auto"/>
        </w:rPr>
      </w:pPr>
      <w:r>
        <w:rPr>
          <w:color w:val="auto"/>
        </w:rPr>
        <w:t>（3）洪水过程线</w:t>
      </w:r>
    </w:p>
    <w:p w14:paraId="3634F3A0">
      <w:pPr>
        <w:bidi w:val="0"/>
        <w:rPr>
          <w:color w:val="auto"/>
        </w:rPr>
      </w:pPr>
      <w:r>
        <w:rPr>
          <w:color w:val="auto"/>
        </w:rPr>
        <w:t>根据表5</w:t>
      </w:r>
      <w:r>
        <w:rPr>
          <w:rFonts w:hint="eastAsia"/>
          <w:color w:val="auto"/>
          <w:lang w:val="en-US" w:eastAsia="zh-CN"/>
        </w:rPr>
        <w:t>.3</w:t>
      </w:r>
      <w:r>
        <w:rPr>
          <w:color w:val="auto"/>
        </w:rPr>
        <w:t>-</w:t>
      </w:r>
      <w:r>
        <w:rPr>
          <w:rFonts w:hint="eastAsia"/>
          <w:color w:val="auto"/>
          <w:lang w:val="en-US" w:eastAsia="zh-CN"/>
        </w:rPr>
        <w:t>4</w:t>
      </w:r>
      <w:r>
        <w:rPr>
          <w:color w:val="auto"/>
        </w:rPr>
        <w:t>尾矿库</w:t>
      </w:r>
      <w:r>
        <w:rPr>
          <w:rFonts w:hint="eastAsia"/>
          <w:color w:val="auto"/>
          <w:lang w:val="en-US" w:eastAsia="zh-CN"/>
        </w:rPr>
        <w:t>200年和</w:t>
      </w:r>
      <w:r>
        <w:rPr>
          <w:color w:val="auto"/>
        </w:rPr>
        <w:t>500年一遇洪水计算成果数据绘制尾矿库库内洪水过程线，洪水过程线采用《江西省暴雨洪水查算手册》（2010年10月）中推荐的五点概化法进行绘制，</w:t>
      </w:r>
      <w:r>
        <w:rPr>
          <w:rFonts w:hint="eastAsia"/>
          <w:color w:val="auto"/>
          <w:lang w:val="en-US" w:eastAsia="zh-CN"/>
        </w:rPr>
        <w:t>分别</w:t>
      </w:r>
      <w:r>
        <w:rPr>
          <w:color w:val="auto"/>
        </w:rPr>
        <w:t>见图5</w:t>
      </w:r>
      <w:r>
        <w:rPr>
          <w:rFonts w:hint="eastAsia"/>
          <w:color w:val="auto"/>
          <w:lang w:val="en-US" w:eastAsia="zh-CN"/>
        </w:rPr>
        <w:t>.3</w:t>
      </w:r>
      <w:r>
        <w:rPr>
          <w:color w:val="auto"/>
        </w:rPr>
        <w:t>-</w:t>
      </w:r>
      <w:r>
        <w:rPr>
          <w:rFonts w:hint="eastAsia"/>
          <w:color w:val="auto"/>
        </w:rPr>
        <w:t>1</w:t>
      </w:r>
      <w:r>
        <w:rPr>
          <w:rFonts w:hint="eastAsia"/>
          <w:color w:val="auto"/>
          <w:lang w:val="en-US" w:eastAsia="zh-CN"/>
        </w:rPr>
        <w:t>和图5.3-2</w:t>
      </w:r>
      <w:r>
        <w:rPr>
          <w:color w:val="auto"/>
        </w:rPr>
        <w:t>。</w:t>
      </w:r>
    </w:p>
    <w:p w14:paraId="64D26322">
      <w:pPr>
        <w:pStyle w:val="13"/>
        <w:ind w:firstLine="0" w:firstLineChars="0"/>
        <w:jc w:val="center"/>
        <w:rPr>
          <w:color w:val="auto"/>
        </w:rPr>
      </w:pPr>
      <w:r>
        <w:rPr>
          <w:color w:val="auto"/>
        </w:rPr>
        <w:drawing>
          <wp:inline distT="0" distB="0" distL="114300" distR="114300">
            <wp:extent cx="4319905" cy="2945765"/>
            <wp:effectExtent l="0" t="0" r="4445" b="698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8"/>
                    <a:stretch>
                      <a:fillRect/>
                    </a:stretch>
                  </pic:blipFill>
                  <pic:spPr>
                    <a:xfrm>
                      <a:off x="0" y="0"/>
                      <a:ext cx="4319905" cy="2945765"/>
                    </a:xfrm>
                    <a:prstGeom prst="rect">
                      <a:avLst/>
                    </a:prstGeom>
                    <a:noFill/>
                    <a:ln>
                      <a:noFill/>
                    </a:ln>
                  </pic:spPr>
                </pic:pic>
              </a:graphicData>
            </a:graphic>
          </wp:inline>
        </w:drawing>
      </w:r>
    </w:p>
    <w:p w14:paraId="61269647">
      <w:pPr>
        <w:pStyle w:val="13"/>
        <w:widowControl/>
        <w:autoSpaceDE w:val="0"/>
        <w:autoSpaceDN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8"/>
          <w:szCs w:val="24"/>
          <w:lang w:val="en-US" w:eastAsia="zh-CN" w:bidi="ar-SA"/>
        </w:rPr>
      </w:pPr>
      <w:r>
        <w:rPr>
          <w:rFonts w:ascii="Times New Roman" w:hAnsi="Times New Roman" w:eastAsia="宋体" w:cs="Times New Roman"/>
          <w:color w:val="auto"/>
          <w:kern w:val="2"/>
          <w:sz w:val="28"/>
          <w:szCs w:val="24"/>
          <w:lang w:val="en-US" w:eastAsia="zh-CN" w:bidi="ar-SA"/>
        </w:rPr>
        <w:t>图5</w:t>
      </w:r>
      <w:r>
        <w:rPr>
          <w:rFonts w:hint="eastAsia" w:ascii="Times New Roman" w:hAnsi="Times New Roman" w:eastAsia="宋体" w:cs="Times New Roman"/>
          <w:color w:val="auto"/>
          <w:kern w:val="2"/>
          <w:sz w:val="28"/>
          <w:szCs w:val="24"/>
          <w:lang w:val="en-US" w:eastAsia="zh-CN" w:bidi="ar-SA"/>
        </w:rPr>
        <w:t>.3</w:t>
      </w:r>
      <w:r>
        <w:rPr>
          <w:rFonts w:ascii="Times New Roman" w:hAnsi="Times New Roman" w:eastAsia="宋体" w:cs="Times New Roman"/>
          <w:color w:val="auto"/>
          <w:kern w:val="2"/>
          <w:sz w:val="28"/>
          <w:szCs w:val="24"/>
          <w:lang w:val="en-US" w:eastAsia="zh-CN" w:bidi="ar-SA"/>
        </w:rPr>
        <w:t>-</w:t>
      </w:r>
      <w:r>
        <w:rPr>
          <w:rFonts w:hint="eastAsia" w:ascii="Times New Roman" w:hAnsi="Times New Roman" w:eastAsia="宋体" w:cs="Times New Roman"/>
          <w:color w:val="auto"/>
          <w:kern w:val="2"/>
          <w:sz w:val="28"/>
          <w:szCs w:val="24"/>
          <w:lang w:val="en-US" w:eastAsia="zh-CN" w:bidi="ar-SA"/>
        </w:rPr>
        <w:t>1</w:t>
      </w:r>
      <w:r>
        <w:rPr>
          <w:rFonts w:ascii="Times New Roman" w:hAnsi="Times New Roman" w:eastAsia="宋体" w:cs="Times New Roman"/>
          <w:color w:val="auto"/>
          <w:kern w:val="2"/>
          <w:sz w:val="28"/>
          <w:szCs w:val="24"/>
          <w:lang w:val="en-US" w:eastAsia="zh-CN" w:bidi="ar-SA"/>
        </w:rPr>
        <w:t xml:space="preserve"> 尾矿库</w:t>
      </w:r>
      <w:r>
        <w:rPr>
          <w:rFonts w:hint="eastAsia" w:ascii="Times New Roman" w:hAnsi="Times New Roman" w:eastAsia="宋体" w:cs="Times New Roman"/>
          <w:color w:val="auto"/>
          <w:kern w:val="2"/>
          <w:sz w:val="28"/>
          <w:szCs w:val="24"/>
          <w:lang w:val="en-US" w:eastAsia="zh-CN" w:bidi="ar-SA"/>
        </w:rPr>
        <w:t>200</w:t>
      </w:r>
      <w:r>
        <w:rPr>
          <w:rFonts w:ascii="Times New Roman" w:hAnsi="Times New Roman" w:eastAsia="宋体" w:cs="Times New Roman"/>
          <w:color w:val="auto"/>
          <w:kern w:val="2"/>
          <w:sz w:val="28"/>
          <w:szCs w:val="24"/>
          <w:lang w:val="en-US" w:eastAsia="zh-CN" w:bidi="ar-SA"/>
        </w:rPr>
        <w:t>年一遇洪水过程线</w:t>
      </w:r>
    </w:p>
    <w:p w14:paraId="28732036">
      <w:pPr>
        <w:ind w:firstLine="0" w:firstLineChars="0"/>
        <w:jc w:val="center"/>
        <w:rPr>
          <w:rFonts w:eastAsia="仿宋_GB2312"/>
          <w:color w:val="auto"/>
        </w:rPr>
      </w:pPr>
      <w:r>
        <w:rPr>
          <w:color w:val="auto"/>
          <w:position w:val="-109"/>
        </w:rPr>
        <w:drawing>
          <wp:inline distT="0" distB="0" distL="0" distR="0">
            <wp:extent cx="4319905" cy="2877185"/>
            <wp:effectExtent l="0" t="0" r="4445" b="18415"/>
            <wp:docPr id="130" name="IM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 130"/>
                    <pic:cNvPicPr>
                      <a:picLocks noChangeAspect="1"/>
                    </pic:cNvPicPr>
                  </pic:nvPicPr>
                  <pic:blipFill>
                    <a:blip r:embed="rId29"/>
                    <a:stretch>
                      <a:fillRect/>
                    </a:stretch>
                  </pic:blipFill>
                  <pic:spPr>
                    <a:xfrm>
                      <a:off x="0" y="0"/>
                      <a:ext cx="4319905" cy="2877185"/>
                    </a:xfrm>
                    <a:prstGeom prst="rect">
                      <a:avLst/>
                    </a:prstGeom>
                  </pic:spPr>
                </pic:pic>
              </a:graphicData>
            </a:graphic>
          </wp:inline>
        </w:drawing>
      </w:r>
    </w:p>
    <w:p w14:paraId="63A77E59">
      <w:pPr>
        <w:pStyle w:val="13"/>
        <w:widowControl/>
        <w:autoSpaceDE w:val="0"/>
        <w:autoSpaceDN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8"/>
          <w:szCs w:val="24"/>
          <w:lang w:val="en-US" w:eastAsia="zh-CN" w:bidi="ar-SA"/>
        </w:rPr>
      </w:pPr>
      <w:r>
        <w:rPr>
          <w:rFonts w:ascii="Times New Roman" w:hAnsi="Times New Roman" w:eastAsia="宋体" w:cs="Times New Roman"/>
          <w:color w:val="auto"/>
          <w:kern w:val="2"/>
          <w:sz w:val="28"/>
          <w:szCs w:val="24"/>
          <w:lang w:val="en-US" w:eastAsia="zh-CN" w:bidi="ar-SA"/>
        </w:rPr>
        <w:t>图5</w:t>
      </w:r>
      <w:r>
        <w:rPr>
          <w:rFonts w:hint="eastAsia" w:ascii="Times New Roman" w:hAnsi="Times New Roman" w:eastAsia="宋体" w:cs="Times New Roman"/>
          <w:color w:val="auto"/>
          <w:kern w:val="2"/>
          <w:sz w:val="28"/>
          <w:szCs w:val="24"/>
          <w:lang w:val="en-US" w:eastAsia="zh-CN" w:bidi="ar-SA"/>
        </w:rPr>
        <w:t>.3</w:t>
      </w:r>
      <w:r>
        <w:rPr>
          <w:rFonts w:ascii="Times New Roman" w:hAnsi="Times New Roman" w:eastAsia="宋体" w:cs="Times New Roman"/>
          <w:color w:val="auto"/>
          <w:kern w:val="2"/>
          <w:sz w:val="28"/>
          <w:szCs w:val="24"/>
          <w:lang w:val="en-US" w:eastAsia="zh-CN" w:bidi="ar-SA"/>
        </w:rPr>
        <w:t>-</w:t>
      </w:r>
      <w:r>
        <w:rPr>
          <w:rFonts w:hint="eastAsia" w:ascii="Times New Roman" w:hAnsi="Times New Roman" w:eastAsia="宋体" w:cs="Times New Roman"/>
          <w:color w:val="auto"/>
          <w:kern w:val="2"/>
          <w:sz w:val="28"/>
          <w:szCs w:val="24"/>
          <w:lang w:val="en-US" w:eastAsia="zh-CN" w:bidi="ar-SA"/>
        </w:rPr>
        <w:t>2</w:t>
      </w:r>
      <w:r>
        <w:rPr>
          <w:rFonts w:ascii="Times New Roman" w:hAnsi="Times New Roman" w:eastAsia="宋体" w:cs="Times New Roman"/>
          <w:color w:val="auto"/>
          <w:kern w:val="2"/>
          <w:sz w:val="28"/>
          <w:szCs w:val="24"/>
          <w:lang w:val="en-US" w:eastAsia="zh-CN" w:bidi="ar-SA"/>
        </w:rPr>
        <w:t xml:space="preserve"> 尾矿库</w:t>
      </w:r>
      <w:r>
        <w:rPr>
          <w:rFonts w:hint="eastAsia" w:ascii="Times New Roman" w:hAnsi="Times New Roman" w:eastAsia="宋体" w:cs="Times New Roman"/>
          <w:color w:val="auto"/>
          <w:kern w:val="2"/>
          <w:sz w:val="28"/>
          <w:szCs w:val="24"/>
          <w:lang w:val="en-US" w:eastAsia="zh-CN" w:bidi="ar-SA"/>
        </w:rPr>
        <w:t>500</w:t>
      </w:r>
      <w:r>
        <w:rPr>
          <w:rFonts w:ascii="Times New Roman" w:hAnsi="Times New Roman" w:eastAsia="宋体" w:cs="Times New Roman"/>
          <w:color w:val="auto"/>
          <w:kern w:val="2"/>
          <w:sz w:val="28"/>
          <w:szCs w:val="24"/>
          <w:lang w:val="en-US" w:eastAsia="zh-CN" w:bidi="ar-SA"/>
        </w:rPr>
        <w:t>年一遇洪水过程线</w:t>
      </w:r>
    </w:p>
    <w:p w14:paraId="7F4BE957">
      <w:pPr>
        <w:bidi w:val="0"/>
        <w:rPr>
          <w:rFonts w:hint="default"/>
          <w:color w:val="auto"/>
          <w:lang w:val="en-US" w:eastAsia="zh-CN"/>
        </w:rPr>
      </w:pPr>
      <w:r>
        <w:rPr>
          <w:rFonts w:hint="eastAsia"/>
          <w:color w:val="auto"/>
          <w:lang w:val="en-US" w:eastAsia="zh-CN"/>
        </w:rPr>
        <w:t>3. 泄流计算</w:t>
      </w:r>
    </w:p>
    <w:p w14:paraId="57558A49">
      <w:pPr>
        <w:bidi w:val="0"/>
        <w:rPr>
          <w:rFonts w:hint="eastAsia"/>
          <w:color w:val="auto"/>
          <w:lang w:val="en-US" w:eastAsia="zh-CN"/>
        </w:rPr>
      </w:pPr>
      <w:r>
        <w:rPr>
          <w:color w:val="auto"/>
        </w:rPr>
        <w:t>现状尾矿库采用溢流坝排洪排水，溢流坝位于副坝西北面约130m处，为混凝土结构，分为溢流坝段和非溢流坝段，非溢流坝段顶高程为</w:t>
      </w:r>
      <w:r>
        <w:rPr>
          <w:rFonts w:hint="eastAsia"/>
          <w:color w:val="auto"/>
          <w:lang w:val="en-US" w:eastAsia="zh-CN"/>
        </w:rPr>
        <w:t>+</w:t>
      </w:r>
      <w:r>
        <w:rPr>
          <w:color w:val="auto"/>
        </w:rPr>
        <w:t>336.3m，溢流坝处有8格泄水口，泄水口之间钢筋混凝土支墩，支墩宽度为0.5m，每格泄水口宽3.0m，溢流坝段顶高程为</w:t>
      </w:r>
      <w:r>
        <w:rPr>
          <w:rFonts w:hint="eastAsia"/>
          <w:color w:val="auto"/>
          <w:lang w:val="en-US" w:eastAsia="zh-CN"/>
        </w:rPr>
        <w:t>+</w:t>
      </w:r>
      <w:r>
        <w:rPr>
          <w:color w:val="auto"/>
        </w:rPr>
        <w:t>330.8m，混凝土挡板顶高程为</w:t>
      </w:r>
      <w:r>
        <w:rPr>
          <w:rFonts w:hint="eastAsia"/>
          <w:color w:val="auto"/>
          <w:lang w:val="en-US" w:eastAsia="zh-CN"/>
        </w:rPr>
        <w:t>+</w:t>
      </w:r>
      <w:r>
        <w:rPr>
          <w:color w:val="auto"/>
        </w:rPr>
        <w:t>331.8m</w:t>
      </w:r>
      <w:r>
        <w:rPr>
          <w:rFonts w:hint="eastAsia"/>
          <w:color w:val="auto"/>
          <w:lang w:val="en-US" w:eastAsia="zh-CN"/>
        </w:rPr>
        <w:t>。</w:t>
      </w:r>
    </w:p>
    <w:p w14:paraId="027D24A6">
      <w:pPr>
        <w:bidi w:val="0"/>
        <w:rPr>
          <w:color w:val="auto"/>
        </w:rPr>
      </w:pPr>
      <w:r>
        <w:rPr>
          <w:rFonts w:hint="eastAsia"/>
          <w:color w:val="auto"/>
        </w:rPr>
        <w:t>现堆积坝顶高程为</w:t>
      </w:r>
      <w:r>
        <w:rPr>
          <w:rFonts w:hint="eastAsia"/>
          <w:color w:val="auto"/>
          <w:lang w:val="en-US" w:eastAsia="zh-CN"/>
        </w:rPr>
        <w:t>+</w:t>
      </w:r>
      <w:r>
        <w:rPr>
          <w:rFonts w:hint="eastAsia"/>
          <w:color w:val="auto"/>
        </w:rPr>
        <w:t>335.6m，库内滩顶高程为</w:t>
      </w:r>
      <w:r>
        <w:rPr>
          <w:rFonts w:hint="eastAsia"/>
          <w:color w:val="auto"/>
          <w:lang w:val="en-US" w:eastAsia="zh-CN"/>
        </w:rPr>
        <w:t>+</w:t>
      </w:r>
      <w:r>
        <w:rPr>
          <w:rFonts w:hint="eastAsia"/>
          <w:color w:val="auto"/>
        </w:rPr>
        <w:t>334.3m，坝前50m处干滩面高程为</w:t>
      </w:r>
      <w:r>
        <w:rPr>
          <w:rFonts w:hint="eastAsia"/>
          <w:color w:val="auto"/>
          <w:lang w:val="en-US" w:eastAsia="zh-CN"/>
        </w:rPr>
        <w:t>+</w:t>
      </w:r>
      <w:r>
        <w:rPr>
          <w:rFonts w:hint="eastAsia"/>
          <w:color w:val="auto"/>
        </w:rPr>
        <w:t>332.8m，坝前70m处干滩面高程为</w:t>
      </w:r>
      <w:r>
        <w:rPr>
          <w:rFonts w:hint="eastAsia"/>
          <w:color w:val="auto"/>
          <w:lang w:val="en-US" w:eastAsia="zh-CN"/>
        </w:rPr>
        <w:t>+</w:t>
      </w:r>
      <w:r>
        <w:rPr>
          <w:rFonts w:hint="eastAsia"/>
          <w:color w:val="auto"/>
        </w:rPr>
        <w:t>332.6m</w:t>
      </w:r>
      <w:r>
        <w:rPr>
          <w:color w:val="auto"/>
        </w:rPr>
        <w:t>。</w:t>
      </w:r>
    </w:p>
    <w:p w14:paraId="2E919B20">
      <w:pPr>
        <w:bidi w:val="0"/>
        <w:rPr>
          <w:color w:val="auto"/>
        </w:rPr>
      </w:pPr>
      <w:r>
        <w:rPr>
          <w:color w:val="auto"/>
        </w:rPr>
        <w:t>（</w:t>
      </w:r>
      <w:r>
        <w:rPr>
          <w:rFonts w:hint="eastAsia"/>
          <w:color w:val="auto"/>
        </w:rPr>
        <w:t>1</w:t>
      </w:r>
      <w:r>
        <w:rPr>
          <w:color w:val="auto"/>
        </w:rPr>
        <w:t>）泄流能力计算</w:t>
      </w:r>
    </w:p>
    <w:p w14:paraId="4E6B7975">
      <w:pPr>
        <w:bidi w:val="0"/>
        <w:rPr>
          <w:color w:val="auto"/>
        </w:rPr>
      </w:pPr>
      <w:r>
        <w:rPr>
          <w:rFonts w:hint="eastAsia"/>
          <w:color w:val="auto"/>
          <w:lang w:val="en-US" w:eastAsia="zh-CN"/>
        </w:rPr>
        <w:t>根据堰流流量</w:t>
      </w:r>
      <w:r>
        <w:rPr>
          <w:color w:val="auto"/>
        </w:rPr>
        <w:t>计算公式</w:t>
      </w:r>
      <m:oMath>
        <m:r>
          <m:rPr>
            <m:nor/>
          </m:rPr>
          <w:rPr>
            <w:rFonts w:ascii="Times New Roman" w:hAnsi="Times New Roman" w:eastAsia="仿宋_GB2312"/>
            <w:i/>
            <w:color w:val="auto"/>
            <w:lang w:val="en-US"/>
          </w:rPr>
          <m:t>Q</m:t>
        </m:r>
        <m:r>
          <m:rPr>
            <m:nor/>
            <m:sty m:val="p"/>
          </m:rPr>
          <w:rPr>
            <w:rFonts w:ascii="Times New Roman" w:hAnsi="Times New Roman" w:eastAsia="仿宋_GB2312"/>
            <w:b w:val="0"/>
            <w:i w:val="0"/>
            <w:color w:val="auto"/>
            <w:lang w:val="en-US"/>
          </w:rPr>
          <m:t>=</m:t>
        </m:r>
        <m:sSub>
          <m:sSubPr>
            <m:ctrlPr>
              <w:rPr>
                <w:rFonts w:ascii="Cambria Math" w:hAnsi="Cambria Math" w:eastAsia="仿宋_GB2312"/>
                <w:i/>
                <w:color w:val="auto"/>
                <w:lang w:val="en-US"/>
              </w:rPr>
            </m:ctrlPr>
          </m:sSubPr>
          <m:e>
            <m:r>
              <m:rPr>
                <m:nor/>
              </m:rPr>
              <w:rPr>
                <w:rFonts w:ascii="Times New Roman" w:hAnsi="Times New Roman" w:eastAsia="仿宋_GB2312"/>
                <w:i/>
                <w:color w:val="auto"/>
                <w:lang w:val="en-US"/>
              </w:rPr>
              <m:t>σ</m:t>
            </m:r>
            <m:ctrlPr>
              <w:rPr>
                <w:rFonts w:ascii="Cambria Math" w:hAnsi="Cambria Math" w:eastAsia="仿宋_GB2312"/>
                <w:i/>
                <w:color w:val="auto"/>
                <w:lang w:val="en-US"/>
              </w:rPr>
            </m:ctrlPr>
          </m:e>
          <m:sub>
            <m:r>
              <m:rPr>
                <m:nor/>
              </m:rPr>
              <w:rPr>
                <w:rFonts w:ascii="Times New Roman" w:hAnsi="Times New Roman" w:eastAsia="仿宋_GB2312"/>
                <w:i/>
                <w:color w:val="auto"/>
                <w:lang w:val="en-US"/>
              </w:rPr>
              <m:t>s</m:t>
            </m:r>
            <m:ctrlPr>
              <w:rPr>
                <w:rFonts w:ascii="Cambria Math" w:hAnsi="Cambria Math" w:eastAsia="仿宋_GB2312"/>
                <w:i/>
                <w:color w:val="auto"/>
                <w:lang w:val="en-US"/>
              </w:rPr>
            </m:ctrlPr>
          </m:sub>
        </m:sSub>
        <m:sSub>
          <m:sSubPr>
            <m:ctrlPr>
              <w:rPr>
                <w:rFonts w:ascii="Cambria Math" w:hAnsi="Cambria Math" w:eastAsia="仿宋_GB2312"/>
                <w:i/>
                <w:color w:val="auto"/>
                <w:lang w:val="en-US"/>
              </w:rPr>
            </m:ctrlPr>
          </m:sSubPr>
          <m:e>
            <m:r>
              <m:rPr>
                <m:nor/>
              </m:rPr>
              <w:rPr>
                <w:rFonts w:ascii="Times New Roman" w:hAnsi="Times New Roman" w:eastAsia="仿宋_GB2312"/>
                <w:i/>
                <w:color w:val="auto"/>
                <w:lang w:val="en-US"/>
              </w:rPr>
              <m:t>σ</m:t>
            </m:r>
            <m:ctrlPr>
              <w:rPr>
                <w:rFonts w:ascii="Cambria Math" w:hAnsi="Cambria Math" w:eastAsia="仿宋_GB2312"/>
                <w:i/>
                <w:color w:val="auto"/>
                <w:lang w:val="en-US"/>
              </w:rPr>
            </m:ctrlPr>
          </m:e>
          <m:sub>
            <m:r>
              <m:rPr>
                <m:nor/>
              </m:rPr>
              <w:rPr>
                <w:rFonts w:ascii="Times New Roman" w:hAnsi="Times New Roman" w:eastAsia="仿宋_GB2312"/>
                <w:i/>
                <w:color w:val="auto"/>
                <w:lang w:val="en-US"/>
              </w:rPr>
              <m:t>c</m:t>
            </m:r>
            <m:ctrlPr>
              <w:rPr>
                <w:rFonts w:ascii="Cambria Math" w:hAnsi="Cambria Math" w:eastAsia="仿宋_GB2312"/>
                <w:i/>
                <w:color w:val="auto"/>
                <w:lang w:val="en-US"/>
              </w:rPr>
            </m:ctrlPr>
          </m:sub>
        </m:sSub>
        <m:r>
          <m:rPr>
            <m:nor/>
          </m:rPr>
          <w:rPr>
            <w:rFonts w:ascii="Times New Roman" w:hAnsi="Times New Roman" w:eastAsia="仿宋_GB2312"/>
            <w:i/>
            <w:color w:val="auto"/>
            <w:lang w:val="en-US"/>
          </w:rPr>
          <m:t>mnb</m:t>
        </m:r>
        <m:rad>
          <m:radPr>
            <m:degHide m:val="1"/>
            <m:ctrlPr>
              <w:rPr>
                <w:rFonts w:ascii="Cambria Math" w:hAnsi="Cambria Math" w:eastAsia="仿宋_GB2312"/>
                <w:i/>
                <w:color w:val="auto"/>
                <w:lang w:val="en-US"/>
              </w:rPr>
            </m:ctrlPr>
          </m:radPr>
          <m:deg>
            <m:ctrlPr>
              <w:rPr>
                <w:rFonts w:ascii="Cambria Math" w:hAnsi="Cambria Math" w:eastAsia="仿宋_GB2312"/>
                <w:i/>
                <w:color w:val="auto"/>
                <w:lang w:val="en-US"/>
              </w:rPr>
            </m:ctrlPr>
          </m:deg>
          <m:e>
            <m:r>
              <m:rPr>
                <m:nor/>
                <m:sty m:val="p"/>
              </m:rPr>
              <w:rPr>
                <w:rFonts w:ascii="Times New Roman" w:hAnsi="Times New Roman" w:eastAsia="仿宋_GB2312"/>
                <w:b w:val="0"/>
                <w:i w:val="0"/>
                <w:color w:val="auto"/>
                <w:lang w:val="en-US"/>
              </w:rPr>
              <m:t>2</m:t>
            </m:r>
            <m:r>
              <m:rPr>
                <m:nor/>
              </m:rPr>
              <w:rPr>
                <w:rFonts w:ascii="Times New Roman" w:hAnsi="Times New Roman" w:eastAsia="仿宋_GB2312"/>
                <w:i/>
                <w:color w:val="auto"/>
                <w:lang w:val="en-US"/>
              </w:rPr>
              <m:t>g</m:t>
            </m:r>
            <m:ctrlPr>
              <w:rPr>
                <w:rFonts w:ascii="Cambria Math" w:hAnsi="Cambria Math" w:eastAsia="仿宋_GB2312"/>
                <w:i/>
                <w:color w:val="auto"/>
                <w:lang w:val="en-US"/>
              </w:rPr>
            </m:ctrlPr>
          </m:e>
        </m:rad>
        <m:sSubSup>
          <m:sSubSupPr>
            <m:ctrlPr>
              <w:rPr>
                <w:rFonts w:ascii="Cambria Math" w:hAnsi="Cambria Math" w:eastAsia="仿宋_GB2312"/>
                <w:i/>
                <w:color w:val="auto"/>
                <w:lang w:val="en-US"/>
              </w:rPr>
            </m:ctrlPr>
          </m:sSubSupPr>
          <m:e>
            <m:r>
              <m:rPr>
                <m:nor/>
              </m:rPr>
              <w:rPr>
                <w:rFonts w:ascii="Times New Roman" w:hAnsi="Times New Roman" w:eastAsia="仿宋_GB2312"/>
                <w:i/>
                <w:color w:val="auto"/>
                <w:lang w:val="en-US"/>
              </w:rPr>
              <m:t>H</m:t>
            </m:r>
            <m:ctrlPr>
              <w:rPr>
                <w:rFonts w:ascii="Cambria Math" w:hAnsi="Cambria Math" w:eastAsia="仿宋_GB2312"/>
                <w:i/>
                <w:color w:val="auto"/>
                <w:lang w:val="en-US"/>
              </w:rPr>
            </m:ctrlPr>
          </m:e>
          <m:sub>
            <m:r>
              <m:rPr>
                <m:nor/>
                <m:sty m:val="p"/>
              </m:rPr>
              <w:rPr>
                <w:rFonts w:ascii="Times New Roman" w:hAnsi="Times New Roman" w:eastAsia="仿宋_GB2312"/>
                <w:b w:val="0"/>
                <w:i w:val="0"/>
                <w:color w:val="auto"/>
                <w:lang w:val="en-US"/>
              </w:rPr>
              <m:t>0</m:t>
            </m:r>
            <m:ctrlPr>
              <w:rPr>
                <w:rFonts w:ascii="Cambria Math" w:hAnsi="Cambria Math" w:eastAsia="仿宋_GB2312"/>
                <w:i/>
                <w:color w:val="auto"/>
                <w:lang w:val="en-US"/>
              </w:rPr>
            </m:ctrlPr>
          </m:sub>
          <m:sup>
            <m:f>
              <m:fPr>
                <m:type m:val="lin"/>
                <m:ctrlPr>
                  <w:rPr>
                    <w:rFonts w:ascii="Cambria Math" w:hAnsi="Cambria Math" w:eastAsia="仿宋_GB2312"/>
                    <w:i/>
                    <w:color w:val="auto"/>
                    <w:lang w:val="en-US"/>
                  </w:rPr>
                </m:ctrlPr>
              </m:fPr>
              <m:num>
                <m:r>
                  <m:rPr>
                    <m:nor/>
                    <m:sty m:val="p"/>
                  </m:rPr>
                  <w:rPr>
                    <w:rFonts w:ascii="Times New Roman" w:hAnsi="Times New Roman" w:eastAsia="仿宋_GB2312"/>
                    <w:b w:val="0"/>
                    <w:i w:val="0"/>
                    <w:color w:val="auto"/>
                    <w:lang w:val="en-US"/>
                  </w:rPr>
                  <m:t>3</m:t>
                </m:r>
                <m:ctrlPr>
                  <w:rPr>
                    <w:rFonts w:ascii="Cambria Math" w:hAnsi="Cambria Math" w:eastAsia="仿宋_GB2312"/>
                    <w:i/>
                    <w:color w:val="auto"/>
                    <w:lang w:val="en-US"/>
                  </w:rPr>
                </m:ctrlPr>
              </m:num>
              <m:den>
                <m:r>
                  <m:rPr>
                    <m:nor/>
                    <m:sty m:val="p"/>
                  </m:rPr>
                  <w:rPr>
                    <w:rFonts w:ascii="Times New Roman" w:hAnsi="Times New Roman" w:eastAsia="仿宋_GB2312"/>
                    <w:b w:val="0"/>
                    <w:i w:val="0"/>
                    <w:color w:val="auto"/>
                    <w:lang w:val="en-US"/>
                  </w:rPr>
                  <m:t>2</m:t>
                </m:r>
                <m:ctrlPr>
                  <w:rPr>
                    <w:rFonts w:ascii="Cambria Math" w:hAnsi="Cambria Math" w:eastAsia="仿宋_GB2312"/>
                    <w:i/>
                    <w:color w:val="auto"/>
                    <w:lang w:val="en-US"/>
                  </w:rPr>
                </m:ctrlPr>
              </m:den>
            </m:f>
            <m:ctrlPr>
              <w:rPr>
                <w:rFonts w:ascii="Cambria Math" w:hAnsi="Cambria Math" w:eastAsia="仿宋_GB2312"/>
                <w:i/>
                <w:color w:val="auto"/>
                <w:lang w:val="en-US"/>
              </w:rPr>
            </m:ctrlPr>
          </m:sup>
        </m:sSubSup>
      </m:oMath>
      <w:r>
        <w:rPr>
          <w:rFonts w:hint="eastAsia"/>
          <w:color w:val="auto"/>
        </w:rPr>
        <w:t>计算现状溢流坝泄流量（考虑2m/s行近流速）见表</w:t>
      </w:r>
      <w:r>
        <w:rPr>
          <w:rFonts w:hint="eastAsia"/>
          <w:color w:val="auto"/>
          <w:lang w:val="en-US" w:eastAsia="zh-CN"/>
        </w:rPr>
        <w:t>5.3</w:t>
      </w:r>
      <w:r>
        <w:rPr>
          <w:rFonts w:hint="eastAsia"/>
          <w:color w:val="auto"/>
        </w:rPr>
        <w:t>-</w:t>
      </w:r>
      <w:r>
        <w:rPr>
          <w:rFonts w:hint="eastAsia"/>
          <w:color w:val="auto"/>
          <w:lang w:val="en-US" w:eastAsia="zh-CN"/>
        </w:rPr>
        <w:t>6</w:t>
      </w:r>
      <w:r>
        <w:rPr>
          <w:rFonts w:hint="eastAsia"/>
          <w:color w:val="auto"/>
        </w:rPr>
        <w:t>。</w:t>
      </w:r>
    </w:p>
    <w:p w14:paraId="4D1791F6">
      <w:pPr>
        <w:bidi w:val="0"/>
        <w:ind w:left="0" w:leftChars="0" w:firstLine="0" w:firstLineChars="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表5.3-6 现状溢流坝（</w:t>
      </w:r>
      <w:r>
        <w:rPr>
          <w:rFonts w:hint="eastAsia" w:ascii="Times New Roman" w:hAnsi="Times New Roman" w:eastAsia="宋体" w:cs="Times New Roman"/>
          <w:color w:val="auto"/>
          <w:lang w:val="en-US" w:eastAsia="zh-CN"/>
        </w:rPr>
        <w:t>+</w:t>
      </w:r>
      <w:r>
        <w:rPr>
          <w:rFonts w:hint="eastAsia" w:ascii="Times New Roman" w:hAnsi="Times New Roman" w:eastAsia="宋体" w:cs="Times New Roman"/>
          <w:color w:val="auto"/>
        </w:rPr>
        <w:t>331.8m高程）泄流量计算表</w:t>
      </w:r>
    </w:p>
    <w:tbl>
      <w:tblPr>
        <w:tblStyle w:val="100"/>
        <w:tblW w:w="84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11"/>
        <w:gridCol w:w="1245"/>
        <w:gridCol w:w="1242"/>
        <w:gridCol w:w="1629"/>
        <w:gridCol w:w="1245"/>
        <w:gridCol w:w="1242"/>
      </w:tblGrid>
      <w:tr w14:paraId="70F8C6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2" w:hRule="atLeast"/>
          <w:jc w:val="center"/>
        </w:trPr>
        <w:tc>
          <w:tcPr>
            <w:tcW w:w="1811" w:type="dxa"/>
            <w:vAlign w:val="center"/>
          </w:tcPr>
          <w:p w14:paraId="7A03C9AF">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auto"/>
                <w:kern w:val="0"/>
                <w:sz w:val="21"/>
                <w:szCs w:val="21"/>
                <w:lang w:val="zh-CN" w:eastAsia="en-US"/>
              </w:rPr>
            </w:pPr>
            <w:r>
              <w:rPr>
                <w:rFonts w:hint="eastAsia" w:ascii="Times New Roman" w:hAnsi="Times New Roman" w:eastAsia="宋体" w:cs="Times New Roman"/>
                <w:b/>
                <w:bCs/>
                <w:color w:val="auto"/>
                <w:kern w:val="0"/>
                <w:sz w:val="21"/>
                <w:szCs w:val="21"/>
                <w:lang w:val="zh-CN" w:eastAsia="en-US"/>
              </w:rPr>
              <w:t>水位高程</w:t>
            </w:r>
            <w:r>
              <w:rPr>
                <w:rFonts w:hint="eastAsia" w:ascii="Times New Roman" w:hAnsi="Times New Roman" w:eastAsia="宋体" w:cs="Times New Roman"/>
                <w:b/>
                <w:bCs/>
                <w:color w:val="auto"/>
                <w:kern w:val="0"/>
                <w:sz w:val="21"/>
                <w:szCs w:val="21"/>
                <w:lang w:val="zh-CN" w:eastAsia="zh-CN"/>
              </w:rPr>
              <w:t>（</w:t>
            </w:r>
            <w:r>
              <w:rPr>
                <w:rFonts w:hint="eastAsia" w:ascii="Times New Roman" w:hAnsi="Times New Roman" w:eastAsia="宋体" w:cs="Times New Roman"/>
                <w:b/>
                <w:bCs/>
                <w:color w:val="auto"/>
                <w:kern w:val="0"/>
                <w:sz w:val="21"/>
                <w:szCs w:val="21"/>
                <w:lang w:val="zh-CN" w:eastAsia="en-US"/>
              </w:rPr>
              <w:t>m</w:t>
            </w:r>
            <w:r>
              <w:rPr>
                <w:rFonts w:hint="eastAsia" w:ascii="Times New Roman" w:hAnsi="Times New Roman" w:eastAsia="宋体" w:cs="Times New Roman"/>
                <w:b/>
                <w:bCs/>
                <w:color w:val="auto"/>
                <w:kern w:val="0"/>
                <w:sz w:val="21"/>
                <w:szCs w:val="21"/>
                <w:lang w:val="zh-CN" w:eastAsia="zh-CN"/>
              </w:rPr>
              <w:t>）</w:t>
            </w:r>
          </w:p>
        </w:tc>
        <w:tc>
          <w:tcPr>
            <w:tcW w:w="1245" w:type="dxa"/>
            <w:vAlign w:val="center"/>
          </w:tcPr>
          <w:p w14:paraId="6849605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auto"/>
                <w:kern w:val="0"/>
                <w:sz w:val="21"/>
                <w:szCs w:val="21"/>
                <w:lang w:val="zh-CN" w:eastAsia="en-US"/>
              </w:rPr>
            </w:pPr>
            <w:r>
              <w:rPr>
                <w:rFonts w:hint="eastAsia" w:ascii="Times New Roman" w:hAnsi="Times New Roman" w:eastAsia="宋体" w:cs="Times New Roman"/>
                <w:b/>
                <w:bCs/>
                <w:color w:val="auto"/>
                <w:kern w:val="0"/>
                <w:sz w:val="21"/>
                <w:szCs w:val="21"/>
                <w:lang w:val="zh-CN" w:eastAsia="en-US"/>
              </w:rPr>
              <w:t>泄流水深（m）</w:t>
            </w:r>
          </w:p>
        </w:tc>
        <w:tc>
          <w:tcPr>
            <w:tcW w:w="1242" w:type="dxa"/>
            <w:vAlign w:val="center"/>
          </w:tcPr>
          <w:p w14:paraId="4BC3DDA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auto"/>
                <w:kern w:val="0"/>
                <w:sz w:val="21"/>
                <w:szCs w:val="21"/>
                <w:lang w:val="zh-CN" w:eastAsia="en-US"/>
              </w:rPr>
            </w:pPr>
            <w:r>
              <w:rPr>
                <w:rFonts w:hint="eastAsia" w:ascii="Times New Roman" w:hAnsi="Times New Roman" w:eastAsia="宋体" w:cs="Times New Roman"/>
                <w:b/>
                <w:bCs/>
                <w:color w:val="auto"/>
                <w:kern w:val="0"/>
                <w:sz w:val="21"/>
                <w:szCs w:val="21"/>
                <w:lang w:val="zh-CN" w:eastAsia="en-US"/>
              </w:rPr>
              <w:t>泄流能力</w:t>
            </w:r>
            <w:r>
              <w:rPr>
                <w:rFonts w:hint="eastAsia" w:ascii="Times New Roman" w:hAnsi="Times New Roman" w:eastAsia="宋体" w:cs="Times New Roman"/>
                <w:b/>
                <w:bCs/>
                <w:color w:val="auto"/>
                <w:kern w:val="0"/>
                <w:sz w:val="21"/>
                <w:szCs w:val="21"/>
                <w:lang w:val="zh-CN" w:eastAsia="zh-CN"/>
              </w:rPr>
              <w:t>（</w:t>
            </w:r>
            <w:r>
              <w:rPr>
                <w:rFonts w:hint="eastAsia" w:ascii="Times New Roman" w:hAnsi="Times New Roman" w:eastAsia="宋体" w:cs="Times New Roman"/>
                <w:b/>
                <w:bCs/>
                <w:color w:val="auto"/>
                <w:kern w:val="0"/>
                <w:sz w:val="21"/>
                <w:szCs w:val="21"/>
                <w:lang w:val="zh-CN" w:eastAsia="en-US"/>
              </w:rPr>
              <w:t>m</w:t>
            </w:r>
            <w:r>
              <w:rPr>
                <w:rFonts w:hint="eastAsia" w:ascii="Times New Roman" w:hAnsi="Times New Roman" w:eastAsia="宋体" w:cs="Times New Roman"/>
                <w:b/>
                <w:bCs/>
                <w:color w:val="auto"/>
                <w:kern w:val="0"/>
                <w:sz w:val="21"/>
                <w:szCs w:val="21"/>
                <w:vertAlign w:val="superscript"/>
                <w:lang w:val="zh-CN" w:eastAsia="en-US"/>
              </w:rPr>
              <w:t>3</w:t>
            </w:r>
            <w:r>
              <w:rPr>
                <w:rFonts w:hint="eastAsia" w:ascii="Times New Roman" w:hAnsi="Times New Roman" w:eastAsia="宋体" w:cs="Times New Roman"/>
                <w:b/>
                <w:bCs/>
                <w:color w:val="auto"/>
                <w:kern w:val="0"/>
                <w:sz w:val="21"/>
                <w:szCs w:val="21"/>
                <w:lang w:val="zh-CN" w:eastAsia="en-US"/>
              </w:rPr>
              <w:t>/s</w:t>
            </w:r>
            <w:r>
              <w:rPr>
                <w:rFonts w:hint="eastAsia" w:ascii="Times New Roman" w:hAnsi="Times New Roman" w:eastAsia="宋体" w:cs="Times New Roman"/>
                <w:b/>
                <w:bCs/>
                <w:color w:val="auto"/>
                <w:kern w:val="0"/>
                <w:sz w:val="21"/>
                <w:szCs w:val="21"/>
                <w:lang w:val="zh-CN" w:eastAsia="zh-CN"/>
              </w:rPr>
              <w:t>）</w:t>
            </w:r>
          </w:p>
        </w:tc>
        <w:tc>
          <w:tcPr>
            <w:tcW w:w="1629" w:type="dxa"/>
            <w:vAlign w:val="center"/>
          </w:tcPr>
          <w:p w14:paraId="2EB6597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auto"/>
                <w:kern w:val="0"/>
                <w:sz w:val="21"/>
                <w:szCs w:val="21"/>
                <w:lang w:val="zh-CN" w:eastAsia="en-US"/>
              </w:rPr>
            </w:pPr>
            <w:r>
              <w:rPr>
                <w:rFonts w:hint="eastAsia" w:ascii="Times New Roman" w:hAnsi="Times New Roman" w:eastAsia="宋体" w:cs="Times New Roman"/>
                <w:b/>
                <w:bCs/>
                <w:color w:val="auto"/>
                <w:kern w:val="0"/>
                <w:sz w:val="21"/>
                <w:szCs w:val="21"/>
                <w:lang w:val="zh-CN" w:eastAsia="en-US"/>
              </w:rPr>
              <w:t>水位高程</w:t>
            </w:r>
            <w:r>
              <w:rPr>
                <w:rFonts w:hint="eastAsia" w:ascii="Times New Roman" w:hAnsi="Times New Roman" w:eastAsia="宋体" w:cs="Times New Roman"/>
                <w:b/>
                <w:bCs/>
                <w:color w:val="auto"/>
                <w:kern w:val="0"/>
                <w:sz w:val="21"/>
                <w:szCs w:val="21"/>
                <w:lang w:val="zh-CN" w:eastAsia="zh-CN"/>
              </w:rPr>
              <w:t>（</w:t>
            </w:r>
            <w:r>
              <w:rPr>
                <w:rFonts w:hint="eastAsia" w:ascii="Times New Roman" w:hAnsi="Times New Roman" w:eastAsia="宋体" w:cs="Times New Roman"/>
                <w:b/>
                <w:bCs/>
                <w:color w:val="auto"/>
                <w:kern w:val="0"/>
                <w:sz w:val="21"/>
                <w:szCs w:val="21"/>
                <w:lang w:val="zh-CN" w:eastAsia="en-US"/>
              </w:rPr>
              <w:t>m</w:t>
            </w:r>
            <w:r>
              <w:rPr>
                <w:rFonts w:hint="eastAsia" w:ascii="Times New Roman" w:hAnsi="Times New Roman" w:eastAsia="宋体" w:cs="Times New Roman"/>
                <w:b/>
                <w:bCs/>
                <w:color w:val="auto"/>
                <w:kern w:val="0"/>
                <w:sz w:val="21"/>
                <w:szCs w:val="21"/>
                <w:lang w:val="zh-CN" w:eastAsia="zh-CN"/>
              </w:rPr>
              <w:t>）</w:t>
            </w:r>
          </w:p>
        </w:tc>
        <w:tc>
          <w:tcPr>
            <w:tcW w:w="1245" w:type="dxa"/>
            <w:vAlign w:val="center"/>
          </w:tcPr>
          <w:p w14:paraId="27F21FA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auto"/>
                <w:kern w:val="0"/>
                <w:sz w:val="21"/>
                <w:szCs w:val="21"/>
                <w:lang w:val="zh-CN" w:eastAsia="en-US"/>
              </w:rPr>
            </w:pPr>
            <w:r>
              <w:rPr>
                <w:rFonts w:hint="eastAsia" w:ascii="Times New Roman" w:hAnsi="Times New Roman" w:eastAsia="宋体" w:cs="Times New Roman"/>
                <w:b/>
                <w:bCs/>
                <w:color w:val="auto"/>
                <w:kern w:val="0"/>
                <w:sz w:val="21"/>
                <w:szCs w:val="21"/>
                <w:lang w:val="zh-CN" w:eastAsia="en-US"/>
              </w:rPr>
              <w:t>泄流水深（m）</w:t>
            </w:r>
          </w:p>
        </w:tc>
        <w:tc>
          <w:tcPr>
            <w:tcW w:w="1242" w:type="dxa"/>
            <w:vAlign w:val="center"/>
          </w:tcPr>
          <w:p w14:paraId="3FB348C1">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auto"/>
                <w:kern w:val="0"/>
                <w:sz w:val="21"/>
                <w:szCs w:val="21"/>
                <w:lang w:val="zh-CN" w:eastAsia="en-US"/>
              </w:rPr>
            </w:pPr>
            <w:r>
              <w:rPr>
                <w:rFonts w:hint="eastAsia" w:ascii="Times New Roman" w:hAnsi="Times New Roman" w:eastAsia="宋体" w:cs="Times New Roman"/>
                <w:b/>
                <w:bCs/>
                <w:color w:val="auto"/>
                <w:kern w:val="0"/>
                <w:sz w:val="21"/>
                <w:szCs w:val="21"/>
                <w:lang w:val="zh-CN" w:eastAsia="en-US"/>
              </w:rPr>
              <w:t>泄流能力</w:t>
            </w:r>
            <w:r>
              <w:rPr>
                <w:rFonts w:hint="eastAsia" w:ascii="Times New Roman" w:hAnsi="Times New Roman" w:eastAsia="宋体" w:cs="Times New Roman"/>
                <w:b/>
                <w:bCs/>
                <w:color w:val="auto"/>
                <w:kern w:val="0"/>
                <w:sz w:val="21"/>
                <w:szCs w:val="21"/>
                <w:lang w:val="zh-CN" w:eastAsia="zh-CN"/>
              </w:rPr>
              <w:t>（</w:t>
            </w:r>
            <w:r>
              <w:rPr>
                <w:rFonts w:hint="eastAsia" w:ascii="Times New Roman" w:hAnsi="Times New Roman" w:eastAsia="宋体" w:cs="Times New Roman"/>
                <w:b/>
                <w:bCs/>
                <w:color w:val="auto"/>
                <w:kern w:val="0"/>
                <w:sz w:val="21"/>
                <w:szCs w:val="21"/>
                <w:lang w:val="zh-CN" w:eastAsia="en-US"/>
              </w:rPr>
              <w:t>m</w:t>
            </w:r>
            <w:r>
              <w:rPr>
                <w:rFonts w:hint="eastAsia" w:ascii="Times New Roman" w:hAnsi="Times New Roman" w:eastAsia="宋体" w:cs="Times New Roman"/>
                <w:b/>
                <w:bCs/>
                <w:color w:val="auto"/>
                <w:kern w:val="0"/>
                <w:sz w:val="21"/>
                <w:szCs w:val="21"/>
                <w:vertAlign w:val="superscript"/>
                <w:lang w:val="zh-CN" w:eastAsia="en-US"/>
              </w:rPr>
              <w:t>3</w:t>
            </w:r>
            <w:r>
              <w:rPr>
                <w:rFonts w:hint="eastAsia" w:ascii="Times New Roman" w:hAnsi="Times New Roman" w:eastAsia="宋体" w:cs="Times New Roman"/>
                <w:b/>
                <w:bCs/>
                <w:color w:val="auto"/>
                <w:kern w:val="0"/>
                <w:sz w:val="21"/>
                <w:szCs w:val="21"/>
                <w:lang w:val="zh-CN" w:eastAsia="en-US"/>
              </w:rPr>
              <w:t>/s</w:t>
            </w:r>
            <w:r>
              <w:rPr>
                <w:rFonts w:hint="eastAsia" w:ascii="Times New Roman" w:hAnsi="Times New Roman" w:eastAsia="宋体" w:cs="Times New Roman"/>
                <w:b/>
                <w:bCs/>
                <w:color w:val="auto"/>
                <w:kern w:val="0"/>
                <w:sz w:val="21"/>
                <w:szCs w:val="21"/>
                <w:lang w:val="zh-CN" w:eastAsia="zh-CN"/>
              </w:rPr>
              <w:t>）</w:t>
            </w:r>
          </w:p>
        </w:tc>
      </w:tr>
      <w:tr w14:paraId="1C11C8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jc w:val="center"/>
        </w:trPr>
        <w:tc>
          <w:tcPr>
            <w:tcW w:w="1811" w:type="dxa"/>
            <w:vAlign w:val="center"/>
          </w:tcPr>
          <w:p w14:paraId="04E616C4">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33</w:t>
            </w:r>
            <w:r>
              <w:rPr>
                <w:rFonts w:hint="eastAsia" w:ascii="Times New Roman" w:hAnsi="Times New Roman" w:eastAsia="宋体" w:cs="Times New Roman"/>
                <w:color w:val="auto"/>
                <w:kern w:val="0"/>
                <w:sz w:val="21"/>
                <w:szCs w:val="21"/>
                <w:lang w:val="en-US" w:eastAsia="zh-CN"/>
              </w:rPr>
              <w:t>1</w:t>
            </w:r>
            <w:r>
              <w:rPr>
                <w:rFonts w:hint="eastAsia" w:ascii="Times New Roman" w:hAnsi="Times New Roman" w:eastAsia="宋体" w:cs="Times New Roman"/>
                <w:color w:val="auto"/>
                <w:kern w:val="0"/>
                <w:sz w:val="21"/>
                <w:szCs w:val="21"/>
                <w:lang w:val="zh-CN" w:eastAsia="en-US"/>
              </w:rPr>
              <w:t>.8</w:t>
            </w:r>
          </w:p>
        </w:tc>
        <w:tc>
          <w:tcPr>
            <w:tcW w:w="1245" w:type="dxa"/>
            <w:vAlign w:val="center"/>
          </w:tcPr>
          <w:p w14:paraId="61CCCD7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0.0</w:t>
            </w:r>
          </w:p>
        </w:tc>
        <w:tc>
          <w:tcPr>
            <w:tcW w:w="1242" w:type="dxa"/>
            <w:vAlign w:val="center"/>
          </w:tcPr>
          <w:p w14:paraId="07F6FFB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0.00</w:t>
            </w:r>
          </w:p>
        </w:tc>
        <w:tc>
          <w:tcPr>
            <w:tcW w:w="1629" w:type="dxa"/>
            <w:vAlign w:val="center"/>
          </w:tcPr>
          <w:p w14:paraId="42B8A29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33</w:t>
            </w:r>
            <w:r>
              <w:rPr>
                <w:rFonts w:hint="eastAsia" w:ascii="Times New Roman" w:hAnsi="Times New Roman" w:eastAsia="宋体" w:cs="Times New Roman"/>
                <w:color w:val="auto"/>
                <w:kern w:val="0"/>
                <w:sz w:val="21"/>
                <w:szCs w:val="21"/>
                <w:lang w:val="en-US" w:eastAsia="zh-CN"/>
              </w:rPr>
              <w:t>3</w:t>
            </w:r>
            <w:r>
              <w:rPr>
                <w:rFonts w:hint="eastAsia" w:ascii="Times New Roman" w:hAnsi="Times New Roman" w:eastAsia="宋体" w:cs="Times New Roman"/>
                <w:color w:val="auto"/>
                <w:kern w:val="0"/>
                <w:sz w:val="21"/>
                <w:szCs w:val="21"/>
                <w:lang w:val="zh-CN" w:eastAsia="en-US"/>
              </w:rPr>
              <w:t>.1</w:t>
            </w:r>
          </w:p>
        </w:tc>
        <w:tc>
          <w:tcPr>
            <w:tcW w:w="1245" w:type="dxa"/>
            <w:vAlign w:val="center"/>
          </w:tcPr>
          <w:p w14:paraId="1BC3D64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1.3</w:t>
            </w:r>
          </w:p>
        </w:tc>
        <w:tc>
          <w:tcPr>
            <w:tcW w:w="1242" w:type="dxa"/>
            <w:vAlign w:val="center"/>
          </w:tcPr>
          <w:p w14:paraId="69D30BC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67.11</w:t>
            </w:r>
          </w:p>
        </w:tc>
      </w:tr>
      <w:tr w14:paraId="3A5521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jc w:val="center"/>
        </w:trPr>
        <w:tc>
          <w:tcPr>
            <w:tcW w:w="1811" w:type="dxa"/>
            <w:vAlign w:val="center"/>
          </w:tcPr>
          <w:p w14:paraId="26F0E3F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33</w:t>
            </w:r>
            <w:r>
              <w:rPr>
                <w:rFonts w:hint="eastAsia" w:ascii="Times New Roman" w:hAnsi="Times New Roman" w:eastAsia="宋体" w:cs="Times New Roman"/>
                <w:color w:val="auto"/>
                <w:kern w:val="0"/>
                <w:sz w:val="21"/>
                <w:szCs w:val="21"/>
                <w:lang w:val="en-US" w:eastAsia="zh-CN"/>
              </w:rPr>
              <w:t>1</w:t>
            </w:r>
            <w:r>
              <w:rPr>
                <w:rFonts w:hint="eastAsia" w:ascii="Times New Roman" w:hAnsi="Times New Roman" w:eastAsia="宋体" w:cs="Times New Roman"/>
                <w:color w:val="auto"/>
                <w:kern w:val="0"/>
                <w:sz w:val="21"/>
                <w:szCs w:val="21"/>
                <w:lang w:val="zh-CN" w:eastAsia="en-US"/>
              </w:rPr>
              <w:t>.9</w:t>
            </w:r>
          </w:p>
        </w:tc>
        <w:tc>
          <w:tcPr>
            <w:tcW w:w="1245" w:type="dxa"/>
            <w:vAlign w:val="center"/>
          </w:tcPr>
          <w:p w14:paraId="3F9979A2">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0.1</w:t>
            </w:r>
          </w:p>
        </w:tc>
        <w:tc>
          <w:tcPr>
            <w:tcW w:w="1242" w:type="dxa"/>
            <w:vAlign w:val="center"/>
          </w:tcPr>
          <w:p w14:paraId="2E61654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6.00</w:t>
            </w:r>
          </w:p>
        </w:tc>
        <w:tc>
          <w:tcPr>
            <w:tcW w:w="1629" w:type="dxa"/>
            <w:vAlign w:val="center"/>
          </w:tcPr>
          <w:p w14:paraId="25A2F45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33</w:t>
            </w:r>
            <w:r>
              <w:rPr>
                <w:rFonts w:hint="eastAsia" w:ascii="Times New Roman" w:hAnsi="Times New Roman" w:eastAsia="宋体" w:cs="Times New Roman"/>
                <w:color w:val="auto"/>
                <w:kern w:val="0"/>
                <w:sz w:val="21"/>
                <w:szCs w:val="21"/>
                <w:lang w:val="en-US" w:eastAsia="zh-CN"/>
              </w:rPr>
              <w:t>3</w:t>
            </w:r>
            <w:r>
              <w:rPr>
                <w:rFonts w:hint="eastAsia" w:ascii="Times New Roman" w:hAnsi="Times New Roman" w:eastAsia="宋体" w:cs="Times New Roman"/>
                <w:color w:val="auto"/>
                <w:kern w:val="0"/>
                <w:sz w:val="21"/>
                <w:szCs w:val="21"/>
                <w:lang w:val="zh-CN" w:eastAsia="en-US"/>
              </w:rPr>
              <w:t>.2</w:t>
            </w:r>
          </w:p>
        </w:tc>
        <w:tc>
          <w:tcPr>
            <w:tcW w:w="1245" w:type="dxa"/>
            <w:vAlign w:val="center"/>
          </w:tcPr>
          <w:p w14:paraId="1B409E92">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1.4</w:t>
            </w:r>
          </w:p>
        </w:tc>
        <w:tc>
          <w:tcPr>
            <w:tcW w:w="1242" w:type="dxa"/>
            <w:vAlign w:val="center"/>
          </w:tcPr>
          <w:p w14:paraId="210B24A8">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73.93</w:t>
            </w:r>
          </w:p>
        </w:tc>
      </w:tr>
      <w:tr w14:paraId="7CC1FC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jc w:val="center"/>
        </w:trPr>
        <w:tc>
          <w:tcPr>
            <w:tcW w:w="1811" w:type="dxa"/>
            <w:vAlign w:val="center"/>
          </w:tcPr>
          <w:p w14:paraId="5641031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33</w:t>
            </w:r>
            <w:r>
              <w:rPr>
                <w:rFonts w:hint="eastAsia" w:ascii="Times New Roman" w:hAnsi="Times New Roman" w:eastAsia="宋体" w:cs="Times New Roman"/>
                <w:color w:val="auto"/>
                <w:kern w:val="0"/>
                <w:sz w:val="21"/>
                <w:szCs w:val="21"/>
                <w:lang w:val="en-US" w:eastAsia="zh-CN"/>
              </w:rPr>
              <w:t>2</w:t>
            </w:r>
            <w:r>
              <w:rPr>
                <w:rFonts w:hint="eastAsia" w:ascii="Times New Roman" w:hAnsi="Times New Roman" w:eastAsia="宋体" w:cs="Times New Roman"/>
                <w:color w:val="auto"/>
                <w:kern w:val="0"/>
                <w:sz w:val="21"/>
                <w:szCs w:val="21"/>
                <w:lang w:val="zh-CN" w:eastAsia="en-US"/>
              </w:rPr>
              <w:t>.0</w:t>
            </w:r>
          </w:p>
        </w:tc>
        <w:tc>
          <w:tcPr>
            <w:tcW w:w="1245" w:type="dxa"/>
            <w:vAlign w:val="center"/>
          </w:tcPr>
          <w:p w14:paraId="37D7E972">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0.2</w:t>
            </w:r>
          </w:p>
        </w:tc>
        <w:tc>
          <w:tcPr>
            <w:tcW w:w="1242" w:type="dxa"/>
            <w:vAlign w:val="center"/>
          </w:tcPr>
          <w:p w14:paraId="39F9034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9.24</w:t>
            </w:r>
          </w:p>
        </w:tc>
        <w:tc>
          <w:tcPr>
            <w:tcW w:w="1629" w:type="dxa"/>
            <w:vAlign w:val="center"/>
          </w:tcPr>
          <w:p w14:paraId="3182065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33</w:t>
            </w:r>
            <w:r>
              <w:rPr>
                <w:rFonts w:hint="eastAsia" w:ascii="Times New Roman" w:hAnsi="Times New Roman" w:eastAsia="宋体" w:cs="Times New Roman"/>
                <w:color w:val="auto"/>
                <w:kern w:val="0"/>
                <w:sz w:val="21"/>
                <w:szCs w:val="21"/>
                <w:lang w:val="en-US" w:eastAsia="zh-CN"/>
              </w:rPr>
              <w:t>3</w:t>
            </w:r>
            <w:r>
              <w:rPr>
                <w:rFonts w:hint="eastAsia" w:ascii="Times New Roman" w:hAnsi="Times New Roman" w:eastAsia="宋体" w:cs="Times New Roman"/>
                <w:color w:val="auto"/>
                <w:kern w:val="0"/>
                <w:sz w:val="21"/>
                <w:szCs w:val="21"/>
                <w:lang w:val="zh-CN" w:eastAsia="en-US"/>
              </w:rPr>
              <w:t>.3</w:t>
            </w:r>
          </w:p>
        </w:tc>
        <w:tc>
          <w:tcPr>
            <w:tcW w:w="1245" w:type="dxa"/>
            <w:vAlign w:val="center"/>
          </w:tcPr>
          <w:p w14:paraId="5AEE93E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1.5</w:t>
            </w:r>
          </w:p>
        </w:tc>
        <w:tc>
          <w:tcPr>
            <w:tcW w:w="1242" w:type="dxa"/>
            <w:vAlign w:val="center"/>
          </w:tcPr>
          <w:p w14:paraId="1455EC5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80.97</w:t>
            </w:r>
          </w:p>
        </w:tc>
      </w:tr>
      <w:tr w14:paraId="76DE05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jc w:val="center"/>
        </w:trPr>
        <w:tc>
          <w:tcPr>
            <w:tcW w:w="1811" w:type="dxa"/>
            <w:vAlign w:val="center"/>
          </w:tcPr>
          <w:p w14:paraId="0D75D8A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33</w:t>
            </w:r>
            <w:r>
              <w:rPr>
                <w:rFonts w:hint="eastAsia" w:ascii="Times New Roman" w:hAnsi="Times New Roman" w:eastAsia="宋体" w:cs="Times New Roman"/>
                <w:color w:val="auto"/>
                <w:kern w:val="0"/>
                <w:sz w:val="21"/>
                <w:szCs w:val="21"/>
                <w:lang w:val="en-US" w:eastAsia="zh-CN"/>
              </w:rPr>
              <w:t>2</w:t>
            </w:r>
            <w:r>
              <w:rPr>
                <w:rFonts w:hint="eastAsia" w:ascii="Times New Roman" w:hAnsi="Times New Roman" w:eastAsia="宋体" w:cs="Times New Roman"/>
                <w:color w:val="auto"/>
                <w:kern w:val="0"/>
                <w:sz w:val="21"/>
                <w:szCs w:val="21"/>
                <w:lang w:val="zh-CN" w:eastAsia="en-US"/>
              </w:rPr>
              <w:t>.1</w:t>
            </w:r>
          </w:p>
        </w:tc>
        <w:tc>
          <w:tcPr>
            <w:tcW w:w="1245" w:type="dxa"/>
            <w:vAlign w:val="center"/>
          </w:tcPr>
          <w:p w14:paraId="6A17D90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0.3</w:t>
            </w:r>
          </w:p>
        </w:tc>
        <w:tc>
          <w:tcPr>
            <w:tcW w:w="1242" w:type="dxa"/>
            <w:vAlign w:val="center"/>
          </w:tcPr>
          <w:p w14:paraId="235D265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12.92</w:t>
            </w:r>
          </w:p>
        </w:tc>
        <w:tc>
          <w:tcPr>
            <w:tcW w:w="1629" w:type="dxa"/>
            <w:vAlign w:val="center"/>
          </w:tcPr>
          <w:p w14:paraId="01C48072">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33</w:t>
            </w:r>
            <w:r>
              <w:rPr>
                <w:rFonts w:hint="eastAsia" w:ascii="Times New Roman" w:hAnsi="Times New Roman" w:eastAsia="宋体" w:cs="Times New Roman"/>
                <w:color w:val="auto"/>
                <w:kern w:val="0"/>
                <w:sz w:val="21"/>
                <w:szCs w:val="21"/>
                <w:lang w:val="en-US" w:eastAsia="zh-CN"/>
              </w:rPr>
              <w:t>3</w:t>
            </w:r>
            <w:r>
              <w:rPr>
                <w:rFonts w:hint="eastAsia" w:ascii="Times New Roman" w:hAnsi="Times New Roman" w:eastAsia="宋体" w:cs="Times New Roman"/>
                <w:color w:val="auto"/>
                <w:kern w:val="0"/>
                <w:sz w:val="21"/>
                <w:szCs w:val="21"/>
                <w:lang w:val="zh-CN" w:eastAsia="en-US"/>
              </w:rPr>
              <w:t>.4</w:t>
            </w:r>
          </w:p>
        </w:tc>
        <w:tc>
          <w:tcPr>
            <w:tcW w:w="1245" w:type="dxa"/>
            <w:vAlign w:val="center"/>
          </w:tcPr>
          <w:p w14:paraId="32A7575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1.6</w:t>
            </w:r>
          </w:p>
        </w:tc>
        <w:tc>
          <w:tcPr>
            <w:tcW w:w="1242" w:type="dxa"/>
            <w:vAlign w:val="center"/>
          </w:tcPr>
          <w:p w14:paraId="5F2E41E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88.22</w:t>
            </w:r>
          </w:p>
        </w:tc>
      </w:tr>
      <w:tr w14:paraId="60650C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jc w:val="center"/>
        </w:trPr>
        <w:tc>
          <w:tcPr>
            <w:tcW w:w="1811" w:type="dxa"/>
            <w:vAlign w:val="center"/>
          </w:tcPr>
          <w:p w14:paraId="73113608">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33</w:t>
            </w:r>
            <w:r>
              <w:rPr>
                <w:rFonts w:hint="eastAsia" w:ascii="Times New Roman" w:hAnsi="Times New Roman" w:eastAsia="宋体" w:cs="Times New Roman"/>
                <w:color w:val="auto"/>
                <w:kern w:val="0"/>
                <w:sz w:val="21"/>
                <w:szCs w:val="21"/>
                <w:lang w:val="en-US" w:eastAsia="zh-CN"/>
              </w:rPr>
              <w:t>2</w:t>
            </w:r>
            <w:r>
              <w:rPr>
                <w:rFonts w:hint="eastAsia" w:ascii="Times New Roman" w:hAnsi="Times New Roman" w:eastAsia="宋体" w:cs="Times New Roman"/>
                <w:color w:val="auto"/>
                <w:kern w:val="0"/>
                <w:sz w:val="21"/>
                <w:szCs w:val="21"/>
                <w:lang w:val="zh-CN" w:eastAsia="en-US"/>
              </w:rPr>
              <w:t>.2</w:t>
            </w:r>
          </w:p>
        </w:tc>
        <w:tc>
          <w:tcPr>
            <w:tcW w:w="1245" w:type="dxa"/>
            <w:vAlign w:val="center"/>
          </w:tcPr>
          <w:p w14:paraId="7AFE45D4">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0.4</w:t>
            </w:r>
          </w:p>
        </w:tc>
        <w:tc>
          <w:tcPr>
            <w:tcW w:w="1242" w:type="dxa"/>
            <w:vAlign w:val="center"/>
          </w:tcPr>
          <w:p w14:paraId="378D21C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16.98</w:t>
            </w:r>
          </w:p>
        </w:tc>
        <w:tc>
          <w:tcPr>
            <w:tcW w:w="1629" w:type="dxa"/>
            <w:vAlign w:val="center"/>
          </w:tcPr>
          <w:p w14:paraId="6D342DE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33</w:t>
            </w:r>
            <w:r>
              <w:rPr>
                <w:rFonts w:hint="eastAsia" w:ascii="Times New Roman" w:hAnsi="Times New Roman" w:eastAsia="宋体" w:cs="Times New Roman"/>
                <w:color w:val="auto"/>
                <w:kern w:val="0"/>
                <w:sz w:val="21"/>
                <w:szCs w:val="21"/>
                <w:lang w:val="en-US" w:eastAsia="zh-CN"/>
              </w:rPr>
              <w:t>3</w:t>
            </w:r>
            <w:r>
              <w:rPr>
                <w:rFonts w:hint="eastAsia" w:ascii="Times New Roman" w:hAnsi="Times New Roman" w:eastAsia="宋体" w:cs="Times New Roman"/>
                <w:color w:val="auto"/>
                <w:kern w:val="0"/>
                <w:sz w:val="21"/>
                <w:szCs w:val="21"/>
                <w:lang w:val="zh-CN" w:eastAsia="en-US"/>
              </w:rPr>
              <w:t>.5</w:t>
            </w:r>
          </w:p>
        </w:tc>
        <w:tc>
          <w:tcPr>
            <w:tcW w:w="1245" w:type="dxa"/>
            <w:vAlign w:val="center"/>
          </w:tcPr>
          <w:p w14:paraId="62BD77A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1.7</w:t>
            </w:r>
          </w:p>
        </w:tc>
        <w:tc>
          <w:tcPr>
            <w:tcW w:w="1242" w:type="dxa"/>
            <w:vAlign w:val="center"/>
          </w:tcPr>
          <w:p w14:paraId="7DDB8632">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95.67</w:t>
            </w:r>
          </w:p>
        </w:tc>
      </w:tr>
      <w:tr w14:paraId="700AAD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jc w:val="center"/>
        </w:trPr>
        <w:tc>
          <w:tcPr>
            <w:tcW w:w="1811" w:type="dxa"/>
            <w:vAlign w:val="center"/>
          </w:tcPr>
          <w:p w14:paraId="7956AD91">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33</w:t>
            </w:r>
            <w:r>
              <w:rPr>
                <w:rFonts w:hint="eastAsia" w:ascii="Times New Roman" w:hAnsi="Times New Roman" w:eastAsia="宋体" w:cs="Times New Roman"/>
                <w:color w:val="auto"/>
                <w:kern w:val="0"/>
                <w:sz w:val="21"/>
                <w:szCs w:val="21"/>
                <w:lang w:val="en-US" w:eastAsia="zh-CN"/>
              </w:rPr>
              <w:t>2</w:t>
            </w:r>
            <w:r>
              <w:rPr>
                <w:rFonts w:hint="eastAsia" w:ascii="Times New Roman" w:hAnsi="Times New Roman" w:eastAsia="宋体" w:cs="Times New Roman"/>
                <w:color w:val="auto"/>
                <w:kern w:val="0"/>
                <w:sz w:val="21"/>
                <w:szCs w:val="21"/>
                <w:lang w:val="zh-CN" w:eastAsia="en-US"/>
              </w:rPr>
              <w:t>.3</w:t>
            </w:r>
          </w:p>
        </w:tc>
        <w:tc>
          <w:tcPr>
            <w:tcW w:w="1245" w:type="dxa"/>
            <w:vAlign w:val="center"/>
          </w:tcPr>
          <w:p w14:paraId="5E907C11">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0.5</w:t>
            </w:r>
          </w:p>
        </w:tc>
        <w:tc>
          <w:tcPr>
            <w:tcW w:w="1242" w:type="dxa"/>
            <w:vAlign w:val="center"/>
          </w:tcPr>
          <w:p w14:paraId="09853FB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21.39</w:t>
            </w:r>
          </w:p>
        </w:tc>
        <w:tc>
          <w:tcPr>
            <w:tcW w:w="1629" w:type="dxa"/>
            <w:vAlign w:val="center"/>
          </w:tcPr>
          <w:p w14:paraId="2A22174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33</w:t>
            </w:r>
            <w:r>
              <w:rPr>
                <w:rFonts w:hint="eastAsia" w:ascii="Times New Roman" w:hAnsi="Times New Roman" w:eastAsia="宋体" w:cs="Times New Roman"/>
                <w:color w:val="auto"/>
                <w:kern w:val="0"/>
                <w:sz w:val="21"/>
                <w:szCs w:val="21"/>
                <w:lang w:val="en-US" w:eastAsia="zh-CN"/>
              </w:rPr>
              <w:t>3</w:t>
            </w:r>
            <w:r>
              <w:rPr>
                <w:rFonts w:hint="eastAsia" w:ascii="Times New Roman" w:hAnsi="Times New Roman" w:eastAsia="宋体" w:cs="Times New Roman"/>
                <w:color w:val="auto"/>
                <w:kern w:val="0"/>
                <w:sz w:val="21"/>
                <w:szCs w:val="21"/>
                <w:lang w:val="zh-CN" w:eastAsia="en-US"/>
              </w:rPr>
              <w:t>.6</w:t>
            </w:r>
          </w:p>
        </w:tc>
        <w:tc>
          <w:tcPr>
            <w:tcW w:w="1245" w:type="dxa"/>
            <w:vAlign w:val="center"/>
          </w:tcPr>
          <w:p w14:paraId="5EEB421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1.8</w:t>
            </w:r>
          </w:p>
        </w:tc>
        <w:tc>
          <w:tcPr>
            <w:tcW w:w="1242" w:type="dxa"/>
            <w:vAlign w:val="center"/>
          </w:tcPr>
          <w:p w14:paraId="097A849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103.33</w:t>
            </w:r>
          </w:p>
        </w:tc>
      </w:tr>
      <w:tr w14:paraId="2FBE3C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jc w:val="center"/>
        </w:trPr>
        <w:tc>
          <w:tcPr>
            <w:tcW w:w="1811" w:type="dxa"/>
            <w:vAlign w:val="center"/>
          </w:tcPr>
          <w:p w14:paraId="0C5880C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33</w:t>
            </w:r>
            <w:r>
              <w:rPr>
                <w:rFonts w:hint="eastAsia" w:ascii="Times New Roman" w:hAnsi="Times New Roman" w:eastAsia="宋体" w:cs="Times New Roman"/>
                <w:color w:val="auto"/>
                <w:kern w:val="0"/>
                <w:sz w:val="21"/>
                <w:szCs w:val="21"/>
                <w:lang w:val="en-US" w:eastAsia="zh-CN"/>
              </w:rPr>
              <w:t>2</w:t>
            </w:r>
            <w:r>
              <w:rPr>
                <w:rFonts w:hint="eastAsia" w:ascii="Times New Roman" w:hAnsi="Times New Roman" w:eastAsia="宋体" w:cs="Times New Roman"/>
                <w:color w:val="auto"/>
                <w:kern w:val="0"/>
                <w:sz w:val="21"/>
                <w:szCs w:val="21"/>
                <w:lang w:val="zh-CN" w:eastAsia="en-US"/>
              </w:rPr>
              <w:t>.4</w:t>
            </w:r>
          </w:p>
        </w:tc>
        <w:tc>
          <w:tcPr>
            <w:tcW w:w="1245" w:type="dxa"/>
            <w:vAlign w:val="center"/>
          </w:tcPr>
          <w:p w14:paraId="4A7E534F">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0.6</w:t>
            </w:r>
          </w:p>
        </w:tc>
        <w:tc>
          <w:tcPr>
            <w:tcW w:w="1242" w:type="dxa"/>
            <w:vAlign w:val="center"/>
          </w:tcPr>
          <w:p w14:paraId="4F0E64C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26.14</w:t>
            </w:r>
          </w:p>
        </w:tc>
        <w:tc>
          <w:tcPr>
            <w:tcW w:w="1629" w:type="dxa"/>
            <w:vAlign w:val="center"/>
          </w:tcPr>
          <w:p w14:paraId="6A20980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33</w:t>
            </w:r>
            <w:r>
              <w:rPr>
                <w:rFonts w:hint="eastAsia" w:ascii="Times New Roman" w:hAnsi="Times New Roman" w:eastAsia="宋体" w:cs="Times New Roman"/>
                <w:color w:val="auto"/>
                <w:kern w:val="0"/>
                <w:sz w:val="21"/>
                <w:szCs w:val="21"/>
                <w:lang w:val="en-US" w:eastAsia="zh-CN"/>
              </w:rPr>
              <w:t>3</w:t>
            </w:r>
            <w:r>
              <w:rPr>
                <w:rFonts w:hint="eastAsia" w:ascii="Times New Roman" w:hAnsi="Times New Roman" w:eastAsia="宋体" w:cs="Times New Roman"/>
                <w:color w:val="auto"/>
                <w:kern w:val="0"/>
                <w:sz w:val="21"/>
                <w:szCs w:val="21"/>
                <w:lang w:val="zh-CN" w:eastAsia="en-US"/>
              </w:rPr>
              <w:t>.7</w:t>
            </w:r>
          </w:p>
        </w:tc>
        <w:tc>
          <w:tcPr>
            <w:tcW w:w="1245" w:type="dxa"/>
            <w:vAlign w:val="center"/>
          </w:tcPr>
          <w:p w14:paraId="45C936CF">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1.9</w:t>
            </w:r>
          </w:p>
        </w:tc>
        <w:tc>
          <w:tcPr>
            <w:tcW w:w="1242" w:type="dxa"/>
            <w:vAlign w:val="center"/>
          </w:tcPr>
          <w:p w14:paraId="380103C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111.17</w:t>
            </w:r>
          </w:p>
        </w:tc>
      </w:tr>
      <w:tr w14:paraId="4D44A0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jc w:val="center"/>
        </w:trPr>
        <w:tc>
          <w:tcPr>
            <w:tcW w:w="1811" w:type="dxa"/>
            <w:vAlign w:val="center"/>
          </w:tcPr>
          <w:p w14:paraId="3A8AD7FC">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33</w:t>
            </w:r>
            <w:r>
              <w:rPr>
                <w:rFonts w:hint="eastAsia" w:ascii="Times New Roman" w:hAnsi="Times New Roman" w:eastAsia="宋体" w:cs="Times New Roman"/>
                <w:color w:val="auto"/>
                <w:kern w:val="0"/>
                <w:sz w:val="21"/>
                <w:szCs w:val="21"/>
                <w:lang w:val="en-US" w:eastAsia="zh-CN"/>
              </w:rPr>
              <w:t>2</w:t>
            </w:r>
            <w:r>
              <w:rPr>
                <w:rFonts w:hint="eastAsia" w:ascii="Times New Roman" w:hAnsi="Times New Roman" w:eastAsia="宋体" w:cs="Times New Roman"/>
                <w:color w:val="auto"/>
                <w:kern w:val="0"/>
                <w:sz w:val="21"/>
                <w:szCs w:val="21"/>
                <w:lang w:val="zh-CN" w:eastAsia="en-US"/>
              </w:rPr>
              <w:t>.5</w:t>
            </w:r>
          </w:p>
        </w:tc>
        <w:tc>
          <w:tcPr>
            <w:tcW w:w="1245" w:type="dxa"/>
            <w:vAlign w:val="center"/>
          </w:tcPr>
          <w:p w14:paraId="684A3A5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0.7</w:t>
            </w:r>
          </w:p>
        </w:tc>
        <w:tc>
          <w:tcPr>
            <w:tcW w:w="1242" w:type="dxa"/>
            <w:vAlign w:val="center"/>
          </w:tcPr>
          <w:p w14:paraId="4EBA0E6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31.39</w:t>
            </w:r>
          </w:p>
        </w:tc>
        <w:tc>
          <w:tcPr>
            <w:tcW w:w="1629" w:type="dxa"/>
            <w:vAlign w:val="center"/>
          </w:tcPr>
          <w:p w14:paraId="7321AAB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33</w:t>
            </w:r>
            <w:r>
              <w:rPr>
                <w:rFonts w:hint="eastAsia" w:ascii="Times New Roman" w:hAnsi="Times New Roman" w:eastAsia="宋体" w:cs="Times New Roman"/>
                <w:color w:val="auto"/>
                <w:kern w:val="0"/>
                <w:sz w:val="21"/>
                <w:szCs w:val="21"/>
                <w:lang w:val="en-US" w:eastAsia="zh-CN"/>
              </w:rPr>
              <w:t>3</w:t>
            </w:r>
            <w:r>
              <w:rPr>
                <w:rFonts w:hint="eastAsia" w:ascii="Times New Roman" w:hAnsi="Times New Roman" w:eastAsia="宋体" w:cs="Times New Roman"/>
                <w:color w:val="auto"/>
                <w:kern w:val="0"/>
                <w:sz w:val="21"/>
                <w:szCs w:val="21"/>
                <w:lang w:val="zh-CN" w:eastAsia="en-US"/>
              </w:rPr>
              <w:t>.8</w:t>
            </w:r>
          </w:p>
        </w:tc>
        <w:tc>
          <w:tcPr>
            <w:tcW w:w="1245" w:type="dxa"/>
            <w:vAlign w:val="center"/>
          </w:tcPr>
          <w:p w14:paraId="4A24CB58">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2</w:t>
            </w:r>
          </w:p>
        </w:tc>
        <w:tc>
          <w:tcPr>
            <w:tcW w:w="1242" w:type="dxa"/>
            <w:vAlign w:val="center"/>
          </w:tcPr>
          <w:p w14:paraId="3C9AA5E1">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119.21</w:t>
            </w:r>
          </w:p>
        </w:tc>
      </w:tr>
      <w:tr w14:paraId="702301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jc w:val="center"/>
        </w:trPr>
        <w:tc>
          <w:tcPr>
            <w:tcW w:w="1811" w:type="dxa"/>
            <w:vAlign w:val="center"/>
          </w:tcPr>
          <w:p w14:paraId="5EAFFB78">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33</w:t>
            </w:r>
            <w:r>
              <w:rPr>
                <w:rFonts w:hint="eastAsia" w:ascii="Times New Roman" w:hAnsi="Times New Roman" w:eastAsia="宋体" w:cs="Times New Roman"/>
                <w:color w:val="auto"/>
                <w:kern w:val="0"/>
                <w:sz w:val="21"/>
                <w:szCs w:val="21"/>
                <w:lang w:val="en-US" w:eastAsia="zh-CN"/>
              </w:rPr>
              <w:t>2</w:t>
            </w:r>
            <w:r>
              <w:rPr>
                <w:rFonts w:hint="eastAsia" w:ascii="Times New Roman" w:hAnsi="Times New Roman" w:eastAsia="宋体" w:cs="Times New Roman"/>
                <w:color w:val="auto"/>
                <w:kern w:val="0"/>
                <w:sz w:val="21"/>
                <w:szCs w:val="21"/>
                <w:lang w:val="zh-CN" w:eastAsia="en-US"/>
              </w:rPr>
              <w:t>.6</w:t>
            </w:r>
          </w:p>
        </w:tc>
        <w:tc>
          <w:tcPr>
            <w:tcW w:w="1245" w:type="dxa"/>
            <w:vAlign w:val="center"/>
          </w:tcPr>
          <w:p w14:paraId="1B6E4132">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0.8</w:t>
            </w:r>
          </w:p>
        </w:tc>
        <w:tc>
          <w:tcPr>
            <w:tcW w:w="1242" w:type="dxa"/>
            <w:vAlign w:val="center"/>
          </w:tcPr>
          <w:p w14:paraId="694BA89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36.55</w:t>
            </w:r>
          </w:p>
        </w:tc>
        <w:tc>
          <w:tcPr>
            <w:tcW w:w="1629" w:type="dxa"/>
            <w:vAlign w:val="center"/>
          </w:tcPr>
          <w:p w14:paraId="1F2FC79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33</w:t>
            </w:r>
            <w:r>
              <w:rPr>
                <w:rFonts w:hint="eastAsia" w:ascii="Times New Roman" w:hAnsi="Times New Roman" w:eastAsia="宋体" w:cs="Times New Roman"/>
                <w:color w:val="auto"/>
                <w:kern w:val="0"/>
                <w:sz w:val="21"/>
                <w:szCs w:val="21"/>
                <w:lang w:val="en-US" w:eastAsia="zh-CN"/>
              </w:rPr>
              <w:t>3</w:t>
            </w:r>
            <w:r>
              <w:rPr>
                <w:rFonts w:hint="eastAsia" w:ascii="Times New Roman" w:hAnsi="Times New Roman" w:eastAsia="宋体" w:cs="Times New Roman"/>
                <w:color w:val="auto"/>
                <w:kern w:val="0"/>
                <w:sz w:val="21"/>
                <w:szCs w:val="21"/>
                <w:lang w:val="zh-CN" w:eastAsia="en-US"/>
              </w:rPr>
              <w:t>.9</w:t>
            </w:r>
          </w:p>
        </w:tc>
        <w:tc>
          <w:tcPr>
            <w:tcW w:w="1245" w:type="dxa"/>
            <w:vAlign w:val="center"/>
          </w:tcPr>
          <w:p w14:paraId="110441B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2.1</w:t>
            </w:r>
          </w:p>
        </w:tc>
        <w:tc>
          <w:tcPr>
            <w:tcW w:w="1242" w:type="dxa"/>
            <w:vAlign w:val="center"/>
          </w:tcPr>
          <w:p w14:paraId="73F93EC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127.43</w:t>
            </w:r>
          </w:p>
        </w:tc>
      </w:tr>
      <w:tr w14:paraId="3EE4BF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jc w:val="center"/>
        </w:trPr>
        <w:tc>
          <w:tcPr>
            <w:tcW w:w="1811" w:type="dxa"/>
            <w:vAlign w:val="center"/>
          </w:tcPr>
          <w:p w14:paraId="5FC47B3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33</w:t>
            </w:r>
            <w:r>
              <w:rPr>
                <w:rFonts w:hint="eastAsia" w:ascii="Times New Roman" w:hAnsi="Times New Roman" w:eastAsia="宋体" w:cs="Times New Roman"/>
                <w:color w:val="auto"/>
                <w:kern w:val="0"/>
                <w:sz w:val="21"/>
                <w:szCs w:val="21"/>
                <w:lang w:val="en-US" w:eastAsia="zh-CN"/>
              </w:rPr>
              <w:t>2</w:t>
            </w:r>
            <w:r>
              <w:rPr>
                <w:rFonts w:hint="eastAsia" w:ascii="Times New Roman" w:hAnsi="Times New Roman" w:eastAsia="宋体" w:cs="Times New Roman"/>
                <w:color w:val="auto"/>
                <w:kern w:val="0"/>
                <w:sz w:val="21"/>
                <w:szCs w:val="21"/>
                <w:lang w:val="zh-CN" w:eastAsia="en-US"/>
              </w:rPr>
              <w:t>.7</w:t>
            </w:r>
          </w:p>
        </w:tc>
        <w:tc>
          <w:tcPr>
            <w:tcW w:w="1245" w:type="dxa"/>
            <w:vAlign w:val="center"/>
          </w:tcPr>
          <w:p w14:paraId="6A78D638">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0.9</w:t>
            </w:r>
          </w:p>
        </w:tc>
        <w:tc>
          <w:tcPr>
            <w:tcW w:w="1242" w:type="dxa"/>
            <w:vAlign w:val="center"/>
          </w:tcPr>
          <w:p w14:paraId="0584841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42.15</w:t>
            </w:r>
          </w:p>
        </w:tc>
        <w:tc>
          <w:tcPr>
            <w:tcW w:w="1629" w:type="dxa"/>
            <w:vAlign w:val="center"/>
          </w:tcPr>
          <w:p w14:paraId="2CB55B0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33</w:t>
            </w:r>
            <w:r>
              <w:rPr>
                <w:rFonts w:hint="eastAsia" w:ascii="Times New Roman" w:hAnsi="Times New Roman" w:eastAsia="宋体" w:cs="Times New Roman"/>
                <w:color w:val="auto"/>
                <w:kern w:val="0"/>
                <w:sz w:val="21"/>
                <w:szCs w:val="21"/>
                <w:lang w:val="en-US" w:eastAsia="zh-CN"/>
              </w:rPr>
              <w:t>4</w:t>
            </w:r>
            <w:r>
              <w:rPr>
                <w:rFonts w:hint="eastAsia" w:ascii="Times New Roman" w:hAnsi="Times New Roman" w:eastAsia="宋体" w:cs="Times New Roman"/>
                <w:color w:val="auto"/>
                <w:kern w:val="0"/>
                <w:sz w:val="21"/>
                <w:szCs w:val="21"/>
                <w:lang w:val="zh-CN" w:eastAsia="en-US"/>
              </w:rPr>
              <w:t>.0</w:t>
            </w:r>
          </w:p>
        </w:tc>
        <w:tc>
          <w:tcPr>
            <w:tcW w:w="1245" w:type="dxa"/>
            <w:vAlign w:val="center"/>
          </w:tcPr>
          <w:p w14:paraId="2D9008F2">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2.2</w:t>
            </w:r>
          </w:p>
        </w:tc>
        <w:tc>
          <w:tcPr>
            <w:tcW w:w="1242" w:type="dxa"/>
            <w:vAlign w:val="center"/>
          </w:tcPr>
          <w:p w14:paraId="0B8C32F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135.83</w:t>
            </w:r>
          </w:p>
        </w:tc>
      </w:tr>
      <w:tr w14:paraId="6EED4E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jc w:val="center"/>
        </w:trPr>
        <w:tc>
          <w:tcPr>
            <w:tcW w:w="1811" w:type="dxa"/>
            <w:vAlign w:val="center"/>
          </w:tcPr>
          <w:p w14:paraId="36B0081C">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33</w:t>
            </w:r>
            <w:r>
              <w:rPr>
                <w:rFonts w:hint="eastAsia" w:ascii="Times New Roman" w:hAnsi="Times New Roman" w:eastAsia="宋体" w:cs="Times New Roman"/>
                <w:color w:val="auto"/>
                <w:kern w:val="0"/>
                <w:sz w:val="21"/>
                <w:szCs w:val="21"/>
                <w:lang w:val="en-US" w:eastAsia="zh-CN"/>
              </w:rPr>
              <w:t>2</w:t>
            </w:r>
            <w:r>
              <w:rPr>
                <w:rFonts w:hint="eastAsia" w:ascii="Times New Roman" w:hAnsi="Times New Roman" w:eastAsia="宋体" w:cs="Times New Roman"/>
                <w:color w:val="auto"/>
                <w:kern w:val="0"/>
                <w:sz w:val="21"/>
                <w:szCs w:val="21"/>
                <w:lang w:val="zh-CN" w:eastAsia="en-US"/>
              </w:rPr>
              <w:t>.8</w:t>
            </w:r>
          </w:p>
        </w:tc>
        <w:tc>
          <w:tcPr>
            <w:tcW w:w="1245" w:type="dxa"/>
            <w:vAlign w:val="center"/>
          </w:tcPr>
          <w:p w14:paraId="47FB42A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1.0</w:t>
            </w:r>
          </w:p>
        </w:tc>
        <w:tc>
          <w:tcPr>
            <w:tcW w:w="1242" w:type="dxa"/>
            <w:vAlign w:val="center"/>
          </w:tcPr>
          <w:p w14:paraId="0E871BEF">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48.12</w:t>
            </w:r>
          </w:p>
        </w:tc>
        <w:tc>
          <w:tcPr>
            <w:tcW w:w="1629" w:type="dxa"/>
            <w:vAlign w:val="center"/>
          </w:tcPr>
          <w:p w14:paraId="36F002A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33</w:t>
            </w:r>
            <w:r>
              <w:rPr>
                <w:rFonts w:hint="eastAsia" w:ascii="Times New Roman" w:hAnsi="Times New Roman" w:eastAsia="宋体" w:cs="Times New Roman"/>
                <w:color w:val="auto"/>
                <w:kern w:val="0"/>
                <w:sz w:val="21"/>
                <w:szCs w:val="21"/>
                <w:lang w:val="en-US" w:eastAsia="zh-CN"/>
              </w:rPr>
              <w:t>4</w:t>
            </w:r>
            <w:r>
              <w:rPr>
                <w:rFonts w:hint="eastAsia" w:ascii="Times New Roman" w:hAnsi="Times New Roman" w:eastAsia="宋体" w:cs="Times New Roman"/>
                <w:color w:val="auto"/>
                <w:kern w:val="0"/>
                <w:sz w:val="21"/>
                <w:szCs w:val="21"/>
                <w:lang w:val="zh-CN" w:eastAsia="en-US"/>
              </w:rPr>
              <w:t>.1</w:t>
            </w:r>
          </w:p>
        </w:tc>
        <w:tc>
          <w:tcPr>
            <w:tcW w:w="1245" w:type="dxa"/>
            <w:vAlign w:val="center"/>
          </w:tcPr>
          <w:p w14:paraId="7297F81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2.3</w:t>
            </w:r>
          </w:p>
        </w:tc>
        <w:tc>
          <w:tcPr>
            <w:tcW w:w="1242" w:type="dxa"/>
            <w:vAlign w:val="center"/>
          </w:tcPr>
          <w:p w14:paraId="663440C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144.40</w:t>
            </w:r>
          </w:p>
        </w:tc>
      </w:tr>
      <w:tr w14:paraId="26DDCF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jc w:val="center"/>
        </w:trPr>
        <w:tc>
          <w:tcPr>
            <w:tcW w:w="1811" w:type="dxa"/>
            <w:vAlign w:val="center"/>
          </w:tcPr>
          <w:p w14:paraId="35081DCF">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33</w:t>
            </w:r>
            <w:r>
              <w:rPr>
                <w:rFonts w:hint="eastAsia" w:ascii="Times New Roman" w:hAnsi="Times New Roman" w:eastAsia="宋体" w:cs="Times New Roman"/>
                <w:color w:val="auto"/>
                <w:kern w:val="0"/>
                <w:sz w:val="21"/>
                <w:szCs w:val="21"/>
                <w:lang w:val="en-US" w:eastAsia="zh-CN"/>
              </w:rPr>
              <w:t>2</w:t>
            </w:r>
            <w:r>
              <w:rPr>
                <w:rFonts w:hint="eastAsia" w:ascii="Times New Roman" w:hAnsi="Times New Roman" w:eastAsia="宋体" w:cs="Times New Roman"/>
                <w:color w:val="auto"/>
                <w:kern w:val="0"/>
                <w:sz w:val="21"/>
                <w:szCs w:val="21"/>
                <w:lang w:val="zh-CN" w:eastAsia="en-US"/>
              </w:rPr>
              <w:t>.9</w:t>
            </w:r>
          </w:p>
        </w:tc>
        <w:tc>
          <w:tcPr>
            <w:tcW w:w="1245" w:type="dxa"/>
            <w:vAlign w:val="center"/>
          </w:tcPr>
          <w:p w14:paraId="5C04AC2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1.1</w:t>
            </w:r>
          </w:p>
        </w:tc>
        <w:tc>
          <w:tcPr>
            <w:tcW w:w="1242" w:type="dxa"/>
            <w:vAlign w:val="center"/>
          </w:tcPr>
          <w:p w14:paraId="659182A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54.15</w:t>
            </w:r>
          </w:p>
        </w:tc>
        <w:tc>
          <w:tcPr>
            <w:tcW w:w="1629" w:type="dxa"/>
            <w:vAlign w:val="center"/>
          </w:tcPr>
          <w:p w14:paraId="090004F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33</w:t>
            </w:r>
            <w:r>
              <w:rPr>
                <w:rFonts w:hint="eastAsia" w:ascii="Times New Roman" w:hAnsi="Times New Roman" w:eastAsia="宋体" w:cs="Times New Roman"/>
                <w:color w:val="auto"/>
                <w:kern w:val="0"/>
                <w:sz w:val="21"/>
                <w:szCs w:val="21"/>
                <w:lang w:val="en-US" w:eastAsia="zh-CN"/>
              </w:rPr>
              <w:t>4</w:t>
            </w:r>
            <w:r>
              <w:rPr>
                <w:rFonts w:hint="eastAsia" w:ascii="Times New Roman" w:hAnsi="Times New Roman" w:eastAsia="宋体" w:cs="Times New Roman"/>
                <w:color w:val="auto"/>
                <w:kern w:val="0"/>
                <w:sz w:val="21"/>
                <w:szCs w:val="21"/>
                <w:lang w:val="zh-CN" w:eastAsia="en-US"/>
              </w:rPr>
              <w:t>.2</w:t>
            </w:r>
          </w:p>
        </w:tc>
        <w:tc>
          <w:tcPr>
            <w:tcW w:w="1245" w:type="dxa"/>
            <w:vAlign w:val="center"/>
          </w:tcPr>
          <w:p w14:paraId="47C6F37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2.4</w:t>
            </w:r>
          </w:p>
        </w:tc>
        <w:tc>
          <w:tcPr>
            <w:tcW w:w="1242" w:type="dxa"/>
            <w:vAlign w:val="center"/>
          </w:tcPr>
          <w:p w14:paraId="4C700048">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153.15</w:t>
            </w:r>
          </w:p>
        </w:tc>
      </w:tr>
      <w:tr w14:paraId="600FF9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1811" w:type="dxa"/>
            <w:vAlign w:val="center"/>
          </w:tcPr>
          <w:p w14:paraId="2C6C4B11">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33</w:t>
            </w:r>
            <w:r>
              <w:rPr>
                <w:rFonts w:hint="eastAsia" w:ascii="Times New Roman" w:hAnsi="Times New Roman" w:eastAsia="宋体" w:cs="Times New Roman"/>
                <w:color w:val="auto"/>
                <w:kern w:val="0"/>
                <w:sz w:val="21"/>
                <w:szCs w:val="21"/>
                <w:lang w:val="en-US" w:eastAsia="zh-CN"/>
              </w:rPr>
              <w:t>3</w:t>
            </w:r>
            <w:r>
              <w:rPr>
                <w:rFonts w:hint="eastAsia" w:ascii="Times New Roman" w:hAnsi="Times New Roman" w:eastAsia="宋体" w:cs="Times New Roman"/>
                <w:color w:val="auto"/>
                <w:kern w:val="0"/>
                <w:sz w:val="21"/>
                <w:szCs w:val="21"/>
                <w:lang w:val="zh-CN" w:eastAsia="en-US"/>
              </w:rPr>
              <w:t>.0</w:t>
            </w:r>
          </w:p>
        </w:tc>
        <w:tc>
          <w:tcPr>
            <w:tcW w:w="1245" w:type="dxa"/>
            <w:vAlign w:val="center"/>
          </w:tcPr>
          <w:p w14:paraId="06B54D8C">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1.2</w:t>
            </w:r>
          </w:p>
        </w:tc>
        <w:tc>
          <w:tcPr>
            <w:tcW w:w="1242" w:type="dxa"/>
            <w:vAlign w:val="center"/>
          </w:tcPr>
          <w:p w14:paraId="1F458632">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60.51</w:t>
            </w:r>
          </w:p>
        </w:tc>
        <w:tc>
          <w:tcPr>
            <w:tcW w:w="1629" w:type="dxa"/>
            <w:vAlign w:val="center"/>
          </w:tcPr>
          <w:p w14:paraId="327ECB6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33</w:t>
            </w:r>
            <w:r>
              <w:rPr>
                <w:rFonts w:hint="eastAsia" w:ascii="Times New Roman" w:hAnsi="Times New Roman" w:eastAsia="宋体" w:cs="Times New Roman"/>
                <w:color w:val="auto"/>
                <w:kern w:val="0"/>
                <w:sz w:val="21"/>
                <w:szCs w:val="21"/>
                <w:lang w:val="en-US" w:eastAsia="zh-CN"/>
              </w:rPr>
              <w:t>4</w:t>
            </w:r>
            <w:r>
              <w:rPr>
                <w:rFonts w:hint="eastAsia" w:ascii="Times New Roman" w:hAnsi="Times New Roman" w:eastAsia="宋体" w:cs="Times New Roman"/>
                <w:color w:val="auto"/>
                <w:kern w:val="0"/>
                <w:sz w:val="21"/>
                <w:szCs w:val="21"/>
                <w:lang w:val="zh-CN" w:eastAsia="en-US"/>
              </w:rPr>
              <w:t>.3</w:t>
            </w:r>
          </w:p>
        </w:tc>
        <w:tc>
          <w:tcPr>
            <w:tcW w:w="1245" w:type="dxa"/>
            <w:vAlign w:val="center"/>
          </w:tcPr>
          <w:p w14:paraId="198EF18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zh-CN" w:eastAsia="en-US"/>
              </w:rPr>
            </w:pPr>
            <w:r>
              <w:rPr>
                <w:rFonts w:hint="eastAsia" w:ascii="Times New Roman" w:hAnsi="Times New Roman" w:eastAsia="宋体" w:cs="Times New Roman"/>
                <w:color w:val="auto"/>
                <w:kern w:val="0"/>
                <w:sz w:val="21"/>
                <w:szCs w:val="21"/>
                <w:lang w:val="zh-CN" w:eastAsia="en-US"/>
              </w:rPr>
              <w:t>2.5</w:t>
            </w:r>
          </w:p>
        </w:tc>
        <w:tc>
          <w:tcPr>
            <w:tcW w:w="1242" w:type="dxa"/>
            <w:vAlign w:val="center"/>
          </w:tcPr>
          <w:p w14:paraId="75C96402">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162.07</w:t>
            </w:r>
          </w:p>
        </w:tc>
      </w:tr>
    </w:tbl>
    <w:p w14:paraId="14697498">
      <w:pPr>
        <w:bidi w:val="0"/>
        <w:rPr>
          <w:rFonts w:hint="default"/>
          <w:color w:val="auto"/>
        </w:rPr>
      </w:pPr>
      <w:r>
        <w:rPr>
          <w:rFonts w:hint="default"/>
          <w:color w:val="auto"/>
        </w:rPr>
        <w:t>从表</w:t>
      </w:r>
      <w:r>
        <w:rPr>
          <w:rFonts w:hint="eastAsia" w:ascii="Times New Roman" w:hAnsi="Times New Roman" w:eastAsia="宋体" w:cs="Times New Roman"/>
          <w:color w:val="auto"/>
        </w:rPr>
        <w:t>5.3-6</w:t>
      </w:r>
      <w:r>
        <w:rPr>
          <w:rFonts w:hint="default"/>
          <w:color w:val="auto"/>
        </w:rPr>
        <w:t>可知，现状溢流坝水位达到</w:t>
      </w:r>
      <w:r>
        <w:rPr>
          <w:rFonts w:hint="eastAsia"/>
          <w:color w:val="auto"/>
          <w:lang w:val="en-US" w:eastAsia="zh-CN"/>
        </w:rPr>
        <w:t>+</w:t>
      </w:r>
      <w:r>
        <w:rPr>
          <w:rFonts w:hint="default"/>
          <w:color w:val="auto"/>
        </w:rPr>
        <w:t>333.9m高程时，即溢流水深2.1m时，溢流坝最大下泄流量为127.43m</w:t>
      </w:r>
      <w:r>
        <w:rPr>
          <w:rFonts w:hint="default"/>
          <w:color w:val="auto"/>
          <w:vertAlign w:val="superscript"/>
        </w:rPr>
        <w:t>3</w:t>
      </w:r>
      <w:r>
        <w:rPr>
          <w:rFonts w:hint="default"/>
          <w:color w:val="auto"/>
        </w:rPr>
        <w:t>/s，大于尾矿库200年一遇最大洪峰流量124.18m</w:t>
      </w:r>
      <w:r>
        <w:rPr>
          <w:rFonts w:hint="default"/>
          <w:color w:val="auto"/>
          <w:vertAlign w:val="superscript"/>
        </w:rPr>
        <w:t>3</w:t>
      </w:r>
      <w:r>
        <w:rPr>
          <w:rFonts w:hint="default"/>
          <w:color w:val="auto"/>
        </w:rPr>
        <w:t>/s，尾矿库主坝滩顶高程为</w:t>
      </w:r>
      <w:r>
        <w:rPr>
          <w:rFonts w:hint="eastAsia"/>
          <w:color w:val="auto"/>
          <w:lang w:val="en-US" w:eastAsia="zh-CN"/>
        </w:rPr>
        <w:t>+</w:t>
      </w:r>
      <w:r>
        <w:rPr>
          <w:rFonts w:hint="default"/>
          <w:color w:val="auto"/>
        </w:rPr>
        <w:t>334.3m，此时安全超高为0.4m，坝前50m处干滩面高程为</w:t>
      </w:r>
      <w:r>
        <w:rPr>
          <w:rFonts w:hint="eastAsia"/>
          <w:color w:val="auto"/>
          <w:lang w:val="en-US" w:eastAsia="zh-CN"/>
        </w:rPr>
        <w:t>+</w:t>
      </w:r>
      <w:r>
        <w:rPr>
          <w:rFonts w:hint="default"/>
          <w:color w:val="auto"/>
        </w:rPr>
        <w:t>332.8m，低于200年一遇最高洪水位1.1m，干滩长度不满足要求；现状溢流坝水位达到</w:t>
      </w:r>
      <w:r>
        <w:rPr>
          <w:rFonts w:hint="eastAsia"/>
          <w:color w:val="auto"/>
          <w:lang w:val="en-US" w:eastAsia="zh-CN"/>
        </w:rPr>
        <w:t>+</w:t>
      </w:r>
      <w:r>
        <w:rPr>
          <w:rFonts w:hint="default"/>
          <w:color w:val="auto"/>
        </w:rPr>
        <w:t>334.1m高程时，即溢流水深2.3m时，溢流坝最大下泄流量为144.40m</w:t>
      </w:r>
      <w:r>
        <w:rPr>
          <w:rFonts w:hint="default"/>
          <w:color w:val="auto"/>
          <w:vertAlign w:val="superscript"/>
        </w:rPr>
        <w:t>3</w:t>
      </w:r>
      <w:r>
        <w:rPr>
          <w:rFonts w:hint="default"/>
          <w:color w:val="auto"/>
        </w:rPr>
        <w:t>/s，大于尾矿库500年一遇最大洪峰流量142.24m</w:t>
      </w:r>
      <w:r>
        <w:rPr>
          <w:rFonts w:hint="default"/>
          <w:color w:val="auto"/>
          <w:vertAlign w:val="superscript"/>
        </w:rPr>
        <w:t>3</w:t>
      </w:r>
      <w:r>
        <w:rPr>
          <w:rFonts w:hint="default"/>
          <w:color w:val="auto"/>
        </w:rPr>
        <w:t>/s，尾矿库主坝滩顶高程为</w:t>
      </w:r>
      <w:r>
        <w:rPr>
          <w:rFonts w:hint="eastAsia"/>
          <w:color w:val="auto"/>
          <w:lang w:val="en-US" w:eastAsia="zh-CN"/>
        </w:rPr>
        <w:t>+</w:t>
      </w:r>
      <w:r>
        <w:rPr>
          <w:rFonts w:hint="default"/>
          <w:color w:val="auto"/>
        </w:rPr>
        <w:t>334.3m，此时安全超高为0.2m，坝前70m处干滩面高程为</w:t>
      </w:r>
      <w:r>
        <w:rPr>
          <w:rFonts w:hint="eastAsia"/>
          <w:color w:val="auto"/>
          <w:lang w:val="en-US" w:eastAsia="zh-CN"/>
        </w:rPr>
        <w:t>+</w:t>
      </w:r>
      <w:r>
        <w:rPr>
          <w:rFonts w:hint="default"/>
          <w:color w:val="auto"/>
        </w:rPr>
        <w:t>332.6m，低于500年一遇最高洪水位1.5m，干滩长度不满足要求；现状尾矿库安全超高和干滩长度均不满足尾矿库200年一遇排洪要求，更不满足尾矿库500年一遇排洪要求。</w:t>
      </w:r>
    </w:p>
    <w:p w14:paraId="5D2EBB50">
      <w:pPr>
        <w:pStyle w:val="4"/>
        <w:bidi w:val="0"/>
        <w:rPr>
          <w:rFonts w:hint="default" w:eastAsia="黑体"/>
          <w:color w:val="auto"/>
          <w:lang w:val="en-US" w:eastAsia="zh-CN"/>
        </w:rPr>
      </w:pPr>
      <w:bookmarkStart w:id="511" w:name="_Toc122"/>
      <w:bookmarkStart w:id="512" w:name="_Toc27218"/>
      <w:bookmarkStart w:id="513" w:name="_Toc24484"/>
      <w:bookmarkStart w:id="514" w:name="_Toc10251"/>
      <w:bookmarkStart w:id="515" w:name="_Toc22012"/>
      <w:r>
        <w:rPr>
          <w:rFonts w:hint="eastAsia"/>
          <w:color w:val="auto"/>
        </w:rPr>
        <w:t>5.</w:t>
      </w:r>
      <w:r>
        <w:rPr>
          <w:rFonts w:hint="eastAsia"/>
          <w:color w:val="auto"/>
          <w:lang w:val="en-US" w:eastAsia="zh-CN"/>
        </w:rPr>
        <w:t>3</w:t>
      </w:r>
      <w:r>
        <w:rPr>
          <w:rFonts w:hint="eastAsia"/>
          <w:color w:val="auto"/>
        </w:rPr>
        <w:t>.2</w:t>
      </w:r>
      <w:r>
        <w:rPr>
          <w:rFonts w:hint="eastAsia"/>
          <w:color w:val="auto"/>
          <w:lang w:val="en-US" w:eastAsia="zh-CN"/>
        </w:rPr>
        <w:t xml:space="preserve"> 评价小结</w:t>
      </w:r>
      <w:bookmarkEnd w:id="511"/>
      <w:bookmarkEnd w:id="512"/>
      <w:bookmarkEnd w:id="513"/>
      <w:bookmarkEnd w:id="514"/>
      <w:bookmarkEnd w:id="515"/>
    </w:p>
    <w:p w14:paraId="2D1AC326">
      <w:pPr>
        <w:rPr>
          <w:rFonts w:hint="eastAsia"/>
          <w:color w:val="auto"/>
          <w:lang w:val="en-US" w:eastAsia="zh-CN"/>
        </w:rPr>
      </w:pPr>
      <w:r>
        <w:rPr>
          <w:rFonts w:hint="eastAsia"/>
          <w:color w:val="auto"/>
        </w:rPr>
        <w:t>（1）经现场检查，</w:t>
      </w:r>
      <w:r>
        <w:rPr>
          <w:rFonts w:hint="eastAsia"/>
          <w:color w:val="auto"/>
          <w:lang w:val="en-US" w:eastAsia="zh-CN"/>
        </w:rPr>
        <w:t>岿美山尾矿库排洪构筑物运行状况良好，排洪构筑物无变形、裂缝、脱落、倾斜、坍塌等现象。</w:t>
      </w:r>
    </w:p>
    <w:p w14:paraId="0D2AF791">
      <w:pPr>
        <w:rPr>
          <w:rFonts w:hint="eastAsia"/>
          <w:strike w:val="0"/>
          <w:dstrike w:val="0"/>
          <w:color w:val="auto"/>
        </w:rPr>
      </w:pPr>
      <w:r>
        <w:rPr>
          <w:rFonts w:hint="eastAsia"/>
          <w:strike w:val="0"/>
          <w:dstrike w:val="0"/>
          <w:color w:val="auto"/>
        </w:rPr>
        <w:t>（</w:t>
      </w:r>
      <w:r>
        <w:rPr>
          <w:rFonts w:hint="eastAsia"/>
          <w:strike w:val="0"/>
          <w:dstrike w:val="0"/>
          <w:color w:val="auto"/>
          <w:lang w:val="en-US" w:eastAsia="zh-CN"/>
        </w:rPr>
        <w:t>2</w:t>
      </w:r>
      <w:r>
        <w:rPr>
          <w:rFonts w:hint="eastAsia"/>
          <w:strike w:val="0"/>
          <w:dstrike w:val="0"/>
          <w:color w:val="auto"/>
        </w:rPr>
        <w:t>）通过洪水复核，</w:t>
      </w:r>
      <w:r>
        <w:rPr>
          <w:rFonts w:hint="eastAsia"/>
          <w:strike w:val="0"/>
          <w:dstrike w:val="0"/>
          <w:color w:val="auto"/>
          <w:lang w:val="en-US" w:eastAsia="zh-CN"/>
        </w:rPr>
        <w:t>岿美山尾矿库安全超高和干滩长度均不满足尾矿库200年一遇排洪要求，更不满足尾矿库500年一遇排洪要求</w:t>
      </w:r>
      <w:r>
        <w:rPr>
          <w:rFonts w:hint="eastAsia"/>
          <w:strike w:val="0"/>
          <w:dstrike w:val="0"/>
          <w:color w:val="auto"/>
        </w:rPr>
        <w:t>。</w:t>
      </w:r>
    </w:p>
    <w:p w14:paraId="4717538A">
      <w:pPr>
        <w:bidi w:val="0"/>
        <w:rPr>
          <w:rFonts w:hint="eastAsia"/>
          <w:color w:val="auto"/>
          <w:lang w:val="en-US" w:eastAsia="zh-CN"/>
        </w:rPr>
      </w:pPr>
      <w:r>
        <w:rPr>
          <w:rFonts w:hint="eastAsia"/>
          <w:color w:val="auto"/>
          <w:lang w:val="en-US" w:eastAsia="zh-CN"/>
        </w:rPr>
        <w:t>（3）可研方案对干滩整治、降低溢流坝进水口高程和新建排洪明渠，对整治后的尾矿库泄流能力进行了复核，整治后的尾矿库可以满足500年一遇洪峰的泄流要求。</w:t>
      </w:r>
    </w:p>
    <w:p w14:paraId="5EEA115A">
      <w:pPr>
        <w:rPr>
          <w:rFonts w:hint="eastAsia"/>
          <w:color w:val="auto"/>
        </w:rPr>
      </w:pPr>
      <w:r>
        <w:rPr>
          <w:rFonts w:hint="eastAsia"/>
          <w:color w:val="auto"/>
        </w:rPr>
        <w:t>（</w:t>
      </w:r>
      <w:r>
        <w:rPr>
          <w:rFonts w:hint="eastAsia"/>
          <w:color w:val="auto"/>
          <w:lang w:val="en-US" w:eastAsia="zh-CN"/>
        </w:rPr>
        <w:t>4</w:t>
      </w:r>
      <w:r>
        <w:rPr>
          <w:rFonts w:hint="eastAsia"/>
          <w:color w:val="auto"/>
        </w:rPr>
        <w:t>）经采用安全检查表法评判，防洪排水单元应得分3</w:t>
      </w:r>
      <w:r>
        <w:rPr>
          <w:rFonts w:hint="eastAsia"/>
          <w:color w:val="auto"/>
          <w:lang w:val="en-US" w:eastAsia="zh-CN"/>
        </w:rPr>
        <w:t>7</w:t>
      </w:r>
      <w:r>
        <w:rPr>
          <w:rFonts w:hint="eastAsia"/>
          <w:color w:val="auto"/>
        </w:rPr>
        <w:t>分，实际得分</w:t>
      </w:r>
      <w:r>
        <w:rPr>
          <w:rFonts w:hint="eastAsia"/>
          <w:color w:val="auto"/>
          <w:lang w:val="en-US" w:eastAsia="zh-CN"/>
        </w:rPr>
        <w:t>34</w:t>
      </w:r>
      <w:r>
        <w:rPr>
          <w:rFonts w:hint="eastAsia"/>
          <w:color w:val="auto"/>
        </w:rPr>
        <w:t>分，得分率</w:t>
      </w:r>
      <w:r>
        <w:rPr>
          <w:rFonts w:hint="eastAsia"/>
          <w:color w:val="auto"/>
          <w:lang w:val="en-US" w:eastAsia="zh-CN"/>
        </w:rPr>
        <w:t>91.89</w:t>
      </w:r>
      <w:r>
        <w:rPr>
          <w:rFonts w:hint="eastAsia"/>
          <w:color w:val="auto"/>
        </w:rPr>
        <w:t>%。</w:t>
      </w:r>
    </w:p>
    <w:p w14:paraId="3C97FD49">
      <w:pPr>
        <w:pStyle w:val="3"/>
        <w:bidi w:val="0"/>
        <w:rPr>
          <w:rFonts w:hint="default"/>
          <w:color w:val="auto"/>
          <w:lang w:val="en-US" w:eastAsia="zh-CN"/>
        </w:rPr>
      </w:pPr>
      <w:bookmarkStart w:id="516" w:name="_Toc11517"/>
      <w:bookmarkStart w:id="517" w:name="_Toc13843"/>
      <w:bookmarkStart w:id="518" w:name="_Toc19843"/>
      <w:bookmarkStart w:id="519" w:name="_Toc15756"/>
      <w:bookmarkStart w:id="520" w:name="_Toc30106"/>
      <w:r>
        <w:rPr>
          <w:rFonts w:hint="default"/>
          <w:color w:val="auto"/>
          <w:lang w:val="en-US" w:eastAsia="zh-CN"/>
        </w:rPr>
        <w:t>5.4</w:t>
      </w:r>
      <w:r>
        <w:rPr>
          <w:rFonts w:hint="eastAsia"/>
          <w:color w:val="auto"/>
          <w:lang w:val="en-US" w:eastAsia="zh-CN"/>
        </w:rPr>
        <w:t xml:space="preserve"> </w:t>
      </w:r>
      <w:r>
        <w:rPr>
          <w:rFonts w:hint="default"/>
          <w:color w:val="auto"/>
          <w:lang w:val="en-US" w:eastAsia="zh-CN"/>
        </w:rPr>
        <w:t>尾矿库监测设施单元</w:t>
      </w:r>
      <w:bookmarkEnd w:id="516"/>
      <w:bookmarkEnd w:id="517"/>
      <w:bookmarkEnd w:id="518"/>
      <w:bookmarkEnd w:id="519"/>
      <w:bookmarkEnd w:id="520"/>
    </w:p>
    <w:p w14:paraId="519F0B4E">
      <w:pPr>
        <w:rPr>
          <w:rFonts w:hint="default"/>
          <w:color w:val="auto"/>
          <w:lang w:val="en-US" w:eastAsia="zh-CN"/>
        </w:rPr>
      </w:pPr>
      <w:r>
        <w:rPr>
          <w:rFonts w:hint="default"/>
          <w:color w:val="auto"/>
          <w:lang w:val="en-US" w:eastAsia="zh-CN"/>
        </w:rPr>
        <w:t>经现场检查，</w:t>
      </w:r>
      <w:r>
        <w:rPr>
          <w:rFonts w:hint="eastAsia"/>
          <w:color w:val="auto"/>
          <w:lang w:val="en-US" w:eastAsia="zh-CN"/>
        </w:rPr>
        <w:t>岿美山</w:t>
      </w:r>
      <w:r>
        <w:rPr>
          <w:rFonts w:hint="default"/>
          <w:color w:val="auto"/>
          <w:lang w:val="en-US" w:eastAsia="zh-CN"/>
        </w:rPr>
        <w:t>尾矿库安全监测设施既有传统的人工安全监测设施，也有自动的在线监测设施，且设置位置、数量与设计相符，观测频率和精度符合规定要求。</w:t>
      </w:r>
    </w:p>
    <w:p w14:paraId="0B7BF223">
      <w:pPr>
        <w:rPr>
          <w:rFonts w:hint="eastAsia" w:ascii="Times New Roman" w:hAnsi="Times New Roman" w:eastAsia="宋体" w:cs="Times New Roman"/>
          <w:strike w:val="0"/>
          <w:dstrike w:val="0"/>
          <w:color w:val="auto"/>
          <w:lang w:val="en-US" w:eastAsia="zh-CN"/>
        </w:rPr>
      </w:pPr>
      <w:r>
        <w:rPr>
          <w:rFonts w:hint="eastAsia" w:ascii="Times New Roman" w:hAnsi="Times New Roman" w:eastAsia="宋体" w:cs="Times New Roman"/>
          <w:strike w:val="0"/>
          <w:dstrike w:val="0"/>
          <w:color w:val="auto"/>
          <w:lang w:val="en-US" w:eastAsia="zh-CN"/>
        </w:rPr>
        <w:t>根据江西岿美山钨业有限公司提供尾矿库的坝体位移沉降、浸润线、库水位观测记录，从坝体位移沉降、浸润线观测记录来看，坝体已固结、稳定，观测值变化、波动偏小，位移沉降在±3mm之间，浸润线埋深在8.71m～10.10m之间，符合规范值要求。</w:t>
      </w:r>
    </w:p>
    <w:p w14:paraId="19907E4A">
      <w:pPr>
        <w:pStyle w:val="3"/>
        <w:bidi w:val="0"/>
        <w:rPr>
          <w:rFonts w:hint="default"/>
          <w:color w:val="auto"/>
          <w:lang w:val="en-US" w:eastAsia="zh-CN"/>
        </w:rPr>
      </w:pPr>
      <w:bookmarkStart w:id="521" w:name="_Toc30409"/>
      <w:bookmarkStart w:id="522" w:name="_Toc29953"/>
      <w:bookmarkStart w:id="523" w:name="_Toc23790"/>
      <w:bookmarkStart w:id="524" w:name="_Toc9992"/>
      <w:bookmarkStart w:id="525" w:name="_Toc4934"/>
      <w:r>
        <w:rPr>
          <w:rFonts w:hint="default"/>
          <w:color w:val="auto"/>
          <w:lang w:val="en-US" w:eastAsia="zh-CN"/>
        </w:rPr>
        <w:t>5.5</w:t>
      </w:r>
      <w:r>
        <w:rPr>
          <w:rFonts w:hint="eastAsia"/>
          <w:color w:val="auto"/>
          <w:lang w:val="en-US" w:eastAsia="zh-CN"/>
        </w:rPr>
        <w:t xml:space="preserve"> </w:t>
      </w:r>
      <w:r>
        <w:rPr>
          <w:rFonts w:hint="default"/>
          <w:color w:val="auto"/>
          <w:lang w:val="en-US" w:eastAsia="zh-CN"/>
        </w:rPr>
        <w:t>辅助设施单元</w:t>
      </w:r>
      <w:bookmarkEnd w:id="521"/>
      <w:bookmarkEnd w:id="522"/>
      <w:bookmarkEnd w:id="523"/>
      <w:bookmarkEnd w:id="524"/>
      <w:bookmarkEnd w:id="525"/>
    </w:p>
    <w:p w14:paraId="3B780B1E">
      <w:pP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w:t>
      </w:r>
      <w:r>
        <w:rPr>
          <w:rFonts w:hint="eastAsia" w:ascii="Times New Roman" w:hAnsi="Times New Roman" w:eastAsia="宋体" w:cs="Times New Roman"/>
          <w:color w:val="auto"/>
          <w:lang w:val="en-US" w:eastAsia="zh-CN"/>
        </w:rPr>
        <w:t xml:space="preserve">. </w:t>
      </w:r>
      <w:r>
        <w:rPr>
          <w:rFonts w:hint="default" w:ascii="Times New Roman" w:hAnsi="Times New Roman" w:eastAsia="宋体" w:cs="Times New Roman"/>
          <w:color w:val="auto"/>
          <w:lang w:val="en-US" w:eastAsia="zh-CN"/>
        </w:rPr>
        <w:t>经现场踏勘，有道路通往尾矿库坝顶。</w:t>
      </w:r>
    </w:p>
    <w:p w14:paraId="023DC972">
      <w:pPr>
        <w:bidi w:val="0"/>
        <w:rPr>
          <w:rFonts w:hint="default"/>
          <w:color w:val="auto"/>
          <w:lang w:val="en-US" w:eastAsia="zh-CN"/>
        </w:rPr>
      </w:pPr>
      <w:r>
        <w:rPr>
          <w:rFonts w:hint="default"/>
          <w:color w:val="auto"/>
          <w:lang w:val="en-US" w:eastAsia="zh-CN"/>
        </w:rPr>
        <w:t>2</w:t>
      </w:r>
      <w:r>
        <w:rPr>
          <w:rFonts w:hint="eastAsia" w:ascii="Times New Roman" w:hAnsi="Times New Roman" w:eastAsia="宋体" w:cs="Times New Roman"/>
          <w:color w:val="auto"/>
          <w:lang w:val="en-US" w:eastAsia="zh-CN"/>
        </w:rPr>
        <w:t xml:space="preserve">. </w:t>
      </w:r>
      <w:r>
        <w:rPr>
          <w:rFonts w:hint="default"/>
          <w:color w:val="auto"/>
          <w:lang w:val="en-US" w:eastAsia="zh-CN"/>
        </w:rPr>
        <w:t>经现场踏勘，尾矿库工作人员采用移动电话通讯。</w:t>
      </w:r>
    </w:p>
    <w:p w14:paraId="2707B576">
      <w:pPr>
        <w:bidi w:val="0"/>
        <w:rPr>
          <w:rFonts w:hint="default"/>
          <w:color w:val="auto"/>
          <w:lang w:val="en-US" w:eastAsia="zh-CN"/>
        </w:rPr>
      </w:pPr>
      <w:r>
        <w:rPr>
          <w:rFonts w:hint="eastAsia" w:ascii="Times New Roman" w:eastAsia="宋体"/>
          <w:color w:val="auto"/>
          <w:lang w:val="en-US" w:eastAsia="zh-CN"/>
        </w:rPr>
        <w:t>3</w:t>
      </w:r>
      <w:r>
        <w:rPr>
          <w:rFonts w:hint="eastAsia" w:ascii="Times New Roman" w:hAnsi="Times New Roman" w:eastAsia="宋体" w:cs="Times New Roman"/>
          <w:color w:val="auto"/>
          <w:lang w:val="en-US" w:eastAsia="zh-CN"/>
        </w:rPr>
        <w:t xml:space="preserve">. </w:t>
      </w:r>
      <w:r>
        <w:rPr>
          <w:rFonts w:hint="eastAsia" w:ascii="Times New Roman" w:eastAsia="宋体"/>
          <w:color w:val="auto"/>
          <w:lang w:val="en-US" w:eastAsia="zh-CN"/>
        </w:rPr>
        <w:t>经现场踏勘，</w:t>
      </w:r>
      <w:r>
        <w:rPr>
          <w:rFonts w:hint="default"/>
          <w:color w:val="auto"/>
          <w:lang w:val="en-US" w:eastAsia="zh-CN"/>
        </w:rPr>
        <w:t>尾矿库设置了照明设施。</w:t>
      </w:r>
    </w:p>
    <w:p w14:paraId="50A16CC9">
      <w:pPr>
        <w:rPr>
          <w:rFonts w:hint="default" w:ascii="Times New Roman" w:hAnsi="Times New Roman" w:eastAsia="宋体" w:cs="Times New Roman"/>
          <w:color w:val="auto"/>
          <w:lang w:val="en-US" w:eastAsia="zh-CN"/>
        </w:rPr>
      </w:pPr>
      <w:r>
        <w:rPr>
          <w:rFonts w:hint="eastAsia" w:ascii="Times New Roman" w:eastAsia="宋体"/>
          <w:color w:val="auto"/>
          <w:lang w:val="en-US" w:eastAsia="zh-CN"/>
        </w:rPr>
        <w:t>4</w:t>
      </w:r>
      <w:r>
        <w:rPr>
          <w:rFonts w:hint="eastAsia" w:ascii="Times New Roman" w:hAnsi="Times New Roman" w:eastAsia="宋体" w:cs="Times New Roman"/>
          <w:color w:val="auto"/>
          <w:lang w:val="en-US" w:eastAsia="zh-CN"/>
        </w:rPr>
        <w:t xml:space="preserve">. </w:t>
      </w:r>
      <w:r>
        <w:rPr>
          <w:rFonts w:hint="eastAsia" w:ascii="Times New Roman" w:eastAsia="宋体"/>
          <w:color w:val="auto"/>
          <w:lang w:val="en-US" w:eastAsia="zh-CN"/>
        </w:rPr>
        <w:t>经现场踏勘，</w:t>
      </w:r>
      <w:r>
        <w:rPr>
          <w:rFonts w:hint="default" w:ascii="Times New Roman" w:hAnsi="Times New Roman" w:eastAsia="宋体" w:cs="Times New Roman"/>
          <w:color w:val="auto"/>
          <w:lang w:val="en-US" w:eastAsia="zh-CN"/>
        </w:rPr>
        <w:t>尾矿库在主坝的右侧设有库区值班房，应急救援物资不</w:t>
      </w:r>
      <w:r>
        <w:rPr>
          <w:rFonts w:hint="eastAsia" w:ascii="Times New Roman" w:hAnsi="Times New Roman" w:eastAsia="宋体" w:cs="Times New Roman"/>
          <w:color w:val="auto"/>
          <w:lang w:val="en-US" w:eastAsia="zh-CN"/>
        </w:rPr>
        <w:t>足</w:t>
      </w:r>
      <w:r>
        <w:rPr>
          <w:rFonts w:hint="default" w:ascii="Times New Roman" w:hAnsi="Times New Roman" w:eastAsia="宋体" w:cs="Times New Roman"/>
          <w:color w:val="auto"/>
          <w:lang w:val="en-US" w:eastAsia="zh-CN"/>
        </w:rPr>
        <w:t>。</w:t>
      </w:r>
    </w:p>
    <w:p w14:paraId="11774587">
      <w:pPr>
        <w:bidi w:val="0"/>
        <w:rPr>
          <w:rFonts w:hint="default"/>
          <w:color w:val="auto"/>
          <w:lang w:val="en-US" w:eastAsia="zh-CN"/>
        </w:rPr>
      </w:pPr>
      <w:r>
        <w:rPr>
          <w:rFonts w:hint="eastAsia" w:ascii="Times New Roman" w:eastAsia="宋体"/>
          <w:color w:val="auto"/>
          <w:lang w:val="en-US" w:eastAsia="zh-CN"/>
        </w:rPr>
        <w:t>5</w:t>
      </w:r>
      <w:r>
        <w:rPr>
          <w:rFonts w:hint="eastAsia" w:ascii="Times New Roman" w:hAnsi="Times New Roman" w:eastAsia="宋体" w:cs="Times New Roman"/>
          <w:color w:val="auto"/>
          <w:lang w:val="en-US" w:eastAsia="zh-CN"/>
        </w:rPr>
        <w:t xml:space="preserve">. </w:t>
      </w:r>
      <w:r>
        <w:rPr>
          <w:rFonts w:hint="eastAsia" w:ascii="Times New Roman" w:eastAsia="宋体"/>
          <w:color w:val="auto"/>
          <w:lang w:val="en-US" w:eastAsia="zh-CN"/>
        </w:rPr>
        <w:t>经现场踏勘，库区范围内布置安全标志不足</w:t>
      </w:r>
      <w:r>
        <w:rPr>
          <w:rFonts w:hint="eastAsia"/>
          <w:color w:val="auto"/>
          <w:lang w:eastAsia="zh-CN"/>
        </w:rPr>
        <w:t>。</w:t>
      </w:r>
    </w:p>
    <w:p w14:paraId="0CA5AE7D">
      <w:pP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综上所述，</w:t>
      </w:r>
      <w:r>
        <w:rPr>
          <w:rFonts w:hint="eastAsia" w:ascii="Times New Roman" w:eastAsia="宋体"/>
          <w:color w:val="auto"/>
          <w:lang w:val="en-US" w:eastAsia="zh-CN"/>
        </w:rPr>
        <w:t>岿美山尾矿库</w:t>
      </w:r>
      <w:r>
        <w:rPr>
          <w:rFonts w:hint="default" w:ascii="Times New Roman" w:hAnsi="Times New Roman" w:eastAsia="宋体" w:cs="Times New Roman"/>
          <w:color w:val="auto"/>
          <w:lang w:val="en-US" w:eastAsia="zh-CN"/>
        </w:rPr>
        <w:t>现场管理</w:t>
      </w:r>
      <w:r>
        <w:rPr>
          <w:rFonts w:hint="eastAsia" w:ascii="Times New Roman" w:hAnsi="Times New Roman" w:eastAsia="宋体" w:cs="Times New Roman"/>
          <w:color w:val="auto"/>
          <w:lang w:val="en-US" w:eastAsia="zh-CN"/>
        </w:rPr>
        <w:t>较为</w:t>
      </w:r>
      <w:r>
        <w:rPr>
          <w:rFonts w:hint="default" w:ascii="Times New Roman" w:hAnsi="Times New Roman" w:eastAsia="宋体" w:cs="Times New Roman"/>
          <w:color w:val="auto"/>
          <w:lang w:val="en-US" w:eastAsia="zh-CN"/>
        </w:rPr>
        <w:t>规范，辅助设施符合</w:t>
      </w:r>
      <w:r>
        <w:rPr>
          <w:rFonts w:hint="eastAsia" w:ascii="Times New Roman" w:hAnsi="Times New Roman" w:eastAsia="宋体" w:cs="Times New Roman"/>
          <w:color w:val="auto"/>
          <w:lang w:val="en-US" w:eastAsia="zh-CN"/>
        </w:rPr>
        <w:t>暂行</w:t>
      </w:r>
      <w:r>
        <w:rPr>
          <w:rFonts w:hint="default" w:ascii="Times New Roman" w:hAnsi="Times New Roman" w:eastAsia="宋体" w:cs="Times New Roman"/>
          <w:color w:val="auto"/>
          <w:lang w:val="en-US" w:eastAsia="zh-CN"/>
        </w:rPr>
        <w:t>规程规范规定。</w:t>
      </w:r>
    </w:p>
    <w:p w14:paraId="62F85B75">
      <w:pPr>
        <w:pStyle w:val="3"/>
        <w:bidi w:val="0"/>
        <w:rPr>
          <w:rFonts w:hint="default"/>
          <w:color w:val="auto"/>
          <w:lang w:val="en-US" w:eastAsia="zh-CN"/>
        </w:rPr>
      </w:pPr>
      <w:bookmarkStart w:id="526" w:name="_Toc20686"/>
      <w:bookmarkStart w:id="527" w:name="_Toc14929"/>
      <w:bookmarkStart w:id="528" w:name="_Toc4214"/>
      <w:bookmarkStart w:id="529" w:name="_Toc2381"/>
      <w:bookmarkStart w:id="530" w:name="_Toc3756"/>
      <w:r>
        <w:rPr>
          <w:rFonts w:hint="default"/>
          <w:color w:val="auto"/>
          <w:lang w:val="en-US" w:eastAsia="zh-CN"/>
        </w:rPr>
        <w:t>5.6</w:t>
      </w:r>
      <w:r>
        <w:rPr>
          <w:rFonts w:hint="eastAsia"/>
          <w:color w:val="auto"/>
          <w:lang w:val="en-US" w:eastAsia="zh-CN"/>
        </w:rPr>
        <w:t xml:space="preserve"> </w:t>
      </w:r>
      <w:r>
        <w:rPr>
          <w:rFonts w:hint="default"/>
          <w:color w:val="auto"/>
          <w:lang w:val="en-US" w:eastAsia="zh-CN"/>
        </w:rPr>
        <w:t>库区环境单元</w:t>
      </w:r>
      <w:bookmarkEnd w:id="526"/>
      <w:bookmarkEnd w:id="527"/>
      <w:bookmarkEnd w:id="528"/>
      <w:bookmarkEnd w:id="529"/>
      <w:bookmarkEnd w:id="530"/>
    </w:p>
    <w:p w14:paraId="61117714">
      <w:pPr>
        <w:pStyle w:val="4"/>
        <w:bidi w:val="0"/>
        <w:rPr>
          <w:rFonts w:hint="default"/>
          <w:color w:val="auto"/>
          <w:lang w:val="en-US" w:eastAsia="zh-CN"/>
        </w:rPr>
      </w:pPr>
      <w:bookmarkStart w:id="531" w:name="_Toc25426"/>
      <w:bookmarkStart w:id="532" w:name="_Toc25618"/>
      <w:bookmarkStart w:id="533" w:name="_Toc5068"/>
      <w:bookmarkStart w:id="534" w:name="_Toc25597"/>
      <w:bookmarkStart w:id="535" w:name="_Toc10018"/>
      <w:r>
        <w:rPr>
          <w:rFonts w:hint="default"/>
          <w:color w:val="auto"/>
          <w:lang w:val="en-US" w:eastAsia="zh-CN"/>
        </w:rPr>
        <w:t>5.6.</w:t>
      </w:r>
      <w:r>
        <w:rPr>
          <w:rFonts w:hint="eastAsia"/>
          <w:color w:val="auto"/>
          <w:lang w:val="en-US" w:eastAsia="zh-CN"/>
        </w:rPr>
        <w:t xml:space="preserve">1 </w:t>
      </w:r>
      <w:bookmarkEnd w:id="531"/>
      <w:r>
        <w:rPr>
          <w:rFonts w:hint="default"/>
          <w:color w:val="auto"/>
          <w:lang w:val="en-US" w:eastAsia="zh-CN"/>
        </w:rPr>
        <w:t>安全检查表评价</w:t>
      </w:r>
      <w:bookmarkEnd w:id="532"/>
      <w:bookmarkEnd w:id="533"/>
      <w:bookmarkEnd w:id="534"/>
      <w:bookmarkEnd w:id="535"/>
    </w:p>
    <w:p w14:paraId="04B36A83">
      <w:pPr>
        <w:bidi w:val="0"/>
        <w:ind w:left="0" w:leftChars="0" w:firstLine="0" w:firstLineChars="0"/>
        <w:jc w:val="center"/>
        <w:rPr>
          <w:rFonts w:hint="default"/>
          <w:color w:val="auto"/>
          <w:lang w:val="en-US" w:eastAsia="zh-CN"/>
        </w:rPr>
      </w:pPr>
      <w:r>
        <w:rPr>
          <w:rFonts w:hint="eastAsia"/>
          <w:color w:val="auto"/>
          <w:lang w:val="en-US" w:eastAsia="zh-CN"/>
        </w:rPr>
        <w:t xml:space="preserve">表5.6-1 </w:t>
      </w:r>
      <w:r>
        <w:rPr>
          <w:rFonts w:hint="default"/>
          <w:color w:val="auto"/>
          <w:lang w:val="en-US" w:eastAsia="zh-CN"/>
        </w:rPr>
        <w:t>库区环境单元安全检查表</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833"/>
        <w:gridCol w:w="2457"/>
        <w:gridCol w:w="1177"/>
        <w:gridCol w:w="948"/>
        <w:gridCol w:w="1075"/>
        <w:gridCol w:w="902"/>
        <w:gridCol w:w="704"/>
        <w:gridCol w:w="994"/>
      </w:tblGrid>
      <w:tr w14:paraId="6A7B6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69" w:hRule="atLeast"/>
          <w:jc w:val="center"/>
        </w:trPr>
        <w:tc>
          <w:tcPr>
            <w:tcW w:w="458" w:type="pct"/>
            <w:noWrap w:val="0"/>
            <w:vAlign w:val="center"/>
          </w:tcPr>
          <w:p w14:paraId="3766E20F">
            <w:pPr>
              <w:autoSpaceDE w:val="0"/>
              <w:autoSpaceDN w:val="0"/>
              <w:adjustRightInd w:val="0"/>
              <w:spacing w:line="220" w:lineRule="exact"/>
              <w:ind w:firstLine="0" w:firstLineChars="0"/>
              <w:jc w:val="center"/>
              <w:rPr>
                <w:rFonts w:ascii="Times New Roman" w:hAnsi="Times New Roman" w:eastAsia="宋体" w:cs="Times New Roman"/>
                <w:b/>
                <w:bCs w:val="0"/>
                <w:color w:val="auto"/>
                <w:kern w:val="0"/>
                <w:sz w:val="21"/>
                <w:szCs w:val="21"/>
                <w:lang w:val="zh-CN"/>
              </w:rPr>
            </w:pPr>
            <w:r>
              <w:rPr>
                <w:rFonts w:ascii="Times New Roman" w:hAnsi="Times New Roman" w:eastAsia="宋体" w:cs="Times New Roman"/>
                <w:b/>
                <w:bCs w:val="0"/>
                <w:color w:val="auto"/>
                <w:kern w:val="0"/>
                <w:sz w:val="21"/>
                <w:szCs w:val="21"/>
                <w:lang w:val="zh-CN"/>
              </w:rPr>
              <w:t>项目</w:t>
            </w:r>
          </w:p>
        </w:tc>
        <w:tc>
          <w:tcPr>
            <w:tcW w:w="1351" w:type="pct"/>
            <w:noWrap w:val="0"/>
            <w:vAlign w:val="center"/>
          </w:tcPr>
          <w:p w14:paraId="531F89F3">
            <w:pPr>
              <w:autoSpaceDE w:val="0"/>
              <w:autoSpaceDN w:val="0"/>
              <w:adjustRightInd w:val="0"/>
              <w:spacing w:line="220" w:lineRule="exact"/>
              <w:ind w:firstLine="0" w:firstLineChars="0"/>
              <w:jc w:val="center"/>
              <w:rPr>
                <w:rFonts w:ascii="Times New Roman" w:hAnsi="Times New Roman" w:eastAsia="宋体" w:cs="Times New Roman"/>
                <w:b/>
                <w:bCs w:val="0"/>
                <w:color w:val="auto"/>
                <w:kern w:val="0"/>
                <w:sz w:val="21"/>
                <w:szCs w:val="21"/>
                <w:lang w:val="zh-CN"/>
              </w:rPr>
            </w:pPr>
            <w:r>
              <w:rPr>
                <w:rFonts w:ascii="Times New Roman" w:hAnsi="Times New Roman" w:eastAsia="宋体" w:cs="Times New Roman"/>
                <w:b/>
                <w:bCs w:val="0"/>
                <w:color w:val="auto"/>
                <w:spacing w:val="4"/>
                <w:kern w:val="0"/>
                <w:sz w:val="21"/>
                <w:szCs w:val="21"/>
              </w:rPr>
              <w:t>检查内容</w:t>
            </w:r>
          </w:p>
        </w:tc>
        <w:tc>
          <w:tcPr>
            <w:tcW w:w="647" w:type="pct"/>
            <w:noWrap w:val="0"/>
            <w:vAlign w:val="center"/>
          </w:tcPr>
          <w:p w14:paraId="3B1BEE58">
            <w:pPr>
              <w:autoSpaceDE w:val="0"/>
              <w:autoSpaceDN w:val="0"/>
              <w:adjustRightInd w:val="0"/>
              <w:spacing w:line="220" w:lineRule="exact"/>
              <w:ind w:firstLine="0" w:firstLineChars="0"/>
              <w:jc w:val="center"/>
              <w:rPr>
                <w:rFonts w:ascii="Times New Roman" w:hAnsi="Times New Roman" w:eastAsia="宋体" w:cs="Times New Roman"/>
                <w:b/>
                <w:bCs w:val="0"/>
                <w:color w:val="auto"/>
                <w:kern w:val="0"/>
                <w:sz w:val="21"/>
                <w:szCs w:val="21"/>
                <w:lang w:val="zh-CN"/>
              </w:rPr>
            </w:pPr>
            <w:r>
              <w:rPr>
                <w:rFonts w:ascii="Times New Roman" w:hAnsi="Times New Roman" w:eastAsia="宋体" w:cs="Times New Roman"/>
                <w:b/>
                <w:bCs w:val="0"/>
                <w:color w:val="auto"/>
                <w:sz w:val="21"/>
                <w:szCs w:val="21"/>
              </w:rPr>
              <w:t>检查依据</w:t>
            </w:r>
          </w:p>
        </w:tc>
        <w:tc>
          <w:tcPr>
            <w:tcW w:w="521" w:type="pct"/>
            <w:noWrap w:val="0"/>
            <w:vAlign w:val="center"/>
          </w:tcPr>
          <w:p w14:paraId="31950EED">
            <w:pPr>
              <w:autoSpaceDE w:val="0"/>
              <w:autoSpaceDN w:val="0"/>
              <w:adjustRightInd w:val="0"/>
              <w:spacing w:line="220" w:lineRule="exact"/>
              <w:ind w:firstLine="0" w:firstLineChars="0"/>
              <w:jc w:val="center"/>
              <w:rPr>
                <w:rFonts w:ascii="Times New Roman" w:hAnsi="Times New Roman" w:eastAsia="宋体" w:cs="Times New Roman"/>
                <w:b/>
                <w:bCs w:val="0"/>
                <w:color w:val="auto"/>
                <w:kern w:val="0"/>
                <w:sz w:val="21"/>
                <w:szCs w:val="21"/>
                <w:lang w:val="zh-CN"/>
              </w:rPr>
            </w:pPr>
            <w:r>
              <w:rPr>
                <w:rFonts w:ascii="Times New Roman" w:hAnsi="Times New Roman" w:eastAsia="宋体" w:cs="Times New Roman"/>
                <w:b/>
                <w:bCs w:val="0"/>
                <w:color w:val="auto"/>
                <w:sz w:val="21"/>
                <w:szCs w:val="21"/>
              </w:rPr>
              <w:t>检查方法及地点</w:t>
            </w:r>
          </w:p>
        </w:tc>
        <w:tc>
          <w:tcPr>
            <w:tcW w:w="591" w:type="pct"/>
            <w:noWrap w:val="0"/>
            <w:vAlign w:val="center"/>
          </w:tcPr>
          <w:p w14:paraId="61C83BD9">
            <w:pPr>
              <w:autoSpaceDE w:val="0"/>
              <w:autoSpaceDN w:val="0"/>
              <w:adjustRightInd w:val="0"/>
              <w:spacing w:line="220" w:lineRule="exact"/>
              <w:ind w:firstLine="0" w:firstLineChars="0"/>
              <w:jc w:val="center"/>
              <w:rPr>
                <w:rFonts w:ascii="Times New Roman" w:hAnsi="Times New Roman" w:eastAsia="宋体" w:cs="Times New Roman"/>
                <w:b/>
                <w:bCs w:val="0"/>
                <w:color w:val="auto"/>
                <w:sz w:val="21"/>
                <w:szCs w:val="21"/>
              </w:rPr>
            </w:pPr>
            <w:r>
              <w:rPr>
                <w:rFonts w:ascii="Times New Roman" w:hAnsi="Times New Roman" w:eastAsia="宋体" w:cs="Times New Roman"/>
                <w:b/>
                <w:bCs w:val="0"/>
                <w:color w:val="auto"/>
                <w:sz w:val="21"/>
                <w:szCs w:val="21"/>
              </w:rPr>
              <w:t>检查</w:t>
            </w:r>
          </w:p>
          <w:p w14:paraId="344AAABB">
            <w:pPr>
              <w:autoSpaceDE w:val="0"/>
              <w:autoSpaceDN w:val="0"/>
              <w:adjustRightInd w:val="0"/>
              <w:spacing w:line="220" w:lineRule="exact"/>
              <w:ind w:firstLine="0" w:firstLineChars="0"/>
              <w:jc w:val="center"/>
              <w:rPr>
                <w:rFonts w:ascii="Times New Roman" w:hAnsi="Times New Roman" w:eastAsia="宋体" w:cs="Times New Roman"/>
                <w:b/>
                <w:bCs w:val="0"/>
                <w:color w:val="auto"/>
                <w:kern w:val="0"/>
                <w:sz w:val="21"/>
                <w:szCs w:val="21"/>
                <w:lang w:val="zh-CN"/>
              </w:rPr>
            </w:pPr>
            <w:r>
              <w:rPr>
                <w:rFonts w:ascii="Times New Roman" w:hAnsi="Times New Roman" w:eastAsia="宋体" w:cs="Times New Roman"/>
                <w:b/>
                <w:bCs w:val="0"/>
                <w:color w:val="auto"/>
                <w:sz w:val="21"/>
                <w:szCs w:val="21"/>
              </w:rPr>
              <w:t>记录</w:t>
            </w:r>
          </w:p>
        </w:tc>
        <w:tc>
          <w:tcPr>
            <w:tcW w:w="496" w:type="pct"/>
            <w:noWrap w:val="0"/>
            <w:vAlign w:val="center"/>
          </w:tcPr>
          <w:p w14:paraId="0259EAD5">
            <w:pPr>
              <w:autoSpaceDE w:val="0"/>
              <w:autoSpaceDN w:val="0"/>
              <w:adjustRightInd w:val="0"/>
              <w:spacing w:line="220" w:lineRule="exact"/>
              <w:ind w:firstLine="0" w:firstLineChars="0"/>
              <w:jc w:val="center"/>
              <w:rPr>
                <w:rFonts w:ascii="Times New Roman" w:hAnsi="Times New Roman" w:eastAsia="宋体" w:cs="Times New Roman"/>
                <w:b/>
                <w:bCs w:val="0"/>
                <w:color w:val="auto"/>
                <w:kern w:val="0"/>
                <w:sz w:val="21"/>
                <w:szCs w:val="21"/>
                <w:lang w:val="zh-CN"/>
              </w:rPr>
            </w:pPr>
            <w:r>
              <w:rPr>
                <w:rFonts w:ascii="Times New Roman" w:hAnsi="Times New Roman" w:eastAsia="宋体" w:cs="Times New Roman"/>
                <w:b/>
                <w:bCs w:val="0"/>
                <w:color w:val="auto"/>
                <w:kern w:val="0"/>
                <w:sz w:val="21"/>
                <w:szCs w:val="21"/>
                <w:lang w:val="zh-CN"/>
              </w:rPr>
              <w:t>标准</w:t>
            </w:r>
          </w:p>
          <w:p w14:paraId="030B27AE">
            <w:pPr>
              <w:autoSpaceDE w:val="0"/>
              <w:autoSpaceDN w:val="0"/>
              <w:adjustRightInd w:val="0"/>
              <w:spacing w:line="220" w:lineRule="exact"/>
              <w:ind w:firstLine="0" w:firstLineChars="0"/>
              <w:jc w:val="center"/>
              <w:rPr>
                <w:rFonts w:ascii="Times New Roman" w:hAnsi="Times New Roman" w:eastAsia="宋体" w:cs="Times New Roman"/>
                <w:b/>
                <w:bCs w:val="0"/>
                <w:color w:val="auto"/>
                <w:kern w:val="0"/>
                <w:sz w:val="21"/>
                <w:szCs w:val="21"/>
                <w:lang w:val="zh-CN"/>
              </w:rPr>
            </w:pPr>
            <w:r>
              <w:rPr>
                <w:rFonts w:ascii="Times New Roman" w:hAnsi="Times New Roman" w:eastAsia="宋体" w:cs="Times New Roman"/>
                <w:b/>
                <w:bCs w:val="0"/>
                <w:color w:val="auto"/>
                <w:kern w:val="0"/>
                <w:sz w:val="21"/>
                <w:szCs w:val="21"/>
                <w:lang w:val="zh-CN"/>
              </w:rPr>
              <w:t>分值</w:t>
            </w:r>
          </w:p>
        </w:tc>
        <w:tc>
          <w:tcPr>
            <w:tcW w:w="387" w:type="pct"/>
            <w:noWrap w:val="0"/>
            <w:vAlign w:val="center"/>
          </w:tcPr>
          <w:p w14:paraId="2926175D">
            <w:pPr>
              <w:autoSpaceDE w:val="0"/>
              <w:autoSpaceDN w:val="0"/>
              <w:adjustRightInd w:val="0"/>
              <w:spacing w:line="220" w:lineRule="exact"/>
              <w:ind w:firstLine="0" w:firstLineChars="0"/>
              <w:jc w:val="center"/>
              <w:rPr>
                <w:rFonts w:hint="eastAsia" w:ascii="Times New Roman" w:hAnsi="Times New Roman" w:eastAsia="宋体" w:cs="Times New Roman"/>
                <w:b/>
                <w:bCs w:val="0"/>
                <w:color w:val="auto"/>
                <w:kern w:val="0"/>
                <w:sz w:val="21"/>
                <w:szCs w:val="21"/>
                <w:lang w:val="zh-CN"/>
              </w:rPr>
            </w:pPr>
            <w:r>
              <w:rPr>
                <w:rFonts w:ascii="Times New Roman" w:hAnsi="Times New Roman" w:eastAsia="宋体" w:cs="Times New Roman"/>
                <w:b/>
                <w:bCs w:val="0"/>
                <w:color w:val="auto"/>
                <w:kern w:val="0"/>
                <w:sz w:val="21"/>
                <w:szCs w:val="21"/>
                <w:lang w:val="zh-CN"/>
              </w:rPr>
              <w:t>评分</w:t>
            </w:r>
          </w:p>
          <w:p w14:paraId="416707BF">
            <w:pPr>
              <w:autoSpaceDE w:val="0"/>
              <w:autoSpaceDN w:val="0"/>
              <w:adjustRightInd w:val="0"/>
              <w:spacing w:line="220" w:lineRule="exact"/>
              <w:ind w:firstLine="0" w:firstLineChars="0"/>
              <w:jc w:val="center"/>
              <w:rPr>
                <w:rFonts w:ascii="Times New Roman" w:hAnsi="Times New Roman" w:eastAsia="宋体" w:cs="Times New Roman"/>
                <w:b/>
                <w:bCs w:val="0"/>
                <w:color w:val="auto"/>
                <w:kern w:val="0"/>
                <w:sz w:val="21"/>
                <w:szCs w:val="21"/>
                <w:lang w:val="zh-CN"/>
              </w:rPr>
            </w:pPr>
            <w:r>
              <w:rPr>
                <w:rFonts w:ascii="Times New Roman" w:hAnsi="Times New Roman" w:eastAsia="宋体" w:cs="Times New Roman"/>
                <w:b/>
                <w:bCs w:val="0"/>
                <w:color w:val="auto"/>
                <w:kern w:val="0"/>
                <w:sz w:val="21"/>
                <w:szCs w:val="21"/>
                <w:lang w:val="zh-CN"/>
              </w:rPr>
              <w:t>标准</w:t>
            </w:r>
          </w:p>
        </w:tc>
        <w:tc>
          <w:tcPr>
            <w:tcW w:w="546" w:type="pct"/>
            <w:noWrap w:val="0"/>
            <w:vAlign w:val="center"/>
          </w:tcPr>
          <w:p w14:paraId="522117CD">
            <w:pPr>
              <w:autoSpaceDE w:val="0"/>
              <w:autoSpaceDN w:val="0"/>
              <w:adjustRightInd w:val="0"/>
              <w:spacing w:line="220" w:lineRule="exact"/>
              <w:ind w:firstLine="0" w:firstLineChars="0"/>
              <w:jc w:val="center"/>
              <w:rPr>
                <w:rFonts w:ascii="Times New Roman" w:hAnsi="Times New Roman" w:eastAsia="宋体" w:cs="Times New Roman"/>
                <w:b/>
                <w:bCs w:val="0"/>
                <w:color w:val="auto"/>
                <w:kern w:val="0"/>
                <w:sz w:val="21"/>
                <w:szCs w:val="21"/>
                <w:lang w:val="zh-CN"/>
              </w:rPr>
            </w:pPr>
            <w:r>
              <w:rPr>
                <w:rFonts w:ascii="Times New Roman" w:hAnsi="Times New Roman" w:eastAsia="宋体" w:cs="Times New Roman"/>
                <w:b/>
                <w:bCs w:val="0"/>
                <w:color w:val="auto"/>
                <w:kern w:val="0"/>
                <w:sz w:val="21"/>
                <w:szCs w:val="21"/>
                <w:lang w:val="zh-CN"/>
              </w:rPr>
              <w:t>得分</w:t>
            </w:r>
          </w:p>
        </w:tc>
      </w:tr>
      <w:tr w14:paraId="4524B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52" w:hRule="atLeast"/>
          <w:jc w:val="center"/>
        </w:trPr>
        <w:tc>
          <w:tcPr>
            <w:tcW w:w="458" w:type="pct"/>
            <w:vMerge w:val="restart"/>
            <w:noWrap w:val="0"/>
            <w:vAlign w:val="center"/>
          </w:tcPr>
          <w:p w14:paraId="5415A7D2">
            <w:pPr>
              <w:autoSpaceDE w:val="0"/>
              <w:autoSpaceDN w:val="0"/>
              <w:adjustRightInd w:val="0"/>
              <w:spacing w:line="240" w:lineRule="exact"/>
              <w:ind w:firstLine="0" w:firstLineChars="0"/>
              <w:jc w:val="center"/>
              <w:rPr>
                <w:rFonts w:ascii="Times New Roman" w:hAnsi="Times New Roman" w:eastAsia="宋体" w:cs="Times New Roman"/>
                <w:color w:val="auto"/>
                <w:kern w:val="0"/>
                <w:sz w:val="21"/>
                <w:szCs w:val="21"/>
                <w:lang w:val="zh-CN"/>
              </w:rPr>
            </w:pPr>
            <w:r>
              <w:rPr>
                <w:rFonts w:ascii="Times New Roman" w:hAnsi="Times New Roman" w:eastAsia="宋体" w:cs="Times New Roman"/>
                <w:color w:val="auto"/>
                <w:kern w:val="0"/>
                <w:sz w:val="21"/>
                <w:szCs w:val="21"/>
                <w:lang w:val="zh-CN"/>
              </w:rPr>
              <w:t>库区</w:t>
            </w:r>
          </w:p>
          <w:p w14:paraId="5B7017B9">
            <w:pPr>
              <w:autoSpaceDE w:val="0"/>
              <w:autoSpaceDN w:val="0"/>
              <w:adjustRightInd w:val="0"/>
              <w:spacing w:line="240" w:lineRule="exact"/>
              <w:ind w:firstLine="0" w:firstLineChars="0"/>
              <w:jc w:val="center"/>
              <w:rPr>
                <w:rFonts w:ascii="Times New Roman" w:hAnsi="Times New Roman" w:eastAsia="宋体" w:cs="Times New Roman"/>
                <w:color w:val="auto"/>
                <w:kern w:val="0"/>
                <w:sz w:val="21"/>
                <w:szCs w:val="21"/>
                <w:lang w:val="zh-CN"/>
              </w:rPr>
            </w:pPr>
            <w:r>
              <w:rPr>
                <w:rFonts w:ascii="Times New Roman" w:hAnsi="Times New Roman" w:eastAsia="宋体" w:cs="Times New Roman"/>
                <w:color w:val="auto"/>
                <w:kern w:val="0"/>
                <w:sz w:val="21"/>
                <w:szCs w:val="21"/>
                <w:lang w:val="zh-CN"/>
              </w:rPr>
              <w:t>安全</w:t>
            </w:r>
          </w:p>
        </w:tc>
        <w:tc>
          <w:tcPr>
            <w:tcW w:w="1351" w:type="pct"/>
            <w:noWrap w:val="0"/>
            <w:vAlign w:val="top"/>
          </w:tcPr>
          <w:p w14:paraId="54046E1F">
            <w:pPr>
              <w:autoSpaceDE w:val="0"/>
              <w:autoSpaceDN w:val="0"/>
              <w:adjustRightInd w:val="0"/>
              <w:spacing w:line="240" w:lineRule="exact"/>
              <w:ind w:firstLine="0" w:firstLineChars="0"/>
              <w:rPr>
                <w:rFonts w:ascii="Times New Roman" w:hAnsi="Times New Roman" w:eastAsia="宋体" w:cs="Times New Roman"/>
                <w:color w:val="auto"/>
                <w:kern w:val="0"/>
                <w:sz w:val="21"/>
                <w:szCs w:val="21"/>
                <w:lang w:val="zh-CN"/>
              </w:rPr>
            </w:pPr>
            <w:r>
              <w:rPr>
                <w:rFonts w:ascii="Times New Roman" w:hAnsi="Times New Roman" w:eastAsia="宋体" w:cs="Times New Roman"/>
                <w:color w:val="auto"/>
                <w:kern w:val="0"/>
                <w:sz w:val="21"/>
                <w:szCs w:val="21"/>
                <w:lang w:val="zh-CN"/>
              </w:rPr>
              <w:t>1.1周边山体失稳，随时有可能滑动、坍塌影响尾矿库安全。</w:t>
            </w:r>
          </w:p>
        </w:tc>
        <w:tc>
          <w:tcPr>
            <w:tcW w:w="647" w:type="pct"/>
            <w:noWrap w:val="0"/>
            <w:vAlign w:val="center"/>
          </w:tcPr>
          <w:p w14:paraId="5F0E52F8">
            <w:pPr>
              <w:autoSpaceDE w:val="0"/>
              <w:autoSpaceDN w:val="0"/>
              <w:adjustRightInd w:val="0"/>
              <w:spacing w:line="240" w:lineRule="exact"/>
              <w:ind w:firstLine="0" w:firstLineChars="0"/>
              <w:jc w:val="center"/>
              <w:rPr>
                <w:rFonts w:ascii="Times New Roman" w:hAnsi="Times New Roman" w:eastAsia="宋体" w:cs="Times New Roman"/>
                <w:color w:val="auto"/>
                <w:kern w:val="0"/>
                <w:sz w:val="21"/>
                <w:szCs w:val="21"/>
                <w:lang w:val="zh-CN"/>
              </w:rPr>
            </w:pPr>
            <w:r>
              <w:rPr>
                <w:rFonts w:hint="eastAsia" w:ascii="Times New Roman" w:hAnsi="Times New Roman" w:eastAsia="宋体" w:cs="Times New Roman"/>
                <w:color w:val="auto"/>
                <w:sz w:val="21"/>
                <w:szCs w:val="21"/>
              </w:rPr>
              <w:t>《尾矿库安全规程》第9.5.2条</w:t>
            </w:r>
          </w:p>
        </w:tc>
        <w:tc>
          <w:tcPr>
            <w:tcW w:w="521" w:type="pct"/>
            <w:vMerge w:val="restart"/>
            <w:noWrap w:val="0"/>
            <w:vAlign w:val="center"/>
          </w:tcPr>
          <w:p w14:paraId="3BE6A722">
            <w:pPr>
              <w:autoSpaceDE w:val="0"/>
              <w:autoSpaceDN w:val="0"/>
              <w:adjustRightInd w:val="0"/>
              <w:spacing w:line="240" w:lineRule="exact"/>
              <w:ind w:firstLine="0" w:firstLineChars="0"/>
              <w:jc w:val="center"/>
              <w:rPr>
                <w:rFonts w:ascii="Times New Roman" w:hAnsi="Times New Roman" w:eastAsia="宋体" w:cs="Times New Roman"/>
                <w:color w:val="auto"/>
                <w:kern w:val="0"/>
                <w:sz w:val="21"/>
                <w:szCs w:val="21"/>
                <w:lang w:val="zh-CN"/>
              </w:rPr>
            </w:pPr>
            <w:r>
              <w:rPr>
                <w:rFonts w:ascii="Times New Roman" w:hAnsi="Times New Roman" w:eastAsia="宋体" w:cs="Times New Roman"/>
                <w:color w:val="auto"/>
                <w:kern w:val="0"/>
                <w:sz w:val="21"/>
                <w:szCs w:val="21"/>
                <w:lang w:val="zh-CN"/>
              </w:rPr>
              <w:t>查现场</w:t>
            </w:r>
          </w:p>
        </w:tc>
        <w:tc>
          <w:tcPr>
            <w:tcW w:w="591" w:type="pct"/>
            <w:noWrap w:val="0"/>
            <w:vAlign w:val="center"/>
          </w:tcPr>
          <w:p w14:paraId="7D564870">
            <w:pPr>
              <w:autoSpaceDE w:val="0"/>
              <w:autoSpaceDN w:val="0"/>
              <w:adjustRightInd w:val="0"/>
              <w:spacing w:line="240" w:lineRule="exact"/>
              <w:ind w:firstLine="0" w:firstLineChars="0"/>
              <w:jc w:val="center"/>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周边山体</w:t>
            </w:r>
          </w:p>
          <w:p w14:paraId="76B514BD">
            <w:pPr>
              <w:autoSpaceDE w:val="0"/>
              <w:autoSpaceDN w:val="0"/>
              <w:adjustRightInd w:val="0"/>
              <w:spacing w:line="240" w:lineRule="exact"/>
              <w:ind w:firstLine="0" w:firstLineChars="0"/>
              <w:jc w:val="center"/>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较稳定</w:t>
            </w:r>
          </w:p>
        </w:tc>
        <w:tc>
          <w:tcPr>
            <w:tcW w:w="496" w:type="pct"/>
            <w:noWrap w:val="0"/>
            <w:vAlign w:val="center"/>
          </w:tcPr>
          <w:p w14:paraId="01AEF146">
            <w:pPr>
              <w:autoSpaceDE w:val="0"/>
              <w:autoSpaceDN w:val="0"/>
              <w:adjustRightInd w:val="0"/>
              <w:spacing w:line="240" w:lineRule="exact"/>
              <w:ind w:firstLine="0" w:firstLineChars="0"/>
              <w:jc w:val="center"/>
              <w:rPr>
                <w:rFonts w:ascii="Times New Roman" w:hAnsi="Times New Roman" w:eastAsia="宋体" w:cs="Times New Roman"/>
                <w:color w:val="auto"/>
                <w:kern w:val="0"/>
                <w:sz w:val="21"/>
                <w:szCs w:val="21"/>
                <w:lang w:val="zh-CN"/>
              </w:rPr>
            </w:pPr>
            <w:r>
              <w:rPr>
                <w:rFonts w:ascii="Times New Roman" w:hAnsi="Times New Roman" w:eastAsia="宋体" w:cs="Times New Roman"/>
                <w:color w:val="auto"/>
                <w:kern w:val="0"/>
                <w:sz w:val="21"/>
                <w:szCs w:val="21"/>
                <w:lang w:val="zh-CN"/>
              </w:rPr>
              <w:t>病库</w:t>
            </w:r>
          </w:p>
        </w:tc>
        <w:tc>
          <w:tcPr>
            <w:tcW w:w="387" w:type="pct"/>
            <w:noWrap w:val="0"/>
            <w:vAlign w:val="center"/>
          </w:tcPr>
          <w:p w14:paraId="06AC1502">
            <w:pPr>
              <w:autoSpaceDE w:val="0"/>
              <w:autoSpaceDN w:val="0"/>
              <w:adjustRightInd w:val="0"/>
              <w:spacing w:line="240" w:lineRule="exact"/>
              <w:ind w:firstLine="0" w:firstLineChars="0"/>
              <w:jc w:val="center"/>
              <w:rPr>
                <w:rFonts w:ascii="Times New Roman" w:hAnsi="Times New Roman" w:eastAsia="宋体" w:cs="Times New Roman"/>
                <w:color w:val="auto"/>
                <w:kern w:val="0"/>
                <w:sz w:val="21"/>
                <w:szCs w:val="21"/>
                <w:lang w:val="zh-CN"/>
              </w:rPr>
            </w:pPr>
          </w:p>
        </w:tc>
        <w:tc>
          <w:tcPr>
            <w:tcW w:w="546" w:type="pct"/>
            <w:noWrap w:val="0"/>
            <w:vAlign w:val="center"/>
          </w:tcPr>
          <w:p w14:paraId="521AE74F">
            <w:pPr>
              <w:keepNext w:val="0"/>
              <w:keepLines w:val="0"/>
              <w:pageBreakBefore w:val="0"/>
              <w:widowControl w:val="0"/>
              <w:kinsoku/>
              <w:wordWrap/>
              <w:overflowPunct/>
              <w:topLinePunct w:val="0"/>
              <w:autoSpaceDE w:val="0"/>
              <w:autoSpaceDN w:val="0"/>
              <w:bidi w:val="0"/>
              <w:adjustRightInd w:val="0"/>
              <w:snapToGrid/>
              <w:spacing w:line="320" w:lineRule="exact"/>
              <w:ind w:left="0" w:leftChars="0" w:firstLine="0" w:firstLineChars="0"/>
              <w:jc w:val="center"/>
              <w:textAlignment w:val="auto"/>
              <w:rPr>
                <w:rFonts w:ascii="Times New Roman" w:hAnsi="Times New Roman" w:eastAsia="宋体" w:cs="Times New Roman"/>
                <w:color w:val="auto"/>
                <w:kern w:val="0"/>
                <w:sz w:val="21"/>
                <w:szCs w:val="21"/>
                <w:lang w:val="zh-CN"/>
              </w:rPr>
            </w:pPr>
            <w:r>
              <w:rPr>
                <w:rFonts w:ascii="Times New Roman" w:hAnsi="Times New Roman" w:eastAsia="宋体" w:cs="Times New Roman"/>
                <w:color w:val="auto"/>
                <w:kern w:val="0"/>
                <w:sz w:val="21"/>
                <w:szCs w:val="21"/>
                <w:lang w:val="zh-CN"/>
              </w:rPr>
              <w:t>满足</w:t>
            </w:r>
          </w:p>
          <w:p w14:paraId="122FFA79">
            <w:pPr>
              <w:keepNext w:val="0"/>
              <w:keepLines w:val="0"/>
              <w:pageBreakBefore w:val="0"/>
              <w:widowControl w:val="0"/>
              <w:kinsoku/>
              <w:wordWrap/>
              <w:overflowPunct/>
              <w:topLinePunct w:val="0"/>
              <w:autoSpaceDE w:val="0"/>
              <w:autoSpaceDN w:val="0"/>
              <w:bidi w:val="0"/>
              <w:adjustRightInd w:val="0"/>
              <w:snapToGrid/>
              <w:spacing w:line="320" w:lineRule="exact"/>
              <w:ind w:left="0" w:leftChars="0" w:firstLine="0" w:firstLineChars="0"/>
              <w:jc w:val="center"/>
              <w:textAlignment w:val="auto"/>
              <w:rPr>
                <w:rFonts w:ascii="Times New Roman" w:hAnsi="Times New Roman" w:eastAsia="宋体" w:cs="Times New Roman"/>
                <w:color w:val="auto"/>
                <w:kern w:val="0"/>
                <w:sz w:val="21"/>
                <w:szCs w:val="21"/>
                <w:lang w:val="zh-CN"/>
              </w:rPr>
            </w:pPr>
            <w:r>
              <w:rPr>
                <w:rFonts w:ascii="Times New Roman" w:hAnsi="Times New Roman" w:eastAsia="宋体" w:cs="Times New Roman"/>
                <w:color w:val="auto"/>
                <w:kern w:val="0"/>
                <w:sz w:val="21"/>
                <w:szCs w:val="21"/>
                <w:lang w:val="zh-CN"/>
              </w:rPr>
              <w:t>要求</w:t>
            </w:r>
          </w:p>
        </w:tc>
      </w:tr>
      <w:tr w14:paraId="06ACF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96" w:hRule="atLeast"/>
          <w:jc w:val="center"/>
        </w:trPr>
        <w:tc>
          <w:tcPr>
            <w:tcW w:w="458" w:type="pct"/>
            <w:vMerge w:val="continue"/>
            <w:noWrap w:val="0"/>
            <w:vAlign w:val="center"/>
          </w:tcPr>
          <w:p w14:paraId="2719F971">
            <w:pPr>
              <w:autoSpaceDE w:val="0"/>
              <w:autoSpaceDN w:val="0"/>
              <w:adjustRightInd w:val="0"/>
              <w:spacing w:line="240" w:lineRule="exact"/>
              <w:ind w:firstLine="0" w:firstLineChars="0"/>
              <w:jc w:val="center"/>
              <w:rPr>
                <w:rFonts w:ascii="Times New Roman" w:hAnsi="Times New Roman" w:eastAsia="宋体" w:cs="Times New Roman"/>
                <w:color w:val="auto"/>
                <w:kern w:val="0"/>
                <w:sz w:val="21"/>
                <w:szCs w:val="21"/>
                <w:lang w:val="zh-CN"/>
              </w:rPr>
            </w:pPr>
          </w:p>
        </w:tc>
        <w:tc>
          <w:tcPr>
            <w:tcW w:w="1351" w:type="pct"/>
            <w:noWrap w:val="0"/>
            <w:vAlign w:val="top"/>
          </w:tcPr>
          <w:p w14:paraId="44E0EBD4">
            <w:pPr>
              <w:autoSpaceDE w:val="0"/>
              <w:autoSpaceDN w:val="0"/>
              <w:adjustRightInd w:val="0"/>
              <w:spacing w:line="240" w:lineRule="exact"/>
              <w:ind w:firstLine="0" w:firstLineChars="0"/>
              <w:rPr>
                <w:rFonts w:ascii="Times New Roman" w:hAnsi="Times New Roman" w:eastAsia="宋体" w:cs="Times New Roman"/>
                <w:color w:val="auto"/>
                <w:kern w:val="0"/>
                <w:sz w:val="21"/>
                <w:szCs w:val="21"/>
                <w:lang w:val="zh-CN"/>
              </w:rPr>
            </w:pPr>
            <w:r>
              <w:rPr>
                <w:rFonts w:ascii="Times New Roman" w:hAnsi="Times New Roman" w:eastAsia="宋体" w:cs="Times New Roman"/>
                <w:color w:val="auto"/>
                <w:kern w:val="0"/>
                <w:sz w:val="21"/>
                <w:szCs w:val="21"/>
                <w:lang w:val="zh-CN"/>
              </w:rPr>
              <w:t>1.2库区是否存在违章爆破、采石和建筑；违章进行尾矿回采、取水；外来尾矿、废石、废水和废弃物排入、放牧和开垦和炸鱼等危害尾矿库安全的活动。</w:t>
            </w:r>
          </w:p>
        </w:tc>
        <w:tc>
          <w:tcPr>
            <w:tcW w:w="647" w:type="pct"/>
            <w:noWrap w:val="0"/>
            <w:vAlign w:val="center"/>
          </w:tcPr>
          <w:p w14:paraId="1AE315CD">
            <w:pPr>
              <w:autoSpaceDE w:val="0"/>
              <w:autoSpaceDN w:val="0"/>
              <w:adjustRightInd w:val="0"/>
              <w:spacing w:line="240" w:lineRule="exact"/>
              <w:ind w:firstLine="0" w:firstLineChars="0"/>
              <w:jc w:val="center"/>
              <w:rPr>
                <w:rFonts w:ascii="Times New Roman" w:hAnsi="Times New Roman" w:eastAsia="宋体" w:cs="Times New Roman"/>
                <w:color w:val="auto"/>
                <w:kern w:val="0"/>
                <w:sz w:val="21"/>
                <w:szCs w:val="21"/>
                <w:lang w:val="zh-CN"/>
              </w:rPr>
            </w:pPr>
            <w:r>
              <w:rPr>
                <w:rFonts w:hint="eastAsia" w:ascii="Times New Roman" w:hAnsi="Times New Roman" w:eastAsia="宋体" w:cs="Times New Roman"/>
                <w:color w:val="auto"/>
                <w:sz w:val="21"/>
                <w:szCs w:val="21"/>
              </w:rPr>
              <w:t>《尾矿库安全规程》第9.5.3条</w:t>
            </w:r>
          </w:p>
        </w:tc>
        <w:tc>
          <w:tcPr>
            <w:tcW w:w="521" w:type="pct"/>
            <w:vMerge w:val="continue"/>
            <w:noWrap w:val="0"/>
            <w:vAlign w:val="center"/>
          </w:tcPr>
          <w:p w14:paraId="07EB7736">
            <w:pPr>
              <w:autoSpaceDE w:val="0"/>
              <w:autoSpaceDN w:val="0"/>
              <w:adjustRightInd w:val="0"/>
              <w:spacing w:line="240" w:lineRule="exact"/>
              <w:ind w:firstLine="0" w:firstLineChars="0"/>
              <w:jc w:val="center"/>
              <w:rPr>
                <w:rFonts w:ascii="Times New Roman" w:hAnsi="Times New Roman" w:eastAsia="宋体" w:cs="Times New Roman"/>
                <w:color w:val="auto"/>
                <w:kern w:val="0"/>
                <w:sz w:val="21"/>
                <w:szCs w:val="21"/>
                <w:lang w:val="zh-CN"/>
              </w:rPr>
            </w:pPr>
          </w:p>
        </w:tc>
        <w:tc>
          <w:tcPr>
            <w:tcW w:w="591" w:type="pct"/>
            <w:noWrap w:val="0"/>
            <w:vAlign w:val="center"/>
          </w:tcPr>
          <w:p w14:paraId="317DC6A4">
            <w:pPr>
              <w:autoSpaceDE w:val="0"/>
              <w:autoSpaceDN w:val="0"/>
              <w:adjustRightInd w:val="0"/>
              <w:spacing w:line="240" w:lineRule="exact"/>
              <w:ind w:firstLine="0" w:firstLineChars="0"/>
              <w:jc w:val="center"/>
              <w:rPr>
                <w:rFonts w:hint="eastAsia" w:ascii="Times New Roman" w:hAnsi="Times New Roman" w:eastAsia="宋体" w:cs="Times New Roman"/>
                <w:color w:val="auto"/>
                <w:kern w:val="0"/>
                <w:sz w:val="21"/>
                <w:szCs w:val="21"/>
                <w:lang w:val="zh-CN"/>
              </w:rPr>
            </w:pPr>
            <w:r>
              <w:rPr>
                <w:rFonts w:hint="eastAsia" w:ascii="Times New Roman" w:hAnsi="Times New Roman" w:eastAsia="宋体" w:cs="Times New Roman"/>
                <w:color w:val="auto"/>
                <w:kern w:val="0"/>
                <w:sz w:val="21"/>
                <w:szCs w:val="21"/>
                <w:lang w:val="zh-CN"/>
              </w:rPr>
              <w:t>符合</w:t>
            </w:r>
          </w:p>
        </w:tc>
        <w:tc>
          <w:tcPr>
            <w:tcW w:w="496" w:type="pct"/>
            <w:noWrap w:val="0"/>
            <w:vAlign w:val="center"/>
          </w:tcPr>
          <w:p w14:paraId="608CAF9B">
            <w:pPr>
              <w:autoSpaceDE w:val="0"/>
              <w:autoSpaceDN w:val="0"/>
              <w:adjustRightInd w:val="0"/>
              <w:spacing w:line="240" w:lineRule="exact"/>
              <w:ind w:firstLine="0" w:firstLineChars="0"/>
              <w:jc w:val="center"/>
              <w:rPr>
                <w:rFonts w:ascii="Times New Roman" w:hAnsi="Times New Roman" w:eastAsia="宋体" w:cs="Times New Roman"/>
                <w:color w:val="auto"/>
                <w:kern w:val="0"/>
                <w:sz w:val="21"/>
                <w:szCs w:val="21"/>
                <w:lang w:val="zh-CN"/>
              </w:rPr>
            </w:pPr>
            <w:r>
              <w:rPr>
                <w:rFonts w:ascii="Times New Roman" w:hAnsi="Times New Roman" w:eastAsia="宋体" w:cs="Times New Roman"/>
                <w:color w:val="auto"/>
                <w:kern w:val="0"/>
                <w:sz w:val="21"/>
                <w:szCs w:val="21"/>
                <w:lang w:val="zh-CN"/>
              </w:rPr>
              <w:t>7</w:t>
            </w:r>
          </w:p>
        </w:tc>
        <w:tc>
          <w:tcPr>
            <w:tcW w:w="387" w:type="pct"/>
            <w:noWrap w:val="0"/>
            <w:vAlign w:val="center"/>
          </w:tcPr>
          <w:p w14:paraId="60D22BB9">
            <w:pPr>
              <w:autoSpaceDE w:val="0"/>
              <w:autoSpaceDN w:val="0"/>
              <w:adjustRightInd w:val="0"/>
              <w:spacing w:line="240" w:lineRule="exact"/>
              <w:ind w:firstLine="0" w:firstLineChars="0"/>
              <w:jc w:val="center"/>
              <w:rPr>
                <w:rFonts w:ascii="Times New Roman" w:hAnsi="Times New Roman" w:eastAsia="宋体" w:cs="Times New Roman"/>
                <w:color w:val="auto"/>
                <w:kern w:val="0"/>
                <w:sz w:val="21"/>
                <w:szCs w:val="21"/>
                <w:lang w:val="zh-CN"/>
              </w:rPr>
            </w:pPr>
            <w:r>
              <w:rPr>
                <w:rFonts w:ascii="Times New Roman" w:hAnsi="Times New Roman" w:eastAsia="宋体" w:cs="Times New Roman"/>
                <w:color w:val="auto"/>
                <w:kern w:val="0"/>
                <w:sz w:val="21"/>
                <w:szCs w:val="21"/>
                <w:lang w:val="zh-CN"/>
              </w:rPr>
              <w:t>不符合不得分</w:t>
            </w:r>
          </w:p>
        </w:tc>
        <w:tc>
          <w:tcPr>
            <w:tcW w:w="546" w:type="pct"/>
            <w:noWrap w:val="0"/>
            <w:vAlign w:val="center"/>
          </w:tcPr>
          <w:p w14:paraId="0AB80939">
            <w:pPr>
              <w:autoSpaceDE w:val="0"/>
              <w:autoSpaceDN w:val="0"/>
              <w:adjustRightInd w:val="0"/>
              <w:spacing w:line="240" w:lineRule="exact"/>
              <w:ind w:firstLine="0" w:firstLineChars="0"/>
              <w:jc w:val="center"/>
              <w:rPr>
                <w:rFonts w:hint="eastAsia" w:ascii="Times New Roman" w:hAnsi="Times New Roman" w:eastAsia="宋体" w:cs="Times New Roman"/>
                <w:color w:val="auto"/>
                <w:kern w:val="0"/>
                <w:sz w:val="21"/>
                <w:szCs w:val="21"/>
                <w:lang w:val="zh-CN" w:eastAsia="zh-CN"/>
              </w:rPr>
            </w:pPr>
            <w:r>
              <w:rPr>
                <w:rFonts w:hint="eastAsia" w:ascii="Times New Roman" w:hAnsi="Times New Roman" w:eastAsia="宋体" w:cs="Times New Roman"/>
                <w:color w:val="auto"/>
                <w:kern w:val="0"/>
                <w:sz w:val="21"/>
                <w:szCs w:val="21"/>
                <w:lang w:val="en-US" w:eastAsia="zh-CN"/>
              </w:rPr>
              <w:t>7</w:t>
            </w:r>
          </w:p>
        </w:tc>
      </w:tr>
      <w:tr w14:paraId="6FE73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44" w:hRule="atLeast"/>
          <w:jc w:val="center"/>
        </w:trPr>
        <w:tc>
          <w:tcPr>
            <w:tcW w:w="458" w:type="pct"/>
            <w:noWrap w:val="0"/>
            <w:vAlign w:val="center"/>
          </w:tcPr>
          <w:p w14:paraId="57C4E406">
            <w:pPr>
              <w:autoSpaceDE w:val="0"/>
              <w:autoSpaceDN w:val="0"/>
              <w:adjustRightInd w:val="0"/>
              <w:spacing w:line="240" w:lineRule="exact"/>
              <w:ind w:firstLine="0" w:firstLineChars="0"/>
              <w:jc w:val="center"/>
              <w:rPr>
                <w:rFonts w:ascii="Times New Roman" w:hAnsi="Times New Roman" w:eastAsia="宋体" w:cs="Times New Roman"/>
                <w:color w:val="auto"/>
                <w:kern w:val="0"/>
                <w:sz w:val="21"/>
                <w:szCs w:val="21"/>
                <w:lang w:val="zh-CN"/>
              </w:rPr>
            </w:pPr>
            <w:r>
              <w:rPr>
                <w:rFonts w:ascii="Times New Roman" w:hAnsi="Times New Roman" w:eastAsia="宋体" w:cs="Times New Roman"/>
                <w:color w:val="auto"/>
                <w:kern w:val="0"/>
                <w:sz w:val="21"/>
                <w:szCs w:val="21"/>
                <w:lang w:val="zh-CN"/>
              </w:rPr>
              <w:t>小计</w:t>
            </w:r>
          </w:p>
        </w:tc>
        <w:tc>
          <w:tcPr>
            <w:tcW w:w="1351" w:type="pct"/>
            <w:noWrap w:val="0"/>
            <w:vAlign w:val="top"/>
          </w:tcPr>
          <w:p w14:paraId="4562CC27">
            <w:pPr>
              <w:autoSpaceDE w:val="0"/>
              <w:autoSpaceDN w:val="0"/>
              <w:adjustRightInd w:val="0"/>
              <w:spacing w:line="240" w:lineRule="exact"/>
              <w:ind w:firstLine="0" w:firstLineChars="0"/>
              <w:rPr>
                <w:rFonts w:ascii="Times New Roman" w:hAnsi="Times New Roman" w:eastAsia="宋体" w:cs="Times New Roman"/>
                <w:color w:val="auto"/>
                <w:kern w:val="0"/>
                <w:sz w:val="21"/>
                <w:szCs w:val="21"/>
                <w:lang w:val="zh-CN"/>
              </w:rPr>
            </w:pPr>
          </w:p>
        </w:tc>
        <w:tc>
          <w:tcPr>
            <w:tcW w:w="647" w:type="pct"/>
            <w:noWrap w:val="0"/>
            <w:vAlign w:val="center"/>
          </w:tcPr>
          <w:p w14:paraId="1CA75F16">
            <w:pPr>
              <w:autoSpaceDE w:val="0"/>
              <w:autoSpaceDN w:val="0"/>
              <w:adjustRightInd w:val="0"/>
              <w:spacing w:line="240" w:lineRule="exact"/>
              <w:ind w:firstLine="0" w:firstLineChars="0"/>
              <w:jc w:val="center"/>
              <w:rPr>
                <w:rFonts w:ascii="Times New Roman" w:hAnsi="Times New Roman" w:eastAsia="宋体" w:cs="Times New Roman"/>
                <w:color w:val="auto"/>
                <w:sz w:val="21"/>
                <w:szCs w:val="21"/>
              </w:rPr>
            </w:pPr>
          </w:p>
        </w:tc>
        <w:tc>
          <w:tcPr>
            <w:tcW w:w="521" w:type="pct"/>
            <w:noWrap w:val="0"/>
            <w:vAlign w:val="center"/>
          </w:tcPr>
          <w:p w14:paraId="3AE89BEE">
            <w:pPr>
              <w:autoSpaceDE w:val="0"/>
              <w:autoSpaceDN w:val="0"/>
              <w:adjustRightInd w:val="0"/>
              <w:spacing w:line="240" w:lineRule="exact"/>
              <w:ind w:firstLine="0" w:firstLineChars="0"/>
              <w:jc w:val="center"/>
              <w:rPr>
                <w:rFonts w:ascii="Times New Roman" w:hAnsi="Times New Roman" w:eastAsia="宋体" w:cs="Times New Roman"/>
                <w:color w:val="auto"/>
                <w:kern w:val="0"/>
                <w:sz w:val="21"/>
                <w:szCs w:val="21"/>
                <w:lang w:val="zh-CN"/>
              </w:rPr>
            </w:pPr>
          </w:p>
        </w:tc>
        <w:tc>
          <w:tcPr>
            <w:tcW w:w="591" w:type="pct"/>
            <w:noWrap w:val="0"/>
            <w:vAlign w:val="center"/>
          </w:tcPr>
          <w:p w14:paraId="0B307BBE">
            <w:pPr>
              <w:autoSpaceDE w:val="0"/>
              <w:autoSpaceDN w:val="0"/>
              <w:adjustRightInd w:val="0"/>
              <w:spacing w:line="240" w:lineRule="exact"/>
              <w:ind w:firstLine="0" w:firstLineChars="0"/>
              <w:jc w:val="center"/>
              <w:rPr>
                <w:rFonts w:ascii="Times New Roman" w:hAnsi="Times New Roman" w:eastAsia="宋体" w:cs="Times New Roman"/>
                <w:color w:val="auto"/>
                <w:kern w:val="0"/>
                <w:sz w:val="21"/>
                <w:szCs w:val="21"/>
                <w:lang w:val="zh-CN"/>
              </w:rPr>
            </w:pPr>
          </w:p>
        </w:tc>
        <w:tc>
          <w:tcPr>
            <w:tcW w:w="496" w:type="pct"/>
            <w:noWrap w:val="0"/>
            <w:vAlign w:val="center"/>
          </w:tcPr>
          <w:p w14:paraId="38BC85F5">
            <w:pPr>
              <w:autoSpaceDE w:val="0"/>
              <w:autoSpaceDN w:val="0"/>
              <w:adjustRightInd w:val="0"/>
              <w:spacing w:line="240" w:lineRule="exact"/>
              <w:ind w:firstLine="0" w:firstLineChars="0"/>
              <w:jc w:val="center"/>
              <w:rPr>
                <w:rFonts w:ascii="Times New Roman" w:hAnsi="Times New Roman" w:eastAsia="宋体" w:cs="Times New Roman"/>
                <w:color w:val="auto"/>
                <w:kern w:val="0"/>
                <w:sz w:val="21"/>
                <w:szCs w:val="21"/>
                <w:lang w:val="zh-CN"/>
              </w:rPr>
            </w:pPr>
            <w:r>
              <w:rPr>
                <w:rFonts w:ascii="Times New Roman" w:hAnsi="Times New Roman" w:eastAsia="宋体" w:cs="Times New Roman"/>
                <w:color w:val="auto"/>
                <w:kern w:val="0"/>
                <w:sz w:val="21"/>
                <w:szCs w:val="21"/>
                <w:lang w:val="zh-CN"/>
              </w:rPr>
              <w:t>7</w:t>
            </w:r>
          </w:p>
        </w:tc>
        <w:tc>
          <w:tcPr>
            <w:tcW w:w="387" w:type="pct"/>
            <w:noWrap w:val="0"/>
            <w:vAlign w:val="center"/>
          </w:tcPr>
          <w:p w14:paraId="27CDDCA7">
            <w:pPr>
              <w:autoSpaceDE w:val="0"/>
              <w:autoSpaceDN w:val="0"/>
              <w:adjustRightInd w:val="0"/>
              <w:spacing w:line="240" w:lineRule="exact"/>
              <w:ind w:firstLine="0" w:firstLineChars="0"/>
              <w:jc w:val="center"/>
              <w:rPr>
                <w:rFonts w:ascii="Times New Roman" w:hAnsi="Times New Roman" w:eastAsia="宋体" w:cs="Times New Roman"/>
                <w:color w:val="auto"/>
                <w:kern w:val="0"/>
                <w:sz w:val="21"/>
                <w:szCs w:val="21"/>
                <w:lang w:val="zh-CN"/>
              </w:rPr>
            </w:pPr>
          </w:p>
        </w:tc>
        <w:tc>
          <w:tcPr>
            <w:tcW w:w="546" w:type="pct"/>
            <w:noWrap w:val="0"/>
            <w:vAlign w:val="center"/>
          </w:tcPr>
          <w:p w14:paraId="498AFC3E">
            <w:pPr>
              <w:autoSpaceDE w:val="0"/>
              <w:autoSpaceDN w:val="0"/>
              <w:adjustRightInd w:val="0"/>
              <w:spacing w:line="240" w:lineRule="exact"/>
              <w:ind w:firstLine="0" w:firstLineChars="0"/>
              <w:jc w:val="center"/>
              <w:rPr>
                <w:rFonts w:hint="eastAsia" w:ascii="Times New Roman" w:hAnsi="Times New Roman" w:eastAsia="宋体" w:cs="Times New Roman"/>
                <w:color w:val="auto"/>
                <w:kern w:val="0"/>
                <w:sz w:val="21"/>
                <w:szCs w:val="21"/>
                <w:lang w:val="zh-CN" w:eastAsia="zh-CN"/>
              </w:rPr>
            </w:pPr>
            <w:r>
              <w:rPr>
                <w:rFonts w:hint="eastAsia" w:ascii="Times New Roman" w:hAnsi="Times New Roman" w:eastAsia="宋体" w:cs="Times New Roman"/>
                <w:color w:val="auto"/>
                <w:kern w:val="0"/>
                <w:sz w:val="21"/>
                <w:szCs w:val="21"/>
                <w:lang w:val="en-US" w:eastAsia="zh-CN"/>
              </w:rPr>
              <w:t>7</w:t>
            </w:r>
          </w:p>
        </w:tc>
      </w:tr>
    </w:tbl>
    <w:p w14:paraId="05E61573">
      <w:pPr>
        <w:pStyle w:val="4"/>
        <w:bidi w:val="0"/>
        <w:rPr>
          <w:rFonts w:hint="default"/>
          <w:color w:val="auto"/>
          <w:lang w:val="en-US" w:eastAsia="zh-CN"/>
        </w:rPr>
      </w:pPr>
      <w:bookmarkStart w:id="536" w:name="_Toc24730"/>
      <w:bookmarkStart w:id="537" w:name="_Toc13012"/>
      <w:bookmarkStart w:id="538" w:name="_Toc8451"/>
      <w:bookmarkStart w:id="539" w:name="_Toc11623"/>
      <w:bookmarkStart w:id="540" w:name="_Toc10243"/>
      <w:r>
        <w:rPr>
          <w:rFonts w:hint="default"/>
          <w:color w:val="auto"/>
          <w:lang w:val="en-US" w:eastAsia="zh-CN"/>
        </w:rPr>
        <w:t>5.6.3</w:t>
      </w:r>
      <w:r>
        <w:rPr>
          <w:rFonts w:hint="eastAsia"/>
          <w:color w:val="auto"/>
          <w:lang w:val="en-US" w:eastAsia="zh-CN"/>
        </w:rPr>
        <w:t xml:space="preserve"> </w:t>
      </w:r>
      <w:r>
        <w:rPr>
          <w:rFonts w:hint="default"/>
          <w:color w:val="auto"/>
          <w:lang w:val="en-US" w:eastAsia="zh-CN"/>
        </w:rPr>
        <w:t>评价小结</w:t>
      </w:r>
      <w:bookmarkEnd w:id="536"/>
      <w:bookmarkEnd w:id="537"/>
      <w:bookmarkEnd w:id="538"/>
      <w:bookmarkEnd w:id="539"/>
      <w:bookmarkEnd w:id="540"/>
    </w:p>
    <w:p w14:paraId="5B420A0A">
      <w:pPr>
        <w:rPr>
          <w:rFonts w:hint="default"/>
          <w:strike w:val="0"/>
          <w:dstrike w:val="0"/>
          <w:color w:val="auto"/>
          <w:lang w:val="en-US" w:eastAsia="zh-CN"/>
        </w:rPr>
      </w:pPr>
      <w:r>
        <w:rPr>
          <w:rFonts w:hint="eastAsia"/>
          <w:strike w:val="0"/>
          <w:dstrike w:val="0"/>
          <w:color w:val="auto"/>
          <w:lang w:val="en-US" w:eastAsia="zh-CN"/>
        </w:rPr>
        <w:t>（1）经</w:t>
      </w:r>
      <w:r>
        <w:rPr>
          <w:rFonts w:hint="default"/>
          <w:strike w:val="0"/>
          <w:dstrike w:val="0"/>
          <w:color w:val="auto"/>
          <w:lang w:val="en-US" w:eastAsia="zh-CN"/>
        </w:rPr>
        <w:t>现场检查，</w:t>
      </w:r>
      <w:r>
        <w:rPr>
          <w:rFonts w:hint="eastAsia"/>
          <w:strike w:val="0"/>
          <w:dstrike w:val="0"/>
          <w:color w:val="auto"/>
          <w:lang w:val="en-US" w:eastAsia="zh-CN"/>
        </w:rPr>
        <w:t>岿美山尾矿库尾矿坝上和尾矿库区内无与尾矿库运行无关的建、构筑物。尾矿坝上和对尾矿库产生安全影响的区域无乱采、滥挖和非法爆破等违规作业；周边山体稳定，无滑动、坍塌等影响尾矿库安全情况，库区环境安全状况良好。</w:t>
      </w:r>
    </w:p>
    <w:p w14:paraId="4639923A">
      <w:pPr>
        <w:rPr>
          <w:rFonts w:hint="default"/>
          <w:strike w:val="0"/>
          <w:dstrike w:val="0"/>
          <w:color w:val="auto"/>
          <w:lang w:val="en-US" w:eastAsia="zh-CN"/>
        </w:rPr>
      </w:pPr>
      <w:r>
        <w:rPr>
          <w:rFonts w:hint="default"/>
          <w:strike w:val="0"/>
          <w:dstrike w:val="0"/>
          <w:color w:val="auto"/>
          <w:lang w:val="en-US" w:eastAsia="zh-CN"/>
        </w:rPr>
        <w:t>（</w:t>
      </w:r>
      <w:r>
        <w:rPr>
          <w:rFonts w:hint="eastAsia"/>
          <w:strike w:val="0"/>
          <w:dstrike w:val="0"/>
          <w:color w:val="auto"/>
          <w:lang w:val="en-US" w:eastAsia="zh-CN"/>
        </w:rPr>
        <w:t>3</w:t>
      </w:r>
      <w:r>
        <w:rPr>
          <w:rFonts w:hint="default"/>
          <w:strike w:val="0"/>
          <w:dstrike w:val="0"/>
          <w:color w:val="auto"/>
          <w:lang w:val="en-US" w:eastAsia="zh-CN"/>
        </w:rPr>
        <w:t>）经采用安全检查表法评判，</w:t>
      </w:r>
      <w:r>
        <w:rPr>
          <w:rFonts w:hint="eastAsia"/>
          <w:strike w:val="0"/>
          <w:dstrike w:val="0"/>
          <w:color w:val="auto"/>
          <w:lang w:val="en-US" w:eastAsia="zh-CN"/>
        </w:rPr>
        <w:t>岿美山尾矿库</w:t>
      </w:r>
      <w:r>
        <w:rPr>
          <w:rFonts w:hint="default"/>
          <w:strike w:val="0"/>
          <w:dstrike w:val="0"/>
          <w:color w:val="auto"/>
          <w:lang w:val="en-US" w:eastAsia="zh-CN"/>
        </w:rPr>
        <w:t>库区环境单元应得分7分，实际得分7分，得分率为100%。</w:t>
      </w:r>
    </w:p>
    <w:p w14:paraId="44AED62F">
      <w:pPr>
        <w:keepNext/>
        <w:keepLines/>
        <w:widowControl w:val="0"/>
        <w:bidi w:val="0"/>
        <w:spacing w:beforeLines="0" w:beforeAutospacing="0" w:afterLines="0" w:afterAutospacing="0" w:line="360" w:lineRule="auto"/>
        <w:ind w:left="280" w:leftChars="100" w:firstLine="0" w:firstLineChars="0"/>
        <w:jc w:val="both"/>
        <w:outlineLvl w:val="1"/>
        <w:rPr>
          <w:rFonts w:hint="eastAsia" w:ascii="Times New Roman" w:hAnsi="Times New Roman" w:eastAsia="黑体" w:cs="Times New Roman"/>
          <w:b/>
          <w:color w:val="auto"/>
          <w:kern w:val="2"/>
          <w:sz w:val="30"/>
          <w:szCs w:val="24"/>
          <w:lang w:val="en-US" w:eastAsia="zh-CN" w:bidi="ar-SA"/>
        </w:rPr>
      </w:pPr>
      <w:bookmarkStart w:id="541" w:name="_Toc25654"/>
      <w:bookmarkStart w:id="542" w:name="_Toc4745"/>
      <w:bookmarkStart w:id="543" w:name="_Toc6185"/>
      <w:bookmarkStart w:id="544" w:name="_Toc11758"/>
      <w:bookmarkStart w:id="545" w:name="_Toc2819"/>
      <w:bookmarkStart w:id="546" w:name="_Toc27300"/>
      <w:bookmarkStart w:id="547" w:name="_Toc28721"/>
      <w:r>
        <w:rPr>
          <w:rFonts w:hint="eastAsia" w:ascii="Times New Roman" w:hAnsi="Times New Roman" w:eastAsia="黑体" w:cs="Times New Roman"/>
          <w:b/>
          <w:color w:val="auto"/>
          <w:kern w:val="2"/>
          <w:sz w:val="30"/>
          <w:szCs w:val="24"/>
          <w:lang w:val="en-US" w:eastAsia="zh-CN" w:bidi="ar-SA"/>
        </w:rPr>
        <w:t>5.7 综合安全评价</w:t>
      </w:r>
      <w:bookmarkEnd w:id="541"/>
      <w:bookmarkEnd w:id="542"/>
      <w:bookmarkEnd w:id="543"/>
      <w:bookmarkEnd w:id="544"/>
      <w:bookmarkEnd w:id="545"/>
      <w:bookmarkEnd w:id="546"/>
      <w:bookmarkEnd w:id="547"/>
    </w:p>
    <w:p w14:paraId="25CC10EA">
      <w:pPr>
        <w:keepNext/>
        <w:keepLines/>
        <w:widowControl w:val="0"/>
        <w:bidi w:val="0"/>
        <w:spacing w:beforeLines="0" w:beforeAutospacing="0" w:afterLines="0" w:afterAutospacing="0" w:line="360" w:lineRule="auto"/>
        <w:ind w:left="560" w:leftChars="200" w:firstLine="0" w:firstLineChars="0"/>
        <w:jc w:val="both"/>
        <w:outlineLvl w:val="2"/>
        <w:rPr>
          <w:rFonts w:hint="eastAsia" w:ascii="Times New Roman" w:hAnsi="Times New Roman" w:eastAsia="黑体" w:cs="Times New Roman"/>
          <w:b/>
          <w:color w:val="auto"/>
          <w:kern w:val="2"/>
          <w:sz w:val="28"/>
          <w:szCs w:val="24"/>
          <w:lang w:val="en-US" w:eastAsia="zh-CN" w:bidi="ar-SA"/>
        </w:rPr>
      </w:pPr>
      <w:bookmarkStart w:id="548" w:name="_Toc17787"/>
      <w:bookmarkStart w:id="549" w:name="_Toc28045"/>
      <w:bookmarkStart w:id="550" w:name="_Toc16932"/>
      <w:bookmarkStart w:id="551" w:name="_Toc25084"/>
      <w:bookmarkStart w:id="552" w:name="_Toc8275"/>
      <w:bookmarkStart w:id="553" w:name="_Toc14256"/>
      <w:bookmarkStart w:id="554" w:name="_Toc15422"/>
      <w:r>
        <w:rPr>
          <w:rFonts w:hint="eastAsia" w:ascii="Times New Roman" w:hAnsi="Times New Roman" w:eastAsia="黑体" w:cs="Times New Roman"/>
          <w:b/>
          <w:color w:val="auto"/>
          <w:kern w:val="2"/>
          <w:sz w:val="28"/>
          <w:szCs w:val="24"/>
          <w:lang w:val="en-US" w:eastAsia="zh-CN" w:bidi="ar-SA"/>
        </w:rPr>
        <w:t>5.7.1 概述</w:t>
      </w:r>
      <w:bookmarkEnd w:id="548"/>
      <w:bookmarkEnd w:id="549"/>
      <w:bookmarkEnd w:id="550"/>
      <w:bookmarkEnd w:id="551"/>
      <w:bookmarkEnd w:id="552"/>
      <w:bookmarkEnd w:id="553"/>
      <w:bookmarkEnd w:id="554"/>
    </w:p>
    <w:p w14:paraId="51BB7D0B">
      <w:pPr>
        <w:bidi w:val="0"/>
        <w:ind w:firstLine="883"/>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本节采用安全检查表分析法对</w:t>
      </w:r>
      <w:r>
        <w:rPr>
          <w:rFonts w:hint="eastAsia" w:ascii="Times New Roman" w:hAnsi="Times New Roman" w:eastAsia="宋体" w:cs="Times New Roman"/>
          <w:color w:val="auto"/>
          <w:lang w:val="en-US" w:eastAsia="zh-CN"/>
        </w:rPr>
        <w:t>岿美山尾矿库</w:t>
      </w:r>
      <w:r>
        <w:rPr>
          <w:rFonts w:hint="eastAsia" w:ascii="Times New Roman" w:hAnsi="Times New Roman" w:eastAsia="宋体" w:cs="Times New Roman"/>
          <w:color w:val="auto"/>
          <w:lang w:eastAsia="zh-CN"/>
        </w:rPr>
        <w:t>的综合安全状况进行评价，该检查表对尾矿库系统状况的安全综合情况进行检查，并对各项检查内容赋予了分值，依据尾矿库所得分值，将尾矿库分成四个安全等级，以此来确定尾矿库的安全生产现状。</w:t>
      </w:r>
    </w:p>
    <w:p w14:paraId="602BAD69">
      <w:pPr>
        <w:keepNext/>
        <w:keepLines/>
        <w:widowControl w:val="0"/>
        <w:bidi w:val="0"/>
        <w:spacing w:beforeLines="0" w:beforeAutospacing="0" w:afterLines="0" w:afterAutospacing="0" w:line="360" w:lineRule="auto"/>
        <w:ind w:left="560" w:leftChars="200" w:firstLine="0" w:firstLineChars="0"/>
        <w:jc w:val="both"/>
        <w:outlineLvl w:val="2"/>
        <w:rPr>
          <w:rFonts w:hint="eastAsia" w:ascii="Times New Roman" w:hAnsi="Times New Roman" w:eastAsia="黑体" w:cs="Times New Roman"/>
          <w:b/>
          <w:color w:val="auto"/>
          <w:kern w:val="2"/>
          <w:sz w:val="28"/>
          <w:szCs w:val="24"/>
          <w:lang w:val="en-US" w:eastAsia="zh-CN" w:bidi="ar-SA"/>
        </w:rPr>
      </w:pPr>
      <w:bookmarkStart w:id="555" w:name="_Toc9102"/>
      <w:bookmarkStart w:id="556" w:name="_Toc906"/>
      <w:bookmarkStart w:id="557" w:name="_Toc16291"/>
      <w:bookmarkStart w:id="558" w:name="_Toc25469"/>
      <w:bookmarkStart w:id="559" w:name="_Toc20065"/>
      <w:bookmarkStart w:id="560" w:name="_Toc2714"/>
      <w:bookmarkStart w:id="561" w:name="_Toc19399"/>
      <w:r>
        <w:rPr>
          <w:rFonts w:hint="eastAsia" w:ascii="Times New Roman" w:hAnsi="Times New Roman" w:eastAsia="黑体" w:cs="Times New Roman"/>
          <w:b/>
          <w:color w:val="auto"/>
          <w:kern w:val="2"/>
          <w:sz w:val="28"/>
          <w:szCs w:val="24"/>
          <w:lang w:val="en-US" w:eastAsia="zh-CN" w:bidi="ar-SA"/>
        </w:rPr>
        <w:t>5.7.2 评价标准说明</w:t>
      </w:r>
      <w:bookmarkEnd w:id="555"/>
      <w:bookmarkEnd w:id="556"/>
      <w:bookmarkEnd w:id="557"/>
      <w:bookmarkEnd w:id="558"/>
      <w:bookmarkEnd w:id="559"/>
      <w:bookmarkEnd w:id="560"/>
      <w:bookmarkEnd w:id="561"/>
    </w:p>
    <w:p w14:paraId="31A656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表5-1</w:t>
      </w:r>
      <w:r>
        <w:rPr>
          <w:rFonts w:hint="eastAsia" w:ascii="Times New Roman" w:hAnsi="Times New Roman" w:eastAsia="宋体" w:cs="Times New Roman"/>
          <w:color w:val="auto"/>
          <w:lang w:val="en-US" w:eastAsia="zh-CN"/>
        </w:rPr>
        <w:t xml:space="preserve">6 </w:t>
      </w:r>
      <w:r>
        <w:rPr>
          <w:rFonts w:hint="eastAsia" w:ascii="Times New Roman" w:hAnsi="Times New Roman" w:eastAsia="宋体" w:cs="Times New Roman"/>
          <w:color w:val="auto"/>
          <w:lang w:eastAsia="zh-CN"/>
        </w:rPr>
        <w:t>评价标准说明见表</w:t>
      </w:r>
    </w:p>
    <w:tbl>
      <w:tblPr>
        <w:tblStyle w:val="32"/>
        <w:tblW w:w="5353"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0" w:type="dxa"/>
          <w:bottom w:w="0" w:type="dxa"/>
          <w:right w:w="0" w:type="dxa"/>
        </w:tblCellMar>
      </w:tblPr>
      <w:tblGrid>
        <w:gridCol w:w="787"/>
        <w:gridCol w:w="6651"/>
        <w:gridCol w:w="2281"/>
      </w:tblGrid>
      <w:tr w14:paraId="514A05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23" w:hRule="atLeast"/>
          <w:jc w:val="center"/>
        </w:trPr>
        <w:tc>
          <w:tcPr>
            <w:tcW w:w="405" w:type="pct"/>
            <w:tcBorders>
              <w:top w:val="single" w:color="000000" w:sz="2" w:space="0"/>
              <w:left w:val="single" w:color="auto" w:sz="4" w:space="0"/>
              <w:bottom w:val="single" w:color="000000" w:sz="2" w:space="0"/>
              <w:right w:val="single" w:color="000000" w:sz="2" w:space="0"/>
            </w:tcBorders>
            <w:noWrap w:val="0"/>
            <w:vAlign w:val="center"/>
          </w:tcPr>
          <w:p w14:paraId="762EE4B4">
            <w:pPr>
              <w:widowControl/>
              <w:spacing w:line="300" w:lineRule="exact"/>
              <w:ind w:firstLine="0" w:firstLineChars="0"/>
              <w:jc w:val="center"/>
              <w:rPr>
                <w:rFonts w:ascii="Times New Roman" w:hAnsi="Times New Roman" w:eastAsia="宋体" w:cs="Times New Roman"/>
                <w:b/>
                <w:bCs/>
                <w:color w:val="auto"/>
                <w:kern w:val="0"/>
                <w:sz w:val="21"/>
                <w:szCs w:val="21"/>
              </w:rPr>
            </w:pPr>
            <w:r>
              <w:rPr>
                <w:rFonts w:ascii="Times New Roman" w:hAnsi="Times New Roman" w:eastAsia="宋体" w:cs="Times New Roman"/>
                <w:b/>
                <w:bCs/>
                <w:color w:val="auto"/>
                <w:sz w:val="21"/>
                <w:szCs w:val="21"/>
              </w:rPr>
              <w:br w:type="page"/>
            </w:r>
            <w:r>
              <w:rPr>
                <w:rFonts w:ascii="Times New Roman" w:hAnsi="Times New Roman" w:eastAsia="宋体" w:cs="Times New Roman"/>
                <w:b/>
                <w:bCs/>
                <w:color w:val="auto"/>
                <w:sz w:val="21"/>
                <w:szCs w:val="21"/>
              </w:rPr>
              <w:br w:type="page"/>
            </w:r>
            <w:r>
              <w:rPr>
                <w:rFonts w:ascii="Times New Roman" w:hAnsi="Times New Roman" w:eastAsia="宋体" w:cs="Times New Roman"/>
                <w:b/>
                <w:bCs/>
                <w:color w:val="auto"/>
                <w:sz w:val="21"/>
                <w:szCs w:val="21"/>
              </w:rPr>
              <w:br w:type="page"/>
            </w:r>
            <w:r>
              <w:rPr>
                <w:rFonts w:ascii="Times New Roman" w:hAnsi="Times New Roman" w:eastAsia="宋体" w:cs="Times New Roman"/>
                <w:b/>
                <w:bCs/>
                <w:color w:val="auto"/>
                <w:kern w:val="0"/>
                <w:sz w:val="21"/>
                <w:szCs w:val="21"/>
              </w:rPr>
              <w:t>类型</w:t>
            </w:r>
          </w:p>
        </w:tc>
        <w:tc>
          <w:tcPr>
            <w:tcW w:w="3420" w:type="pct"/>
            <w:tcBorders>
              <w:top w:val="single" w:color="000000" w:sz="2" w:space="0"/>
              <w:left w:val="single" w:color="auto" w:sz="4" w:space="0"/>
              <w:bottom w:val="single" w:color="000000" w:sz="2" w:space="0"/>
              <w:right w:val="single" w:color="000000" w:sz="2" w:space="0"/>
            </w:tcBorders>
            <w:noWrap w:val="0"/>
            <w:vAlign w:val="center"/>
          </w:tcPr>
          <w:p w14:paraId="79441D8D">
            <w:pPr>
              <w:widowControl/>
              <w:spacing w:line="300" w:lineRule="exact"/>
              <w:ind w:firstLine="0" w:firstLineChars="0"/>
              <w:jc w:val="center"/>
              <w:rPr>
                <w:rFonts w:ascii="Times New Roman" w:hAnsi="Times New Roman" w:eastAsia="宋体" w:cs="Times New Roman"/>
                <w:b/>
                <w:bCs/>
                <w:color w:val="auto"/>
                <w:kern w:val="0"/>
                <w:sz w:val="21"/>
                <w:szCs w:val="21"/>
              </w:rPr>
            </w:pPr>
            <w:r>
              <w:rPr>
                <w:rFonts w:ascii="Times New Roman" w:hAnsi="Times New Roman" w:eastAsia="宋体" w:cs="Times New Roman"/>
                <w:b/>
                <w:bCs/>
                <w:color w:val="auto"/>
                <w:kern w:val="0"/>
                <w:sz w:val="21"/>
                <w:szCs w:val="21"/>
              </w:rPr>
              <w:t>概念</w:t>
            </w:r>
          </w:p>
        </w:tc>
        <w:tc>
          <w:tcPr>
            <w:tcW w:w="1173" w:type="pct"/>
            <w:tcBorders>
              <w:top w:val="single" w:color="000000" w:sz="2" w:space="0"/>
              <w:left w:val="single" w:color="auto" w:sz="4" w:space="0"/>
              <w:bottom w:val="single" w:color="000000" w:sz="2" w:space="0"/>
              <w:right w:val="single" w:color="000000" w:sz="2" w:space="0"/>
            </w:tcBorders>
            <w:noWrap w:val="0"/>
            <w:vAlign w:val="center"/>
          </w:tcPr>
          <w:p w14:paraId="238F3703">
            <w:pPr>
              <w:widowControl/>
              <w:spacing w:line="300" w:lineRule="exact"/>
              <w:ind w:firstLine="0" w:firstLineChars="0"/>
              <w:jc w:val="center"/>
              <w:rPr>
                <w:rFonts w:ascii="Times New Roman" w:hAnsi="Times New Roman" w:eastAsia="宋体" w:cs="Times New Roman"/>
                <w:b/>
                <w:bCs/>
                <w:color w:val="auto"/>
                <w:kern w:val="0"/>
                <w:sz w:val="21"/>
                <w:szCs w:val="21"/>
              </w:rPr>
            </w:pPr>
            <w:r>
              <w:rPr>
                <w:rFonts w:ascii="Times New Roman" w:hAnsi="Times New Roman" w:eastAsia="宋体" w:cs="Times New Roman"/>
                <w:b/>
                <w:bCs/>
                <w:color w:val="auto"/>
                <w:kern w:val="0"/>
                <w:sz w:val="21"/>
                <w:szCs w:val="21"/>
              </w:rPr>
              <w:t>条件</w:t>
            </w:r>
          </w:p>
        </w:tc>
      </w:tr>
      <w:tr w14:paraId="70A416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6" w:hRule="atLeast"/>
          <w:jc w:val="center"/>
        </w:trPr>
        <w:tc>
          <w:tcPr>
            <w:tcW w:w="405" w:type="pct"/>
            <w:tcBorders>
              <w:top w:val="single" w:color="auto" w:sz="4" w:space="0"/>
              <w:left w:val="single" w:color="auto" w:sz="4" w:space="0"/>
              <w:bottom w:val="single" w:color="000000" w:sz="2" w:space="0"/>
              <w:right w:val="single" w:color="000000" w:sz="2" w:space="0"/>
            </w:tcBorders>
            <w:noWrap w:val="0"/>
            <w:vAlign w:val="center"/>
          </w:tcPr>
          <w:p w14:paraId="4888E974">
            <w:pPr>
              <w:widowControl/>
              <w:spacing w:line="300" w:lineRule="exact"/>
              <w:ind w:firstLine="0" w:firstLineChars="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A类库</w:t>
            </w:r>
          </w:p>
        </w:tc>
        <w:tc>
          <w:tcPr>
            <w:tcW w:w="3420" w:type="pct"/>
            <w:tcBorders>
              <w:top w:val="single" w:color="auto" w:sz="4" w:space="0"/>
              <w:left w:val="single" w:color="auto" w:sz="4" w:space="0"/>
              <w:bottom w:val="single" w:color="000000" w:sz="2" w:space="0"/>
              <w:right w:val="single" w:color="000000" w:sz="2" w:space="0"/>
            </w:tcBorders>
            <w:noWrap w:val="0"/>
            <w:vAlign w:val="center"/>
          </w:tcPr>
          <w:p w14:paraId="5D578EB0">
            <w:pPr>
              <w:widowControl/>
              <w:spacing w:line="300" w:lineRule="exact"/>
              <w:ind w:firstLine="0" w:firstLineChars="0"/>
              <w:jc w:val="left"/>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安全生产条件较好，生产活动有安全保障。</w:t>
            </w:r>
          </w:p>
        </w:tc>
        <w:tc>
          <w:tcPr>
            <w:tcW w:w="1173" w:type="pct"/>
            <w:tcBorders>
              <w:top w:val="single" w:color="auto" w:sz="4" w:space="0"/>
              <w:left w:val="single" w:color="auto" w:sz="4" w:space="0"/>
              <w:bottom w:val="single" w:color="000000" w:sz="2" w:space="0"/>
              <w:right w:val="single" w:color="000000" w:sz="2" w:space="0"/>
            </w:tcBorders>
            <w:noWrap w:val="0"/>
            <w:vAlign w:val="center"/>
          </w:tcPr>
          <w:p w14:paraId="1DEC0FA9">
            <w:pPr>
              <w:widowControl/>
              <w:spacing w:line="300" w:lineRule="exact"/>
              <w:ind w:firstLine="0" w:firstLineChars="0"/>
              <w:jc w:val="left"/>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得分率在90%以上</w:t>
            </w:r>
          </w:p>
        </w:tc>
      </w:tr>
      <w:tr w14:paraId="24D396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52" w:hRule="atLeast"/>
          <w:jc w:val="center"/>
        </w:trPr>
        <w:tc>
          <w:tcPr>
            <w:tcW w:w="405" w:type="pct"/>
            <w:tcBorders>
              <w:top w:val="single" w:color="auto" w:sz="4" w:space="0"/>
              <w:left w:val="single" w:color="auto" w:sz="4" w:space="0"/>
              <w:bottom w:val="single" w:color="000000" w:sz="2" w:space="0"/>
              <w:right w:val="single" w:color="000000" w:sz="2" w:space="0"/>
            </w:tcBorders>
            <w:noWrap w:val="0"/>
            <w:vAlign w:val="center"/>
          </w:tcPr>
          <w:p w14:paraId="260EAE2A">
            <w:pPr>
              <w:widowControl/>
              <w:spacing w:line="300" w:lineRule="exact"/>
              <w:ind w:firstLine="0" w:firstLineChars="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B类库</w:t>
            </w:r>
          </w:p>
        </w:tc>
        <w:tc>
          <w:tcPr>
            <w:tcW w:w="3420" w:type="pct"/>
            <w:tcBorders>
              <w:top w:val="single" w:color="auto" w:sz="4" w:space="0"/>
              <w:left w:val="single" w:color="auto" w:sz="4" w:space="0"/>
              <w:bottom w:val="single" w:color="000000" w:sz="2" w:space="0"/>
              <w:right w:val="single" w:color="000000" w:sz="2" w:space="0"/>
            </w:tcBorders>
            <w:noWrap w:val="0"/>
            <w:vAlign w:val="center"/>
          </w:tcPr>
          <w:p w14:paraId="0C9B3A61">
            <w:pPr>
              <w:widowControl/>
              <w:spacing w:line="300" w:lineRule="exact"/>
              <w:ind w:firstLine="0" w:firstLineChars="0"/>
              <w:jc w:val="left"/>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安全生产条件一般，能满足基本的安全生产活动。</w:t>
            </w:r>
          </w:p>
        </w:tc>
        <w:tc>
          <w:tcPr>
            <w:tcW w:w="1173" w:type="pct"/>
            <w:tcBorders>
              <w:top w:val="single" w:color="auto" w:sz="4" w:space="0"/>
              <w:left w:val="single" w:color="auto" w:sz="4" w:space="0"/>
              <w:bottom w:val="single" w:color="000000" w:sz="2" w:space="0"/>
              <w:right w:val="single" w:color="000000" w:sz="2" w:space="0"/>
            </w:tcBorders>
            <w:noWrap w:val="0"/>
            <w:vAlign w:val="center"/>
          </w:tcPr>
          <w:p w14:paraId="22C2C4B3">
            <w:pPr>
              <w:widowControl/>
              <w:spacing w:line="300" w:lineRule="exact"/>
              <w:ind w:firstLine="0" w:firstLineChars="0"/>
              <w:jc w:val="left"/>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得分率在76%</w:t>
            </w: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89%之间</w:t>
            </w:r>
          </w:p>
        </w:tc>
      </w:tr>
      <w:tr w14:paraId="78F3E0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2" w:hRule="atLeast"/>
          <w:jc w:val="center"/>
        </w:trPr>
        <w:tc>
          <w:tcPr>
            <w:tcW w:w="405" w:type="pct"/>
            <w:tcBorders>
              <w:top w:val="single" w:color="auto" w:sz="4" w:space="0"/>
              <w:left w:val="single" w:color="auto" w:sz="4" w:space="0"/>
              <w:bottom w:val="single" w:color="auto" w:sz="4" w:space="0"/>
              <w:right w:val="single" w:color="000000" w:sz="2" w:space="0"/>
            </w:tcBorders>
            <w:noWrap w:val="0"/>
            <w:vAlign w:val="center"/>
          </w:tcPr>
          <w:p w14:paraId="76C1F4F2">
            <w:pPr>
              <w:widowControl/>
              <w:spacing w:line="300" w:lineRule="exact"/>
              <w:ind w:firstLine="0" w:firstLineChars="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rPr>
              <w:br w:type="page"/>
            </w:r>
            <w:r>
              <w:rPr>
                <w:rFonts w:ascii="Times New Roman" w:hAnsi="Times New Roman" w:eastAsia="宋体" w:cs="Times New Roman"/>
                <w:color w:val="auto"/>
                <w:kern w:val="0"/>
                <w:sz w:val="21"/>
                <w:szCs w:val="21"/>
              </w:rPr>
              <w:t>C类库</w:t>
            </w:r>
          </w:p>
        </w:tc>
        <w:tc>
          <w:tcPr>
            <w:tcW w:w="3420" w:type="pct"/>
            <w:tcBorders>
              <w:top w:val="single" w:color="auto" w:sz="4" w:space="0"/>
              <w:left w:val="single" w:color="auto" w:sz="4" w:space="0"/>
              <w:bottom w:val="single" w:color="000000" w:sz="2" w:space="0"/>
              <w:right w:val="single" w:color="000000" w:sz="2" w:space="0"/>
            </w:tcBorders>
            <w:noWrap w:val="0"/>
            <w:vAlign w:val="center"/>
          </w:tcPr>
          <w:p w14:paraId="095CCAB3">
            <w:pPr>
              <w:widowControl/>
              <w:spacing w:line="300" w:lineRule="exact"/>
              <w:ind w:firstLine="0" w:firstLineChars="0"/>
              <w:jc w:val="left"/>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安全生产条件较差，不能完全保证安全生产活动，需要限期整改。</w:t>
            </w:r>
          </w:p>
        </w:tc>
        <w:tc>
          <w:tcPr>
            <w:tcW w:w="1173" w:type="pct"/>
            <w:tcBorders>
              <w:top w:val="single" w:color="auto" w:sz="4" w:space="0"/>
              <w:left w:val="single" w:color="auto" w:sz="4" w:space="0"/>
              <w:bottom w:val="single" w:color="000000" w:sz="2" w:space="0"/>
              <w:right w:val="single" w:color="000000" w:sz="2" w:space="0"/>
            </w:tcBorders>
            <w:noWrap w:val="0"/>
            <w:vAlign w:val="center"/>
          </w:tcPr>
          <w:p w14:paraId="25A48DF0">
            <w:pPr>
              <w:widowControl/>
              <w:spacing w:line="300" w:lineRule="exact"/>
              <w:ind w:firstLine="0" w:firstLineChars="0"/>
              <w:jc w:val="left"/>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得分率在60%</w:t>
            </w: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75%之间</w:t>
            </w:r>
          </w:p>
        </w:tc>
      </w:tr>
      <w:tr w14:paraId="68A381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24" w:hRule="atLeast"/>
          <w:jc w:val="center"/>
        </w:trPr>
        <w:tc>
          <w:tcPr>
            <w:tcW w:w="405" w:type="pct"/>
            <w:tcBorders>
              <w:top w:val="single" w:color="auto" w:sz="4" w:space="0"/>
              <w:left w:val="single" w:color="auto" w:sz="4" w:space="0"/>
              <w:bottom w:val="single" w:color="auto" w:sz="4" w:space="0"/>
              <w:right w:val="single" w:color="000000" w:sz="2" w:space="0"/>
            </w:tcBorders>
            <w:noWrap w:val="0"/>
            <w:vAlign w:val="center"/>
          </w:tcPr>
          <w:p w14:paraId="69AE0899">
            <w:pPr>
              <w:widowControl/>
              <w:spacing w:line="300" w:lineRule="exact"/>
              <w:ind w:firstLine="0" w:firstLineChars="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D类库</w:t>
            </w:r>
          </w:p>
        </w:tc>
        <w:tc>
          <w:tcPr>
            <w:tcW w:w="3420" w:type="pct"/>
            <w:tcBorders>
              <w:top w:val="single" w:color="auto" w:sz="4" w:space="0"/>
              <w:left w:val="single" w:color="auto" w:sz="4" w:space="0"/>
              <w:bottom w:val="single" w:color="auto" w:sz="4" w:space="0"/>
              <w:right w:val="single" w:color="000000" w:sz="2" w:space="0"/>
            </w:tcBorders>
            <w:noWrap w:val="0"/>
            <w:vAlign w:val="center"/>
          </w:tcPr>
          <w:p w14:paraId="299D84F5">
            <w:pPr>
              <w:widowControl/>
              <w:spacing w:line="300" w:lineRule="exact"/>
              <w:ind w:firstLine="0" w:firstLineChars="0"/>
              <w:jc w:val="left"/>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不具备基本的安全生产条件，或未通过验收，需要责令停产整顿的尾矿库。</w:t>
            </w:r>
          </w:p>
        </w:tc>
        <w:tc>
          <w:tcPr>
            <w:tcW w:w="1173" w:type="pct"/>
            <w:tcBorders>
              <w:top w:val="single" w:color="auto" w:sz="4" w:space="0"/>
              <w:left w:val="single" w:color="auto" w:sz="4" w:space="0"/>
              <w:bottom w:val="single" w:color="auto" w:sz="4" w:space="0"/>
              <w:right w:val="single" w:color="000000" w:sz="2" w:space="0"/>
            </w:tcBorders>
            <w:noWrap w:val="0"/>
            <w:vAlign w:val="center"/>
          </w:tcPr>
          <w:p w14:paraId="7955FE74">
            <w:pPr>
              <w:widowControl/>
              <w:spacing w:line="300" w:lineRule="exact"/>
              <w:ind w:firstLine="0" w:firstLineChars="0"/>
              <w:jc w:val="left"/>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得分率在60%以下</w:t>
            </w:r>
          </w:p>
        </w:tc>
      </w:tr>
      <w:tr w14:paraId="514857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168" w:hRule="atLeast"/>
          <w:jc w:val="center"/>
        </w:trPr>
        <w:tc>
          <w:tcPr>
            <w:tcW w:w="405" w:type="pct"/>
            <w:tcBorders>
              <w:top w:val="single" w:color="auto" w:sz="4" w:space="0"/>
              <w:left w:val="single" w:color="auto" w:sz="4" w:space="0"/>
              <w:bottom w:val="single" w:color="auto" w:sz="4" w:space="0"/>
              <w:right w:val="single" w:color="000000" w:sz="2" w:space="0"/>
            </w:tcBorders>
            <w:noWrap w:val="0"/>
            <w:vAlign w:val="center"/>
          </w:tcPr>
          <w:p w14:paraId="25C4EE40">
            <w:pPr>
              <w:spacing w:line="300" w:lineRule="exact"/>
              <w:ind w:firstLine="0" w:firstLineChars="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备注</w:t>
            </w:r>
          </w:p>
        </w:tc>
        <w:tc>
          <w:tcPr>
            <w:tcW w:w="3420" w:type="pct"/>
            <w:tcBorders>
              <w:top w:val="single" w:color="auto" w:sz="4" w:space="0"/>
              <w:left w:val="single" w:color="auto" w:sz="4" w:space="0"/>
              <w:bottom w:val="single" w:color="000000" w:sz="2" w:space="0"/>
              <w:right w:val="single" w:color="000000" w:sz="2" w:space="0"/>
            </w:tcBorders>
            <w:noWrap w:val="0"/>
            <w:vAlign w:val="center"/>
          </w:tcPr>
          <w:p w14:paraId="7C74EBA6">
            <w:pPr>
              <w:spacing w:line="300" w:lineRule="exact"/>
              <w:ind w:firstLine="0" w:firstLineChars="0"/>
              <w:jc w:val="left"/>
              <w:rPr>
                <w:rFonts w:hint="eastAsia"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1</w:t>
            </w: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表中带“*”号的项目为否决项：达不到“**”项目要求的，归为D类库；达不到“*”号项目要求的，归为C类库。</w:t>
            </w:r>
          </w:p>
          <w:p w14:paraId="682DAA29">
            <w:pPr>
              <w:spacing w:line="300" w:lineRule="exact"/>
              <w:ind w:firstLine="0" w:firstLineChars="0"/>
              <w:jc w:val="left"/>
              <w:rPr>
                <w:rFonts w:hint="eastAsia"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2</w:t>
            </w: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本表评价内容，采用百分制。</w:t>
            </w:r>
          </w:p>
          <w:p w14:paraId="1FA84467">
            <w:pPr>
              <w:spacing w:line="300" w:lineRule="exact"/>
              <w:ind w:firstLine="0" w:firstLineChars="0"/>
              <w:jc w:val="left"/>
              <w:rPr>
                <w:rFonts w:hint="eastAsia"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3</w:t>
            </w: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尾矿库分类，采用得分率。因尾矿库型式不同，没有涉及的项目，可不予评估，总分为实际评价项目的分值总和。最后得分采用得分率，即：实际评价得分÷实际评价项目的分值总和×100%。</w:t>
            </w:r>
          </w:p>
          <w:p w14:paraId="1E3EF871">
            <w:pPr>
              <w:spacing w:line="300" w:lineRule="exact"/>
              <w:ind w:firstLine="0" w:firstLineChars="0"/>
              <w:jc w:val="left"/>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4</w:t>
            </w: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评价方法及扣分尺度，评价人员根据实际情况具体掌握。</w:t>
            </w:r>
          </w:p>
        </w:tc>
        <w:tc>
          <w:tcPr>
            <w:tcW w:w="1173" w:type="pct"/>
            <w:tcBorders>
              <w:top w:val="single" w:color="auto" w:sz="4" w:space="0"/>
              <w:left w:val="single" w:color="auto" w:sz="4" w:space="0"/>
              <w:bottom w:val="single" w:color="000000" w:sz="2" w:space="0"/>
              <w:right w:val="single" w:color="000000" w:sz="2" w:space="0"/>
            </w:tcBorders>
            <w:noWrap w:val="0"/>
            <w:vAlign w:val="center"/>
          </w:tcPr>
          <w:p w14:paraId="08B52A77">
            <w:pPr>
              <w:spacing w:line="300" w:lineRule="exact"/>
              <w:ind w:firstLine="0" w:firstLineChars="0"/>
              <w:jc w:val="left"/>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标准分</w:t>
            </w:r>
            <w:r>
              <w:rPr>
                <w:rFonts w:hint="eastAsia" w:ascii="Times New Roman" w:hAnsi="Times New Roman" w:eastAsia="宋体" w:cs="Times New Roman"/>
                <w:color w:val="auto"/>
                <w:kern w:val="0"/>
                <w:sz w:val="21"/>
                <w:szCs w:val="21"/>
                <w:lang w:val="en-US" w:eastAsia="zh-CN"/>
              </w:rPr>
              <w:t>159</w:t>
            </w:r>
            <w:r>
              <w:rPr>
                <w:rFonts w:ascii="Times New Roman" w:hAnsi="Times New Roman" w:eastAsia="宋体" w:cs="Times New Roman"/>
                <w:color w:val="auto"/>
                <w:kern w:val="0"/>
                <w:sz w:val="21"/>
                <w:szCs w:val="21"/>
              </w:rPr>
              <w:t>分</w:t>
            </w:r>
          </w:p>
        </w:tc>
      </w:tr>
    </w:tbl>
    <w:p w14:paraId="5E12A76D">
      <w:pPr>
        <w:keepNext/>
        <w:keepLines/>
        <w:widowControl w:val="0"/>
        <w:bidi w:val="0"/>
        <w:spacing w:beforeLines="0" w:beforeAutospacing="0" w:afterLines="0" w:afterAutospacing="0" w:line="360" w:lineRule="auto"/>
        <w:ind w:left="560" w:leftChars="200" w:firstLine="281" w:firstLineChars="100"/>
        <w:jc w:val="both"/>
        <w:outlineLvl w:val="2"/>
        <w:rPr>
          <w:rFonts w:hint="eastAsia" w:ascii="Times New Roman" w:hAnsi="Times New Roman" w:eastAsia="黑体" w:cs="Times New Roman"/>
          <w:b/>
          <w:color w:val="auto"/>
          <w:kern w:val="2"/>
          <w:sz w:val="28"/>
          <w:szCs w:val="24"/>
          <w:lang w:val="en-US" w:eastAsia="zh-CN" w:bidi="ar-SA"/>
        </w:rPr>
      </w:pPr>
      <w:bookmarkStart w:id="562" w:name="_Toc29921"/>
      <w:bookmarkStart w:id="563" w:name="_Toc13547"/>
      <w:bookmarkStart w:id="564" w:name="_Toc25228"/>
      <w:bookmarkStart w:id="565" w:name="_Toc21590"/>
      <w:bookmarkStart w:id="566" w:name="_Toc7986"/>
      <w:bookmarkStart w:id="567" w:name="_Toc3271"/>
      <w:bookmarkStart w:id="568" w:name="_Toc7277"/>
      <w:r>
        <w:rPr>
          <w:rFonts w:hint="eastAsia" w:ascii="Times New Roman" w:hAnsi="Times New Roman" w:eastAsia="黑体" w:cs="Times New Roman"/>
          <w:b/>
          <w:color w:val="auto"/>
          <w:kern w:val="2"/>
          <w:sz w:val="28"/>
          <w:szCs w:val="24"/>
          <w:lang w:val="en-US" w:eastAsia="zh-CN" w:bidi="ar-SA"/>
        </w:rPr>
        <w:t>5.7.3 尾矿库综合评分表</w:t>
      </w:r>
      <w:bookmarkEnd w:id="562"/>
      <w:bookmarkEnd w:id="563"/>
      <w:bookmarkEnd w:id="564"/>
      <w:bookmarkEnd w:id="565"/>
      <w:bookmarkEnd w:id="566"/>
      <w:bookmarkEnd w:id="567"/>
      <w:bookmarkEnd w:id="568"/>
    </w:p>
    <w:p w14:paraId="321595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表5-1</w:t>
      </w:r>
      <w:r>
        <w:rPr>
          <w:rFonts w:hint="eastAsia" w:ascii="Times New Roman" w:hAnsi="Times New Roman" w:eastAsia="宋体" w:cs="Times New Roman"/>
          <w:color w:val="auto"/>
          <w:lang w:val="en-US" w:eastAsia="zh-CN"/>
        </w:rPr>
        <w:t xml:space="preserve">8 </w:t>
      </w:r>
      <w:r>
        <w:rPr>
          <w:rFonts w:hint="eastAsia" w:ascii="Times New Roman" w:hAnsi="Times New Roman" w:eastAsia="宋体" w:cs="Times New Roman"/>
          <w:color w:val="auto"/>
          <w:lang w:eastAsia="zh-CN"/>
        </w:rPr>
        <w:t>尾矿库综合评分表</w:t>
      </w:r>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
        <w:gridCol w:w="3419"/>
        <w:gridCol w:w="1619"/>
        <w:gridCol w:w="1620"/>
        <w:gridCol w:w="1620"/>
      </w:tblGrid>
      <w:tr w14:paraId="4F017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543" w:type="pct"/>
            <w:noWrap w:val="0"/>
            <w:vAlign w:val="center"/>
          </w:tcPr>
          <w:p w14:paraId="2B8FCBA9">
            <w:pPr>
              <w:spacing w:line="300" w:lineRule="exact"/>
              <w:ind w:firstLine="0" w:firstLineChars="0"/>
              <w:jc w:val="center"/>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序号</w:t>
            </w:r>
          </w:p>
        </w:tc>
        <w:tc>
          <w:tcPr>
            <w:tcW w:w="1841" w:type="pct"/>
            <w:noWrap w:val="0"/>
            <w:vAlign w:val="center"/>
          </w:tcPr>
          <w:p w14:paraId="7955A2C8">
            <w:pPr>
              <w:spacing w:line="300" w:lineRule="exact"/>
              <w:ind w:firstLine="0" w:firstLineChars="0"/>
              <w:jc w:val="center"/>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评价项目</w:t>
            </w:r>
          </w:p>
        </w:tc>
        <w:tc>
          <w:tcPr>
            <w:tcW w:w="872" w:type="pct"/>
            <w:noWrap w:val="0"/>
            <w:vAlign w:val="center"/>
          </w:tcPr>
          <w:p w14:paraId="2C8315A2">
            <w:pPr>
              <w:spacing w:line="300" w:lineRule="exact"/>
              <w:ind w:firstLine="0" w:firstLineChars="0"/>
              <w:jc w:val="center"/>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应得分</w:t>
            </w:r>
          </w:p>
        </w:tc>
        <w:tc>
          <w:tcPr>
            <w:tcW w:w="872" w:type="pct"/>
            <w:noWrap w:val="0"/>
            <w:vAlign w:val="center"/>
          </w:tcPr>
          <w:p w14:paraId="1047035B">
            <w:pPr>
              <w:spacing w:line="300" w:lineRule="exact"/>
              <w:ind w:firstLine="0" w:firstLineChars="0"/>
              <w:jc w:val="center"/>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实得分</w:t>
            </w:r>
          </w:p>
        </w:tc>
        <w:tc>
          <w:tcPr>
            <w:tcW w:w="872" w:type="pct"/>
            <w:noWrap w:val="0"/>
            <w:vAlign w:val="center"/>
          </w:tcPr>
          <w:p w14:paraId="30FAFC37">
            <w:pPr>
              <w:spacing w:line="300" w:lineRule="exact"/>
              <w:ind w:firstLine="0" w:firstLineChars="0"/>
              <w:jc w:val="center"/>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得分率</w:t>
            </w:r>
            <w:r>
              <w:rPr>
                <w:rFonts w:hint="eastAsia" w:ascii="Times New Roman" w:hAnsi="Times New Roman" w:eastAsia="宋体" w:cs="Times New Roman"/>
                <w:b/>
                <w:bCs/>
                <w:color w:val="auto"/>
                <w:sz w:val="21"/>
                <w:szCs w:val="21"/>
              </w:rPr>
              <w:t>（%）</w:t>
            </w:r>
          </w:p>
        </w:tc>
      </w:tr>
      <w:tr w14:paraId="7EA94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543" w:type="pct"/>
            <w:noWrap w:val="0"/>
            <w:vAlign w:val="center"/>
          </w:tcPr>
          <w:p w14:paraId="7D108A89">
            <w:pPr>
              <w:spacing w:line="300" w:lineRule="exact"/>
              <w:ind w:firstLine="0" w:firstLineChars="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1</w:t>
            </w:r>
          </w:p>
        </w:tc>
        <w:tc>
          <w:tcPr>
            <w:tcW w:w="1841" w:type="pct"/>
            <w:noWrap w:val="0"/>
            <w:vAlign w:val="center"/>
          </w:tcPr>
          <w:p w14:paraId="01E77B8D">
            <w:pPr>
              <w:spacing w:line="300" w:lineRule="exact"/>
              <w:ind w:firstLine="0" w:firstLineChars="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综合安全管理单元</w:t>
            </w:r>
          </w:p>
        </w:tc>
        <w:tc>
          <w:tcPr>
            <w:tcW w:w="872" w:type="pct"/>
            <w:noWrap w:val="0"/>
            <w:vAlign w:val="center"/>
          </w:tcPr>
          <w:p w14:paraId="47CD29B2">
            <w:pPr>
              <w:spacing w:line="300" w:lineRule="exact"/>
              <w:ind w:firstLine="0" w:firstLineChars="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51</w:t>
            </w:r>
          </w:p>
        </w:tc>
        <w:tc>
          <w:tcPr>
            <w:tcW w:w="872" w:type="pct"/>
            <w:noWrap w:val="0"/>
            <w:vAlign w:val="center"/>
          </w:tcPr>
          <w:p w14:paraId="655614C1">
            <w:pPr>
              <w:spacing w:line="300" w:lineRule="exact"/>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w:t>
            </w:r>
          </w:p>
        </w:tc>
        <w:tc>
          <w:tcPr>
            <w:tcW w:w="872" w:type="pct"/>
            <w:noWrap w:val="0"/>
            <w:vAlign w:val="center"/>
          </w:tcPr>
          <w:p w14:paraId="63034B04">
            <w:pPr>
              <w:spacing w:line="300" w:lineRule="exact"/>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13.73</w:t>
            </w:r>
          </w:p>
        </w:tc>
      </w:tr>
      <w:tr w14:paraId="6E8E7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543" w:type="pct"/>
            <w:noWrap w:val="0"/>
            <w:vAlign w:val="center"/>
          </w:tcPr>
          <w:p w14:paraId="2FD2288C">
            <w:pPr>
              <w:spacing w:line="300" w:lineRule="exact"/>
              <w:ind w:firstLine="0" w:firstLineChars="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w:t>
            </w:r>
          </w:p>
        </w:tc>
        <w:tc>
          <w:tcPr>
            <w:tcW w:w="1841" w:type="pct"/>
            <w:noWrap w:val="0"/>
            <w:vAlign w:val="center"/>
          </w:tcPr>
          <w:p w14:paraId="3CE7D3FE">
            <w:pPr>
              <w:spacing w:line="300" w:lineRule="exact"/>
              <w:ind w:firstLine="0" w:firstLineChars="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尾矿坝体单元</w:t>
            </w:r>
          </w:p>
        </w:tc>
        <w:tc>
          <w:tcPr>
            <w:tcW w:w="872" w:type="pct"/>
            <w:noWrap w:val="0"/>
            <w:vAlign w:val="center"/>
          </w:tcPr>
          <w:p w14:paraId="74FD985D">
            <w:pPr>
              <w:spacing w:line="300" w:lineRule="exact"/>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64</w:t>
            </w:r>
          </w:p>
        </w:tc>
        <w:tc>
          <w:tcPr>
            <w:tcW w:w="872" w:type="pct"/>
            <w:noWrap w:val="0"/>
            <w:vAlign w:val="center"/>
          </w:tcPr>
          <w:p w14:paraId="423CBB8A">
            <w:pPr>
              <w:spacing w:line="300" w:lineRule="exact"/>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50</w:t>
            </w:r>
          </w:p>
        </w:tc>
        <w:tc>
          <w:tcPr>
            <w:tcW w:w="872" w:type="pct"/>
            <w:noWrap w:val="0"/>
            <w:vAlign w:val="center"/>
          </w:tcPr>
          <w:p w14:paraId="4AD9D1DE">
            <w:pPr>
              <w:spacing w:line="300" w:lineRule="exact"/>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78.13</w:t>
            </w:r>
          </w:p>
        </w:tc>
      </w:tr>
      <w:tr w14:paraId="0C8A2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543" w:type="pct"/>
            <w:noWrap w:val="0"/>
            <w:vAlign w:val="center"/>
          </w:tcPr>
          <w:p w14:paraId="7F4371AA">
            <w:pPr>
              <w:spacing w:line="300" w:lineRule="exact"/>
              <w:ind w:firstLine="0" w:firstLineChars="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3</w:t>
            </w:r>
          </w:p>
        </w:tc>
        <w:tc>
          <w:tcPr>
            <w:tcW w:w="1841" w:type="pct"/>
            <w:noWrap w:val="0"/>
            <w:vAlign w:val="center"/>
          </w:tcPr>
          <w:p w14:paraId="77B79EC9">
            <w:pPr>
              <w:spacing w:line="300" w:lineRule="exact"/>
              <w:ind w:firstLine="0" w:firstLineChars="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防排洪系统单元</w:t>
            </w:r>
          </w:p>
        </w:tc>
        <w:tc>
          <w:tcPr>
            <w:tcW w:w="872" w:type="pct"/>
            <w:noWrap w:val="0"/>
            <w:vAlign w:val="center"/>
          </w:tcPr>
          <w:p w14:paraId="6426BDE6">
            <w:pPr>
              <w:spacing w:line="300" w:lineRule="exact"/>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37</w:t>
            </w:r>
          </w:p>
        </w:tc>
        <w:tc>
          <w:tcPr>
            <w:tcW w:w="872" w:type="pct"/>
            <w:noWrap w:val="0"/>
            <w:vAlign w:val="center"/>
          </w:tcPr>
          <w:p w14:paraId="31FC2123">
            <w:pPr>
              <w:spacing w:line="300" w:lineRule="exact"/>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34</w:t>
            </w:r>
          </w:p>
        </w:tc>
        <w:tc>
          <w:tcPr>
            <w:tcW w:w="872" w:type="pct"/>
            <w:noWrap w:val="0"/>
            <w:vAlign w:val="center"/>
          </w:tcPr>
          <w:p w14:paraId="05AAE245">
            <w:pPr>
              <w:spacing w:line="300" w:lineRule="exact"/>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91.89</w:t>
            </w:r>
          </w:p>
        </w:tc>
      </w:tr>
      <w:tr w14:paraId="679BA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543" w:type="pct"/>
            <w:noWrap w:val="0"/>
            <w:vAlign w:val="center"/>
          </w:tcPr>
          <w:p w14:paraId="277FD1D6">
            <w:pPr>
              <w:spacing w:line="300" w:lineRule="exact"/>
              <w:ind w:firstLine="0" w:firstLineChars="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4</w:t>
            </w:r>
          </w:p>
        </w:tc>
        <w:tc>
          <w:tcPr>
            <w:tcW w:w="1841" w:type="pct"/>
            <w:noWrap w:val="0"/>
            <w:vAlign w:val="center"/>
          </w:tcPr>
          <w:p w14:paraId="56D1C233">
            <w:pPr>
              <w:spacing w:line="300" w:lineRule="exact"/>
              <w:ind w:firstLine="0" w:firstLineChars="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库区环境单元</w:t>
            </w:r>
          </w:p>
        </w:tc>
        <w:tc>
          <w:tcPr>
            <w:tcW w:w="872" w:type="pct"/>
            <w:noWrap w:val="0"/>
            <w:vAlign w:val="center"/>
          </w:tcPr>
          <w:p w14:paraId="20EC7EC3">
            <w:pPr>
              <w:spacing w:line="300" w:lineRule="exact"/>
              <w:ind w:firstLine="0" w:firstLineChars="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7</w:t>
            </w:r>
          </w:p>
        </w:tc>
        <w:tc>
          <w:tcPr>
            <w:tcW w:w="872" w:type="pct"/>
            <w:noWrap w:val="0"/>
            <w:vAlign w:val="center"/>
          </w:tcPr>
          <w:p w14:paraId="63784507">
            <w:pPr>
              <w:spacing w:line="300" w:lineRule="exact"/>
              <w:ind w:firstLine="0" w:firstLineChars="0"/>
              <w:jc w:val="center"/>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val="en-US" w:eastAsia="zh-CN"/>
              </w:rPr>
              <w:t>7</w:t>
            </w:r>
          </w:p>
        </w:tc>
        <w:tc>
          <w:tcPr>
            <w:tcW w:w="872" w:type="pct"/>
            <w:noWrap w:val="0"/>
            <w:vAlign w:val="center"/>
          </w:tcPr>
          <w:p w14:paraId="25B01014">
            <w:pPr>
              <w:spacing w:line="300" w:lineRule="exact"/>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100</w:t>
            </w:r>
          </w:p>
        </w:tc>
      </w:tr>
      <w:tr w14:paraId="072A2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543" w:type="pct"/>
            <w:noWrap w:val="0"/>
            <w:vAlign w:val="center"/>
          </w:tcPr>
          <w:p w14:paraId="1D955D25">
            <w:pPr>
              <w:spacing w:line="300" w:lineRule="exact"/>
              <w:ind w:firstLine="0" w:firstLineChars="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合计</w:t>
            </w:r>
          </w:p>
        </w:tc>
        <w:tc>
          <w:tcPr>
            <w:tcW w:w="1841" w:type="pct"/>
            <w:noWrap w:val="0"/>
            <w:vAlign w:val="center"/>
          </w:tcPr>
          <w:p w14:paraId="3812B9CF">
            <w:pPr>
              <w:spacing w:line="300" w:lineRule="exact"/>
              <w:ind w:firstLine="0" w:firstLineChars="0"/>
              <w:jc w:val="center"/>
              <w:rPr>
                <w:rFonts w:ascii="Times New Roman" w:hAnsi="Times New Roman" w:eastAsia="宋体" w:cs="Times New Roman"/>
                <w:color w:val="auto"/>
                <w:sz w:val="21"/>
                <w:szCs w:val="21"/>
              </w:rPr>
            </w:pPr>
          </w:p>
        </w:tc>
        <w:tc>
          <w:tcPr>
            <w:tcW w:w="872" w:type="pct"/>
            <w:noWrap w:val="0"/>
            <w:vAlign w:val="center"/>
          </w:tcPr>
          <w:p w14:paraId="1A18CC64">
            <w:pPr>
              <w:spacing w:line="300" w:lineRule="exact"/>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159</w:t>
            </w:r>
          </w:p>
        </w:tc>
        <w:tc>
          <w:tcPr>
            <w:tcW w:w="872" w:type="pct"/>
            <w:noWrap w:val="0"/>
            <w:vAlign w:val="center"/>
          </w:tcPr>
          <w:p w14:paraId="2C2BD3B9">
            <w:pPr>
              <w:spacing w:line="300" w:lineRule="exact"/>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9</w:t>
            </w:r>
            <w:r>
              <w:rPr>
                <w:rFonts w:hint="eastAsia" w:ascii="Times New Roman" w:hAnsi="Times New Roman" w:eastAsia="宋体" w:cs="Times New Roman"/>
                <w:color w:val="auto"/>
                <w:sz w:val="21"/>
                <w:szCs w:val="21"/>
                <w:lang w:val="en-US" w:eastAsia="zh-CN"/>
              </w:rPr>
              <w:t>8</w:t>
            </w:r>
          </w:p>
        </w:tc>
        <w:tc>
          <w:tcPr>
            <w:tcW w:w="872" w:type="pct"/>
            <w:noWrap w:val="0"/>
            <w:vAlign w:val="center"/>
          </w:tcPr>
          <w:p w14:paraId="66A0EF27">
            <w:pPr>
              <w:spacing w:line="300" w:lineRule="exact"/>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67.92</w:t>
            </w:r>
          </w:p>
        </w:tc>
      </w:tr>
    </w:tbl>
    <w:p w14:paraId="027814C7">
      <w:pPr>
        <w:keepNext/>
        <w:keepLines/>
        <w:widowControl w:val="0"/>
        <w:bidi w:val="0"/>
        <w:spacing w:beforeLines="0" w:beforeAutospacing="0" w:afterLines="0" w:afterAutospacing="0" w:line="360" w:lineRule="auto"/>
        <w:ind w:left="560" w:leftChars="200" w:firstLine="0" w:firstLineChars="0"/>
        <w:jc w:val="both"/>
        <w:outlineLvl w:val="2"/>
        <w:rPr>
          <w:rFonts w:hint="eastAsia" w:ascii="Times New Roman" w:hAnsi="Times New Roman" w:eastAsia="黑体" w:cs="Times New Roman"/>
          <w:b/>
          <w:color w:val="auto"/>
          <w:kern w:val="2"/>
          <w:sz w:val="28"/>
          <w:szCs w:val="24"/>
          <w:lang w:val="en-US" w:eastAsia="zh-CN" w:bidi="ar-SA"/>
        </w:rPr>
      </w:pPr>
      <w:bookmarkStart w:id="569" w:name="_Toc12869"/>
      <w:bookmarkStart w:id="570" w:name="_Toc26440"/>
      <w:bookmarkStart w:id="571" w:name="_Toc21752"/>
      <w:bookmarkStart w:id="572" w:name="_Toc20027"/>
      <w:bookmarkStart w:id="573" w:name="_Toc2196"/>
      <w:bookmarkStart w:id="574" w:name="_Toc6262"/>
      <w:bookmarkStart w:id="575" w:name="_Toc29788"/>
      <w:r>
        <w:rPr>
          <w:rFonts w:hint="eastAsia" w:ascii="Times New Roman" w:hAnsi="Times New Roman" w:eastAsia="黑体" w:cs="Times New Roman"/>
          <w:b/>
          <w:color w:val="auto"/>
          <w:kern w:val="2"/>
          <w:sz w:val="28"/>
          <w:szCs w:val="24"/>
          <w:lang w:val="en-US" w:eastAsia="zh-CN" w:bidi="ar-SA"/>
        </w:rPr>
        <w:t>5.7.4 评价结论</w:t>
      </w:r>
      <w:bookmarkEnd w:id="569"/>
      <w:bookmarkEnd w:id="570"/>
      <w:bookmarkEnd w:id="571"/>
      <w:bookmarkEnd w:id="572"/>
      <w:bookmarkEnd w:id="573"/>
      <w:bookmarkEnd w:id="574"/>
      <w:bookmarkEnd w:id="575"/>
    </w:p>
    <w:p w14:paraId="7176034D">
      <w:pPr>
        <w:ind w:firstLine="883"/>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岿美山尾矿库</w:t>
      </w:r>
      <w:r>
        <w:rPr>
          <w:rFonts w:hint="eastAsia" w:ascii="Times New Roman" w:hAnsi="Times New Roman" w:eastAsia="宋体" w:cs="Times New Roman"/>
          <w:color w:val="auto"/>
          <w:lang w:eastAsia="zh-CN"/>
        </w:rPr>
        <w:t>用安全检查表</w:t>
      </w:r>
      <w:r>
        <w:rPr>
          <w:rFonts w:hint="eastAsia" w:ascii="Times New Roman" w:hAnsi="Times New Roman" w:eastAsia="宋体" w:cs="Times New Roman"/>
          <w:color w:val="auto"/>
          <w:lang w:val="en-US" w:eastAsia="zh-CN"/>
        </w:rPr>
        <w:t>法评价得分率为6</w:t>
      </w:r>
      <w:r>
        <w:rPr>
          <w:rFonts w:hint="eastAsia" w:cs="Times New Roman"/>
          <w:color w:val="auto"/>
          <w:lang w:val="en-US" w:eastAsia="zh-CN"/>
        </w:rPr>
        <w:t>1.64</w:t>
      </w:r>
      <w:r>
        <w:rPr>
          <w:rFonts w:hint="eastAsia" w:ascii="Times New Roman" w:hAnsi="Times New Roman" w:eastAsia="宋体" w:cs="Times New Roman"/>
          <w:color w:val="auto"/>
          <w:lang w:val="en-US" w:eastAsia="zh-CN"/>
        </w:rPr>
        <w:t>%，属于</w:t>
      </w:r>
      <w:r>
        <w:rPr>
          <w:rFonts w:hint="eastAsia" w:ascii="Times New Roman" w:hAnsi="Times New Roman" w:eastAsia="宋体" w:cs="Times New Roman"/>
          <w:color w:val="auto"/>
          <w:sz w:val="30"/>
          <w:szCs w:val="30"/>
          <w:lang w:val="en-US" w:eastAsia="zh-CN"/>
        </w:rPr>
        <w:t>安全生产条件较差，不能完全保证安全生产活动，需要限期整改</w:t>
      </w:r>
      <w:r>
        <w:rPr>
          <w:rFonts w:hint="eastAsia" w:ascii="Times New Roman" w:hAnsi="Times New Roman" w:eastAsia="宋体" w:cs="Times New Roman"/>
          <w:color w:val="auto"/>
          <w:lang w:val="en-US" w:eastAsia="zh-CN"/>
        </w:rPr>
        <w:t>的尾矿库。岿美山尾矿库已停止放矿多年，江西岿美山钨业有限公司决定启动尾矿库闭库程序，应尽快实施尾矿库闭库工程，进行闭库整治设计，落实整治措施，消除安全隐患，确保尾矿库闭库后长周期安全稳定。</w:t>
      </w:r>
    </w:p>
    <w:p w14:paraId="1C2A4EBC">
      <w:pPr>
        <w:pStyle w:val="2"/>
        <w:numPr>
          <w:ilvl w:val="0"/>
          <w:numId w:val="0"/>
        </w:numPr>
        <w:bidi w:val="0"/>
        <w:ind w:left="0" w:leftChars="0" w:firstLine="643" w:firstLineChars="200"/>
        <w:rPr>
          <w:rFonts w:hint="default"/>
          <w:color w:val="auto"/>
          <w:lang w:val="en-US" w:eastAsia="zh-CN"/>
        </w:rPr>
      </w:pPr>
      <w:r>
        <w:rPr>
          <w:rFonts w:hint="default" w:ascii="Times New Roman" w:hAnsi="Times New Roman" w:eastAsia="宋体" w:cs="Times New Roman"/>
          <w:color w:val="auto"/>
          <w:lang w:val="en-US" w:eastAsia="zh-CN"/>
        </w:rPr>
        <w:br w:type="page"/>
      </w:r>
      <w:bookmarkStart w:id="576" w:name="_Toc28641"/>
      <w:bookmarkStart w:id="577" w:name="_Toc17435"/>
      <w:bookmarkStart w:id="578" w:name="_Toc30216"/>
      <w:bookmarkStart w:id="579" w:name="_Toc28008"/>
      <w:bookmarkStart w:id="580" w:name="_Toc1263"/>
      <w:r>
        <w:rPr>
          <w:rFonts w:hint="eastAsia"/>
          <w:color w:val="auto"/>
          <w:lang w:val="en-US" w:eastAsia="zh-CN"/>
        </w:rPr>
        <w:t xml:space="preserve">6. </w:t>
      </w:r>
      <w:r>
        <w:rPr>
          <w:rFonts w:hint="default"/>
          <w:color w:val="auto"/>
          <w:lang w:val="en-US" w:eastAsia="zh-CN"/>
        </w:rPr>
        <w:t>安全对策措施建议</w:t>
      </w:r>
      <w:bookmarkEnd w:id="576"/>
      <w:bookmarkEnd w:id="577"/>
      <w:bookmarkEnd w:id="578"/>
      <w:bookmarkEnd w:id="579"/>
      <w:bookmarkEnd w:id="580"/>
    </w:p>
    <w:p w14:paraId="23C5724F">
      <w:pPr>
        <w:pStyle w:val="3"/>
        <w:bidi w:val="0"/>
        <w:rPr>
          <w:rFonts w:hint="default"/>
          <w:color w:val="auto"/>
          <w:lang w:val="en-US" w:eastAsia="zh-CN"/>
        </w:rPr>
      </w:pPr>
      <w:bookmarkStart w:id="581" w:name="_Toc9947"/>
      <w:bookmarkStart w:id="582" w:name="_Toc29530"/>
      <w:bookmarkStart w:id="583" w:name="_Toc22116"/>
      <w:bookmarkStart w:id="584" w:name="_Toc24326"/>
      <w:r>
        <w:rPr>
          <w:rFonts w:hint="default"/>
          <w:color w:val="auto"/>
          <w:lang w:val="en-US" w:eastAsia="zh-CN"/>
        </w:rPr>
        <w:t>6.1</w:t>
      </w:r>
      <w:r>
        <w:rPr>
          <w:rFonts w:hint="eastAsia"/>
          <w:color w:val="auto"/>
          <w:lang w:val="en-US" w:eastAsia="zh-CN"/>
        </w:rPr>
        <w:t xml:space="preserve"> </w:t>
      </w:r>
      <w:r>
        <w:rPr>
          <w:rFonts w:hint="default"/>
          <w:color w:val="auto"/>
          <w:lang w:val="en-US" w:eastAsia="zh-CN"/>
        </w:rPr>
        <w:t>尾矿库闭库一般规定</w:t>
      </w:r>
      <w:bookmarkEnd w:id="581"/>
      <w:bookmarkEnd w:id="582"/>
      <w:bookmarkEnd w:id="583"/>
      <w:bookmarkEnd w:id="584"/>
    </w:p>
    <w:p w14:paraId="469F36C2">
      <w:pPr>
        <w:bidi w:val="0"/>
        <w:rPr>
          <w:rFonts w:hint="default"/>
          <w:color w:val="auto"/>
          <w:lang w:val="en-US" w:eastAsia="zh-CN"/>
        </w:rPr>
      </w:pPr>
      <w:r>
        <w:rPr>
          <w:rFonts w:hint="default"/>
          <w:color w:val="auto"/>
          <w:lang w:val="en-US" w:eastAsia="zh-CN"/>
        </w:rPr>
        <w:t>（1）当尾矿库使用至最终设计坝高或不再排尾作业时，</w:t>
      </w:r>
      <w:r>
        <w:rPr>
          <w:rFonts w:hint="default" w:ascii="Times New Roman" w:hAnsi="Times New Roman" w:cs="Times New Roman"/>
          <w:color w:val="auto"/>
          <w:lang w:val="en-US" w:eastAsia="zh-CN"/>
        </w:rPr>
        <w:t>应请有资质的勘察单位进行工程地质勘察、设计单位进行尾矿库闭库销号设计，闭库销号设计应当包括安全设施设计。</w:t>
      </w:r>
      <w:r>
        <w:rPr>
          <w:rFonts w:hint="default"/>
          <w:color w:val="auto"/>
          <w:lang w:val="en-US" w:eastAsia="zh-CN"/>
        </w:rPr>
        <w:t>尾矿库闭库销号安全设施设计应当经应急管理部门审查批准。尾矿库闭库销号工作由江西岿美山钨业有限公司负责。</w:t>
      </w:r>
    </w:p>
    <w:p w14:paraId="43F49F0B">
      <w:pPr>
        <w:bidi w:val="0"/>
        <w:rPr>
          <w:rFonts w:hint="default"/>
          <w:color w:val="auto"/>
          <w:lang w:val="en-US" w:eastAsia="zh-CN"/>
        </w:rPr>
      </w:pPr>
      <w:r>
        <w:rPr>
          <w:rFonts w:hint="default"/>
          <w:color w:val="auto"/>
          <w:lang w:val="en-US" w:eastAsia="zh-CN"/>
        </w:rPr>
        <w:t>（2）尾矿库闭库销号工程建设应严格按安全设施设计审查批复的要求进行。尾矿库管理单位在尾矿库闭库销号建设过程中，加强施工管理，做好坝体和排水系统清基或封堵、坝体碾压等所有隐蔽工程的隐蔽记录（施工影像资料、验收表单含签字公章）、工程质量检测报告和工作总结。</w:t>
      </w:r>
    </w:p>
    <w:p w14:paraId="4B686652">
      <w:pPr>
        <w:bidi w:val="0"/>
        <w:rPr>
          <w:rFonts w:hint="default" w:ascii="Times New Roman" w:hAnsi="Times New Roman" w:eastAsia="宋体" w:cs="Times New Roman"/>
          <w:color w:val="auto"/>
          <w:lang w:val="en-US" w:eastAsia="zh-CN"/>
        </w:rPr>
      </w:pPr>
      <w:r>
        <w:rPr>
          <w:rFonts w:hint="default"/>
          <w:color w:val="auto"/>
          <w:lang w:val="en-US" w:eastAsia="zh-CN"/>
        </w:rPr>
        <w:t>（3）</w:t>
      </w:r>
      <w:r>
        <w:rPr>
          <w:rFonts w:hint="default" w:ascii="Times New Roman" w:hAnsi="Times New Roman" w:cs="Times New Roman"/>
          <w:color w:val="auto"/>
          <w:lang w:val="en-US" w:eastAsia="zh-CN"/>
        </w:rPr>
        <w:t>尾矿库为三等库，施工单位应具有总承包一级或特级矿山工程施工资质，</w:t>
      </w:r>
      <w:r>
        <w:rPr>
          <w:rFonts w:hint="default"/>
          <w:color w:val="auto"/>
          <w:lang w:val="en-US" w:eastAsia="zh-CN"/>
        </w:rPr>
        <w:t>施工单位应当按批复的安全设施设计施工，并对安全设施的工程质量负责。建设单位不得将尾矿库闭库销号工程发包给不具备相应资质的施工单</w:t>
      </w:r>
      <w:r>
        <w:rPr>
          <w:rFonts w:hint="default" w:ascii="Times New Roman" w:hAnsi="Times New Roman" w:eastAsia="宋体" w:cs="Times New Roman"/>
          <w:color w:val="auto"/>
          <w:lang w:val="en-US" w:eastAsia="zh-CN"/>
        </w:rPr>
        <w:t>位施工。</w:t>
      </w:r>
    </w:p>
    <w:p w14:paraId="2CC8B335">
      <w:pPr>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（4）施工单位在施工期间，发现尾矿库闭库销号工程的安全设施设计不合理或存在重大事故隐患时，应当立即停止施工，并报告建设单位。</w:t>
      </w:r>
    </w:p>
    <w:p w14:paraId="79945117">
      <w:pPr>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（5）尾矿库为三等库，监理单位应具有甲级矿山工程监理资质，并提供尾矿库闭库销号工程施工监理报告。</w:t>
      </w:r>
    </w:p>
    <w:p w14:paraId="6D2A2FB3">
      <w:pPr>
        <w:bidi w:val="0"/>
        <w:rPr>
          <w:rFonts w:ascii="Times New Roman" w:hAnsi="宋体" w:eastAsia="宋体" w:cs="Times New Roman"/>
          <w:bCs/>
          <w:color w:val="auto"/>
          <w:sz w:val="28"/>
          <w:szCs w:val="28"/>
        </w:rPr>
      </w:pP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6</w:t>
      </w:r>
      <w:r>
        <w:rPr>
          <w:rFonts w:hint="default" w:ascii="Times New Roman" w:hAnsi="Times New Roman" w:eastAsia="宋体" w:cs="Times New Roman"/>
          <w:color w:val="auto"/>
          <w:lang w:val="en-US" w:eastAsia="zh-CN"/>
        </w:rPr>
        <w:t>）尾矿库闭库销号工程接近完工时，施工单位应向</w:t>
      </w:r>
      <w:r>
        <w:rPr>
          <w:rFonts w:hint="default"/>
          <w:color w:val="auto"/>
          <w:lang w:val="en-US" w:eastAsia="zh-CN"/>
        </w:rPr>
        <w:t>江西岿美山钨业有限公司</w:t>
      </w:r>
      <w:r>
        <w:rPr>
          <w:rFonts w:ascii="Times New Roman" w:hAnsi="宋体" w:eastAsia="宋体" w:cs="Times New Roman"/>
          <w:bCs/>
          <w:color w:val="auto"/>
          <w:sz w:val="28"/>
          <w:szCs w:val="28"/>
        </w:rPr>
        <w:t>提交交工通知书，并整理好交工资料和技术文件。</w:t>
      </w:r>
    </w:p>
    <w:p w14:paraId="1B75B0B1">
      <w:pPr>
        <w:bidi w:val="0"/>
        <w:rPr>
          <w:rFonts w:hint="default"/>
          <w:color w:val="auto"/>
          <w:lang w:val="en-US" w:eastAsia="zh-CN"/>
        </w:rPr>
      </w:pPr>
      <w:r>
        <w:rPr>
          <w:rFonts w:hint="default"/>
          <w:color w:val="auto"/>
          <w:lang w:val="en-US" w:eastAsia="zh-CN"/>
        </w:rPr>
        <w:t>（</w:t>
      </w:r>
      <w:r>
        <w:rPr>
          <w:rFonts w:hint="eastAsia"/>
          <w:color w:val="auto"/>
          <w:lang w:val="en-US" w:eastAsia="zh-CN"/>
        </w:rPr>
        <w:t>7</w:t>
      </w:r>
      <w:r>
        <w:rPr>
          <w:rFonts w:hint="default"/>
          <w:color w:val="auto"/>
          <w:lang w:val="en-US" w:eastAsia="zh-CN"/>
        </w:rPr>
        <w:t>）江西岿美山钨业有限公司应组织施工、监理、设计等单位人员组成交工验收机构，进行工程验收，形成初验资料（验收单表含签字公章、报告）。</w:t>
      </w:r>
    </w:p>
    <w:p w14:paraId="01514DE9">
      <w:pPr>
        <w:bidi w:val="0"/>
        <w:rPr>
          <w:rFonts w:hint="default"/>
          <w:color w:val="auto"/>
          <w:lang w:val="en-US" w:eastAsia="zh-CN"/>
        </w:rPr>
      </w:pPr>
      <w:r>
        <w:rPr>
          <w:rFonts w:hint="default"/>
          <w:color w:val="auto"/>
          <w:lang w:val="en-US" w:eastAsia="zh-CN"/>
        </w:rPr>
        <w:t>（</w:t>
      </w:r>
      <w:r>
        <w:rPr>
          <w:rFonts w:hint="eastAsia"/>
          <w:color w:val="auto"/>
          <w:lang w:val="en-US" w:eastAsia="zh-CN"/>
        </w:rPr>
        <w:t>8</w:t>
      </w:r>
      <w:r>
        <w:rPr>
          <w:rFonts w:hint="default"/>
          <w:color w:val="auto"/>
          <w:lang w:val="en-US" w:eastAsia="zh-CN"/>
        </w:rPr>
        <w:t>）尾矿库闭库销号工程施工完成后应委托安全评价单位进行尾矿库闭库销号工程安全验收评价工作，编制安全验收评价报告。</w:t>
      </w:r>
    </w:p>
    <w:p w14:paraId="0F4F044D">
      <w:pPr>
        <w:spacing w:line="600" w:lineRule="exact"/>
        <w:ind w:firstLine="560" w:firstLineChars="200"/>
        <w:rPr>
          <w:rFonts w:hint="eastAsia" w:ascii="Times New Roman" w:hAnsi="宋体" w:eastAsia="宋体" w:cs="Times New Roman"/>
          <w:bCs/>
          <w:color w:val="auto"/>
          <w:sz w:val="28"/>
          <w:szCs w:val="28"/>
        </w:rPr>
      </w:pPr>
      <w:r>
        <w:rPr>
          <w:rFonts w:ascii="Times New Roman" w:hAnsi="宋体" w:eastAsia="宋体" w:cs="Times New Roman"/>
          <w:bCs/>
          <w:color w:val="auto"/>
          <w:sz w:val="28"/>
          <w:szCs w:val="28"/>
        </w:rPr>
        <w:t>（9）</w:t>
      </w:r>
      <w:r>
        <w:rPr>
          <w:rFonts w:hint="default"/>
          <w:color w:val="auto"/>
          <w:lang w:val="en-US" w:eastAsia="zh-CN"/>
        </w:rPr>
        <w:t>江西岿美山钨业有限公司</w:t>
      </w:r>
      <w:r>
        <w:rPr>
          <w:rFonts w:ascii="Times New Roman" w:hAnsi="宋体" w:eastAsia="宋体" w:cs="Times New Roman"/>
          <w:bCs/>
          <w:color w:val="auto"/>
          <w:sz w:val="28"/>
          <w:szCs w:val="28"/>
        </w:rPr>
        <w:t>应组织尾矿库</w:t>
      </w:r>
      <w:r>
        <w:rPr>
          <w:rFonts w:ascii="Times New Roman" w:hAnsi="宋体" w:eastAsia="宋体" w:cs="Times New Roman"/>
          <w:bCs/>
          <w:color w:val="auto"/>
          <w:sz w:val="28"/>
          <w:szCs w:val="28"/>
        </w:rPr>
        <w:t>闭库销号工程竣工验收，保存尾矿库闭库销号工程安全设施竣工验收资料。</w:t>
      </w:r>
    </w:p>
    <w:p w14:paraId="50EABE67">
      <w:pPr>
        <w:pStyle w:val="3"/>
        <w:bidi w:val="0"/>
        <w:rPr>
          <w:rFonts w:hint="default"/>
          <w:color w:val="auto"/>
          <w:lang w:val="en-US" w:eastAsia="zh-CN"/>
        </w:rPr>
      </w:pPr>
      <w:bookmarkStart w:id="585" w:name="_Toc21439"/>
      <w:bookmarkStart w:id="586" w:name="_Toc21527"/>
      <w:bookmarkStart w:id="587" w:name="_Toc15817"/>
      <w:bookmarkStart w:id="588" w:name="_Toc712"/>
      <w:r>
        <w:rPr>
          <w:rFonts w:hint="default"/>
          <w:color w:val="auto"/>
          <w:lang w:val="en-US" w:eastAsia="zh-CN"/>
        </w:rPr>
        <w:t>6.2</w:t>
      </w:r>
      <w:r>
        <w:rPr>
          <w:rFonts w:hint="eastAsia"/>
          <w:color w:val="auto"/>
          <w:lang w:val="en-US" w:eastAsia="zh-CN"/>
        </w:rPr>
        <w:t xml:space="preserve"> </w:t>
      </w:r>
      <w:r>
        <w:rPr>
          <w:rFonts w:hint="default"/>
          <w:color w:val="auto"/>
          <w:lang w:val="en-US" w:eastAsia="zh-CN"/>
        </w:rPr>
        <w:t>尾矿库闭库前汛期安全对策措施建议</w:t>
      </w:r>
      <w:bookmarkEnd w:id="585"/>
      <w:bookmarkEnd w:id="586"/>
      <w:bookmarkEnd w:id="587"/>
      <w:bookmarkEnd w:id="588"/>
    </w:p>
    <w:p w14:paraId="17FB9364">
      <w:pPr>
        <w:rPr>
          <w:rFonts w:hint="default"/>
          <w:color w:val="auto"/>
          <w:lang w:val="en-US" w:eastAsia="zh-CN"/>
        </w:rPr>
      </w:pPr>
      <w:r>
        <w:rPr>
          <w:rFonts w:hint="default"/>
          <w:color w:val="auto"/>
          <w:lang w:val="en-US" w:eastAsia="zh-CN"/>
        </w:rPr>
        <w:t>（1）</w:t>
      </w:r>
      <w:r>
        <w:rPr>
          <w:rFonts w:hint="eastAsia"/>
          <w:color w:val="auto"/>
          <w:lang w:val="en-US" w:eastAsia="zh-CN"/>
        </w:rPr>
        <w:t>岿美山尾矿库</w:t>
      </w:r>
      <w:r>
        <w:rPr>
          <w:rFonts w:hint="default"/>
          <w:color w:val="auto"/>
          <w:lang w:val="en-US" w:eastAsia="zh-CN"/>
        </w:rPr>
        <w:t>已停止</w:t>
      </w:r>
      <w:r>
        <w:rPr>
          <w:rFonts w:hint="eastAsia"/>
          <w:color w:val="auto"/>
          <w:lang w:val="en-US" w:eastAsia="zh-CN"/>
        </w:rPr>
        <w:t>使用已久</w:t>
      </w:r>
      <w:r>
        <w:rPr>
          <w:rFonts w:hint="default"/>
          <w:color w:val="auto"/>
          <w:lang w:val="en-US" w:eastAsia="zh-CN"/>
        </w:rPr>
        <w:t>，地处南方山区，雨水充沛，加之目前极端恶劣天气频繁，在未实施闭库工程之前，</w:t>
      </w:r>
      <w:r>
        <w:rPr>
          <w:rFonts w:hint="eastAsia"/>
          <w:color w:val="auto"/>
          <w:lang w:val="en-US" w:eastAsia="zh-CN"/>
        </w:rPr>
        <w:t>岿美山尾矿库</w:t>
      </w:r>
      <w:r>
        <w:rPr>
          <w:rFonts w:hint="default"/>
          <w:color w:val="auto"/>
          <w:lang w:val="en-US" w:eastAsia="zh-CN"/>
        </w:rPr>
        <w:t>的防汛、度汛工作仍然不能掉以轻心、松懈麻痹。</w:t>
      </w:r>
    </w:p>
    <w:p w14:paraId="1DB31E49">
      <w:pPr>
        <w:rPr>
          <w:rFonts w:hint="default"/>
          <w:color w:val="auto"/>
          <w:lang w:val="en-US" w:eastAsia="zh-CN"/>
        </w:rPr>
      </w:pPr>
      <w:r>
        <w:rPr>
          <w:rFonts w:hint="default"/>
          <w:color w:val="auto"/>
          <w:lang w:val="en-US" w:eastAsia="zh-CN"/>
        </w:rPr>
        <w:t>（</w:t>
      </w:r>
      <w:r>
        <w:rPr>
          <w:rFonts w:hint="eastAsia"/>
          <w:color w:val="auto"/>
          <w:lang w:val="en-US" w:eastAsia="zh-CN"/>
        </w:rPr>
        <w:t>2</w:t>
      </w:r>
      <w:r>
        <w:rPr>
          <w:rFonts w:hint="default"/>
          <w:color w:val="auto"/>
          <w:lang w:val="en-US" w:eastAsia="zh-CN"/>
        </w:rPr>
        <w:t>）应从思想上高度重视尾矿库防汛、度汛工作，做到领导重视、机构不散、队伍不乱、物资不缺、任务不松，提前计划、及时部署、狠抓落实，真正把尾矿库汛期安全工作抓紧、抓实、抓好，确保尾矿库安全运行。</w:t>
      </w:r>
    </w:p>
    <w:p w14:paraId="208597D0">
      <w:pPr>
        <w:rPr>
          <w:rFonts w:hint="default"/>
          <w:color w:val="auto"/>
          <w:lang w:val="en-US" w:eastAsia="zh-CN"/>
        </w:rPr>
      </w:pPr>
      <w:r>
        <w:rPr>
          <w:rFonts w:hint="default"/>
          <w:color w:val="auto"/>
          <w:lang w:val="en-US" w:eastAsia="zh-CN"/>
        </w:rPr>
        <w:t>（</w:t>
      </w:r>
      <w:r>
        <w:rPr>
          <w:rFonts w:hint="eastAsia"/>
          <w:color w:val="auto"/>
          <w:lang w:val="en-US" w:eastAsia="zh-CN"/>
        </w:rPr>
        <w:t>3</w:t>
      </w:r>
      <w:r>
        <w:rPr>
          <w:rFonts w:hint="default"/>
          <w:color w:val="auto"/>
          <w:lang w:val="en-US" w:eastAsia="zh-CN"/>
        </w:rPr>
        <w:t>）应密切关注当地天气情况，加强与气象部门联系，及时了解和掌握汛期水情和气象预报情况，认真分析尾矿库汛期安全存在的薄弱环节，有针对性地做好各项防范应对工作。</w:t>
      </w:r>
    </w:p>
    <w:p w14:paraId="7B409ECD">
      <w:pPr>
        <w:rPr>
          <w:rFonts w:hint="default"/>
          <w:color w:val="auto"/>
          <w:lang w:val="en-US" w:eastAsia="zh-CN"/>
        </w:rPr>
      </w:pPr>
      <w:r>
        <w:rPr>
          <w:rFonts w:hint="default"/>
          <w:color w:val="auto"/>
          <w:lang w:val="en-US" w:eastAsia="zh-CN"/>
        </w:rPr>
        <w:t>（</w:t>
      </w:r>
      <w:r>
        <w:rPr>
          <w:rFonts w:hint="eastAsia"/>
          <w:color w:val="auto"/>
          <w:lang w:val="en-US" w:eastAsia="zh-CN"/>
        </w:rPr>
        <w:t>4</w:t>
      </w:r>
      <w:r>
        <w:rPr>
          <w:rFonts w:hint="default"/>
          <w:color w:val="auto"/>
          <w:lang w:val="en-US" w:eastAsia="zh-CN"/>
        </w:rPr>
        <w:t>）完善应急管理机制，</w:t>
      </w:r>
      <w:r>
        <w:rPr>
          <w:rFonts w:hint="eastAsia"/>
          <w:color w:val="auto"/>
          <w:lang w:val="en-US" w:eastAsia="zh-CN"/>
        </w:rPr>
        <w:t>制定闭库前后应急预案（包括施工期间的），</w:t>
      </w:r>
      <w:r>
        <w:rPr>
          <w:rFonts w:hint="default"/>
          <w:color w:val="auto"/>
          <w:lang w:val="en-US" w:eastAsia="zh-CN"/>
        </w:rPr>
        <w:t>建立尾矿库应急救援联防联动机制，推进尾矿库环境风险管理，保障应急救援物资和器材储备到位，有效防范汛期和极端气候引发的事故灾难。</w:t>
      </w:r>
    </w:p>
    <w:p w14:paraId="075ED6EA">
      <w:pPr>
        <w:rPr>
          <w:rFonts w:hint="default"/>
          <w:color w:val="auto"/>
          <w:lang w:val="en-US" w:eastAsia="zh-CN"/>
        </w:rPr>
      </w:pPr>
      <w:r>
        <w:rPr>
          <w:rFonts w:hint="default"/>
          <w:color w:val="auto"/>
          <w:lang w:val="en-US" w:eastAsia="zh-CN"/>
        </w:rPr>
        <w:t>（</w:t>
      </w:r>
      <w:r>
        <w:rPr>
          <w:rFonts w:hint="eastAsia"/>
          <w:color w:val="auto"/>
          <w:lang w:val="en-US" w:eastAsia="zh-CN"/>
        </w:rPr>
        <w:t>5</w:t>
      </w:r>
      <w:r>
        <w:rPr>
          <w:rFonts w:hint="default"/>
          <w:color w:val="auto"/>
          <w:lang w:val="en-US" w:eastAsia="zh-CN"/>
        </w:rPr>
        <w:t>）及时备足配全应急物资器材（如大功率水泵、挖掘机、工程车、砂石、土工布、彩纹布、编织袋、救生衣、应急灯等），确保质量可靠、数量满足、功效优良。</w:t>
      </w:r>
    </w:p>
    <w:p w14:paraId="04EF62D1">
      <w:pPr>
        <w:rPr>
          <w:rFonts w:hint="default"/>
          <w:color w:val="auto"/>
          <w:lang w:val="en-US" w:eastAsia="zh-CN"/>
        </w:rPr>
      </w:pPr>
      <w:r>
        <w:rPr>
          <w:rFonts w:hint="default"/>
          <w:color w:val="auto"/>
          <w:lang w:val="en-US" w:eastAsia="zh-CN"/>
        </w:rPr>
        <w:t>（</w:t>
      </w:r>
      <w:r>
        <w:rPr>
          <w:rFonts w:hint="eastAsia"/>
          <w:color w:val="auto"/>
          <w:lang w:val="en-US" w:eastAsia="zh-CN"/>
        </w:rPr>
        <w:t>6</w:t>
      </w:r>
      <w:r>
        <w:rPr>
          <w:rFonts w:hint="default"/>
          <w:color w:val="auto"/>
          <w:lang w:val="en-US" w:eastAsia="zh-CN"/>
        </w:rPr>
        <w:t>）加大汛前、汛中、汛后尾矿库安全设施（尾矿坝、溢流坝等主要构筑物）的安全巡查、维护力度。随时观测库内水位变化情况，及时清除溢洪道进水口周边的杂草、枯枝、乱石等杂物，发现较大的险情、安全隐患及时汇报。</w:t>
      </w:r>
    </w:p>
    <w:p w14:paraId="17ADD40C">
      <w:pPr>
        <w:pStyle w:val="3"/>
        <w:bidi w:val="0"/>
        <w:rPr>
          <w:rFonts w:hint="default"/>
          <w:color w:val="auto"/>
          <w:lang w:val="en-US" w:eastAsia="zh-CN"/>
        </w:rPr>
      </w:pPr>
      <w:bookmarkStart w:id="589" w:name="_Toc7418"/>
      <w:bookmarkStart w:id="590" w:name="_Toc10656"/>
      <w:bookmarkStart w:id="591" w:name="_Toc27082"/>
      <w:bookmarkStart w:id="592" w:name="_Toc25608"/>
      <w:r>
        <w:rPr>
          <w:rFonts w:hint="default"/>
          <w:color w:val="auto"/>
          <w:lang w:val="en-US" w:eastAsia="zh-CN"/>
        </w:rPr>
        <w:t>6.3</w:t>
      </w:r>
      <w:r>
        <w:rPr>
          <w:rFonts w:hint="eastAsia"/>
          <w:color w:val="auto"/>
          <w:lang w:val="en-US" w:eastAsia="zh-CN"/>
        </w:rPr>
        <w:t xml:space="preserve"> </w:t>
      </w:r>
      <w:bookmarkEnd w:id="589"/>
      <w:bookmarkEnd w:id="590"/>
      <w:bookmarkEnd w:id="591"/>
      <w:r>
        <w:rPr>
          <w:rFonts w:hint="default"/>
          <w:color w:val="auto"/>
          <w:lang w:val="en-US" w:eastAsia="zh-CN"/>
        </w:rPr>
        <w:t>尾矿库闭库整治设计</w:t>
      </w:r>
      <w:r>
        <w:rPr>
          <w:rFonts w:hint="eastAsia"/>
          <w:color w:val="auto"/>
          <w:lang w:val="en-US" w:eastAsia="zh-CN"/>
        </w:rPr>
        <w:t>安全对策措施</w:t>
      </w:r>
      <w:bookmarkEnd w:id="592"/>
    </w:p>
    <w:p w14:paraId="753A81BA">
      <w:pPr>
        <w:pStyle w:val="4"/>
        <w:bidi w:val="0"/>
        <w:rPr>
          <w:rFonts w:hint="default"/>
          <w:color w:val="auto"/>
          <w:lang w:val="en-US" w:eastAsia="zh-CN"/>
        </w:rPr>
      </w:pPr>
      <w:bookmarkStart w:id="593" w:name="_Toc29401"/>
      <w:bookmarkStart w:id="594" w:name="_Toc14397"/>
      <w:bookmarkStart w:id="595" w:name="_Toc4980"/>
      <w:bookmarkStart w:id="596" w:name="_Toc14961"/>
      <w:r>
        <w:rPr>
          <w:rFonts w:hint="default"/>
          <w:color w:val="auto"/>
          <w:lang w:val="en-US" w:eastAsia="zh-CN"/>
        </w:rPr>
        <w:t>6.3.1</w:t>
      </w:r>
      <w:r>
        <w:rPr>
          <w:rFonts w:hint="eastAsia"/>
          <w:color w:val="auto"/>
          <w:lang w:val="en-US" w:eastAsia="zh-CN"/>
        </w:rPr>
        <w:t xml:space="preserve"> </w:t>
      </w:r>
      <w:bookmarkEnd w:id="593"/>
      <w:bookmarkEnd w:id="594"/>
      <w:bookmarkEnd w:id="595"/>
      <w:r>
        <w:rPr>
          <w:rFonts w:hint="default"/>
          <w:color w:val="auto"/>
          <w:lang w:val="en-US" w:eastAsia="zh-CN"/>
        </w:rPr>
        <w:t>滩面整治</w:t>
      </w:r>
      <w:bookmarkEnd w:id="596"/>
    </w:p>
    <w:p w14:paraId="53FB3102">
      <w:pPr>
        <w:rPr>
          <w:rFonts w:hint="default"/>
          <w:color w:val="auto"/>
          <w:lang w:val="en-US" w:eastAsia="zh-CN"/>
        </w:rPr>
      </w:pPr>
      <w:r>
        <w:rPr>
          <w:rFonts w:hint="eastAsia"/>
          <w:color w:val="auto"/>
          <w:lang w:val="en-US" w:eastAsia="zh-CN"/>
        </w:rPr>
        <w:t>1. 尾矿库</w:t>
      </w:r>
      <w:r>
        <w:rPr>
          <w:rFonts w:hint="eastAsia" w:ascii="Times New Roman" w:eastAsia="宋体"/>
          <w:color w:val="auto"/>
          <w:lang w:val="en-US" w:eastAsia="zh-CN"/>
        </w:rPr>
        <w:t>拦渣坝</w:t>
      </w:r>
      <w:r>
        <w:rPr>
          <w:rFonts w:hint="eastAsia"/>
          <w:color w:val="auto"/>
          <w:lang w:val="en-US" w:eastAsia="zh-CN"/>
        </w:rPr>
        <w:t>上游正在进行生态修复施工，但仍然可能存在山体滑坡、泥石流等危害，后续设计应考虑其对尾矿库构筑物安全影响的防治措施。</w:t>
      </w:r>
    </w:p>
    <w:p w14:paraId="570B963D">
      <w:pPr>
        <w:rPr>
          <w:rFonts w:hint="default"/>
          <w:color w:val="auto"/>
          <w:lang w:val="en-US" w:eastAsia="zh-CN"/>
        </w:rPr>
      </w:pPr>
      <w:r>
        <w:rPr>
          <w:rFonts w:hint="eastAsia"/>
          <w:color w:val="auto"/>
          <w:lang w:val="en-US" w:eastAsia="zh-CN"/>
        </w:rPr>
        <w:t>2. 为保证尾矿库排洪安全，可研提出了</w:t>
      </w:r>
      <w:r>
        <w:rPr>
          <w:rFonts w:hint="default"/>
          <w:color w:val="auto"/>
          <w:lang w:val="en-US" w:eastAsia="zh-CN"/>
        </w:rPr>
        <w:t>滩面整治</w:t>
      </w:r>
      <w:r>
        <w:rPr>
          <w:rFonts w:hint="eastAsia"/>
          <w:color w:val="auto"/>
          <w:lang w:val="en-US" w:eastAsia="zh-CN"/>
        </w:rPr>
        <w:t>措施，但具体</w:t>
      </w:r>
      <w:r>
        <w:rPr>
          <w:rFonts w:hint="default"/>
          <w:color w:val="auto"/>
          <w:lang w:val="en-US" w:eastAsia="zh-CN"/>
        </w:rPr>
        <w:t>整治</w:t>
      </w:r>
      <w:r>
        <w:rPr>
          <w:rFonts w:hint="eastAsia"/>
          <w:color w:val="auto"/>
          <w:lang w:val="en-US" w:eastAsia="zh-CN"/>
        </w:rPr>
        <w:t>工程参数（如滩面覆土厚度、坡度等）由设计单位确定。</w:t>
      </w:r>
    </w:p>
    <w:p w14:paraId="6C3428D1">
      <w:pPr>
        <w:rPr>
          <w:rFonts w:hint="default"/>
          <w:color w:val="auto"/>
          <w:lang w:val="en-US" w:eastAsia="zh-CN"/>
        </w:rPr>
      </w:pPr>
      <w:r>
        <w:rPr>
          <w:rFonts w:hint="eastAsia"/>
          <w:color w:val="auto"/>
          <w:lang w:val="en-US" w:eastAsia="zh-CN"/>
        </w:rPr>
        <w:t>3. 针对可研提出的</w:t>
      </w:r>
      <w:r>
        <w:rPr>
          <w:rFonts w:hint="default"/>
          <w:color w:val="auto"/>
          <w:lang w:val="en-US" w:eastAsia="zh-CN"/>
        </w:rPr>
        <w:t>滩面整治</w:t>
      </w:r>
      <w:r>
        <w:rPr>
          <w:rFonts w:hint="eastAsia"/>
          <w:color w:val="auto"/>
          <w:lang w:val="en-US" w:eastAsia="zh-CN"/>
        </w:rPr>
        <w:t>措施，在施工期间，需考虑以下危害因素和防治措施：</w:t>
      </w:r>
    </w:p>
    <w:p w14:paraId="1C5145A4">
      <w:pPr>
        <w:rPr>
          <w:rFonts w:hint="default"/>
          <w:color w:val="auto"/>
          <w:lang w:val="en-US" w:eastAsia="zh-CN"/>
        </w:rPr>
      </w:pPr>
      <w:r>
        <w:rPr>
          <w:rFonts w:hint="eastAsia"/>
          <w:color w:val="auto"/>
          <w:lang w:val="en-US" w:eastAsia="zh-CN"/>
        </w:rPr>
        <w:t>（1）</w:t>
      </w:r>
      <w:r>
        <w:rPr>
          <w:rFonts w:hint="default"/>
          <w:color w:val="auto"/>
          <w:lang w:val="en-US" w:eastAsia="zh-CN"/>
        </w:rPr>
        <w:t>尾矿库尾部长期积水，下部尾砂呈饱和、流塑状态。降低溢流坝进水口并抽排积水后，原先被水覆盖的区域失去浮力平衡，极易发生大面积沉降或局部塌陷。如果未进行充分固结判断，直接让人员或重型机械进入，可能瞬间陷落，造成机械倾覆和人员伤</w:t>
      </w:r>
      <w:r>
        <w:rPr>
          <w:rFonts w:hint="default" w:ascii="Times New Roman" w:hAnsi="Times New Roman" w:cs="Times New Roman"/>
          <w:color w:val="auto"/>
          <w:lang w:val="en-US" w:eastAsia="zh-CN"/>
        </w:rPr>
        <w:t>亡。①积水排出后，必须设置静置观察期，安排经验丰富的技术人员穿戴救生衣、系安全绳，在库岸安全距离外目测巡查，或用长竹竿探摸，标记出明显沉降或塌陷区。②对于机械必须经过但承载力不足的区域，必须铺设钢板，分散荷载，严禁机械设备在无钢板保护的情况下直接驶入库内淤泥区。③抛石挤淤</w:t>
      </w:r>
      <w:r>
        <w:rPr>
          <w:rFonts w:hint="default"/>
          <w:color w:val="auto"/>
          <w:lang w:val="en-US" w:eastAsia="zh-CN"/>
        </w:rPr>
        <w:t>仅针对局部严重软弱区，严禁大范围超量抛填，以免扰动周边已固结尾砂，破坏其原有密实结构。</w:t>
      </w:r>
    </w:p>
    <w:p w14:paraId="2788E6E7">
      <w:pPr>
        <w:rPr>
          <w:rFonts w:hint="eastAsia"/>
          <w:color w:val="auto"/>
          <w:lang w:val="en-US" w:eastAsia="zh-CN"/>
        </w:rPr>
      </w:pPr>
      <w:r>
        <w:rPr>
          <w:rFonts w:hint="eastAsia"/>
          <w:color w:val="auto"/>
          <w:lang w:val="en-US" w:eastAsia="zh-CN"/>
        </w:rPr>
        <w:t>（2）抛石挤淤时，巨大的石料冲击和侧向挤压，可能对紧邻的主坝堆积坝或溢流坝基础产生侧向推力，导致坝体位移、裂缝或渗漏加剧。</w:t>
      </w:r>
      <w:r>
        <w:rPr>
          <w:rFonts w:hint="default" w:ascii="Times New Roman" w:hAnsi="Times New Roman" w:cs="Times New Roman"/>
          <w:color w:val="auto"/>
          <w:lang w:val="en-US" w:eastAsia="zh-CN"/>
        </w:rPr>
        <w:t>①</w:t>
      </w:r>
      <w:r>
        <w:rPr>
          <w:rFonts w:hint="eastAsia"/>
          <w:color w:val="auto"/>
          <w:lang w:val="en-US" w:eastAsia="zh-CN"/>
        </w:rPr>
        <w:t>在抛石作业区域距主坝堆积坝坡脚和溢流坝墩墙范围内，禁止直接抛填大块石，应采用小型碎石或砂袋进行人工堆填，作为缓冲层。</w:t>
      </w:r>
      <w:r>
        <w:rPr>
          <w:rFonts w:hint="default" w:ascii="Times New Roman" w:hAnsi="Times New Roman" w:cs="Times New Roman"/>
          <w:color w:val="auto"/>
          <w:lang w:val="en-US" w:eastAsia="zh-CN"/>
        </w:rPr>
        <w:t>②</w:t>
      </w:r>
      <w:r>
        <w:rPr>
          <w:rFonts w:hint="eastAsia"/>
          <w:color w:val="auto"/>
          <w:lang w:val="en-US" w:eastAsia="zh-CN"/>
        </w:rPr>
        <w:t>在抛石挤淤期间，加密对主坝和溢流坝的水平位移和垂直沉降观测，一旦发现位移速率异常，立即停止作业。</w:t>
      </w:r>
    </w:p>
    <w:p w14:paraId="4F674522">
      <w:pPr>
        <w:rPr>
          <w:rFonts w:hint="eastAsia"/>
          <w:color w:val="auto"/>
          <w:lang w:val="en-US" w:eastAsia="zh-CN"/>
        </w:rPr>
      </w:pPr>
      <w:r>
        <w:rPr>
          <w:rFonts w:hint="eastAsia"/>
          <w:color w:val="auto"/>
          <w:lang w:val="en-US" w:eastAsia="zh-CN"/>
        </w:rPr>
        <w:t>（3）如果施工中放坡不精确，形成反坡或局部凹坑，将导致雨水无法顺畅汇入排洪明渠，反而积水下渗，加剧尾砂湿软，甚至形成新的沼泽化区域。</w:t>
      </w:r>
      <w:r>
        <w:rPr>
          <w:rFonts w:hint="default" w:ascii="Times New Roman" w:hAnsi="Times New Roman" w:cs="Times New Roman"/>
          <w:color w:val="auto"/>
          <w:lang w:val="en-US" w:eastAsia="zh-CN"/>
        </w:rPr>
        <w:t>①</w:t>
      </w:r>
      <w:r>
        <w:rPr>
          <w:rFonts w:hint="eastAsia"/>
          <w:color w:val="auto"/>
          <w:lang w:val="en-US" w:eastAsia="zh-CN"/>
        </w:rPr>
        <w:t>整平作业前，根据设计高程在库区布设方格网控制桩。使用激光平地机或挖掘机配合人工精平，严格按设计坡向施工。</w:t>
      </w:r>
      <w:r>
        <w:rPr>
          <w:rFonts w:hint="default" w:ascii="Times New Roman" w:hAnsi="Times New Roman" w:cs="Times New Roman"/>
          <w:color w:val="auto"/>
          <w:lang w:val="en-US" w:eastAsia="zh-CN"/>
        </w:rPr>
        <w:t>②</w:t>
      </w:r>
      <w:r>
        <w:rPr>
          <w:rFonts w:hint="eastAsia"/>
          <w:color w:val="auto"/>
          <w:lang w:val="en-US" w:eastAsia="zh-CN"/>
        </w:rPr>
        <w:t>覆土后，必须再次进行坡向复测，确保覆土未改变设计坡度，覆土应采用粘性土，避免使用砂性土。</w:t>
      </w:r>
    </w:p>
    <w:p w14:paraId="72E9F36B">
      <w:pPr>
        <w:rPr>
          <w:rFonts w:hint="default"/>
          <w:color w:val="auto"/>
          <w:lang w:val="en-US" w:eastAsia="zh-CN"/>
        </w:rPr>
      </w:pPr>
      <w:r>
        <w:rPr>
          <w:rFonts w:hint="eastAsia"/>
          <w:color w:val="auto"/>
          <w:lang w:val="en-US" w:eastAsia="zh-CN"/>
        </w:rPr>
        <w:t>4. 闭库时需对库面进行平整压实后覆土撒草籽绿化；在尾矿坝坡面上设置草皮护坡，减小水土流失，具体要求按后续设计进行设置。</w:t>
      </w:r>
    </w:p>
    <w:p w14:paraId="571668C9">
      <w:pPr>
        <w:pStyle w:val="4"/>
        <w:bidi w:val="0"/>
        <w:rPr>
          <w:rFonts w:hint="default"/>
          <w:color w:val="auto"/>
          <w:lang w:val="en-US" w:eastAsia="zh-CN"/>
        </w:rPr>
      </w:pPr>
      <w:bookmarkStart w:id="597" w:name="_Toc18963"/>
      <w:bookmarkStart w:id="598" w:name="_Toc10732"/>
      <w:bookmarkStart w:id="599" w:name="_Toc14792"/>
      <w:bookmarkStart w:id="600" w:name="_Toc103"/>
      <w:r>
        <w:rPr>
          <w:rFonts w:hint="default"/>
          <w:color w:val="auto"/>
          <w:lang w:val="en-US" w:eastAsia="zh-CN"/>
        </w:rPr>
        <w:t>6.3.2</w:t>
      </w:r>
      <w:r>
        <w:rPr>
          <w:rFonts w:hint="eastAsia"/>
          <w:color w:val="auto"/>
          <w:lang w:val="en-US" w:eastAsia="zh-CN"/>
        </w:rPr>
        <w:t xml:space="preserve"> </w:t>
      </w:r>
      <w:bookmarkEnd w:id="597"/>
      <w:bookmarkEnd w:id="598"/>
      <w:bookmarkEnd w:id="599"/>
      <w:r>
        <w:rPr>
          <w:rFonts w:hint="eastAsia"/>
          <w:color w:val="auto"/>
          <w:lang w:val="en-US" w:eastAsia="zh-CN"/>
        </w:rPr>
        <w:t>滩面排水设施</w:t>
      </w:r>
      <w:bookmarkEnd w:id="600"/>
    </w:p>
    <w:p w14:paraId="6558608B">
      <w:pPr>
        <w:rPr>
          <w:rFonts w:hint="eastAsia"/>
          <w:color w:val="auto"/>
          <w:lang w:val="en-US" w:eastAsia="zh-CN"/>
        </w:rPr>
      </w:pPr>
      <w:r>
        <w:rPr>
          <w:rFonts w:hint="eastAsia"/>
          <w:color w:val="auto"/>
          <w:lang w:val="en-US" w:eastAsia="zh-CN"/>
        </w:rPr>
        <w:t>1. 可研考虑在库内设置排水系统，将入库山洪水排出库外，保证闭库的尾矿库不能蓄水；在尾矿库周边设置相应的截洪设施，用于减少外部雨水进入库内。具体要求如截、排水沟的材质、断面尺寸、坡度等由设计单位确定。</w:t>
      </w:r>
    </w:p>
    <w:p w14:paraId="271B58A0">
      <w:pPr>
        <w:rPr>
          <w:rFonts w:hint="default"/>
          <w:color w:val="auto"/>
          <w:lang w:val="en-US" w:eastAsia="zh-CN"/>
        </w:rPr>
      </w:pPr>
      <w:r>
        <w:rPr>
          <w:rFonts w:hint="eastAsia"/>
          <w:color w:val="auto"/>
          <w:lang w:val="en-US" w:eastAsia="zh-CN"/>
        </w:rPr>
        <w:t>2. 针对可研提出的</w:t>
      </w:r>
      <w:r>
        <w:rPr>
          <w:rFonts w:hint="default"/>
          <w:color w:val="auto"/>
          <w:lang w:val="en-US" w:eastAsia="zh-CN"/>
        </w:rPr>
        <w:t>滩面排水设施</w:t>
      </w:r>
      <w:r>
        <w:rPr>
          <w:rFonts w:hint="eastAsia"/>
          <w:color w:val="auto"/>
          <w:lang w:val="en-US" w:eastAsia="zh-CN"/>
        </w:rPr>
        <w:t>，在施工期间，需考虑以下危害因素和防治措施：</w:t>
      </w:r>
    </w:p>
    <w:p w14:paraId="039AA32A">
      <w:pPr>
        <w:bidi w:val="0"/>
        <w:rPr>
          <w:rFonts w:hint="default"/>
          <w:color w:val="auto"/>
          <w:lang w:val="en-US" w:eastAsia="zh-CN"/>
        </w:rPr>
      </w:pPr>
      <w:r>
        <w:rPr>
          <w:rFonts w:hint="eastAsia"/>
          <w:color w:val="auto"/>
          <w:lang w:val="en-US" w:eastAsia="zh-CN"/>
        </w:rPr>
        <w:t>（1）可研截水沟位于库周，地基可能为回填土或软弱土层。对承载力有要求，若不满足需用大块石回填加固。若加固不彻底或未做换填，混凝土结构在自重和土压力下发生不均匀沉降，导致侧壁与底板断裂、接缝张开，丧失截水功能，外部雨水渗入库内。</w:t>
      </w:r>
      <w:r>
        <w:rPr>
          <w:rFonts w:hint="default" w:ascii="Times New Roman" w:hAnsi="Times New Roman" w:cs="Times New Roman"/>
          <w:color w:val="auto"/>
          <w:lang w:val="en-US" w:eastAsia="zh-CN"/>
        </w:rPr>
        <w:t>①</w:t>
      </w:r>
      <w:r>
        <w:rPr>
          <w:rFonts w:hint="eastAsia"/>
          <w:color w:val="auto"/>
          <w:lang w:val="en-US" w:eastAsia="zh-CN"/>
        </w:rPr>
        <w:t>截水沟沟槽开挖后，需采用轻型动力触</w:t>
      </w:r>
      <w:r>
        <w:rPr>
          <w:rFonts w:hint="eastAsia" w:ascii="Times New Roman" w:hAnsi="Times New Roman" w:eastAsia="宋体" w:cs="Times New Roman"/>
          <w:color w:val="auto"/>
          <w:lang w:val="en-US" w:eastAsia="zh-CN"/>
        </w:rPr>
        <w:t>探检测地基承载力，不满足的区段必须标记并扩大换填范围。</w:t>
      </w:r>
      <w:r>
        <w:rPr>
          <w:rFonts w:hint="default" w:ascii="Times New Roman" w:hAnsi="Times New Roman" w:cs="Times New Roman"/>
          <w:color w:val="auto"/>
          <w:lang w:val="en-US" w:eastAsia="zh-CN"/>
        </w:rPr>
        <w:t>②</w:t>
      </w:r>
      <w:r>
        <w:rPr>
          <w:rFonts w:hint="eastAsia" w:ascii="Times New Roman" w:hAnsi="Times New Roman" w:eastAsia="宋体" w:cs="Times New Roman"/>
          <w:color w:val="auto"/>
          <w:lang w:val="en-US" w:eastAsia="zh-CN"/>
        </w:rPr>
        <w:t>大块石回填应分层碾压密实，并用级配碎石找平，确保换填后的地基承载力满足设计要求。</w:t>
      </w:r>
    </w:p>
    <w:p w14:paraId="614C88F1">
      <w:pPr>
        <w:bidi w:val="0"/>
        <w:rPr>
          <w:rFonts w:hint="eastAsia" w:ascii="Times New Roman" w:hAnsi="Times New Roman" w:eastAsia="宋体" w:cs="Times New Roman"/>
          <w:color w:val="auto"/>
          <w:lang w:val="en-US" w:eastAsia="zh-CN"/>
        </w:rPr>
      </w:pPr>
      <w:r>
        <w:rPr>
          <w:rFonts w:hint="eastAsia"/>
          <w:color w:val="auto"/>
          <w:lang w:val="en-US" w:eastAsia="zh-CN"/>
        </w:rPr>
        <w:t>（2）可研</w:t>
      </w:r>
      <w:r>
        <w:rPr>
          <w:rFonts w:hint="eastAsia" w:ascii="Times New Roman" w:hAnsi="Times New Roman" w:eastAsia="宋体" w:cs="Times New Roman"/>
          <w:color w:val="auto"/>
          <w:lang w:val="en-US" w:eastAsia="zh-CN"/>
        </w:rPr>
        <w:t>截水沟需接入主排洪明渠。若接口处未做特殊止水处理，暴雨时水流可能从接缝处渗入地下，掏空渠底基础。</w:t>
      </w:r>
      <w:r>
        <w:rPr>
          <w:rFonts w:hint="default" w:ascii="Times New Roman" w:hAnsi="Times New Roman" w:cs="Times New Roman"/>
          <w:color w:val="auto"/>
          <w:lang w:val="en-US" w:eastAsia="zh-CN"/>
        </w:rPr>
        <w:t>①</w:t>
      </w:r>
      <w:r>
        <w:rPr>
          <w:rFonts w:hint="eastAsia" w:ascii="Times New Roman" w:hAnsi="Times New Roman" w:eastAsia="宋体" w:cs="Times New Roman"/>
          <w:color w:val="auto"/>
          <w:lang w:val="en-US" w:eastAsia="zh-CN"/>
        </w:rPr>
        <w:t>截水沟末端与主排洪明渠衔接段应同时浇筑，不留施工缝。</w:t>
      </w:r>
      <w:r>
        <w:rPr>
          <w:rFonts w:hint="default" w:ascii="Times New Roman" w:hAnsi="Times New Roman" w:cs="Times New Roman"/>
          <w:color w:val="auto"/>
          <w:lang w:val="en-US" w:eastAsia="zh-CN"/>
        </w:rPr>
        <w:t>②</w:t>
      </w:r>
      <w:r>
        <w:rPr>
          <w:rFonts w:hint="eastAsia" w:ascii="Times New Roman" w:hAnsi="Times New Roman" w:eastAsia="宋体" w:cs="Times New Roman"/>
          <w:color w:val="auto"/>
          <w:lang w:val="en-US" w:eastAsia="zh-CN"/>
        </w:rPr>
        <w:t>若无法同时浇筑，则须设置橡胶止水带并浇筑膨胀混凝土。</w:t>
      </w:r>
    </w:p>
    <w:p w14:paraId="22CF1DD6">
      <w:pPr>
        <w:bidi w:val="0"/>
        <w:rPr>
          <w:rFonts w:hint="eastAsia" w:ascii="Times New Roman" w:hAnsi="Times New Roman" w:eastAsia="宋体" w:cs="Times New Roman"/>
          <w:color w:val="auto"/>
          <w:lang w:val="en-US" w:eastAsia="zh-CN"/>
        </w:rPr>
      </w:pPr>
      <w:r>
        <w:rPr>
          <w:rFonts w:hint="eastAsia"/>
          <w:color w:val="auto"/>
          <w:lang w:val="en-US" w:eastAsia="zh-CN"/>
        </w:rPr>
        <w:t>（3）可研</w:t>
      </w:r>
      <w:r>
        <w:rPr>
          <w:rFonts w:hint="eastAsia" w:ascii="Times New Roman" w:hAnsi="Times New Roman" w:eastAsia="宋体" w:cs="Times New Roman"/>
          <w:color w:val="auto"/>
          <w:lang w:val="en-US" w:eastAsia="zh-CN"/>
        </w:rPr>
        <w:t>排水明渠位于主坝前70m处，平行于坝轴。若明渠发生渗漏，下渗水流可能浸润主坝下游坝脚，抬高坝体浸润线，增加坝体渗透压力，甚至引发管涌。</w:t>
      </w:r>
      <w:r>
        <w:rPr>
          <w:rFonts w:hint="default" w:ascii="Times New Roman" w:hAnsi="Times New Roman" w:cs="Times New Roman"/>
          <w:color w:val="auto"/>
          <w:lang w:val="en-US" w:eastAsia="zh-CN"/>
        </w:rPr>
        <w:t>①</w:t>
      </w:r>
      <w:r>
        <w:rPr>
          <w:rFonts w:hint="eastAsia" w:ascii="Times New Roman" w:hAnsi="Times New Roman" w:eastAsia="宋体" w:cs="Times New Roman"/>
          <w:color w:val="auto"/>
          <w:lang w:val="en-US" w:eastAsia="zh-CN"/>
        </w:rPr>
        <w:t>排水明渠为C30钢筋混凝土结构，虽具备一定防渗性，但建议在垫层下增设复合土工膜作为辅助防渗层，截断下渗通道。</w:t>
      </w:r>
      <w:r>
        <w:rPr>
          <w:rFonts w:hint="default" w:ascii="Times New Roman" w:hAnsi="Times New Roman" w:cs="Times New Roman"/>
          <w:color w:val="auto"/>
          <w:lang w:val="en-US" w:eastAsia="zh-CN"/>
        </w:rPr>
        <w:t>②</w:t>
      </w:r>
      <w:r>
        <w:rPr>
          <w:rFonts w:hint="eastAsia" w:ascii="Times New Roman" w:hAnsi="Times New Roman" w:eastAsia="宋体" w:cs="Times New Roman"/>
          <w:color w:val="auto"/>
          <w:lang w:val="en-US" w:eastAsia="zh-CN"/>
        </w:rPr>
        <w:t>排水明渠施工时，大型机械在坝前70m范围内作业时，应控制震动频率，避免对主坝坝体产生附加动力荷载。禁止在紧邻坝脚处进行强夯或重锤作业。</w:t>
      </w:r>
    </w:p>
    <w:p w14:paraId="3B53CBA4">
      <w:pPr>
        <w:bidi w:val="0"/>
        <w:rPr>
          <w:rFonts w:hint="default" w:ascii="Times New Roman" w:hAnsi="Times New Roman" w:eastAsia="宋体" w:cs="Times New Roman"/>
          <w:color w:val="auto"/>
          <w:lang w:val="en-US" w:eastAsia="zh-CN"/>
        </w:rPr>
      </w:pPr>
      <w:r>
        <w:rPr>
          <w:rFonts w:hint="eastAsia"/>
          <w:color w:val="auto"/>
          <w:lang w:val="en-US" w:eastAsia="zh-CN"/>
        </w:rPr>
        <w:t>（4）</w:t>
      </w:r>
      <w:r>
        <w:rPr>
          <w:rFonts w:hint="eastAsia" w:cs="Times New Roman"/>
          <w:color w:val="auto"/>
          <w:lang w:val="en-US" w:eastAsia="zh-CN"/>
        </w:rPr>
        <w:t>可研</w:t>
      </w:r>
      <w:r>
        <w:rPr>
          <w:rFonts w:hint="eastAsia" w:ascii="Times New Roman" w:hAnsi="Times New Roman" w:eastAsia="宋体" w:cs="Times New Roman"/>
          <w:color w:val="auto"/>
          <w:lang w:val="en-US" w:eastAsia="zh-CN"/>
        </w:rPr>
        <w:t>截水沟、库面排水沟、排水明渠、排洪明渠需形成网络。若施工顺序错误，可能导致接口无法对接或标高不匹配。</w:t>
      </w:r>
      <w:r>
        <w:rPr>
          <w:rFonts w:hint="default" w:ascii="Times New Roman" w:hAnsi="Times New Roman" w:cs="Times New Roman"/>
          <w:color w:val="auto"/>
          <w:lang w:val="en-US" w:eastAsia="zh-CN"/>
        </w:rPr>
        <w:t>①</w:t>
      </w:r>
      <w:r>
        <w:rPr>
          <w:rFonts w:hint="eastAsia" w:ascii="Times New Roman" w:hAnsi="Times New Roman" w:eastAsia="宋体" w:cs="Times New Roman"/>
          <w:color w:val="auto"/>
          <w:lang w:val="en-US" w:eastAsia="zh-CN"/>
        </w:rPr>
        <w:t>以溢流坝进水口为基准点，建立全场统一的高程控制网，所有水沟、明渠的起点和终点高程均从该控制网引出。</w:t>
      </w:r>
      <w:r>
        <w:rPr>
          <w:rFonts w:hint="default" w:ascii="Times New Roman" w:hAnsi="Times New Roman" w:cs="Times New Roman"/>
          <w:color w:val="auto"/>
          <w:lang w:val="en-US" w:eastAsia="zh-CN"/>
        </w:rPr>
        <w:t>②</w:t>
      </w:r>
      <w:r>
        <w:rPr>
          <w:rFonts w:hint="eastAsia" w:ascii="Times New Roman" w:hAnsi="Times New Roman" w:eastAsia="宋体" w:cs="Times New Roman"/>
          <w:color w:val="auto"/>
          <w:lang w:val="en-US" w:eastAsia="zh-CN"/>
        </w:rPr>
        <w:t>建议按“先排洪明渠，后排水沟、截水沟”的顺序施工，先确定主排洪线路的实际位置和标高，再修建连接支线，确保衔接无误。</w:t>
      </w:r>
    </w:p>
    <w:p w14:paraId="13265C2E">
      <w:pPr>
        <w:pStyle w:val="4"/>
        <w:bidi w:val="0"/>
        <w:rPr>
          <w:rFonts w:hint="default"/>
          <w:color w:val="auto"/>
          <w:lang w:val="en-US" w:eastAsia="zh-CN"/>
        </w:rPr>
      </w:pPr>
      <w:bookmarkStart w:id="601" w:name="_Toc24658"/>
      <w:bookmarkStart w:id="602" w:name="_Toc26820"/>
      <w:bookmarkStart w:id="603" w:name="_Toc23231"/>
      <w:bookmarkStart w:id="604" w:name="_Toc27618"/>
      <w:r>
        <w:rPr>
          <w:rFonts w:hint="default"/>
          <w:color w:val="auto"/>
          <w:lang w:val="en-US" w:eastAsia="zh-CN"/>
        </w:rPr>
        <w:t>6.3.3</w:t>
      </w:r>
      <w:r>
        <w:rPr>
          <w:rFonts w:hint="eastAsia"/>
          <w:color w:val="auto"/>
          <w:lang w:val="en-US" w:eastAsia="zh-CN"/>
        </w:rPr>
        <w:t xml:space="preserve"> </w:t>
      </w:r>
      <w:bookmarkEnd w:id="601"/>
      <w:bookmarkEnd w:id="602"/>
      <w:bookmarkEnd w:id="603"/>
      <w:r>
        <w:rPr>
          <w:rFonts w:hint="default"/>
          <w:color w:val="auto"/>
          <w:lang w:val="en-US" w:eastAsia="zh-CN"/>
        </w:rPr>
        <w:t>尾矿坝闭库工程措施</w:t>
      </w:r>
      <w:bookmarkEnd w:id="604"/>
    </w:p>
    <w:p w14:paraId="78AE443A">
      <w:pPr>
        <w:bidi w:val="0"/>
        <w:rPr>
          <w:rFonts w:hint="eastAsia"/>
          <w:color w:val="auto"/>
          <w:lang w:val="en-US" w:eastAsia="zh-CN"/>
        </w:rPr>
      </w:pPr>
      <w:r>
        <w:rPr>
          <w:rFonts w:hint="eastAsia"/>
          <w:color w:val="auto"/>
          <w:lang w:val="en-US" w:eastAsia="zh-CN"/>
        </w:rPr>
        <w:t>1. 根据工勘报告得到岩土物理力学指标，可研报告对主坝、副坝、溢流坝坝体稳定进行了计算，现状主坝、副坝、溢流坝抗滑稳定安全系数在不同运行条件下均满足规范要求。</w:t>
      </w:r>
    </w:p>
    <w:p w14:paraId="76626253">
      <w:pPr>
        <w:bidi w:val="0"/>
        <w:rPr>
          <w:rFonts w:hint="eastAsia"/>
          <w:color w:val="auto"/>
          <w:lang w:val="en-US" w:eastAsia="zh-CN"/>
        </w:rPr>
      </w:pPr>
      <w:r>
        <w:rPr>
          <w:rFonts w:hint="eastAsia"/>
          <w:color w:val="auto"/>
          <w:lang w:val="en-US" w:eastAsia="zh-CN"/>
        </w:rPr>
        <w:t>2. 目前副坝标高和高度与隐患治理设计要求高度不一致，后续副坝是否需要调整由江西岿美山钨业有限公司和安全设施设计单位</w:t>
      </w:r>
      <w:r>
        <w:rPr>
          <w:rFonts w:hint="eastAsia" w:cs="Times New Roman"/>
          <w:color w:val="auto"/>
          <w:lang w:val="en-US" w:eastAsia="zh-CN"/>
        </w:rPr>
        <w:t>共同</w:t>
      </w:r>
      <w:r>
        <w:rPr>
          <w:rFonts w:hint="eastAsia"/>
          <w:color w:val="auto"/>
          <w:lang w:val="en-US" w:eastAsia="zh-CN"/>
        </w:rPr>
        <w:t>确定。</w:t>
      </w:r>
    </w:p>
    <w:p w14:paraId="73D68F51">
      <w:pPr>
        <w:rPr>
          <w:rFonts w:hint="default"/>
          <w:color w:val="auto"/>
          <w:lang w:val="en-US" w:eastAsia="zh-CN"/>
        </w:rPr>
      </w:pPr>
      <w:r>
        <w:rPr>
          <w:rFonts w:hint="eastAsia"/>
          <w:color w:val="auto"/>
          <w:lang w:val="en-US" w:eastAsia="zh-CN"/>
        </w:rPr>
        <w:t>3. 针对可研提出的尾矿坝闭库工程措施在施工期间，需考虑以下危害因素和防治措施：</w:t>
      </w:r>
    </w:p>
    <w:p w14:paraId="6A8E2366">
      <w:pPr>
        <w:bidi w:val="0"/>
        <w:rPr>
          <w:rFonts w:hint="eastAsia"/>
          <w:color w:val="auto"/>
          <w:lang w:val="en-US" w:eastAsia="zh-CN"/>
        </w:rPr>
      </w:pPr>
      <w:r>
        <w:rPr>
          <w:rFonts w:hint="eastAsia"/>
          <w:color w:val="auto"/>
          <w:lang w:val="en-US" w:eastAsia="zh-CN"/>
        </w:rPr>
        <w:t>（1）</w:t>
      </w:r>
      <w:r>
        <w:rPr>
          <w:rFonts w:hint="default"/>
          <w:color w:val="auto"/>
          <w:lang w:val="en-US" w:eastAsia="zh-CN"/>
        </w:rPr>
        <w:t>在溢流坝前采用渣浆泵或潜水挖掘机开挖尾砂时，若一次挖深过大或坡比过陡，可能导致库内尾砂堆大面积坍滑，破坏现有排洪系统。</w:t>
      </w:r>
      <w:r>
        <w:rPr>
          <w:rFonts w:hint="default" w:ascii="Times New Roman" w:hAnsi="Times New Roman" w:cs="Times New Roman"/>
          <w:color w:val="auto"/>
          <w:lang w:val="en-US" w:eastAsia="zh-CN"/>
        </w:rPr>
        <w:t>①</w:t>
      </w:r>
      <w:r>
        <w:rPr>
          <w:rFonts w:hint="eastAsia"/>
          <w:color w:val="auto"/>
          <w:lang w:val="en-US" w:eastAsia="zh-CN"/>
        </w:rPr>
        <w:t>应严格按设计坡比分级放坡，严禁在坝前形成垂直临空面。</w:t>
      </w:r>
      <w:r>
        <w:rPr>
          <w:rFonts w:hint="default" w:ascii="Times New Roman" w:hAnsi="Times New Roman" w:cs="Times New Roman"/>
          <w:color w:val="auto"/>
          <w:lang w:val="en-US" w:eastAsia="zh-CN"/>
        </w:rPr>
        <w:t>②</w:t>
      </w:r>
      <w:r>
        <w:rPr>
          <w:rFonts w:hint="eastAsia"/>
          <w:color w:val="auto"/>
          <w:lang w:val="en-US" w:eastAsia="zh-CN"/>
        </w:rPr>
        <w:t>每日开挖量控制在合理范围内，避免超挖。</w:t>
      </w:r>
    </w:p>
    <w:p w14:paraId="0AE76D59">
      <w:pPr>
        <w:bidi w:val="0"/>
        <w:rPr>
          <w:rFonts w:hint="default"/>
          <w:color w:val="auto"/>
          <w:lang w:val="en-US" w:eastAsia="zh-CN"/>
        </w:rPr>
      </w:pPr>
      <w:r>
        <w:rPr>
          <w:rFonts w:hint="eastAsia"/>
          <w:color w:val="auto"/>
          <w:lang w:val="en-US" w:eastAsia="zh-CN"/>
        </w:rPr>
        <w:t>（2）</w:t>
      </w:r>
      <w:r>
        <w:rPr>
          <w:rFonts w:hint="default"/>
          <w:color w:val="auto"/>
          <w:lang w:val="en-US" w:eastAsia="zh-CN"/>
        </w:rPr>
        <w:t>拆除溢流坝挡板时，若库水位控制不当，极易导致高浓度浑水下泄，污染下游河道。</w:t>
      </w:r>
      <w:r>
        <w:rPr>
          <w:rFonts w:hint="default" w:ascii="Times New Roman" w:hAnsi="Times New Roman" w:cs="Times New Roman"/>
          <w:color w:val="auto"/>
          <w:lang w:val="en-US" w:eastAsia="zh-CN"/>
        </w:rPr>
        <w:t>①</w:t>
      </w:r>
      <w:r>
        <w:rPr>
          <w:rFonts w:hint="default"/>
          <w:color w:val="auto"/>
          <w:lang w:val="en-US" w:eastAsia="zh-CN"/>
        </w:rPr>
        <w:t>应先清洗干净挡板迎水面的泥浆，但不排往下游</w:t>
      </w:r>
      <w:r>
        <w:rPr>
          <w:rFonts w:hint="eastAsia"/>
          <w:color w:val="auto"/>
          <w:lang w:val="en-US" w:eastAsia="zh-CN"/>
        </w:rPr>
        <w:t>；确需</w:t>
      </w:r>
      <w:r>
        <w:rPr>
          <w:rFonts w:hint="default"/>
          <w:color w:val="auto"/>
          <w:lang w:val="en-US" w:eastAsia="zh-CN"/>
        </w:rPr>
        <w:t>排往下游，</w:t>
      </w:r>
      <w:r>
        <w:rPr>
          <w:rFonts w:hint="eastAsia"/>
          <w:color w:val="auto"/>
          <w:lang w:val="en-US" w:eastAsia="zh-CN"/>
        </w:rPr>
        <w:t>需</w:t>
      </w:r>
      <w:r>
        <w:rPr>
          <w:rFonts w:hint="default"/>
          <w:color w:val="auto"/>
          <w:lang w:val="en-US" w:eastAsia="zh-CN"/>
        </w:rPr>
        <w:t>事先在下游适当位置设置沉淀池</w:t>
      </w:r>
      <w:r>
        <w:rPr>
          <w:rFonts w:hint="eastAsia"/>
          <w:color w:val="auto"/>
          <w:lang w:val="en-US" w:eastAsia="zh-CN"/>
        </w:rPr>
        <w:t>。</w:t>
      </w:r>
      <w:r>
        <w:rPr>
          <w:rFonts w:hint="default" w:ascii="Times New Roman" w:hAnsi="Times New Roman" w:cs="Times New Roman"/>
          <w:color w:val="auto"/>
          <w:lang w:val="en-US" w:eastAsia="zh-CN"/>
        </w:rPr>
        <w:t>②</w:t>
      </w:r>
      <w:r>
        <w:rPr>
          <w:rFonts w:hint="default"/>
          <w:color w:val="auto"/>
          <w:lang w:val="en-US" w:eastAsia="zh-CN"/>
        </w:rPr>
        <w:t>施工季节应在枯水季节</w:t>
      </w:r>
      <w:r>
        <w:rPr>
          <w:rFonts w:hint="eastAsia"/>
          <w:color w:val="auto"/>
          <w:lang w:val="en-US" w:eastAsia="zh-CN"/>
        </w:rPr>
        <w:t>，</w:t>
      </w:r>
      <w:r>
        <w:rPr>
          <w:rFonts w:hint="default"/>
          <w:color w:val="auto"/>
          <w:lang w:val="en-US" w:eastAsia="zh-CN"/>
        </w:rPr>
        <w:t>提前就上游山谷水导排（抽排）不入库等措施</w:t>
      </w:r>
      <w:r>
        <w:rPr>
          <w:rFonts w:hint="eastAsia"/>
          <w:color w:val="auto"/>
          <w:lang w:val="en-US" w:eastAsia="zh-CN"/>
        </w:rPr>
        <w:t>。以此确保拆除溢流坝挡板</w:t>
      </w:r>
      <w:r>
        <w:rPr>
          <w:rFonts w:hint="default"/>
          <w:color w:val="auto"/>
          <w:lang w:val="en-US" w:eastAsia="zh-CN"/>
        </w:rPr>
        <w:t>不造成环境污染。</w:t>
      </w:r>
    </w:p>
    <w:p w14:paraId="03C64E89">
      <w:pPr>
        <w:rPr>
          <w:rFonts w:hint="default"/>
          <w:color w:val="auto"/>
          <w:lang w:val="en-US" w:eastAsia="zh-CN"/>
        </w:rPr>
      </w:pPr>
      <w:r>
        <w:rPr>
          <w:rFonts w:hint="eastAsia"/>
          <w:color w:val="auto"/>
          <w:lang w:val="en-US" w:eastAsia="zh-CN"/>
        </w:rPr>
        <w:t>（3）碾压块石压坡下游坝面植被（草根、树根）若未清除干净，腐烂后形成渗水通道，导致管涌。粗砂及碎石垫层若厚度不均或级配不合格，无法截留尾砂细粒，可能导致坝体“流土”。</w:t>
      </w:r>
      <w:r>
        <w:rPr>
          <w:rFonts w:hint="default" w:ascii="Times New Roman" w:hAnsi="Times New Roman" w:cs="Times New Roman"/>
          <w:color w:val="auto"/>
          <w:lang w:val="en-US" w:eastAsia="zh-CN"/>
        </w:rPr>
        <w:t>①</w:t>
      </w:r>
      <w:r>
        <w:rPr>
          <w:rFonts w:hint="eastAsia"/>
          <w:color w:val="auto"/>
          <w:lang w:val="en-US" w:eastAsia="zh-CN"/>
        </w:rPr>
        <w:t>应</w:t>
      </w:r>
      <w:r>
        <w:rPr>
          <w:rFonts w:hint="default"/>
          <w:color w:val="auto"/>
          <w:lang w:val="en-US" w:eastAsia="zh-CN"/>
        </w:rPr>
        <w:t>将</w:t>
      </w:r>
      <w:r>
        <w:rPr>
          <w:rFonts w:hint="eastAsia" w:ascii="宋体" w:hAnsi="宋体" w:eastAsia="宋体" w:cs="宋体"/>
          <w:color w:val="auto"/>
          <w:lang w:val="en-US" w:eastAsia="zh-CN"/>
        </w:rPr>
        <w:t>“坝面植被清除”和“反滤层铺设”设</w:t>
      </w:r>
      <w:r>
        <w:rPr>
          <w:rFonts w:hint="default"/>
          <w:color w:val="auto"/>
          <w:lang w:val="en-US" w:eastAsia="zh-CN"/>
        </w:rPr>
        <w:t>为停止点。</w:t>
      </w:r>
      <w:r>
        <w:rPr>
          <w:rFonts w:hint="default" w:ascii="Times New Roman" w:hAnsi="Times New Roman" w:cs="Times New Roman"/>
          <w:color w:val="auto"/>
          <w:lang w:val="en-US" w:eastAsia="zh-CN"/>
        </w:rPr>
        <w:t>②</w:t>
      </w:r>
      <w:r>
        <w:rPr>
          <w:rFonts w:hint="default"/>
          <w:color w:val="auto"/>
          <w:lang w:val="en-US" w:eastAsia="zh-CN"/>
        </w:rPr>
        <w:t>每铺设一层，必须由施工、监理、设计、业主四方联合验收合格并拍照存档后，方可回填块石。</w:t>
      </w:r>
    </w:p>
    <w:p w14:paraId="6340224D">
      <w:pPr>
        <w:bidi w:val="0"/>
        <w:rPr>
          <w:rFonts w:hint="eastAsia"/>
          <w:color w:val="auto"/>
          <w:lang w:val="en-US" w:eastAsia="zh-CN"/>
        </w:rPr>
      </w:pPr>
      <w:r>
        <w:rPr>
          <w:rFonts w:hint="eastAsia"/>
          <w:color w:val="auto"/>
          <w:lang w:val="en-US" w:eastAsia="zh-CN"/>
        </w:rPr>
        <w:t>（4）拆除溢流坝钢筋混凝土支墩拆除前应详细了解其结构图纸，并编制电锯切割拆除方案，明确电锯切割参数、吊装要求等关键指标，并组织施工人员学习电锯拆除工艺、安全规范和应急措施，施工现场应封闭，防止无关人员进入，参与施工人员做好个人防护，配备安全帽和安全绳等安全防护装备，施工现场应设置专人指挥，使用对讲机进行协同，施工时从支墩顶开始向下分段切割拆除。</w:t>
      </w:r>
    </w:p>
    <w:p w14:paraId="45252294">
      <w:pPr>
        <w:pStyle w:val="4"/>
        <w:bidi w:val="0"/>
        <w:rPr>
          <w:rFonts w:hint="default"/>
          <w:color w:val="auto"/>
          <w:lang w:val="en-US" w:eastAsia="zh-CN"/>
        </w:rPr>
      </w:pPr>
      <w:bookmarkStart w:id="605" w:name="_Toc5761"/>
      <w:bookmarkStart w:id="606" w:name="_Toc4630"/>
      <w:bookmarkStart w:id="607" w:name="_Toc23377"/>
      <w:bookmarkStart w:id="608" w:name="_Toc26255"/>
      <w:r>
        <w:rPr>
          <w:rFonts w:hint="default"/>
          <w:color w:val="auto"/>
          <w:lang w:val="en-US" w:eastAsia="zh-CN"/>
        </w:rPr>
        <w:t>6.3.</w:t>
      </w:r>
      <w:r>
        <w:rPr>
          <w:rFonts w:hint="eastAsia"/>
          <w:color w:val="auto"/>
          <w:lang w:val="en-US" w:eastAsia="zh-CN"/>
        </w:rPr>
        <w:t xml:space="preserve">4 </w:t>
      </w:r>
      <w:bookmarkEnd w:id="605"/>
      <w:bookmarkEnd w:id="606"/>
      <w:bookmarkEnd w:id="607"/>
      <w:r>
        <w:rPr>
          <w:rFonts w:hint="eastAsia"/>
          <w:color w:val="auto"/>
          <w:lang w:val="en-US" w:eastAsia="zh-CN"/>
        </w:rPr>
        <w:t>安全监测设施</w:t>
      </w:r>
      <w:bookmarkEnd w:id="608"/>
    </w:p>
    <w:p w14:paraId="7B88162A">
      <w:pPr>
        <w:bidi w:val="0"/>
        <w:rPr>
          <w:rFonts w:hint="default"/>
          <w:color w:val="auto"/>
          <w:lang w:val="en-US" w:eastAsia="zh-CN"/>
        </w:rPr>
      </w:pPr>
      <w:r>
        <w:rPr>
          <w:rFonts w:hint="eastAsia"/>
          <w:color w:val="auto"/>
          <w:lang w:val="en-US" w:eastAsia="zh-CN"/>
        </w:rPr>
        <w:t>岿美山尾矿库人工监测设施、在线监测设施符合原设计要求。可研方案：</w:t>
      </w:r>
      <w:r>
        <w:rPr>
          <w:rFonts w:hint="default"/>
          <w:color w:val="auto"/>
          <w:lang w:val="en-US" w:eastAsia="zh-CN"/>
        </w:rPr>
        <w:t>闭库后不再使用在线监测设施，只布置人工观测设施，现有部分人工观测设施利旧。</w:t>
      </w:r>
      <w:r>
        <w:rPr>
          <w:rFonts w:hint="eastAsia"/>
          <w:color w:val="auto"/>
          <w:lang w:val="en-US" w:eastAsia="zh-CN"/>
        </w:rPr>
        <w:t>但考虑到岿美山尾矿库主坝、副坝下游均有民房分布，建议仍须维持视频监控仪，并确保正常使用、维护良好。</w:t>
      </w:r>
    </w:p>
    <w:p w14:paraId="51B4008B">
      <w:pPr>
        <w:bidi w:val="0"/>
        <w:rPr>
          <w:rFonts w:hint="default"/>
          <w:color w:val="auto"/>
          <w:lang w:val="en-US" w:eastAsia="zh-CN"/>
        </w:rPr>
      </w:pPr>
      <w:r>
        <w:rPr>
          <w:rFonts w:hint="default"/>
          <w:color w:val="auto"/>
          <w:lang w:val="en-US" w:eastAsia="zh-CN"/>
        </w:rPr>
        <w:t>江西岿美山钨业有限公司</w:t>
      </w:r>
      <w:r>
        <w:rPr>
          <w:rFonts w:hint="eastAsia"/>
          <w:color w:val="auto"/>
          <w:lang w:val="en-US" w:eastAsia="zh-CN"/>
        </w:rPr>
        <w:t>后续</w:t>
      </w:r>
      <w:r>
        <w:rPr>
          <w:rFonts w:hint="default"/>
          <w:color w:val="auto"/>
          <w:lang w:val="en-US" w:eastAsia="zh-CN"/>
        </w:rPr>
        <w:t>应派专人定时观测并记录整理观测成果，进行分析，作为判定尾矿库运行状态的依据。闭库初期每半月观测一次，当尾矿坝位移量已基本稳定，并已掌握其变化规律后，可逐渐减少观测次数，但每月监测次数不少于一次。但遇地震、暴雨、库内高水位、渗透破坏现象加剧等情况时，应增加观测次数。</w:t>
      </w:r>
    </w:p>
    <w:p w14:paraId="0CCE8CC5">
      <w:pPr>
        <w:pStyle w:val="4"/>
        <w:bidi w:val="0"/>
        <w:rPr>
          <w:rFonts w:hint="eastAsia"/>
          <w:color w:val="auto"/>
          <w:lang w:val="en-US" w:eastAsia="zh-CN"/>
        </w:rPr>
      </w:pPr>
      <w:bookmarkStart w:id="609" w:name="_Toc8094"/>
      <w:r>
        <w:rPr>
          <w:rFonts w:hint="eastAsia"/>
          <w:color w:val="auto"/>
          <w:lang w:val="en-US" w:eastAsia="zh-CN"/>
        </w:rPr>
        <w:t>6.3.5 辅助设施</w:t>
      </w:r>
      <w:bookmarkEnd w:id="609"/>
    </w:p>
    <w:p w14:paraId="2103B583">
      <w:pPr>
        <w:rPr>
          <w:rFonts w:hint="default"/>
          <w:color w:val="auto"/>
          <w:lang w:val="en-US" w:eastAsia="zh-CN"/>
        </w:rPr>
      </w:pPr>
      <w:r>
        <w:rPr>
          <w:rFonts w:hint="default"/>
          <w:color w:val="auto"/>
          <w:lang w:val="en-US" w:eastAsia="zh-CN"/>
        </w:rPr>
        <w:t>尾矿库右岸现有道路可以直接作为上坝道路，可以直接到达主坝和副坝，经修整后可以继续作为到达尾矿库主坝和副坝的道路；尾矿库现有道路可直接到达溢流坝坝下，闭库后继续使用；利用尾矿库右岸现有道路并延伸至主排洪明渠进口处，作为主排洪明渠施工及检修道路。</w:t>
      </w:r>
    </w:p>
    <w:p w14:paraId="2A0E79A5">
      <w:pPr>
        <w:rPr>
          <w:rFonts w:hint="default"/>
          <w:color w:val="auto"/>
          <w:lang w:val="en-US" w:eastAsia="zh-CN"/>
        </w:rPr>
      </w:pPr>
      <w:r>
        <w:rPr>
          <w:rFonts w:hint="default"/>
          <w:color w:val="auto"/>
          <w:lang w:val="en-US" w:eastAsia="zh-CN"/>
        </w:rPr>
        <w:t>库区移动通讯</w:t>
      </w:r>
      <w:r>
        <w:rPr>
          <w:rFonts w:hint="eastAsia"/>
          <w:color w:val="auto"/>
          <w:lang w:val="en-US" w:eastAsia="zh-CN"/>
        </w:rPr>
        <w:t>（</w:t>
      </w:r>
      <w:r>
        <w:rPr>
          <w:rFonts w:hint="default"/>
          <w:color w:val="auto"/>
          <w:lang w:val="en-US" w:eastAsia="zh-CN"/>
        </w:rPr>
        <w:t>手机</w:t>
      </w:r>
      <w:r>
        <w:rPr>
          <w:rFonts w:hint="eastAsia"/>
          <w:color w:val="auto"/>
          <w:lang w:val="en-US" w:eastAsia="zh-CN"/>
        </w:rPr>
        <w:t>）</w:t>
      </w:r>
      <w:r>
        <w:rPr>
          <w:rFonts w:hint="default"/>
          <w:color w:val="auto"/>
          <w:lang w:val="en-US" w:eastAsia="zh-CN"/>
        </w:rPr>
        <w:t>信号较稳定，能确保尾矿库值守人员与外界的通讯畅通。</w:t>
      </w:r>
    </w:p>
    <w:p w14:paraId="7C861E58">
      <w:pPr>
        <w:rPr>
          <w:rFonts w:hint="default"/>
          <w:color w:val="auto"/>
          <w:lang w:val="en-US" w:eastAsia="zh-CN"/>
        </w:rPr>
      </w:pPr>
      <w:r>
        <w:rPr>
          <w:rFonts w:hint="default"/>
          <w:color w:val="auto"/>
          <w:lang w:val="en-US" w:eastAsia="zh-CN"/>
        </w:rPr>
        <w:t>尾矿库现有管理房设置在尾矿库右岸山体上，尾矿库闭库后继续使用该管理值班房。</w:t>
      </w:r>
    </w:p>
    <w:p w14:paraId="7BED1291">
      <w:pPr>
        <w:rPr>
          <w:rFonts w:hint="default"/>
          <w:color w:val="auto"/>
          <w:lang w:val="en-US" w:eastAsia="zh-CN"/>
        </w:rPr>
      </w:pPr>
      <w:r>
        <w:rPr>
          <w:rFonts w:hint="default"/>
          <w:color w:val="auto"/>
          <w:lang w:val="en-US" w:eastAsia="zh-CN"/>
        </w:rPr>
        <w:t>企业需为尾矿库现场管理和值班人员配备安全帽、探照灯、绳索、通讯设备、雨衣雨鞋、劳保鞋等常规个人安全防护设施。</w:t>
      </w:r>
    </w:p>
    <w:p w14:paraId="00D1D04E">
      <w:pPr>
        <w:rPr>
          <w:rFonts w:hint="default"/>
          <w:color w:val="auto"/>
          <w:lang w:val="en-US" w:eastAsia="zh-CN"/>
        </w:rPr>
      </w:pPr>
      <w:r>
        <w:rPr>
          <w:rFonts w:hint="default"/>
          <w:color w:val="auto"/>
          <w:lang w:val="en-US" w:eastAsia="zh-CN"/>
        </w:rPr>
        <w:t>尾矿库周边存在较多危险区域，应在危险区域周边设置安全警示标志，因不可抗力损坏的安全警示标志应及时更换。</w:t>
      </w:r>
    </w:p>
    <w:p w14:paraId="6E18B622">
      <w:pPr>
        <w:pStyle w:val="3"/>
        <w:bidi w:val="0"/>
        <w:rPr>
          <w:rFonts w:hint="eastAsia"/>
          <w:color w:val="auto"/>
          <w:lang w:val="en-US" w:eastAsia="zh-CN"/>
        </w:rPr>
      </w:pPr>
      <w:bookmarkStart w:id="610" w:name="_Toc6106"/>
      <w:bookmarkStart w:id="611" w:name="_Toc7300"/>
      <w:bookmarkStart w:id="612" w:name="_Toc29289"/>
      <w:r>
        <w:rPr>
          <w:rFonts w:hint="eastAsia"/>
          <w:color w:val="auto"/>
          <w:lang w:val="en-US" w:eastAsia="zh-CN"/>
        </w:rPr>
        <w:t>6.4 尾矿库闭库后安全对策措施建议</w:t>
      </w:r>
      <w:bookmarkEnd w:id="610"/>
      <w:bookmarkEnd w:id="611"/>
      <w:bookmarkEnd w:id="612"/>
    </w:p>
    <w:p w14:paraId="0A0C06BA">
      <w:pPr>
        <w:rPr>
          <w:rFonts w:hint="default"/>
          <w:color w:val="auto"/>
          <w:lang w:val="en-US" w:eastAsia="zh-CN"/>
        </w:rPr>
      </w:pPr>
      <w:r>
        <w:rPr>
          <w:rFonts w:hint="default"/>
          <w:color w:val="auto"/>
          <w:lang w:val="en-US" w:eastAsia="zh-CN"/>
        </w:rPr>
        <w:t>1</w:t>
      </w:r>
      <w:r>
        <w:rPr>
          <w:rFonts w:hint="eastAsia"/>
          <w:color w:val="auto"/>
          <w:lang w:val="en-US" w:eastAsia="zh-CN"/>
        </w:rPr>
        <w:t xml:space="preserve">. </w:t>
      </w:r>
      <w:r>
        <w:rPr>
          <w:rFonts w:hint="default"/>
          <w:color w:val="auto"/>
          <w:lang w:val="en-US" w:eastAsia="zh-CN"/>
        </w:rPr>
        <w:t>为确保尾矿库安全，尾矿库管理单位应做好：</w:t>
      </w:r>
    </w:p>
    <w:p w14:paraId="564D2F26">
      <w:pPr>
        <w:rPr>
          <w:rFonts w:hint="default"/>
          <w:color w:val="auto"/>
          <w:lang w:val="en-US" w:eastAsia="zh-CN"/>
        </w:rPr>
      </w:pPr>
      <w:r>
        <w:rPr>
          <w:rFonts w:hint="default"/>
          <w:color w:val="auto"/>
          <w:lang w:val="en-US" w:eastAsia="zh-CN"/>
        </w:rPr>
        <w:t>1</w:t>
      </w:r>
      <w:r>
        <w:rPr>
          <w:rFonts w:hint="eastAsia"/>
          <w:color w:val="auto"/>
          <w:lang w:val="en-US" w:eastAsia="zh-CN"/>
        </w:rPr>
        <w:t>）</w:t>
      </w:r>
      <w:r>
        <w:rPr>
          <w:rFonts w:hint="default"/>
          <w:color w:val="auto"/>
          <w:lang w:val="en-US" w:eastAsia="zh-CN"/>
        </w:rPr>
        <w:t>检查尾矿坝的稳定性和防洪排水系统的防、泄洪能力</w:t>
      </w:r>
      <w:r>
        <w:rPr>
          <w:rFonts w:hint="eastAsia"/>
          <w:color w:val="auto"/>
          <w:lang w:val="en-US" w:eastAsia="zh-CN"/>
        </w:rPr>
        <w:t>，</w:t>
      </w:r>
      <w:r>
        <w:rPr>
          <w:rFonts w:hint="default"/>
          <w:color w:val="auto"/>
          <w:lang w:val="en-US" w:eastAsia="zh-CN"/>
        </w:rPr>
        <w:t>发现隐患</w:t>
      </w:r>
      <w:r>
        <w:rPr>
          <w:rFonts w:hint="eastAsia"/>
          <w:color w:val="auto"/>
          <w:lang w:val="en-US" w:eastAsia="zh-CN"/>
        </w:rPr>
        <w:t>，</w:t>
      </w:r>
      <w:r>
        <w:rPr>
          <w:rFonts w:hint="default"/>
          <w:color w:val="auto"/>
          <w:lang w:val="en-US" w:eastAsia="zh-CN"/>
        </w:rPr>
        <w:t>及时处理</w:t>
      </w:r>
      <w:r>
        <w:rPr>
          <w:rFonts w:hint="eastAsia"/>
          <w:color w:val="auto"/>
          <w:lang w:val="en-US" w:eastAsia="zh-CN"/>
        </w:rPr>
        <w:t>；</w:t>
      </w:r>
    </w:p>
    <w:p w14:paraId="343D6B0B">
      <w:pPr>
        <w:rPr>
          <w:rFonts w:hint="default"/>
          <w:color w:val="auto"/>
          <w:lang w:val="en-US" w:eastAsia="zh-CN"/>
        </w:rPr>
      </w:pPr>
      <w:r>
        <w:rPr>
          <w:rFonts w:hint="default"/>
          <w:color w:val="auto"/>
          <w:lang w:val="en-US" w:eastAsia="zh-CN"/>
        </w:rPr>
        <w:t>2</w:t>
      </w:r>
      <w:r>
        <w:rPr>
          <w:rFonts w:hint="eastAsia"/>
          <w:color w:val="auto"/>
          <w:lang w:val="en-US" w:eastAsia="zh-CN"/>
        </w:rPr>
        <w:t>）</w:t>
      </w:r>
      <w:r>
        <w:rPr>
          <w:rFonts w:hint="default"/>
          <w:color w:val="auto"/>
          <w:lang w:val="en-US" w:eastAsia="zh-CN"/>
        </w:rPr>
        <w:t>及时清除排水构筑物周边的树木杂草，尤其要做好排水构筑物的清堵除堵工作，避免杂物淤积而出现洪水漫顶或溃坝现象；</w:t>
      </w:r>
    </w:p>
    <w:p w14:paraId="34018CDC">
      <w:pPr>
        <w:rPr>
          <w:rFonts w:hint="default"/>
          <w:color w:val="auto"/>
          <w:lang w:val="en-US" w:eastAsia="zh-CN"/>
        </w:rPr>
      </w:pPr>
      <w:r>
        <w:rPr>
          <w:rFonts w:hint="default"/>
          <w:color w:val="auto"/>
          <w:lang w:val="en-US" w:eastAsia="zh-CN"/>
        </w:rPr>
        <w:t>3</w:t>
      </w:r>
      <w:r>
        <w:rPr>
          <w:rFonts w:hint="eastAsia"/>
          <w:color w:val="auto"/>
          <w:lang w:val="en-US" w:eastAsia="zh-CN"/>
        </w:rPr>
        <w:t>）</w:t>
      </w:r>
      <w:r>
        <w:rPr>
          <w:rFonts w:hint="default"/>
          <w:color w:val="auto"/>
          <w:lang w:val="en-US" w:eastAsia="zh-CN"/>
        </w:rPr>
        <w:t>备好充足的应急抢险物资器材；</w:t>
      </w:r>
    </w:p>
    <w:p w14:paraId="70672014">
      <w:pPr>
        <w:rPr>
          <w:rFonts w:hint="default"/>
          <w:color w:val="auto"/>
          <w:lang w:val="en-US" w:eastAsia="zh-CN"/>
        </w:rPr>
      </w:pPr>
      <w:r>
        <w:rPr>
          <w:rFonts w:hint="default"/>
          <w:color w:val="auto"/>
          <w:lang w:val="en-US" w:eastAsia="zh-CN"/>
        </w:rPr>
        <w:t>4</w:t>
      </w:r>
      <w:r>
        <w:rPr>
          <w:rFonts w:hint="eastAsia"/>
          <w:color w:val="auto"/>
          <w:lang w:val="en-US" w:eastAsia="zh-CN"/>
        </w:rPr>
        <w:t>）</w:t>
      </w:r>
      <w:r>
        <w:rPr>
          <w:rFonts w:hint="default"/>
          <w:color w:val="auto"/>
          <w:lang w:val="en-US" w:eastAsia="zh-CN"/>
        </w:rPr>
        <w:t>汛期应加强库区巡查，实行24小时监控和通讯，及时发现并处理事故隐患确保排洪系统畅通；</w:t>
      </w:r>
    </w:p>
    <w:p w14:paraId="29CA26A5">
      <w:pPr>
        <w:rPr>
          <w:rFonts w:hint="default"/>
          <w:color w:val="auto"/>
          <w:lang w:val="en-US" w:eastAsia="zh-CN"/>
        </w:rPr>
      </w:pPr>
      <w:r>
        <w:rPr>
          <w:rFonts w:hint="default"/>
          <w:color w:val="auto"/>
          <w:lang w:val="en-US" w:eastAsia="zh-CN"/>
        </w:rPr>
        <w:t>5</w:t>
      </w:r>
      <w:r>
        <w:rPr>
          <w:rFonts w:hint="eastAsia"/>
          <w:color w:val="auto"/>
          <w:lang w:val="en-US" w:eastAsia="zh-CN"/>
        </w:rPr>
        <w:t>）</w:t>
      </w:r>
      <w:r>
        <w:rPr>
          <w:rFonts w:hint="default"/>
          <w:color w:val="auto"/>
          <w:lang w:val="en-US" w:eastAsia="zh-CN"/>
        </w:rPr>
        <w:t>检查尾矿库周边山体，详细观察周边山体有无异常，并根据岩土工程勘察报告，分析周边山体发生滑坡的可能性。</w:t>
      </w:r>
    </w:p>
    <w:p w14:paraId="3779138B">
      <w:pPr>
        <w:rPr>
          <w:rFonts w:hint="default"/>
          <w:color w:val="auto"/>
          <w:lang w:val="en-US" w:eastAsia="zh-CN"/>
        </w:rPr>
      </w:pPr>
      <w:r>
        <w:rPr>
          <w:rFonts w:hint="eastAsia"/>
          <w:color w:val="auto"/>
          <w:lang w:val="en-US" w:eastAsia="zh-CN"/>
        </w:rPr>
        <w:t xml:space="preserve">2. </w:t>
      </w:r>
      <w:r>
        <w:rPr>
          <w:rFonts w:hint="default"/>
          <w:color w:val="auto"/>
          <w:lang w:val="en-US" w:eastAsia="zh-CN"/>
        </w:rPr>
        <w:t>闭库施工完成后，尾矿库管理单位应组织相关人员对尾矿库进行定期检查，发现问题及时处理。</w:t>
      </w:r>
    </w:p>
    <w:p w14:paraId="7890AAB7">
      <w:pPr>
        <w:rPr>
          <w:rFonts w:hint="default"/>
          <w:color w:val="auto"/>
          <w:lang w:val="en-US" w:eastAsia="zh-CN"/>
        </w:rPr>
      </w:pPr>
      <w:r>
        <w:rPr>
          <w:rFonts w:hint="eastAsia"/>
          <w:color w:val="auto"/>
          <w:lang w:val="en-US" w:eastAsia="zh-CN"/>
        </w:rPr>
        <w:t xml:space="preserve">3. </w:t>
      </w:r>
      <w:r>
        <w:rPr>
          <w:rFonts w:hint="default"/>
          <w:color w:val="auto"/>
          <w:lang w:val="en-US" w:eastAsia="zh-CN"/>
        </w:rPr>
        <w:t>闭库后的尾矿库未经论证和批准，不得储水调洪。严禁在尾矿坝和库内进行乱采、滥挖、违章建筑和违章作业。</w:t>
      </w:r>
    </w:p>
    <w:p w14:paraId="36301A92">
      <w:pPr>
        <w:rPr>
          <w:rFonts w:hint="default"/>
          <w:color w:val="auto"/>
          <w:lang w:val="en-US" w:eastAsia="zh-CN"/>
        </w:rPr>
      </w:pPr>
      <w:r>
        <w:rPr>
          <w:rFonts w:hint="eastAsia"/>
          <w:color w:val="auto"/>
          <w:lang w:val="en-US" w:eastAsia="zh-CN"/>
        </w:rPr>
        <w:t>4</w:t>
      </w:r>
      <w:r>
        <w:rPr>
          <w:rFonts w:hint="default"/>
          <w:color w:val="auto"/>
          <w:lang w:val="en-US" w:eastAsia="zh-CN"/>
        </w:rPr>
        <w:t>、闭库后的尾矿库，未经设计论证和批准，不得重新启用或改作他用。</w:t>
      </w:r>
    </w:p>
    <w:p w14:paraId="0FE24881">
      <w:pPr>
        <w:rPr>
          <w:rFonts w:hint="default"/>
          <w:color w:val="auto"/>
          <w:lang w:val="en-US" w:eastAsia="zh-CN"/>
        </w:rPr>
      </w:pPr>
      <w:r>
        <w:rPr>
          <w:rFonts w:hint="eastAsia"/>
          <w:color w:val="auto"/>
          <w:lang w:val="en-US" w:eastAsia="zh-CN"/>
        </w:rPr>
        <w:t xml:space="preserve">5. </w:t>
      </w:r>
      <w:r>
        <w:rPr>
          <w:rFonts w:hint="default"/>
          <w:color w:val="auto"/>
          <w:lang w:val="en-US" w:eastAsia="zh-CN"/>
        </w:rPr>
        <w:t>闭库后的尾矿库如需要更换管理单位，必须经相关主管部门批准和履行法律手续。</w:t>
      </w:r>
    </w:p>
    <w:p w14:paraId="23678F0C">
      <w:pPr>
        <w:rPr>
          <w:rFonts w:hint="default"/>
          <w:color w:val="auto"/>
          <w:lang w:val="en-US" w:eastAsia="zh-CN"/>
        </w:rPr>
      </w:pPr>
      <w:r>
        <w:rPr>
          <w:rFonts w:hint="eastAsia"/>
          <w:color w:val="auto"/>
          <w:lang w:val="en-US" w:eastAsia="zh-CN"/>
        </w:rPr>
        <w:t xml:space="preserve">6. </w:t>
      </w:r>
      <w:r>
        <w:rPr>
          <w:rFonts w:hint="default"/>
          <w:color w:val="auto"/>
          <w:lang w:val="en-US" w:eastAsia="zh-CN"/>
        </w:rPr>
        <w:t>县级应急管理部门组织相关部门人员进行现场复核。对于未通过现场复核的，管理单位对现场复核提出的问题整改到位后可再次申请销号。</w:t>
      </w:r>
    </w:p>
    <w:p w14:paraId="24C41D30">
      <w:pPr>
        <w:rPr>
          <w:rFonts w:hint="default"/>
          <w:color w:val="auto"/>
          <w:lang w:val="en-US" w:eastAsia="zh-CN"/>
        </w:rPr>
      </w:pPr>
      <w:r>
        <w:rPr>
          <w:rFonts w:hint="eastAsia"/>
          <w:color w:val="auto"/>
          <w:lang w:val="en-US" w:eastAsia="zh-CN"/>
        </w:rPr>
        <w:t xml:space="preserve">7. </w:t>
      </w:r>
      <w:r>
        <w:rPr>
          <w:rFonts w:hint="default"/>
          <w:color w:val="auto"/>
          <w:lang w:val="en-US" w:eastAsia="zh-CN"/>
        </w:rPr>
        <w:t>尾矿库销号后管理责任仍由江西岿美山钨业有限公司承担</w:t>
      </w:r>
      <w:r>
        <w:rPr>
          <w:rFonts w:hint="eastAsia"/>
          <w:color w:val="auto"/>
          <w:lang w:val="en-US" w:eastAsia="zh-CN"/>
        </w:rPr>
        <w:t>，</w:t>
      </w:r>
      <w:r>
        <w:rPr>
          <w:rFonts w:hint="default"/>
          <w:color w:val="auto"/>
          <w:lang w:val="en-US" w:eastAsia="zh-CN"/>
        </w:rPr>
        <w:t>尾矿库销号后不再纳入尾矿库管理，当地政府和相关部门按照职责分工依法监督管理。</w:t>
      </w:r>
    </w:p>
    <w:p w14:paraId="3BC019B4">
      <w:pPr>
        <w:pStyle w:val="2"/>
        <w:bidi w:val="0"/>
        <w:rPr>
          <w:rFonts w:hint="default"/>
          <w:color w:val="auto"/>
          <w:lang w:val="en-US" w:eastAsia="zh-CN"/>
        </w:rPr>
      </w:pPr>
      <w:r>
        <w:rPr>
          <w:rFonts w:hint="default"/>
          <w:color w:val="auto"/>
          <w:lang w:val="en-US" w:eastAsia="zh-CN"/>
        </w:rPr>
        <w:br w:type="page"/>
      </w:r>
      <w:bookmarkStart w:id="613" w:name="_Toc14728"/>
      <w:bookmarkStart w:id="614" w:name="_Toc16096"/>
      <w:bookmarkStart w:id="615" w:name="_Toc11497"/>
      <w:bookmarkStart w:id="616" w:name="_Toc25371"/>
      <w:bookmarkStart w:id="617" w:name="_Toc10462"/>
      <w:r>
        <w:rPr>
          <w:rFonts w:hint="eastAsia"/>
          <w:color w:val="auto"/>
          <w:lang w:val="en-US" w:eastAsia="zh-CN"/>
        </w:rPr>
        <w:t xml:space="preserve">7. </w:t>
      </w:r>
      <w:r>
        <w:rPr>
          <w:rFonts w:hint="default"/>
          <w:color w:val="auto"/>
          <w:lang w:val="en-US" w:eastAsia="zh-CN"/>
        </w:rPr>
        <w:t>评价结论</w:t>
      </w:r>
      <w:bookmarkEnd w:id="613"/>
      <w:bookmarkEnd w:id="614"/>
      <w:bookmarkEnd w:id="615"/>
      <w:bookmarkEnd w:id="616"/>
      <w:bookmarkEnd w:id="617"/>
    </w:p>
    <w:p w14:paraId="4AE5BB24">
      <w:pPr>
        <w:pStyle w:val="3"/>
        <w:bidi w:val="0"/>
        <w:rPr>
          <w:rFonts w:hint="default"/>
          <w:color w:val="auto"/>
          <w:lang w:val="en-US" w:eastAsia="zh-CN"/>
        </w:rPr>
      </w:pPr>
      <w:bookmarkStart w:id="618" w:name="_Toc7386"/>
      <w:bookmarkStart w:id="619" w:name="_Toc4184"/>
      <w:bookmarkStart w:id="620" w:name="_Toc12311"/>
      <w:bookmarkStart w:id="621" w:name="_Toc25098"/>
      <w:bookmarkStart w:id="622" w:name="_Toc24446"/>
      <w:r>
        <w:rPr>
          <w:rFonts w:hint="default"/>
          <w:color w:val="auto"/>
          <w:lang w:val="en-US" w:eastAsia="zh-CN"/>
        </w:rPr>
        <w:t>7.1 危险有害因素分析辨识结果</w:t>
      </w:r>
      <w:bookmarkEnd w:id="618"/>
      <w:bookmarkEnd w:id="619"/>
      <w:bookmarkEnd w:id="620"/>
      <w:bookmarkEnd w:id="621"/>
      <w:bookmarkEnd w:id="622"/>
    </w:p>
    <w:p w14:paraId="3AF746ED">
      <w:pPr>
        <w:rPr>
          <w:rFonts w:hint="default"/>
          <w:color w:val="auto"/>
          <w:lang w:val="en-US" w:eastAsia="zh-CN"/>
        </w:rPr>
      </w:pPr>
      <w:r>
        <w:rPr>
          <w:rFonts w:hint="eastAsia"/>
          <w:color w:val="auto"/>
          <w:lang w:val="en-US" w:eastAsia="zh-CN"/>
        </w:rPr>
        <w:t>岿美山尾矿库</w:t>
      </w:r>
      <w:r>
        <w:rPr>
          <w:rFonts w:hint="default"/>
          <w:color w:val="auto"/>
          <w:lang w:val="en-US" w:eastAsia="zh-CN"/>
        </w:rPr>
        <w:t>存在的主要危险、有害因素包括</w:t>
      </w:r>
      <w:r>
        <w:rPr>
          <w:rFonts w:hint="eastAsia"/>
          <w:color w:val="auto"/>
          <w:lang w:val="en-US" w:eastAsia="zh-CN"/>
        </w:rPr>
        <w:t>：</w:t>
      </w:r>
      <w:r>
        <w:rPr>
          <w:rFonts w:hint="default"/>
          <w:color w:val="auto"/>
          <w:lang w:val="en-US" w:eastAsia="zh-CN"/>
        </w:rPr>
        <w:t>滑坡（坝坡失稳），洪水漫顶，渗漏，排水、泄洪构筑物破坏，调洪库容不足，裂缝，淹溺，</w:t>
      </w:r>
      <w:r>
        <w:rPr>
          <w:rFonts w:hint="eastAsia"/>
          <w:color w:val="auto"/>
          <w:lang w:val="en-US" w:eastAsia="zh-CN"/>
        </w:rPr>
        <w:t>高处坠落、跌落，雷击，</w:t>
      </w:r>
      <w:r>
        <w:rPr>
          <w:rFonts w:hint="default"/>
          <w:color w:val="auto"/>
          <w:lang w:val="en-US" w:eastAsia="zh-CN"/>
        </w:rPr>
        <w:t>库区山体滑坡、塌方和泥石流，不良环境因素</w:t>
      </w:r>
      <w:r>
        <w:rPr>
          <w:rFonts w:hint="eastAsia"/>
          <w:color w:val="auto"/>
          <w:lang w:val="en-US" w:eastAsia="zh-CN"/>
        </w:rPr>
        <w:t>等主要危险、有害因素</w:t>
      </w:r>
      <w:r>
        <w:rPr>
          <w:rFonts w:hint="default"/>
          <w:color w:val="auto"/>
          <w:lang w:val="en-US" w:eastAsia="zh-CN"/>
        </w:rPr>
        <w:t>。其中滑坡、洪水漫顶、库区山体滑坡、塌方和泥石流会引发重大安全事故，有可能造成重大人员伤亡和财产损失以及环境污染，属于重大危险有害因素，虽然发生的可能性相对较小，应引起高度重视。淹溺、高处坠落、跌落等危害虽然不会产生严重的安全事故，但容易发生，因而也应引起足够重视。</w:t>
      </w:r>
    </w:p>
    <w:p w14:paraId="6FDA9C92">
      <w:pPr>
        <w:rPr>
          <w:rFonts w:hint="default"/>
          <w:color w:val="auto"/>
          <w:lang w:val="en-US" w:eastAsia="zh-CN"/>
        </w:rPr>
      </w:pPr>
      <w:r>
        <w:rPr>
          <w:rFonts w:hint="eastAsia"/>
          <w:color w:val="auto"/>
          <w:lang w:val="en-US" w:eastAsia="zh-CN"/>
        </w:rPr>
        <w:t>经判定，岿美山尾矿库存在重大事故隐患，</w:t>
      </w:r>
      <w:r>
        <w:rPr>
          <w:rFonts w:hint="eastAsia" w:ascii="Times New Roman" w:hAnsi="Times New Roman" w:cs="Times New Roman"/>
          <w:color w:val="auto"/>
          <w:sz w:val="28"/>
          <w:szCs w:val="28"/>
          <w:lang w:val="en-US" w:eastAsia="zh-CN"/>
        </w:rPr>
        <w:t>必须彻底整治</w:t>
      </w:r>
      <w:r>
        <w:rPr>
          <w:rFonts w:hint="default" w:ascii="Times New Roman" w:hAnsi="Times New Roman" w:cs="Times New Roman"/>
          <w:color w:val="auto"/>
          <w:sz w:val="28"/>
          <w:szCs w:val="28"/>
          <w:lang w:eastAsia="zh-CN"/>
        </w:rPr>
        <w:t>。</w:t>
      </w:r>
    </w:p>
    <w:p w14:paraId="1E9FE7DC">
      <w:pPr>
        <w:pStyle w:val="3"/>
        <w:bidi w:val="0"/>
        <w:rPr>
          <w:rFonts w:hint="default"/>
          <w:color w:val="auto"/>
          <w:lang w:val="en-US" w:eastAsia="zh-CN"/>
        </w:rPr>
      </w:pPr>
      <w:bookmarkStart w:id="623" w:name="_Toc24697"/>
      <w:bookmarkStart w:id="624" w:name="_Toc20280"/>
      <w:bookmarkStart w:id="625" w:name="_Toc19739"/>
      <w:bookmarkStart w:id="626" w:name="_Toc15668"/>
      <w:bookmarkStart w:id="627" w:name="_Toc20987"/>
      <w:r>
        <w:rPr>
          <w:rFonts w:hint="default"/>
          <w:color w:val="auto"/>
          <w:lang w:val="en-US" w:eastAsia="zh-CN"/>
        </w:rPr>
        <w:t>7.2</w:t>
      </w:r>
      <w:r>
        <w:rPr>
          <w:rFonts w:hint="eastAsia"/>
          <w:color w:val="auto"/>
          <w:lang w:val="en-US" w:eastAsia="zh-CN"/>
        </w:rPr>
        <w:t xml:space="preserve"> </w:t>
      </w:r>
      <w:r>
        <w:rPr>
          <w:rFonts w:hint="default"/>
          <w:color w:val="auto"/>
          <w:lang w:val="en-US" w:eastAsia="zh-CN"/>
        </w:rPr>
        <w:t>各单元评价结论</w:t>
      </w:r>
      <w:bookmarkEnd w:id="623"/>
      <w:bookmarkEnd w:id="624"/>
      <w:bookmarkEnd w:id="625"/>
      <w:bookmarkEnd w:id="626"/>
      <w:bookmarkEnd w:id="627"/>
    </w:p>
    <w:p w14:paraId="1B3EF866">
      <w:pPr>
        <w:keepNext w:val="0"/>
        <w:keepLines w:val="0"/>
        <w:pageBreakBefore w:val="0"/>
        <w:widowControl w:val="0"/>
        <w:kinsoku/>
        <w:wordWrap/>
        <w:overflowPunct/>
        <w:topLinePunct w:val="0"/>
        <w:autoSpaceDE/>
        <w:autoSpaceDN/>
        <w:bidi w:val="0"/>
        <w:adjustRightInd/>
        <w:snapToGrid/>
        <w:spacing w:line="384" w:lineRule="auto"/>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w:t>
      </w:r>
      <w:r>
        <w:rPr>
          <w:rFonts w:hint="eastAsia" w:ascii="Times New Roman" w:hAnsi="Times New Roman" w:eastAsia="宋体" w:cs="Times New Roman"/>
          <w:color w:val="auto"/>
          <w:lang w:val="en-US" w:eastAsia="zh-CN"/>
        </w:rPr>
        <w:t xml:space="preserve">. </w:t>
      </w:r>
      <w:r>
        <w:rPr>
          <w:rFonts w:hint="default" w:ascii="Times New Roman" w:hAnsi="Times New Roman" w:eastAsia="宋体" w:cs="Times New Roman"/>
          <w:color w:val="auto"/>
          <w:lang w:val="en-US" w:eastAsia="zh-CN"/>
        </w:rPr>
        <w:t>安全管理单元</w:t>
      </w:r>
    </w:p>
    <w:p w14:paraId="5EBFEAE0">
      <w:pPr>
        <w:keepNext w:val="0"/>
        <w:keepLines w:val="0"/>
        <w:pageBreakBefore w:val="0"/>
        <w:widowControl w:val="0"/>
        <w:kinsoku/>
        <w:wordWrap/>
        <w:overflowPunct/>
        <w:topLinePunct w:val="0"/>
        <w:autoSpaceDE/>
        <w:autoSpaceDN/>
        <w:bidi w:val="0"/>
        <w:adjustRightInd/>
        <w:snapToGrid/>
        <w:spacing w:line="384" w:lineRule="auto"/>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岿美山钨矿2018年初停产，尾矿库亦已停止使用至今。岿美山尾矿库目前未取得安全生产许可证，无主要负责人、安全生产管理人员，仅有1名尾矿工持证上岗，不满足现行法律法规要求。</w:t>
      </w:r>
    </w:p>
    <w:p w14:paraId="01C94F20">
      <w:pPr>
        <w:keepNext w:val="0"/>
        <w:keepLines w:val="0"/>
        <w:pageBreakBefore w:val="0"/>
        <w:widowControl w:val="0"/>
        <w:kinsoku/>
        <w:wordWrap/>
        <w:overflowPunct/>
        <w:topLinePunct w:val="0"/>
        <w:autoSpaceDE/>
        <w:autoSpaceDN/>
        <w:bidi w:val="0"/>
        <w:adjustRightInd/>
        <w:snapToGrid/>
        <w:spacing w:line="384" w:lineRule="auto"/>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江西岿美山钨业有限公司委托赣州有色冶金研究所有限公司完成了尾矿库隐蔽致灾因素普查工作，提交了相应报告，报告通过了专家评审，符合相关规范要求。</w:t>
      </w:r>
    </w:p>
    <w:p w14:paraId="0A0B2F70">
      <w:pPr>
        <w:keepNext w:val="0"/>
        <w:keepLines w:val="0"/>
        <w:pageBreakBefore w:val="0"/>
        <w:widowControl w:val="0"/>
        <w:kinsoku/>
        <w:wordWrap/>
        <w:overflowPunct/>
        <w:topLinePunct w:val="0"/>
        <w:autoSpaceDE/>
        <w:autoSpaceDN/>
        <w:bidi w:val="0"/>
        <w:adjustRightInd/>
        <w:snapToGrid/>
        <w:spacing w:line="384" w:lineRule="auto"/>
        <w:textAlignment w:val="auto"/>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 xml:space="preserve"> 尾矿坝单元</w:t>
      </w:r>
    </w:p>
    <w:p w14:paraId="4685E553">
      <w:pPr>
        <w:rPr>
          <w:rFonts w:hint="default"/>
          <w:color w:val="auto"/>
          <w:lang w:val="en-US" w:eastAsia="zh-CN"/>
        </w:rPr>
      </w:pPr>
      <w:r>
        <w:rPr>
          <w:rFonts w:hint="eastAsia" w:ascii="Times New Roman" w:hAnsi="Times New Roman" w:eastAsia="宋体" w:cs="Times New Roman"/>
          <w:color w:val="auto"/>
          <w:lang w:val="en-US" w:eastAsia="zh-CN"/>
        </w:rPr>
        <w:t>经现场检查，岿美山尾矿库主坝的外形尺寸（坝顶高程、上下游坡坡比等）符合设计要求，副坝标高和高度与设计不一致，各坝体均无位移、沉陷、滑坡及裂缝、渗透水、沼泽化等现象。</w:t>
      </w:r>
      <w:r>
        <w:rPr>
          <w:rFonts w:hint="eastAsia" w:ascii="Times New Roman" w:hAnsi="Times New Roman" w:eastAsia="宋体" w:cs="Times New Roman"/>
          <w:color w:val="auto"/>
          <w:lang w:val="en-US" w:eastAsia="zh-CN"/>
        </w:rPr>
        <w:t>后续副坝是否需要调整由江西岿美山钨业有限公司和安全设施设计单位</w:t>
      </w:r>
      <w:r>
        <w:rPr>
          <w:rFonts w:hint="eastAsia" w:cs="Times New Roman"/>
          <w:color w:val="auto"/>
          <w:lang w:val="en-US" w:eastAsia="zh-CN"/>
        </w:rPr>
        <w:t>共同</w:t>
      </w:r>
      <w:r>
        <w:rPr>
          <w:rFonts w:hint="eastAsia" w:ascii="Times New Roman" w:hAnsi="Times New Roman" w:eastAsia="宋体" w:cs="Times New Roman"/>
          <w:color w:val="auto"/>
          <w:lang w:val="en-US" w:eastAsia="zh-CN"/>
        </w:rPr>
        <w:t>确定。</w:t>
      </w:r>
      <w:r>
        <w:rPr>
          <w:rFonts w:hint="default"/>
          <w:color w:val="auto"/>
          <w:lang w:val="en-US" w:eastAsia="zh-CN"/>
        </w:rPr>
        <w:t>滩面整治</w:t>
      </w:r>
      <w:r>
        <w:rPr>
          <w:rFonts w:hint="eastAsia"/>
          <w:color w:val="auto"/>
          <w:lang w:val="en-US" w:eastAsia="zh-CN"/>
        </w:rPr>
        <w:t>工程参数（如滩面覆土厚度、坡度等）及植被由设计单位确定。</w:t>
      </w:r>
    </w:p>
    <w:p w14:paraId="46CBD864">
      <w:pPr>
        <w:keepNext w:val="0"/>
        <w:keepLines w:val="0"/>
        <w:pageBreakBefore w:val="0"/>
        <w:widowControl w:val="0"/>
        <w:kinsoku/>
        <w:wordWrap/>
        <w:overflowPunct/>
        <w:topLinePunct w:val="0"/>
        <w:autoSpaceDE/>
        <w:autoSpaceDN/>
        <w:bidi w:val="0"/>
        <w:adjustRightInd/>
        <w:snapToGrid/>
        <w:spacing w:line="384" w:lineRule="auto"/>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通过尾矿坝稳定分析计算来看，尾矿坝体处在稳定状态</w:t>
      </w:r>
      <w:r>
        <w:rPr>
          <w:rFonts w:hint="eastAsia" w:ascii="Times New Roman" w:hAnsi="Times New Roman" w:eastAsia="宋体" w:cs="Times New Roman"/>
          <w:color w:val="auto"/>
          <w:lang w:val="en-US" w:eastAsia="zh-CN"/>
        </w:rPr>
        <w:t>。</w:t>
      </w:r>
    </w:p>
    <w:p w14:paraId="05A28382">
      <w:pPr>
        <w:keepNext w:val="0"/>
        <w:keepLines w:val="0"/>
        <w:pageBreakBefore w:val="0"/>
        <w:widowControl w:val="0"/>
        <w:kinsoku/>
        <w:wordWrap/>
        <w:overflowPunct/>
        <w:topLinePunct w:val="0"/>
        <w:autoSpaceDE/>
        <w:autoSpaceDN/>
        <w:bidi w:val="0"/>
        <w:adjustRightInd/>
        <w:snapToGrid/>
        <w:spacing w:line="384" w:lineRule="auto"/>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 xml:space="preserve">3. </w:t>
      </w:r>
      <w:r>
        <w:rPr>
          <w:rFonts w:hint="default" w:ascii="Times New Roman" w:hAnsi="Times New Roman" w:eastAsia="宋体" w:cs="Times New Roman"/>
          <w:color w:val="auto"/>
          <w:lang w:val="en-US" w:eastAsia="zh-CN"/>
        </w:rPr>
        <w:t>防洪排水系统单元</w:t>
      </w:r>
    </w:p>
    <w:p w14:paraId="5DDB2697">
      <w:pPr>
        <w:keepNext w:val="0"/>
        <w:keepLines w:val="0"/>
        <w:pageBreakBefore w:val="0"/>
        <w:widowControl w:val="0"/>
        <w:kinsoku/>
        <w:wordWrap/>
        <w:overflowPunct/>
        <w:topLinePunct w:val="0"/>
        <w:autoSpaceDE/>
        <w:autoSpaceDN/>
        <w:bidi w:val="0"/>
        <w:adjustRightInd/>
        <w:snapToGrid/>
        <w:spacing w:line="384" w:lineRule="auto"/>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岿美山尾矿库排洪构筑物运行状况良好，排洪构筑物无变形、裂缝、脱落、倾斜、坍塌等现象。</w:t>
      </w:r>
    </w:p>
    <w:p w14:paraId="3115D0A4">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通过洪水复核，岿美山尾矿库安全超高和干滩长度均不满足尾矿库200年一遇排洪要求，更不满足尾矿库500年一遇排洪要求。</w:t>
      </w:r>
      <w:r>
        <w:rPr>
          <w:rFonts w:hint="eastAsia"/>
          <w:color w:val="auto"/>
          <w:lang w:val="en-US" w:eastAsia="zh-CN"/>
        </w:rPr>
        <w:t>截、排水沟的材质、断面尺寸、坡度等由设计单位确定。同时还须考虑库尾山体滑坡、泥石流等对排水沟的不利影响</w:t>
      </w:r>
      <w:r>
        <w:rPr>
          <w:rFonts w:hint="eastAsia" w:ascii="Times New Roman" w:hAnsi="Times New Roman" w:eastAsia="宋体" w:cs="Times New Roman"/>
          <w:color w:val="auto"/>
          <w:lang w:val="en-US" w:eastAsia="zh-CN"/>
        </w:rPr>
        <w:t>。</w:t>
      </w:r>
    </w:p>
    <w:p w14:paraId="073092D7">
      <w:pPr>
        <w:keepNext w:val="0"/>
        <w:keepLines w:val="0"/>
        <w:pageBreakBefore w:val="0"/>
        <w:widowControl w:val="0"/>
        <w:kinsoku/>
        <w:wordWrap/>
        <w:overflowPunct/>
        <w:topLinePunct w:val="0"/>
        <w:autoSpaceDE/>
        <w:autoSpaceDN/>
        <w:bidi w:val="0"/>
        <w:adjustRightInd/>
        <w:snapToGrid/>
        <w:spacing w:line="384" w:lineRule="auto"/>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4. 尾矿库监测系统单元</w:t>
      </w:r>
    </w:p>
    <w:p w14:paraId="01431C65">
      <w:pPr>
        <w:keepNext w:val="0"/>
        <w:keepLines w:val="0"/>
        <w:pageBreakBefore w:val="0"/>
        <w:widowControl w:val="0"/>
        <w:kinsoku/>
        <w:wordWrap/>
        <w:overflowPunct/>
        <w:topLinePunct w:val="0"/>
        <w:autoSpaceDE/>
        <w:autoSpaceDN/>
        <w:bidi w:val="0"/>
        <w:adjustRightInd/>
        <w:snapToGrid/>
        <w:spacing w:line="384" w:lineRule="auto"/>
        <w:textAlignment w:val="auto"/>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岿美山尾矿库安全监测设施既有传统的人工安全监测设施，也有自动的在线监测设施，且设置位置、数量与设计相符，观测频率和精度符合规定要求。</w:t>
      </w:r>
      <w:r>
        <w:rPr>
          <w:rFonts w:hint="eastAsia"/>
          <w:color w:val="auto"/>
          <w:lang w:val="en-US" w:eastAsia="zh-CN"/>
        </w:rPr>
        <w:t>后续是否需要调整监测</w:t>
      </w:r>
      <w:r>
        <w:rPr>
          <w:rFonts w:hint="default"/>
          <w:color w:val="auto"/>
          <w:lang w:val="en-US" w:eastAsia="zh-CN"/>
        </w:rPr>
        <w:t>设施</w:t>
      </w:r>
      <w:r>
        <w:rPr>
          <w:rFonts w:hint="eastAsia"/>
          <w:color w:val="auto"/>
          <w:lang w:val="en-US" w:eastAsia="zh-CN"/>
        </w:rPr>
        <w:t>应由设计单位与</w:t>
      </w:r>
      <w:r>
        <w:rPr>
          <w:rFonts w:hint="eastAsia" w:ascii="Times New Roman" w:hAnsi="Times New Roman" w:eastAsia="宋体" w:cs="Times New Roman"/>
          <w:color w:val="auto"/>
          <w:lang w:val="en-US" w:eastAsia="zh-CN"/>
        </w:rPr>
        <w:t>江西岿美山钨业有限公司</w:t>
      </w:r>
      <w:r>
        <w:rPr>
          <w:rFonts w:hint="eastAsia"/>
          <w:color w:val="auto"/>
          <w:lang w:val="en-US" w:eastAsia="zh-CN"/>
        </w:rPr>
        <w:t>进行商定</w:t>
      </w:r>
      <w:r>
        <w:rPr>
          <w:rFonts w:hint="default"/>
          <w:color w:val="auto"/>
          <w:lang w:val="en-US" w:eastAsia="zh-CN"/>
        </w:rPr>
        <w:t>。</w:t>
      </w:r>
    </w:p>
    <w:p w14:paraId="1D973895">
      <w:pPr>
        <w:keepNext w:val="0"/>
        <w:keepLines w:val="0"/>
        <w:pageBreakBefore w:val="0"/>
        <w:widowControl w:val="0"/>
        <w:kinsoku/>
        <w:wordWrap/>
        <w:overflowPunct/>
        <w:topLinePunct w:val="0"/>
        <w:autoSpaceDE/>
        <w:autoSpaceDN/>
        <w:bidi w:val="0"/>
        <w:adjustRightInd/>
        <w:snapToGrid/>
        <w:spacing w:line="384" w:lineRule="auto"/>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5.</w:t>
      </w:r>
      <w:r>
        <w:rPr>
          <w:rFonts w:hint="eastAsia" w:cs="Times New Roman"/>
          <w:color w:val="auto"/>
          <w:lang w:val="en-US" w:eastAsia="zh-CN"/>
        </w:rPr>
        <w:t xml:space="preserve"> </w:t>
      </w:r>
      <w:r>
        <w:rPr>
          <w:rFonts w:hint="eastAsia" w:ascii="Times New Roman" w:hAnsi="Times New Roman" w:eastAsia="宋体" w:cs="Times New Roman"/>
          <w:color w:val="auto"/>
          <w:lang w:val="en-US" w:eastAsia="zh-CN"/>
        </w:rPr>
        <w:t>尾矿库辅助设施单元</w:t>
      </w:r>
    </w:p>
    <w:p w14:paraId="2FF9B9F0">
      <w:pPr>
        <w:keepNext w:val="0"/>
        <w:keepLines w:val="0"/>
        <w:pageBreakBefore w:val="0"/>
        <w:widowControl w:val="0"/>
        <w:kinsoku/>
        <w:wordWrap/>
        <w:overflowPunct/>
        <w:topLinePunct w:val="0"/>
        <w:autoSpaceDE/>
        <w:autoSpaceDN/>
        <w:bidi w:val="0"/>
        <w:adjustRightInd/>
        <w:snapToGrid/>
        <w:spacing w:line="384" w:lineRule="auto"/>
        <w:textAlignment w:val="auto"/>
        <w:rPr>
          <w:rFonts w:hint="eastAsia" w:cs="Times New Roman"/>
          <w:color w:val="auto"/>
          <w:lang w:val="en-US" w:eastAsia="zh-CN"/>
        </w:rPr>
      </w:pPr>
      <w:r>
        <w:rPr>
          <w:rFonts w:hint="eastAsia" w:ascii="Times New Roman" w:hAnsi="Times New Roman" w:eastAsia="宋体" w:cs="Times New Roman"/>
          <w:color w:val="auto"/>
          <w:lang w:val="en-US" w:eastAsia="zh-CN"/>
        </w:rPr>
        <w:t>岿美山尾矿库</w:t>
      </w:r>
      <w:r>
        <w:rPr>
          <w:rFonts w:hint="default" w:ascii="Times New Roman" w:hAnsi="Times New Roman" w:eastAsia="宋体" w:cs="Times New Roman"/>
          <w:color w:val="auto"/>
          <w:lang w:val="en-US" w:eastAsia="zh-CN"/>
        </w:rPr>
        <w:t>有道路通往坝顶</w:t>
      </w:r>
      <w:r>
        <w:rPr>
          <w:rFonts w:hint="eastAsia" w:ascii="Times New Roman" w:hAnsi="Times New Roman" w:eastAsia="宋体" w:cs="Times New Roman"/>
          <w:color w:val="auto"/>
          <w:lang w:val="en-US" w:eastAsia="zh-CN"/>
        </w:rPr>
        <w:t>，</w:t>
      </w:r>
      <w:r>
        <w:rPr>
          <w:rFonts w:hint="default" w:ascii="Times New Roman" w:hAnsi="Times New Roman" w:eastAsia="宋体" w:cs="Times New Roman"/>
          <w:color w:val="auto"/>
          <w:lang w:val="en-US" w:eastAsia="zh-CN"/>
        </w:rPr>
        <w:t>在主坝的右侧设有库区值班房，应急救援物资不</w:t>
      </w:r>
      <w:r>
        <w:rPr>
          <w:rFonts w:hint="eastAsia" w:ascii="Times New Roman" w:hAnsi="Times New Roman" w:eastAsia="宋体" w:cs="Times New Roman"/>
          <w:color w:val="auto"/>
          <w:lang w:val="en-US" w:eastAsia="zh-CN"/>
        </w:rPr>
        <w:t>足，库区范围内布置安全标志不足，</w:t>
      </w:r>
      <w:r>
        <w:rPr>
          <w:rFonts w:hint="default" w:ascii="Times New Roman" w:hAnsi="Times New Roman" w:eastAsia="宋体" w:cs="Times New Roman"/>
          <w:color w:val="auto"/>
          <w:lang w:val="en-US" w:eastAsia="zh-CN"/>
        </w:rPr>
        <w:t>现场管理</w:t>
      </w:r>
      <w:r>
        <w:rPr>
          <w:rFonts w:hint="eastAsia" w:ascii="Times New Roman" w:hAnsi="Times New Roman" w:eastAsia="宋体" w:cs="Times New Roman"/>
          <w:color w:val="auto"/>
          <w:lang w:val="en-US" w:eastAsia="zh-CN"/>
        </w:rPr>
        <w:t>较为</w:t>
      </w:r>
      <w:r>
        <w:rPr>
          <w:rFonts w:hint="default" w:ascii="Times New Roman" w:hAnsi="Times New Roman" w:eastAsia="宋体" w:cs="Times New Roman"/>
          <w:color w:val="auto"/>
          <w:lang w:val="en-US" w:eastAsia="zh-CN"/>
        </w:rPr>
        <w:t>规范，辅助设施符合</w:t>
      </w:r>
      <w:r>
        <w:rPr>
          <w:rFonts w:hint="eastAsia" w:cs="Times New Roman"/>
          <w:color w:val="auto"/>
          <w:lang w:val="en-US" w:eastAsia="zh-CN"/>
        </w:rPr>
        <w:t>现</w:t>
      </w:r>
      <w:r>
        <w:rPr>
          <w:rFonts w:hint="eastAsia" w:ascii="Times New Roman" w:hAnsi="Times New Roman" w:eastAsia="宋体" w:cs="Times New Roman"/>
          <w:color w:val="auto"/>
          <w:lang w:val="en-US" w:eastAsia="zh-CN"/>
        </w:rPr>
        <w:t>行</w:t>
      </w:r>
      <w:r>
        <w:rPr>
          <w:rFonts w:hint="default" w:ascii="Times New Roman" w:hAnsi="Times New Roman" w:eastAsia="宋体" w:cs="Times New Roman"/>
          <w:color w:val="auto"/>
          <w:lang w:val="en-US" w:eastAsia="zh-CN"/>
        </w:rPr>
        <w:t>规程规范规定。</w:t>
      </w:r>
      <w:r>
        <w:rPr>
          <w:rFonts w:hint="eastAsia" w:cs="Times New Roman"/>
          <w:color w:val="auto"/>
          <w:lang w:val="en-US" w:eastAsia="zh-CN"/>
        </w:rPr>
        <w:t>后续</w:t>
      </w:r>
      <w:r>
        <w:rPr>
          <w:rFonts w:hint="eastAsia" w:ascii="Times New Roman" w:hAnsi="Times New Roman" w:eastAsia="宋体" w:cs="Times New Roman"/>
          <w:color w:val="auto"/>
          <w:lang w:val="en-US" w:eastAsia="zh-CN"/>
        </w:rPr>
        <w:t>江西岿美山钨业有限公司</w:t>
      </w:r>
      <w:r>
        <w:rPr>
          <w:rFonts w:hint="eastAsia" w:cs="Times New Roman"/>
          <w:color w:val="auto"/>
          <w:lang w:val="en-US" w:eastAsia="zh-CN"/>
        </w:rPr>
        <w:t>应按照《江西省尾矿库应急抢险工作指南》配齐应急救援物资，并在库内相应区域设置</w:t>
      </w:r>
      <w:r>
        <w:rPr>
          <w:rFonts w:hint="eastAsia" w:ascii="Times New Roman" w:hAnsi="Times New Roman" w:eastAsia="宋体" w:cs="Times New Roman"/>
          <w:color w:val="auto"/>
          <w:lang w:val="en-US" w:eastAsia="zh-CN"/>
        </w:rPr>
        <w:t>安全标志</w:t>
      </w:r>
      <w:r>
        <w:rPr>
          <w:rFonts w:hint="eastAsia" w:cs="Times New Roman"/>
          <w:color w:val="auto"/>
          <w:lang w:val="en-US" w:eastAsia="zh-CN"/>
        </w:rPr>
        <w:t>。</w:t>
      </w:r>
    </w:p>
    <w:p w14:paraId="31D01376">
      <w:pPr>
        <w:keepNext w:val="0"/>
        <w:keepLines w:val="0"/>
        <w:pageBreakBefore w:val="0"/>
        <w:widowControl w:val="0"/>
        <w:kinsoku/>
        <w:wordWrap/>
        <w:overflowPunct/>
        <w:topLinePunct w:val="0"/>
        <w:autoSpaceDE/>
        <w:autoSpaceDN/>
        <w:bidi w:val="0"/>
        <w:adjustRightInd/>
        <w:snapToGrid/>
        <w:spacing w:line="384" w:lineRule="auto"/>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6</w:t>
      </w:r>
      <w:r>
        <w:rPr>
          <w:rFonts w:hint="eastAsia" w:ascii="Times New Roman" w:hAnsi="Times New Roman" w:eastAsia="宋体" w:cs="Times New Roman"/>
          <w:color w:val="auto"/>
          <w:lang w:val="en-US" w:eastAsia="zh-CN"/>
        </w:rPr>
        <w:t xml:space="preserve">. </w:t>
      </w:r>
      <w:r>
        <w:rPr>
          <w:rFonts w:hint="default" w:ascii="Times New Roman" w:hAnsi="Times New Roman" w:eastAsia="宋体" w:cs="Times New Roman"/>
          <w:color w:val="auto"/>
          <w:lang w:val="en-US" w:eastAsia="zh-CN"/>
        </w:rPr>
        <w:t>尾矿库库区环境单元</w:t>
      </w:r>
    </w:p>
    <w:p w14:paraId="4A1C95C2">
      <w:pPr>
        <w:keepNext w:val="0"/>
        <w:keepLines w:val="0"/>
        <w:pageBreakBefore w:val="0"/>
        <w:widowControl w:val="0"/>
        <w:kinsoku/>
        <w:wordWrap/>
        <w:overflowPunct/>
        <w:topLinePunct w:val="0"/>
        <w:autoSpaceDE/>
        <w:autoSpaceDN/>
        <w:bidi w:val="0"/>
        <w:adjustRightInd/>
        <w:snapToGrid/>
        <w:spacing w:line="384" w:lineRule="auto"/>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岿美山尾矿库尾矿坝上和尾矿库区内无与尾矿库运行无关的建、构筑物。尾矿坝上和对尾矿库产生安全影响的区域无乱采、滥挖和非法爆破等违规作业；周边山体稳定，无滑动、坍塌等影响尾矿库安全情况，库区环境安全状况良好。</w:t>
      </w:r>
    </w:p>
    <w:p w14:paraId="53168D8C">
      <w:pPr>
        <w:keepNext w:val="0"/>
        <w:keepLines w:val="0"/>
        <w:pageBreakBefore w:val="0"/>
        <w:widowControl w:val="0"/>
        <w:kinsoku/>
        <w:wordWrap/>
        <w:overflowPunct/>
        <w:topLinePunct w:val="0"/>
        <w:autoSpaceDE/>
        <w:autoSpaceDN/>
        <w:bidi w:val="0"/>
        <w:adjustRightInd/>
        <w:snapToGrid/>
        <w:spacing w:line="384" w:lineRule="auto"/>
        <w:textAlignment w:val="auto"/>
        <w:rPr>
          <w:rFonts w:hint="default" w:ascii="Times New Roman" w:hAnsi="Times New Roman" w:eastAsia="宋体" w:cs="Times New Roman"/>
          <w:color w:val="auto"/>
          <w:lang w:val="en-US" w:eastAsia="zh-CN"/>
        </w:rPr>
      </w:pPr>
      <w:r>
        <w:rPr>
          <w:rFonts w:hint="eastAsia"/>
          <w:color w:val="auto"/>
          <w:lang w:val="en-US" w:eastAsia="zh-CN"/>
        </w:rPr>
        <w:t>库尾</w:t>
      </w:r>
      <w:r>
        <w:rPr>
          <w:rFonts w:hint="eastAsia" w:ascii="Times New Roman" w:eastAsia="宋体"/>
          <w:color w:val="auto"/>
          <w:lang w:val="en-US" w:eastAsia="zh-CN"/>
        </w:rPr>
        <w:t>可能存在</w:t>
      </w:r>
      <w:r>
        <w:rPr>
          <w:rFonts w:hint="eastAsia"/>
          <w:color w:val="auto"/>
          <w:lang w:val="en-US" w:eastAsia="zh-CN"/>
        </w:rPr>
        <w:t>山体</w:t>
      </w:r>
      <w:r>
        <w:rPr>
          <w:rFonts w:hint="eastAsia" w:ascii="Times New Roman" w:eastAsia="宋体"/>
          <w:color w:val="auto"/>
          <w:lang w:val="en-US" w:eastAsia="zh-CN"/>
        </w:rPr>
        <w:t>滑坡、泥石流等危害，后续设计应考虑</w:t>
      </w:r>
      <w:r>
        <w:rPr>
          <w:rFonts w:hint="eastAsia"/>
          <w:color w:val="auto"/>
          <w:lang w:val="en-US" w:eastAsia="zh-CN"/>
        </w:rPr>
        <w:t>其</w:t>
      </w:r>
      <w:r>
        <w:rPr>
          <w:rFonts w:hint="eastAsia" w:ascii="Times New Roman" w:eastAsia="宋体"/>
          <w:color w:val="auto"/>
          <w:lang w:val="en-US" w:eastAsia="zh-CN"/>
        </w:rPr>
        <w:t>对尾矿库</w:t>
      </w:r>
      <w:r>
        <w:rPr>
          <w:rFonts w:hint="eastAsia"/>
          <w:color w:val="auto"/>
          <w:lang w:val="en-US" w:eastAsia="zh-CN"/>
        </w:rPr>
        <w:t>构筑物不利</w:t>
      </w:r>
      <w:r>
        <w:rPr>
          <w:rFonts w:hint="eastAsia" w:ascii="Times New Roman" w:eastAsia="宋体"/>
          <w:color w:val="auto"/>
          <w:lang w:val="en-US" w:eastAsia="zh-CN"/>
        </w:rPr>
        <w:t>影响的防治措施。</w:t>
      </w:r>
    </w:p>
    <w:p w14:paraId="4DA0E5DD">
      <w:pPr>
        <w:keepNext w:val="0"/>
        <w:keepLines w:val="0"/>
        <w:pageBreakBefore w:val="0"/>
        <w:widowControl w:val="0"/>
        <w:kinsoku/>
        <w:wordWrap/>
        <w:overflowPunct/>
        <w:topLinePunct w:val="0"/>
        <w:autoSpaceDE/>
        <w:autoSpaceDN/>
        <w:bidi w:val="0"/>
        <w:adjustRightInd/>
        <w:snapToGrid/>
        <w:spacing w:line="384" w:lineRule="auto"/>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7. 综合安全评价</w:t>
      </w:r>
    </w:p>
    <w:p w14:paraId="4CE417FD">
      <w:pPr>
        <w:keepNext w:val="0"/>
        <w:keepLines w:val="0"/>
        <w:pageBreakBefore w:val="0"/>
        <w:widowControl w:val="0"/>
        <w:kinsoku/>
        <w:wordWrap/>
        <w:overflowPunct/>
        <w:topLinePunct w:val="0"/>
        <w:autoSpaceDE/>
        <w:autoSpaceDN/>
        <w:bidi w:val="0"/>
        <w:adjustRightInd/>
        <w:snapToGrid/>
        <w:spacing w:line="384" w:lineRule="auto"/>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岿美山尾矿库</w:t>
      </w:r>
      <w:r>
        <w:rPr>
          <w:rFonts w:hint="default" w:ascii="Times New Roman" w:hAnsi="Times New Roman" w:eastAsia="宋体" w:cs="Times New Roman"/>
          <w:color w:val="auto"/>
          <w:lang w:val="en-US" w:eastAsia="zh-CN"/>
        </w:rPr>
        <w:t>用安全检查表法评价得分率为</w:t>
      </w:r>
      <w:r>
        <w:rPr>
          <w:rFonts w:hint="eastAsia" w:ascii="Times New Roman" w:hAnsi="Times New Roman" w:eastAsia="宋体" w:cs="Times New Roman"/>
          <w:color w:val="auto"/>
          <w:lang w:val="en-US" w:eastAsia="zh-CN"/>
        </w:rPr>
        <w:t>61.64%，属于安全生产条件较差，不能完全保证安全生产活动，需要限期整改的尾矿库。</w:t>
      </w:r>
    </w:p>
    <w:p w14:paraId="2AC3055F">
      <w:pPr>
        <w:pStyle w:val="3"/>
        <w:bidi w:val="0"/>
        <w:rPr>
          <w:rFonts w:hint="default"/>
          <w:color w:val="auto"/>
          <w:lang w:val="en-US" w:eastAsia="zh-CN"/>
        </w:rPr>
      </w:pPr>
      <w:bookmarkStart w:id="628" w:name="_Toc9644"/>
      <w:bookmarkStart w:id="629" w:name="_Toc12447"/>
      <w:bookmarkStart w:id="630" w:name="_Toc14117"/>
      <w:bookmarkStart w:id="631" w:name="_Toc20579"/>
      <w:bookmarkStart w:id="632" w:name="_Toc17115"/>
      <w:r>
        <w:rPr>
          <w:rFonts w:hint="default"/>
          <w:color w:val="auto"/>
          <w:lang w:val="en-US" w:eastAsia="zh-CN"/>
        </w:rPr>
        <w:t>7.3</w:t>
      </w:r>
      <w:r>
        <w:rPr>
          <w:rFonts w:hint="eastAsia"/>
          <w:color w:val="auto"/>
          <w:lang w:val="en-US" w:eastAsia="zh-CN"/>
        </w:rPr>
        <w:t xml:space="preserve"> </w:t>
      </w:r>
      <w:r>
        <w:rPr>
          <w:rFonts w:hint="default"/>
          <w:color w:val="auto"/>
          <w:lang w:val="en-US" w:eastAsia="zh-CN"/>
        </w:rPr>
        <w:t>综合评价结论</w:t>
      </w:r>
      <w:bookmarkEnd w:id="628"/>
      <w:bookmarkEnd w:id="629"/>
      <w:bookmarkEnd w:id="630"/>
      <w:bookmarkEnd w:id="631"/>
      <w:bookmarkEnd w:id="632"/>
    </w:p>
    <w:p w14:paraId="3EB93F35">
      <w:pPr>
        <w:rPr>
          <w:rFonts w:hint="eastAsia"/>
          <w:b/>
          <w:bCs/>
          <w:color w:val="auto"/>
          <w:lang w:val="en-US" w:eastAsia="zh-CN"/>
        </w:rPr>
      </w:pPr>
      <w:r>
        <w:rPr>
          <w:rFonts w:hint="eastAsia"/>
          <w:b/>
          <w:bCs/>
          <w:color w:val="auto"/>
          <w:lang w:val="en-US" w:eastAsia="zh-CN"/>
        </w:rPr>
        <w:t>经判定，江西岿美山钨业有限公司尾矿库已停用多年，且存在重大事故隐患。经安全检查表法分析评价，得分率为61.64%，属于安全生产条件较差，不能完全保证安全生产活动，需要限期整改的尾矿库</w:t>
      </w:r>
      <w:r>
        <w:rPr>
          <w:rFonts w:hint="eastAsia" w:ascii="Times New Roman" w:hAnsi="Times New Roman" w:eastAsia="宋体" w:cs="Times New Roman"/>
          <w:b/>
          <w:bCs/>
          <w:color w:val="auto"/>
          <w:lang w:val="en-US" w:eastAsia="zh-CN"/>
        </w:rPr>
        <w:t>。</w:t>
      </w:r>
      <w:r>
        <w:rPr>
          <w:rFonts w:hint="eastAsia"/>
          <w:b/>
          <w:bCs/>
          <w:color w:val="auto"/>
          <w:lang w:val="en-US" w:eastAsia="zh-CN"/>
        </w:rPr>
        <w:t>江西岿美山钨业有限公司尾矿库应及时进行闭库整治设计，确保尾矿库满足规程要求，维持尾矿库闭库后长期安全稳定。</w:t>
      </w:r>
    </w:p>
    <w:p w14:paraId="4A3EB9F8">
      <w:pPr>
        <w:rPr>
          <w:rFonts w:hint="eastAsia"/>
          <w:b/>
          <w:bCs/>
          <w:color w:val="auto"/>
          <w:lang w:val="en-US" w:eastAsia="zh-CN"/>
        </w:rPr>
      </w:pPr>
    </w:p>
    <w:p w14:paraId="37D1EFD5">
      <w:pPr>
        <w:keepNext/>
        <w:keepLines/>
        <w:widowControl w:val="0"/>
        <w:numPr>
          <w:ilvl w:val="0"/>
          <w:numId w:val="0"/>
        </w:numPr>
        <w:bidi w:val="0"/>
        <w:spacing w:beforeLines="0" w:beforeAutospacing="0" w:afterLines="0" w:afterAutospacing="0" w:line="360" w:lineRule="auto"/>
        <w:ind w:left="0" w:leftChars="0" w:firstLine="0" w:firstLineChars="0"/>
        <w:jc w:val="center"/>
        <w:outlineLvl w:val="0"/>
        <w:rPr>
          <w:rFonts w:hint="default" w:ascii="Times New Roman" w:hAnsi="Times New Roman" w:eastAsia="黑体" w:cs="Times New Roman"/>
          <w:b/>
          <w:color w:val="auto"/>
          <w:kern w:val="44"/>
          <w:sz w:val="32"/>
          <w:szCs w:val="24"/>
          <w:lang w:val="en-US" w:eastAsia="zh-CN" w:bidi="ar-SA"/>
        </w:rPr>
      </w:pPr>
      <w:r>
        <w:rPr>
          <w:rFonts w:hint="eastAsia"/>
          <w:color w:val="auto"/>
          <w:lang w:val="en-US" w:eastAsia="zh-CN"/>
        </w:rPr>
        <w:br w:type="page"/>
      </w:r>
      <w:bookmarkStart w:id="633" w:name="_Toc14363"/>
      <w:bookmarkStart w:id="634" w:name="_Toc21425"/>
      <w:bookmarkStart w:id="635" w:name="_Toc10728"/>
      <w:bookmarkStart w:id="636" w:name="_Toc12839"/>
      <w:bookmarkStart w:id="637" w:name="_Toc2157"/>
      <w:bookmarkStart w:id="638" w:name="_Toc22107"/>
      <w:bookmarkStart w:id="639" w:name="_Toc26287"/>
      <w:bookmarkStart w:id="640" w:name="_Toc6881"/>
      <w:r>
        <w:rPr>
          <w:rStyle w:val="39"/>
          <w:rFonts w:hint="eastAsia"/>
          <w:color w:val="auto"/>
          <w:lang w:val="en-US" w:eastAsia="zh-CN"/>
        </w:rPr>
        <w:t xml:space="preserve">8. </w:t>
      </w:r>
      <w:r>
        <w:rPr>
          <w:rFonts w:hint="default" w:ascii="Times New Roman" w:hAnsi="Times New Roman" w:eastAsia="黑体" w:cs="Times New Roman"/>
          <w:b/>
          <w:color w:val="auto"/>
          <w:kern w:val="44"/>
          <w:sz w:val="32"/>
          <w:szCs w:val="24"/>
          <w:lang w:val="en-US" w:eastAsia="zh-CN" w:bidi="ar-SA"/>
        </w:rPr>
        <w:t>附图附件</w:t>
      </w:r>
      <w:bookmarkEnd w:id="633"/>
      <w:bookmarkEnd w:id="634"/>
      <w:bookmarkEnd w:id="635"/>
      <w:bookmarkEnd w:id="636"/>
      <w:bookmarkEnd w:id="637"/>
      <w:bookmarkEnd w:id="638"/>
      <w:bookmarkEnd w:id="639"/>
      <w:bookmarkEnd w:id="640"/>
    </w:p>
    <w:p w14:paraId="2C66B815">
      <w:pPr>
        <w:pStyle w:val="3"/>
        <w:bidi w:val="0"/>
        <w:rPr>
          <w:rFonts w:hint="eastAsia"/>
          <w:color w:val="auto"/>
          <w:lang w:val="en-US" w:eastAsia="zh-CN"/>
        </w:rPr>
      </w:pPr>
      <w:bookmarkStart w:id="641" w:name="_Toc25126"/>
      <w:bookmarkStart w:id="642" w:name="_Toc6111"/>
      <w:r>
        <w:rPr>
          <w:rFonts w:hint="eastAsia"/>
          <w:color w:val="auto"/>
          <w:lang w:val="en-US" w:eastAsia="zh-CN"/>
        </w:rPr>
        <w:t>8.1 尾矿库现状图</w:t>
      </w:r>
      <w:bookmarkEnd w:id="641"/>
      <w:bookmarkEnd w:id="642"/>
    </w:p>
    <w:p w14:paraId="1112265C">
      <w:pPr>
        <w:spacing w:line="600" w:lineRule="exact"/>
        <w:ind w:firstLine="560" w:firstLineChars="200"/>
        <w:rPr>
          <w:bCs/>
          <w:strike w:val="0"/>
          <w:dstrike w:val="0"/>
          <w:color w:val="auto"/>
          <w:sz w:val="28"/>
          <w:szCs w:val="28"/>
        </w:rPr>
      </w:pPr>
      <w:r>
        <w:rPr>
          <w:bCs/>
          <w:strike w:val="0"/>
          <w:dstrike w:val="0"/>
          <w:color w:val="auto"/>
          <w:sz w:val="28"/>
          <w:szCs w:val="28"/>
        </w:rPr>
        <w:t>（1）</w:t>
      </w:r>
      <w:r>
        <w:rPr>
          <w:rFonts w:hint="eastAsia"/>
          <w:bCs/>
          <w:strike w:val="0"/>
          <w:dstrike w:val="0"/>
          <w:color w:val="auto"/>
          <w:sz w:val="28"/>
          <w:szCs w:val="28"/>
          <w:lang w:val="en-US" w:eastAsia="zh-CN"/>
        </w:rPr>
        <w:t>尾矿库</w:t>
      </w:r>
      <w:r>
        <w:rPr>
          <w:bCs/>
          <w:strike w:val="0"/>
          <w:dstrike w:val="0"/>
          <w:color w:val="auto"/>
          <w:sz w:val="28"/>
          <w:szCs w:val="28"/>
        </w:rPr>
        <w:t>平面布置图</w:t>
      </w:r>
    </w:p>
    <w:p w14:paraId="4B7F809F">
      <w:pPr>
        <w:spacing w:line="600" w:lineRule="exact"/>
        <w:ind w:firstLine="560" w:firstLineChars="200"/>
        <w:rPr>
          <w:bCs/>
          <w:strike w:val="0"/>
          <w:dstrike w:val="0"/>
          <w:color w:val="auto"/>
          <w:sz w:val="28"/>
          <w:szCs w:val="28"/>
        </w:rPr>
      </w:pPr>
      <w:r>
        <w:rPr>
          <w:bCs/>
          <w:strike w:val="0"/>
          <w:dstrike w:val="0"/>
          <w:color w:val="auto"/>
          <w:sz w:val="28"/>
          <w:szCs w:val="28"/>
        </w:rPr>
        <w:t>（2）</w:t>
      </w:r>
      <w:r>
        <w:rPr>
          <w:rFonts w:hint="eastAsia"/>
          <w:bCs/>
          <w:strike w:val="0"/>
          <w:dstrike w:val="0"/>
          <w:color w:val="auto"/>
          <w:sz w:val="28"/>
          <w:szCs w:val="28"/>
          <w:lang w:val="en-US" w:eastAsia="zh-CN"/>
        </w:rPr>
        <w:t>尾矿库主</w:t>
      </w:r>
      <w:r>
        <w:rPr>
          <w:bCs/>
          <w:strike w:val="0"/>
          <w:dstrike w:val="0"/>
          <w:color w:val="auto"/>
          <w:sz w:val="28"/>
          <w:szCs w:val="28"/>
        </w:rPr>
        <w:t>坝</w:t>
      </w:r>
      <w:r>
        <w:rPr>
          <w:rFonts w:hint="eastAsia"/>
          <w:bCs/>
          <w:strike w:val="0"/>
          <w:dstrike w:val="0"/>
          <w:color w:val="auto"/>
          <w:sz w:val="28"/>
          <w:szCs w:val="28"/>
          <w:lang w:val="en-US" w:eastAsia="zh-CN"/>
        </w:rPr>
        <w:t>坝体</w:t>
      </w:r>
      <w:r>
        <w:rPr>
          <w:bCs/>
          <w:strike w:val="0"/>
          <w:dstrike w:val="0"/>
          <w:color w:val="auto"/>
          <w:sz w:val="28"/>
          <w:szCs w:val="28"/>
        </w:rPr>
        <w:t>剖面图</w:t>
      </w:r>
    </w:p>
    <w:p w14:paraId="30660DCA">
      <w:pPr>
        <w:spacing w:line="600" w:lineRule="exact"/>
        <w:ind w:firstLine="560" w:firstLineChars="200"/>
        <w:rPr>
          <w:rFonts w:hint="default"/>
          <w:bCs/>
          <w:strike w:val="0"/>
          <w:dstrike w:val="0"/>
          <w:color w:val="auto"/>
          <w:sz w:val="28"/>
          <w:szCs w:val="28"/>
          <w:lang w:val="en-US"/>
        </w:rPr>
      </w:pPr>
      <w:r>
        <w:rPr>
          <w:bCs/>
          <w:strike w:val="0"/>
          <w:dstrike w:val="0"/>
          <w:color w:val="auto"/>
          <w:sz w:val="28"/>
          <w:szCs w:val="28"/>
        </w:rPr>
        <w:t>（3）</w:t>
      </w:r>
      <w:r>
        <w:rPr>
          <w:rFonts w:hint="eastAsia"/>
          <w:bCs/>
          <w:strike w:val="0"/>
          <w:dstrike w:val="0"/>
          <w:color w:val="auto"/>
          <w:sz w:val="28"/>
          <w:szCs w:val="28"/>
          <w:lang w:val="en-US" w:eastAsia="zh-CN"/>
        </w:rPr>
        <w:t>尾矿库副</w:t>
      </w:r>
      <w:r>
        <w:rPr>
          <w:bCs/>
          <w:strike w:val="0"/>
          <w:dstrike w:val="0"/>
          <w:color w:val="auto"/>
          <w:sz w:val="28"/>
          <w:szCs w:val="28"/>
        </w:rPr>
        <w:t>坝</w:t>
      </w:r>
      <w:r>
        <w:rPr>
          <w:rFonts w:hint="eastAsia"/>
          <w:bCs/>
          <w:strike w:val="0"/>
          <w:dstrike w:val="0"/>
          <w:color w:val="auto"/>
          <w:sz w:val="28"/>
          <w:szCs w:val="28"/>
          <w:lang w:val="en-US" w:eastAsia="zh-CN"/>
        </w:rPr>
        <w:t>及溢流坝坝体剖面图</w:t>
      </w:r>
    </w:p>
    <w:p w14:paraId="6906A3EB">
      <w:pPr>
        <w:pStyle w:val="3"/>
        <w:bidi w:val="0"/>
        <w:rPr>
          <w:rFonts w:hint="eastAsia"/>
          <w:color w:val="auto"/>
          <w:lang w:val="en-US" w:eastAsia="zh-CN"/>
        </w:rPr>
      </w:pPr>
      <w:bookmarkStart w:id="643" w:name="_Toc20825"/>
      <w:bookmarkStart w:id="644" w:name="_Toc822"/>
      <w:r>
        <w:rPr>
          <w:rFonts w:hint="eastAsia"/>
          <w:color w:val="auto"/>
          <w:lang w:val="en-US" w:eastAsia="zh-CN"/>
        </w:rPr>
        <w:t>8.2 附件</w:t>
      </w:r>
      <w:bookmarkEnd w:id="643"/>
      <w:bookmarkEnd w:id="644"/>
    </w:p>
    <w:p w14:paraId="50987FEB">
      <w:pPr>
        <w:spacing w:line="600" w:lineRule="exact"/>
        <w:ind w:firstLine="560" w:firstLineChars="200"/>
        <w:rPr>
          <w:rFonts w:hint="eastAsia"/>
          <w:bCs/>
          <w:color w:val="auto"/>
          <w:sz w:val="28"/>
          <w:szCs w:val="28"/>
          <w:lang w:val="en-US" w:eastAsia="zh-CN"/>
        </w:rPr>
      </w:pPr>
      <w:r>
        <w:rPr>
          <w:rFonts w:hint="eastAsia" w:ascii="Times New Roman" w:hAnsi="Times New Roman" w:eastAsia="宋体" w:cs="Times New Roman"/>
          <w:bCs/>
          <w:color w:val="auto"/>
          <w:sz w:val="28"/>
          <w:szCs w:val="28"/>
        </w:rPr>
        <w:t>江西岿美山钨业有限公司</w:t>
      </w:r>
      <w:r>
        <w:rPr>
          <w:rFonts w:ascii="Times New Roman" w:hAnsi="Times New Roman" w:eastAsia="宋体" w:cs="Times New Roman"/>
          <w:bCs/>
          <w:color w:val="auto"/>
          <w:sz w:val="28"/>
          <w:szCs w:val="28"/>
        </w:rPr>
        <w:t>提供</w:t>
      </w:r>
      <w:r>
        <w:rPr>
          <w:bCs/>
          <w:color w:val="auto"/>
          <w:sz w:val="28"/>
          <w:szCs w:val="28"/>
        </w:rPr>
        <w:t>的营业执照、</w:t>
      </w:r>
      <w:r>
        <w:rPr>
          <w:rFonts w:hint="eastAsia"/>
          <w:bCs/>
          <w:color w:val="auto"/>
          <w:sz w:val="28"/>
          <w:szCs w:val="28"/>
          <w:lang w:val="en-US" w:eastAsia="zh-CN"/>
        </w:rPr>
        <w:t>安全生产许可证</w:t>
      </w:r>
      <w:r>
        <w:rPr>
          <w:rFonts w:hint="eastAsia"/>
          <w:bCs/>
          <w:color w:val="auto"/>
          <w:sz w:val="28"/>
          <w:szCs w:val="28"/>
          <w:lang w:eastAsia="zh-CN"/>
        </w:rPr>
        <w:t>、</w:t>
      </w:r>
      <w:r>
        <w:rPr>
          <w:rFonts w:hint="eastAsia"/>
          <w:bCs/>
          <w:color w:val="auto"/>
          <w:sz w:val="28"/>
          <w:szCs w:val="28"/>
          <w:lang w:val="en-US" w:eastAsia="zh-CN"/>
        </w:rPr>
        <w:t>安全管理机构文件</w:t>
      </w:r>
      <w:r>
        <w:rPr>
          <w:rFonts w:hint="eastAsia"/>
          <w:bCs/>
          <w:color w:val="auto"/>
          <w:sz w:val="28"/>
          <w:szCs w:val="28"/>
          <w:lang w:eastAsia="zh-CN"/>
        </w:rPr>
        <w:t>、</w:t>
      </w:r>
      <w:r>
        <w:rPr>
          <w:bCs/>
          <w:color w:val="auto"/>
          <w:sz w:val="28"/>
          <w:szCs w:val="28"/>
        </w:rPr>
        <w:t>尾矿工资格证书</w:t>
      </w:r>
      <w:r>
        <w:rPr>
          <w:rFonts w:hint="eastAsia"/>
          <w:bCs/>
          <w:color w:val="auto"/>
          <w:sz w:val="28"/>
          <w:szCs w:val="28"/>
          <w:lang w:val="en-US" w:eastAsia="zh-CN"/>
        </w:rPr>
        <w:t>和</w:t>
      </w:r>
      <w:r>
        <w:rPr>
          <w:bCs/>
          <w:color w:val="auto"/>
          <w:sz w:val="28"/>
          <w:szCs w:val="28"/>
        </w:rPr>
        <w:t>其他资料</w:t>
      </w:r>
      <w:r>
        <w:rPr>
          <w:rFonts w:hint="eastAsia"/>
          <w:bCs/>
          <w:color w:val="auto"/>
          <w:sz w:val="28"/>
          <w:szCs w:val="28"/>
          <w:lang w:val="en-US" w:eastAsia="zh-CN"/>
        </w:rPr>
        <w:t>等。</w:t>
      </w:r>
    </w:p>
    <w:p w14:paraId="33670440">
      <w:pPr>
        <w:spacing w:line="600" w:lineRule="exact"/>
        <w:ind w:firstLine="560" w:firstLineChars="200"/>
        <w:rPr>
          <w:rFonts w:hint="eastAsia"/>
          <w:bCs/>
          <w:color w:val="auto"/>
          <w:sz w:val="28"/>
          <w:szCs w:val="28"/>
          <w:lang w:val="en-US" w:eastAsia="zh-CN"/>
        </w:rPr>
      </w:pPr>
    </w:p>
    <w:p w14:paraId="626C10D1">
      <w:pPr>
        <w:rPr>
          <w:rFonts w:hint="eastAsia"/>
          <w:bCs/>
          <w:color w:val="auto"/>
          <w:sz w:val="28"/>
          <w:szCs w:val="28"/>
          <w:lang w:val="en-US" w:eastAsia="zh-CN"/>
        </w:rPr>
      </w:pPr>
      <w:r>
        <w:rPr>
          <w:rFonts w:hint="eastAsia"/>
          <w:bCs/>
          <w:color w:val="auto"/>
          <w:sz w:val="28"/>
          <w:szCs w:val="28"/>
          <w:lang w:val="en-US" w:eastAsia="zh-CN"/>
        </w:rPr>
        <w:br w:type="page"/>
      </w:r>
    </w:p>
    <w:p w14:paraId="2D8B1742">
      <w:pPr>
        <w:bidi w:val="0"/>
        <w:rPr>
          <w:rFonts w:hint="default"/>
          <w:color w:val="auto"/>
          <w:lang w:val="en-US" w:eastAsia="zh-CN"/>
        </w:rPr>
      </w:pPr>
      <w:r>
        <w:rPr>
          <w:rFonts w:hint="default"/>
          <w:color w:val="auto"/>
          <w:lang w:val="en-US" w:eastAsia="zh-CN"/>
        </w:rPr>
        <w:t>附：评价人员与</w:t>
      </w:r>
      <w:r>
        <w:rPr>
          <w:rFonts w:hint="eastAsia" w:ascii="Times New Roman" w:hAnsi="Times New Roman" w:eastAsia="宋体" w:cs="Times New Roman"/>
          <w:bCs/>
          <w:color w:val="auto"/>
          <w:sz w:val="28"/>
          <w:szCs w:val="28"/>
        </w:rPr>
        <w:t>江西岿美山钨业有限公司</w:t>
      </w:r>
      <w:r>
        <w:rPr>
          <w:rFonts w:hint="eastAsia"/>
          <w:color w:val="auto"/>
          <w:lang w:val="en-US" w:eastAsia="zh-CN"/>
        </w:rPr>
        <w:t>工作人员</w:t>
      </w:r>
      <w:r>
        <w:rPr>
          <w:rFonts w:hint="default"/>
          <w:color w:val="auto"/>
          <w:lang w:val="en-US" w:eastAsia="zh-CN"/>
        </w:rPr>
        <w:t>现场合影</w:t>
      </w:r>
    </w:p>
    <w:p w14:paraId="34219DB6">
      <w:pPr>
        <w:bidi w:val="0"/>
        <w:ind w:left="0" w:leftChars="0" w:firstLine="0" w:firstLineChars="0"/>
        <w:jc w:val="center"/>
        <w:rPr>
          <w:rFonts w:hint="default"/>
          <w:color w:val="auto"/>
          <w:lang w:val="en-US" w:eastAsia="zh-CN"/>
        </w:rPr>
      </w:pPr>
      <w:r>
        <w:rPr>
          <w:color w:val="auto"/>
        </w:rPr>
        <w:drawing>
          <wp:inline distT="0" distB="0" distL="114300" distR="114300">
            <wp:extent cx="5039995" cy="4255135"/>
            <wp:effectExtent l="0" t="0" r="8255" b="12065"/>
            <wp:docPr id="4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0"/>
                    <pic:cNvPicPr>
                      <a:picLocks noChangeAspect="1"/>
                    </pic:cNvPicPr>
                  </pic:nvPicPr>
                  <pic:blipFill>
                    <a:blip r:embed="rId30"/>
                    <a:stretch>
                      <a:fillRect/>
                    </a:stretch>
                  </pic:blipFill>
                  <pic:spPr>
                    <a:xfrm>
                      <a:off x="0" y="0"/>
                      <a:ext cx="5039995" cy="4255135"/>
                    </a:xfrm>
                    <a:prstGeom prst="rect">
                      <a:avLst/>
                    </a:prstGeom>
                    <a:noFill/>
                    <a:ln>
                      <a:noFill/>
                    </a:ln>
                  </pic:spPr>
                </pic:pic>
              </a:graphicData>
            </a:graphic>
          </wp:inline>
        </w:drawing>
      </w:r>
    </w:p>
    <w:sectPr>
      <w:pgSz w:w="11906" w:h="16838"/>
      <w:pgMar w:top="1440" w:right="1418" w:bottom="1440" w:left="1418" w:header="851" w:footer="992" w:gutter="0"/>
      <w:pgBorders>
        <w:top w:val="none" w:sz="0" w:space="0"/>
        <w:left w:val="none" w:sz="0" w:space="0"/>
        <w:bottom w:val="none" w:sz="0" w:space="0"/>
        <w:right w:val="none" w:sz="0" w:space="0"/>
      </w:pgBorders>
      <w:pgNumType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4121592-7B1A-4EE7-8D20-F20D17BF1FC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2" w:fontKey="{21782793-1F02-4897-A409-38AF5B969BF8}"/>
  </w:font>
  <w:font w:name="仿宋">
    <w:panose1 w:val="02010609060101010101"/>
    <w:charset w:val="86"/>
    <w:family w:val="modern"/>
    <w:pitch w:val="default"/>
    <w:sig w:usb0="800002BF" w:usb1="38CF7CFA" w:usb2="00000016" w:usb3="00000000" w:csb0="00040001" w:csb1="00000000"/>
    <w:embedRegular r:id="rId3" w:fontKey="{C81A5D2A-61C5-4CAC-8DB9-7450BDECD332}"/>
  </w:font>
  <w:font w:name="新宋体">
    <w:panose1 w:val="02010609030101010101"/>
    <w:charset w:val="86"/>
    <w:family w:val="modern"/>
    <w:pitch w:val="default"/>
    <w:sig w:usb0="00000203" w:usb1="288F0000" w:usb2="00000006" w:usb3="00000000" w:csb0="00040001" w:csb1="00000000"/>
  </w:font>
  <w:font w:name="Verdana">
    <w:panose1 w:val="020B0604030504040204"/>
    <w:charset w:val="00"/>
    <w:family w:val="swiss"/>
    <w:pitch w:val="default"/>
    <w:sig w:usb0="A00006FF" w:usb1="4000205B" w:usb2="00000010" w:usb3="00000000" w:csb0="2000019F" w:csb1="00000000"/>
  </w:font>
  <w:font w:name="Batang">
    <w:altName w:val="Malgun Gothic"/>
    <w:panose1 w:val="02030600000101010101"/>
    <w:charset w:val="81"/>
    <w:family w:val="roman"/>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Franklin Gothic Heavy">
    <w:panose1 w:val="020B0903020102020204"/>
    <w:charset w:val="00"/>
    <w:family w:val="swiss"/>
    <w:pitch w:val="default"/>
    <w:sig w:usb0="00000287" w:usb1="00000000" w:usb2="00000000" w:usb3="00000000" w:csb0="2000009F" w:csb1="DFD70000"/>
  </w:font>
  <w:font w:name="微软雅黑">
    <w:panose1 w:val="020B0503020204020204"/>
    <w:charset w:val="86"/>
    <w:family w:val="auto"/>
    <w:pitch w:val="default"/>
    <w:sig w:usb0="80000287" w:usb1="2ACF3C50" w:usb2="00000016" w:usb3="00000000" w:csb0="0004001F" w:csb1="00000000"/>
    <w:embedRegular r:id="rId4" w:fontKey="{D93A63C2-59BC-48D2-B5BB-1742A0F05C70}"/>
  </w:font>
  <w:font w:name="ËÎÌå">
    <w:altName w:val="Arial"/>
    <w:panose1 w:val="00000000000000000000"/>
    <w:charset w:val="00"/>
    <w:family w:val="decorative"/>
    <w:pitch w:val="default"/>
    <w:sig w:usb0="00000000" w:usb1="00000000" w:usb2="00000000" w:usb3="00000000" w:csb0="00000001" w:csb1="00000000"/>
  </w:font>
  <w:font w:name="Cambria Math">
    <w:panose1 w:val="02040503050406030204"/>
    <w:charset w:val="00"/>
    <w:family w:val="auto"/>
    <w:pitch w:val="default"/>
    <w:sig w:usb0="E00006FF" w:usb1="420024FF" w:usb2="02000000" w:usb3="00000000" w:csb0="2000019F" w:csb1="00000000"/>
    <w:embedRegular r:id="rId5" w:fontKey="{0402F8DC-E0B1-409D-BBE8-914DB67AFEA2}"/>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B6A48">
    <w:pPr>
      <w:pStyle w:val="21"/>
      <w:pBdr>
        <w:top w:val="single" w:color="auto" w:sz="4" w:space="1"/>
      </w:pBdr>
      <w:ind w:left="0" w:leftChars="0" w:firstLine="0" w:firstLineChars="0"/>
      <w:rPr>
        <w:rFonts w:hint="eastAsia"/>
      </w:rPr>
    </w:pPr>
    <w:r>
      <w:rPr>
        <w:rFonts w:hint="eastAsia"/>
      </w:rPr>
      <w:t xml:space="preserve">江西赣安安全生产科学技术咨询服务中心                </w:t>
    </w:r>
    <w:r>
      <w:rPr>
        <w:rStyle w:val="36"/>
      </w:rPr>
      <w:fldChar w:fldCharType="begin"/>
    </w:r>
    <w:r>
      <w:rPr>
        <w:rStyle w:val="36"/>
      </w:rPr>
      <w:instrText xml:space="preserve"> PAGE </w:instrText>
    </w:r>
    <w:r>
      <w:rPr>
        <w:rStyle w:val="36"/>
      </w:rPr>
      <w:fldChar w:fldCharType="separate"/>
    </w:r>
    <w:r>
      <w:rPr>
        <w:rStyle w:val="36"/>
      </w:rPr>
      <w:t>V</w:t>
    </w:r>
    <w:r>
      <w:rPr>
        <w:rStyle w:val="36"/>
      </w:rPr>
      <w:fldChar w:fldCharType="end"/>
    </w:r>
    <w:r>
      <w:rPr>
        <w:rStyle w:val="36"/>
        <w:rFonts w:hint="eastAsia"/>
      </w:rPr>
      <w:t xml:space="preserve">                                 </w:t>
    </w:r>
    <w:r>
      <w:rPr>
        <w:rFonts w:hint="default" w:ascii="Times New Roman" w:hAnsi="Times New Roman" w:cs="Times New Roman"/>
      </w:rPr>
      <w:t>APJ-（赣）-002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2097A">
    <w:pPr>
      <w:pStyle w:val="21"/>
      <w:pBdr>
        <w:top w:val="single" w:color="auto" w:sz="4" w:space="1"/>
      </w:pBdr>
      <w:ind w:left="0" w:leftChars="0" w:firstLine="0" w:firstLineChars="0"/>
      <w:rPr>
        <w:rFonts w:hint="eastAsia"/>
      </w:rPr>
    </w:pPr>
    <w:r>
      <w:rPr>
        <w:rFonts w:hint="eastAsia"/>
      </w:rPr>
      <w:t xml:space="preserve">江西赣安安全生产科学技术咨询服务中心                </w:t>
    </w:r>
    <w:r>
      <w:rPr>
        <w:rStyle w:val="36"/>
      </w:rPr>
      <w:fldChar w:fldCharType="begin"/>
    </w:r>
    <w:r>
      <w:rPr>
        <w:rStyle w:val="36"/>
      </w:rPr>
      <w:instrText xml:space="preserve"> PAGE </w:instrText>
    </w:r>
    <w:r>
      <w:rPr>
        <w:rStyle w:val="36"/>
      </w:rPr>
      <w:fldChar w:fldCharType="separate"/>
    </w:r>
    <w:r>
      <w:rPr>
        <w:rStyle w:val="36"/>
      </w:rPr>
      <w:t>V</w:t>
    </w:r>
    <w:r>
      <w:rPr>
        <w:rStyle w:val="36"/>
      </w:rPr>
      <w:fldChar w:fldCharType="end"/>
    </w:r>
    <w:r>
      <w:rPr>
        <w:rStyle w:val="36"/>
        <w:rFonts w:hint="eastAsia"/>
      </w:rPr>
      <w:t xml:space="preserve">                                 </w:t>
    </w:r>
    <w:r>
      <w:rPr>
        <w:rFonts w:hint="default" w:ascii="Times New Roman" w:hAnsi="Times New Roman" w:cs="Times New Roman"/>
      </w:rPr>
      <w:t>APJ-（赣）-002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A4DC0">
    <w:pPr>
      <w:pStyle w:val="21"/>
      <w:pBdr>
        <w:top w:val="single" w:color="auto" w:sz="4" w:space="1"/>
      </w:pBdr>
      <w:ind w:left="0" w:leftChars="0" w:firstLine="0" w:firstLineChars="0"/>
    </w:pPr>
    <w:r>
      <w:rPr>
        <w:rFonts w:hint="eastAsia"/>
      </w:rPr>
      <w:t xml:space="preserve">江西赣安安全生产科学技术咨询服务中心                </w:t>
    </w:r>
    <w:r>
      <w:rPr>
        <w:rStyle w:val="36"/>
      </w:rPr>
      <w:fldChar w:fldCharType="begin"/>
    </w:r>
    <w:r>
      <w:rPr>
        <w:rStyle w:val="36"/>
      </w:rPr>
      <w:instrText xml:space="preserve"> PAGE </w:instrText>
    </w:r>
    <w:r>
      <w:rPr>
        <w:rStyle w:val="36"/>
      </w:rPr>
      <w:fldChar w:fldCharType="separate"/>
    </w:r>
    <w:r>
      <w:rPr>
        <w:rStyle w:val="36"/>
      </w:rPr>
      <w:t>V</w:t>
    </w:r>
    <w:r>
      <w:rPr>
        <w:rStyle w:val="36"/>
      </w:rPr>
      <w:fldChar w:fldCharType="end"/>
    </w:r>
    <w:r>
      <w:rPr>
        <w:rStyle w:val="36"/>
        <w:rFonts w:hint="eastAsia"/>
      </w:rPr>
      <w:t xml:space="preserve">                               </w:t>
    </w:r>
    <w:r>
      <w:rPr>
        <w:rStyle w:val="36"/>
        <w:rFonts w:hint="eastAsia"/>
        <w:lang w:val="en-US" w:eastAsia="zh-CN"/>
      </w:rPr>
      <w:t xml:space="preserve">   </w:t>
    </w:r>
    <w:r>
      <w:rPr>
        <w:rStyle w:val="36"/>
        <w:rFonts w:hint="eastAsia"/>
      </w:rPr>
      <w:t xml:space="preserve">  </w:t>
    </w:r>
    <w:r>
      <w:rPr>
        <w:rFonts w:hint="default" w:ascii="Times New Roman" w:hAnsi="Times New Roman" w:cs="Times New Roman"/>
      </w:rPr>
      <w:t>APJ-（赣）-002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2BF74">
    <w:pPr>
      <w:pStyle w:val="22"/>
      <w:keepNext w:val="0"/>
      <w:keepLines w:val="0"/>
      <w:pageBreakBefore w:val="0"/>
      <w:widowControl w:val="0"/>
      <w:kinsoku/>
      <w:wordWrap/>
      <w:overflowPunct/>
      <w:topLinePunct w:val="0"/>
      <w:bidi w:val="0"/>
      <w:adjustRightInd/>
      <w:snapToGrid w:val="0"/>
      <w:spacing w:line="240" w:lineRule="auto"/>
      <w:ind w:left="0" w:leftChars="0" w:firstLine="0" w:firstLineChars="0"/>
      <w:jc w:val="both"/>
      <w:textAlignment w:val="auto"/>
      <w:rPr>
        <w:rFonts w:hint="default" w:eastAsia="宋体"/>
        <w:lang w:val="en-US" w:eastAsia="zh-CN"/>
      </w:rPr>
    </w:pPr>
    <w:r>
      <w:rPr>
        <w:rFonts w:hint="eastAsia"/>
      </w:rPr>
      <w:t xml:space="preserve">江西翔麟矿业有限责任公司武夷山选矿厂桐山尾矿库闭库工程安全设施验收评价报告 </w:t>
    </w:r>
    <w:r>
      <w:rPr>
        <w:rFonts w:hint="eastAsia"/>
        <w:lang w:val="en-US" w:eastAsia="zh-CN"/>
      </w:rPr>
      <w:t xml:space="preserve">  </w:t>
    </w:r>
    <w:r>
      <w:rPr>
        <w:rFonts w:hint="eastAsia"/>
      </w:rPr>
      <w:t xml:space="preserve"> </w:t>
    </w:r>
    <w:r>
      <w:rPr>
        <w:rFonts w:hint="eastAsia"/>
        <w:lang w:val="en-US" w:eastAsia="zh-CN"/>
      </w:rPr>
      <w:t xml:space="preserve">  </w:t>
    </w:r>
    <w:r>
      <w:rPr>
        <w:rFonts w:hint="eastAsia"/>
      </w:rPr>
      <w:t xml:space="preserve"> </w:t>
    </w:r>
    <w:r>
      <w:rPr>
        <w:rFonts w:hint="eastAsia"/>
        <w:lang w:val="en-US" w:eastAsia="zh-CN"/>
      </w:rPr>
      <w:t>GAAP〔2025〕0695号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78E30">
    <w:pPr>
      <w:pStyle w:val="2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0D77A0">
    <w:pPr>
      <w:pStyle w:val="22"/>
      <w:keepNext w:val="0"/>
      <w:keepLines w:val="0"/>
      <w:pageBreakBefore w:val="0"/>
      <w:widowControl w:val="0"/>
      <w:kinsoku/>
      <w:wordWrap/>
      <w:overflowPunct/>
      <w:topLinePunct w:val="0"/>
      <w:bidi w:val="0"/>
      <w:adjustRightInd/>
      <w:snapToGrid w:val="0"/>
      <w:spacing w:line="240" w:lineRule="auto"/>
      <w:ind w:left="0" w:leftChars="0" w:firstLine="0" w:firstLineChars="0"/>
      <w:jc w:val="both"/>
      <w:textAlignment w:val="auto"/>
      <w:rPr>
        <w:rFonts w:hint="default" w:eastAsia="宋体"/>
        <w:sz w:val="18"/>
        <w:szCs w:val="18"/>
        <w:lang w:val="en-US" w:eastAsia="zh-CN"/>
      </w:rPr>
    </w:pPr>
    <w:r>
      <w:rPr>
        <w:rFonts w:hint="eastAsia"/>
        <w:sz w:val="18"/>
        <w:szCs w:val="18"/>
      </w:rPr>
      <w:t xml:space="preserve">江西岿美山钨业有限公司尾矿库闭库前安全现状评价报告  </w:t>
    </w:r>
    <w:r>
      <w:rPr>
        <w:rFonts w:hint="eastAsia"/>
        <w:sz w:val="18"/>
        <w:szCs w:val="18"/>
        <w:lang w:val="en-US" w:eastAsia="zh-CN"/>
      </w:rPr>
      <w:t xml:space="preserve">                             GAAP〔2026〕0000号</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9C4AB">
    <w:pPr>
      <w:pStyle w:val="22"/>
      <w:keepNext w:val="0"/>
      <w:keepLines w:val="0"/>
      <w:pageBreakBefore w:val="0"/>
      <w:widowControl w:val="0"/>
      <w:kinsoku/>
      <w:wordWrap/>
      <w:overflowPunct/>
      <w:topLinePunct w:val="0"/>
      <w:bidi w:val="0"/>
      <w:adjustRightInd/>
      <w:snapToGrid w:val="0"/>
      <w:spacing w:line="240" w:lineRule="auto"/>
      <w:ind w:left="0" w:leftChars="0" w:firstLine="0" w:firstLineChars="0"/>
      <w:jc w:val="both"/>
      <w:textAlignment w:val="auto"/>
      <w:rPr>
        <w:rFonts w:hint="default" w:eastAsia="宋体"/>
        <w:sz w:val="18"/>
        <w:szCs w:val="18"/>
        <w:lang w:val="en-US" w:eastAsia="zh-CN"/>
      </w:rPr>
    </w:pPr>
    <w:r>
      <w:rPr>
        <w:rFonts w:hint="eastAsia"/>
        <w:sz w:val="18"/>
        <w:szCs w:val="18"/>
      </w:rPr>
      <w:t xml:space="preserve">江西岿美山钨业有限公司尾矿库闭库前安全现状评价报告  </w:t>
    </w:r>
    <w:r>
      <w:rPr>
        <w:rFonts w:hint="eastAsia"/>
        <w:sz w:val="18"/>
        <w:szCs w:val="18"/>
        <w:lang w:val="en-US" w:eastAsia="zh-CN"/>
      </w:rPr>
      <w:t xml:space="preserve">                             GAAP〔2026〕0000号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45B74A"/>
    <w:multiLevelType w:val="singleLevel"/>
    <w:tmpl w:val="D245B74A"/>
    <w:lvl w:ilvl="0" w:tentative="0">
      <w:start w:val="1"/>
      <w:numFmt w:val="decimal"/>
      <w:suff w:val="space"/>
      <w:lvlText w:val="%1."/>
      <w:lvlJc w:val="left"/>
    </w:lvl>
  </w:abstractNum>
  <w:abstractNum w:abstractNumId="1">
    <w:nsid w:val="13405DB4"/>
    <w:multiLevelType w:val="singleLevel"/>
    <w:tmpl w:val="13405DB4"/>
    <w:lvl w:ilvl="0" w:tentative="0">
      <w:start w:val="1"/>
      <w:numFmt w:val="decimal"/>
      <w:suff w:val="space"/>
      <w:lvlText w:val="%1."/>
      <w:lvlJc w:val="left"/>
    </w:lvl>
  </w:abstractNum>
  <w:abstractNum w:abstractNumId="2">
    <w:nsid w:val="2A416605"/>
    <w:multiLevelType w:val="singleLevel"/>
    <w:tmpl w:val="2A416605"/>
    <w:lvl w:ilvl="0" w:tentative="0">
      <w:start w:val="1"/>
      <w:numFmt w:val="decimal"/>
      <w:suff w:val="space"/>
      <w:lvlText w:val="%1."/>
      <w:lvlJc w:val="left"/>
    </w:lvl>
  </w:abstractNum>
  <w:abstractNum w:abstractNumId="3">
    <w:nsid w:val="3F512DB0"/>
    <w:multiLevelType w:val="singleLevel"/>
    <w:tmpl w:val="3F512DB0"/>
    <w:lvl w:ilvl="0" w:tentative="0">
      <w:start w:val="1"/>
      <w:numFmt w:val="decimal"/>
      <w:suff w:val="space"/>
      <w:lvlText w:val="%1."/>
      <w:lvlJc w:val="left"/>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JmOWZjMTdhZDhhZjU4OThiZWFjMGM2NzJiODRlYjYifQ=="/>
  </w:docVars>
  <w:rsids>
    <w:rsidRoot w:val="00172A27"/>
    <w:rsid w:val="00003D37"/>
    <w:rsid w:val="00003F86"/>
    <w:rsid w:val="0000473B"/>
    <w:rsid w:val="00004B45"/>
    <w:rsid w:val="000073AB"/>
    <w:rsid w:val="0001022A"/>
    <w:rsid w:val="00012EF9"/>
    <w:rsid w:val="00020277"/>
    <w:rsid w:val="00024C12"/>
    <w:rsid w:val="00024F84"/>
    <w:rsid w:val="000318BB"/>
    <w:rsid w:val="00032B36"/>
    <w:rsid w:val="00034093"/>
    <w:rsid w:val="0003512A"/>
    <w:rsid w:val="00040E9D"/>
    <w:rsid w:val="00041574"/>
    <w:rsid w:val="000432DB"/>
    <w:rsid w:val="00043427"/>
    <w:rsid w:val="00043CFD"/>
    <w:rsid w:val="00044864"/>
    <w:rsid w:val="00045AC3"/>
    <w:rsid w:val="00046564"/>
    <w:rsid w:val="000567E1"/>
    <w:rsid w:val="00057B4F"/>
    <w:rsid w:val="000611AB"/>
    <w:rsid w:val="00061D8A"/>
    <w:rsid w:val="00067084"/>
    <w:rsid w:val="00067814"/>
    <w:rsid w:val="00070FBE"/>
    <w:rsid w:val="00073805"/>
    <w:rsid w:val="00075EB0"/>
    <w:rsid w:val="000809C6"/>
    <w:rsid w:val="00083207"/>
    <w:rsid w:val="00084847"/>
    <w:rsid w:val="000903B9"/>
    <w:rsid w:val="000953DB"/>
    <w:rsid w:val="000969C7"/>
    <w:rsid w:val="00096CC1"/>
    <w:rsid w:val="00096CCD"/>
    <w:rsid w:val="000A1C3D"/>
    <w:rsid w:val="000A4EA5"/>
    <w:rsid w:val="000A504C"/>
    <w:rsid w:val="000A737E"/>
    <w:rsid w:val="000B322C"/>
    <w:rsid w:val="000C0F67"/>
    <w:rsid w:val="000C166F"/>
    <w:rsid w:val="000C3BDA"/>
    <w:rsid w:val="000C50ED"/>
    <w:rsid w:val="000C7445"/>
    <w:rsid w:val="000D2963"/>
    <w:rsid w:val="000D4880"/>
    <w:rsid w:val="000D7174"/>
    <w:rsid w:val="000E510A"/>
    <w:rsid w:val="000E7BA3"/>
    <w:rsid w:val="000F05AD"/>
    <w:rsid w:val="000F0671"/>
    <w:rsid w:val="000F28FB"/>
    <w:rsid w:val="000F3095"/>
    <w:rsid w:val="000F36AD"/>
    <w:rsid w:val="000F4275"/>
    <w:rsid w:val="000F6016"/>
    <w:rsid w:val="001016B3"/>
    <w:rsid w:val="00101D0E"/>
    <w:rsid w:val="001021DA"/>
    <w:rsid w:val="001026A7"/>
    <w:rsid w:val="00104D18"/>
    <w:rsid w:val="0010677A"/>
    <w:rsid w:val="001069A6"/>
    <w:rsid w:val="00107ADD"/>
    <w:rsid w:val="00110003"/>
    <w:rsid w:val="0011217A"/>
    <w:rsid w:val="00113F3E"/>
    <w:rsid w:val="0011434F"/>
    <w:rsid w:val="001152A3"/>
    <w:rsid w:val="00117A53"/>
    <w:rsid w:val="0012148F"/>
    <w:rsid w:val="0012197F"/>
    <w:rsid w:val="00122C77"/>
    <w:rsid w:val="00123CDE"/>
    <w:rsid w:val="001260D3"/>
    <w:rsid w:val="001268C2"/>
    <w:rsid w:val="00127C17"/>
    <w:rsid w:val="00134DDC"/>
    <w:rsid w:val="00137043"/>
    <w:rsid w:val="001400C7"/>
    <w:rsid w:val="00145FBD"/>
    <w:rsid w:val="00147CAC"/>
    <w:rsid w:val="00150C56"/>
    <w:rsid w:val="00152BEA"/>
    <w:rsid w:val="0015456F"/>
    <w:rsid w:val="00157E30"/>
    <w:rsid w:val="00160B03"/>
    <w:rsid w:val="00167E1A"/>
    <w:rsid w:val="0017174D"/>
    <w:rsid w:val="0017523C"/>
    <w:rsid w:val="00176B54"/>
    <w:rsid w:val="00180BA0"/>
    <w:rsid w:val="00185E75"/>
    <w:rsid w:val="00186F0C"/>
    <w:rsid w:val="001904C5"/>
    <w:rsid w:val="00190A6F"/>
    <w:rsid w:val="00191291"/>
    <w:rsid w:val="00193BF2"/>
    <w:rsid w:val="00195270"/>
    <w:rsid w:val="00196DD8"/>
    <w:rsid w:val="001A16BC"/>
    <w:rsid w:val="001A1CEC"/>
    <w:rsid w:val="001B0BB9"/>
    <w:rsid w:val="001C2B1C"/>
    <w:rsid w:val="001D1197"/>
    <w:rsid w:val="001D2EB4"/>
    <w:rsid w:val="001D355D"/>
    <w:rsid w:val="001D508E"/>
    <w:rsid w:val="001D6417"/>
    <w:rsid w:val="001D7CB5"/>
    <w:rsid w:val="001E1313"/>
    <w:rsid w:val="001F0C08"/>
    <w:rsid w:val="001F0EE2"/>
    <w:rsid w:val="001F166D"/>
    <w:rsid w:val="001F1998"/>
    <w:rsid w:val="00201566"/>
    <w:rsid w:val="00204C30"/>
    <w:rsid w:val="00205935"/>
    <w:rsid w:val="00212848"/>
    <w:rsid w:val="00215DA3"/>
    <w:rsid w:val="00220C59"/>
    <w:rsid w:val="0022443D"/>
    <w:rsid w:val="00227407"/>
    <w:rsid w:val="002310F5"/>
    <w:rsid w:val="00231E56"/>
    <w:rsid w:val="00232718"/>
    <w:rsid w:val="00234EBA"/>
    <w:rsid w:val="002420D0"/>
    <w:rsid w:val="0025002A"/>
    <w:rsid w:val="00250811"/>
    <w:rsid w:val="00250B91"/>
    <w:rsid w:val="0025470F"/>
    <w:rsid w:val="00255808"/>
    <w:rsid w:val="002566C6"/>
    <w:rsid w:val="00261067"/>
    <w:rsid w:val="0026381B"/>
    <w:rsid w:val="002678DA"/>
    <w:rsid w:val="002714ED"/>
    <w:rsid w:val="00272287"/>
    <w:rsid w:val="002804B6"/>
    <w:rsid w:val="00281D73"/>
    <w:rsid w:val="0028306A"/>
    <w:rsid w:val="0028450E"/>
    <w:rsid w:val="002925CD"/>
    <w:rsid w:val="00293AD2"/>
    <w:rsid w:val="002942F9"/>
    <w:rsid w:val="002970BF"/>
    <w:rsid w:val="002971D6"/>
    <w:rsid w:val="002A0253"/>
    <w:rsid w:val="002A1C2D"/>
    <w:rsid w:val="002A2A2D"/>
    <w:rsid w:val="002A46C2"/>
    <w:rsid w:val="002A598E"/>
    <w:rsid w:val="002B1959"/>
    <w:rsid w:val="002B2462"/>
    <w:rsid w:val="002B2567"/>
    <w:rsid w:val="002B2DE8"/>
    <w:rsid w:val="002B35DC"/>
    <w:rsid w:val="002B4071"/>
    <w:rsid w:val="002B45A3"/>
    <w:rsid w:val="002C1E92"/>
    <w:rsid w:val="002C264E"/>
    <w:rsid w:val="002C46B4"/>
    <w:rsid w:val="002C476F"/>
    <w:rsid w:val="002C6DC4"/>
    <w:rsid w:val="002D3C42"/>
    <w:rsid w:val="002D4613"/>
    <w:rsid w:val="002E19EF"/>
    <w:rsid w:val="002E38F5"/>
    <w:rsid w:val="002E4E6C"/>
    <w:rsid w:val="002E5633"/>
    <w:rsid w:val="002E6658"/>
    <w:rsid w:val="002F0487"/>
    <w:rsid w:val="002F29FB"/>
    <w:rsid w:val="002F3C47"/>
    <w:rsid w:val="002F4276"/>
    <w:rsid w:val="002F4E84"/>
    <w:rsid w:val="002F6EF0"/>
    <w:rsid w:val="00300609"/>
    <w:rsid w:val="003008D2"/>
    <w:rsid w:val="00300F96"/>
    <w:rsid w:val="00302A52"/>
    <w:rsid w:val="00303AA7"/>
    <w:rsid w:val="00303D98"/>
    <w:rsid w:val="003065E9"/>
    <w:rsid w:val="00312E50"/>
    <w:rsid w:val="0031382E"/>
    <w:rsid w:val="00314B5B"/>
    <w:rsid w:val="00314D61"/>
    <w:rsid w:val="003208BD"/>
    <w:rsid w:val="00321BB6"/>
    <w:rsid w:val="00323BB7"/>
    <w:rsid w:val="00325571"/>
    <w:rsid w:val="00331C3C"/>
    <w:rsid w:val="00332F5D"/>
    <w:rsid w:val="003339A0"/>
    <w:rsid w:val="00340728"/>
    <w:rsid w:val="00340E01"/>
    <w:rsid w:val="00342631"/>
    <w:rsid w:val="00345CFE"/>
    <w:rsid w:val="003505B5"/>
    <w:rsid w:val="0035282F"/>
    <w:rsid w:val="00357BC2"/>
    <w:rsid w:val="003634D1"/>
    <w:rsid w:val="003661A4"/>
    <w:rsid w:val="0037035E"/>
    <w:rsid w:val="00371548"/>
    <w:rsid w:val="00373F7A"/>
    <w:rsid w:val="0038077D"/>
    <w:rsid w:val="003823ED"/>
    <w:rsid w:val="003848E2"/>
    <w:rsid w:val="00387894"/>
    <w:rsid w:val="003972E1"/>
    <w:rsid w:val="003A1DF5"/>
    <w:rsid w:val="003A332D"/>
    <w:rsid w:val="003B017C"/>
    <w:rsid w:val="003B05B3"/>
    <w:rsid w:val="003B24A2"/>
    <w:rsid w:val="003B308D"/>
    <w:rsid w:val="003B55A9"/>
    <w:rsid w:val="003B6632"/>
    <w:rsid w:val="003B694B"/>
    <w:rsid w:val="003C0861"/>
    <w:rsid w:val="003C460F"/>
    <w:rsid w:val="003D0B0C"/>
    <w:rsid w:val="003D37CD"/>
    <w:rsid w:val="003D4AF1"/>
    <w:rsid w:val="003D77A6"/>
    <w:rsid w:val="003E19B1"/>
    <w:rsid w:val="003E3E7F"/>
    <w:rsid w:val="003E45A6"/>
    <w:rsid w:val="003E4AB4"/>
    <w:rsid w:val="003F0486"/>
    <w:rsid w:val="003F77E9"/>
    <w:rsid w:val="003F781C"/>
    <w:rsid w:val="00401855"/>
    <w:rsid w:val="00401CF1"/>
    <w:rsid w:val="0040208C"/>
    <w:rsid w:val="00406B42"/>
    <w:rsid w:val="00412863"/>
    <w:rsid w:val="00412D02"/>
    <w:rsid w:val="00420BA6"/>
    <w:rsid w:val="00421190"/>
    <w:rsid w:val="0042124D"/>
    <w:rsid w:val="004228A1"/>
    <w:rsid w:val="00424397"/>
    <w:rsid w:val="00425FD0"/>
    <w:rsid w:val="0042616B"/>
    <w:rsid w:val="004351B6"/>
    <w:rsid w:val="00441210"/>
    <w:rsid w:val="00443209"/>
    <w:rsid w:val="00444995"/>
    <w:rsid w:val="00453F60"/>
    <w:rsid w:val="00455C0F"/>
    <w:rsid w:val="00456335"/>
    <w:rsid w:val="00462FE8"/>
    <w:rsid w:val="00471927"/>
    <w:rsid w:val="0047468C"/>
    <w:rsid w:val="004753D3"/>
    <w:rsid w:val="00476251"/>
    <w:rsid w:val="0047788A"/>
    <w:rsid w:val="00480A4D"/>
    <w:rsid w:val="00482621"/>
    <w:rsid w:val="00486AC7"/>
    <w:rsid w:val="004904E0"/>
    <w:rsid w:val="004907A3"/>
    <w:rsid w:val="00494FFB"/>
    <w:rsid w:val="004A25B5"/>
    <w:rsid w:val="004A44C8"/>
    <w:rsid w:val="004A4D29"/>
    <w:rsid w:val="004A4FF7"/>
    <w:rsid w:val="004A68AB"/>
    <w:rsid w:val="004A7F3D"/>
    <w:rsid w:val="004B0E50"/>
    <w:rsid w:val="004B27FA"/>
    <w:rsid w:val="004B35CB"/>
    <w:rsid w:val="004B42B3"/>
    <w:rsid w:val="004B5335"/>
    <w:rsid w:val="004B5EAA"/>
    <w:rsid w:val="004B604A"/>
    <w:rsid w:val="004B64AA"/>
    <w:rsid w:val="004C0AF2"/>
    <w:rsid w:val="004C0F48"/>
    <w:rsid w:val="004C6FC3"/>
    <w:rsid w:val="004D0F0F"/>
    <w:rsid w:val="004D1209"/>
    <w:rsid w:val="004D2435"/>
    <w:rsid w:val="004D2A5E"/>
    <w:rsid w:val="004D2ADA"/>
    <w:rsid w:val="004D388F"/>
    <w:rsid w:val="004D4798"/>
    <w:rsid w:val="004D5995"/>
    <w:rsid w:val="004D7230"/>
    <w:rsid w:val="004D78BE"/>
    <w:rsid w:val="004E111A"/>
    <w:rsid w:val="004E4603"/>
    <w:rsid w:val="004E53E0"/>
    <w:rsid w:val="004E7DB2"/>
    <w:rsid w:val="004F20C0"/>
    <w:rsid w:val="004F3A0F"/>
    <w:rsid w:val="0050045A"/>
    <w:rsid w:val="005038FB"/>
    <w:rsid w:val="00505963"/>
    <w:rsid w:val="0050663D"/>
    <w:rsid w:val="00507F42"/>
    <w:rsid w:val="00511EBD"/>
    <w:rsid w:val="00514D46"/>
    <w:rsid w:val="005162C8"/>
    <w:rsid w:val="00521517"/>
    <w:rsid w:val="00521A9F"/>
    <w:rsid w:val="00521FF2"/>
    <w:rsid w:val="00524086"/>
    <w:rsid w:val="00526FBF"/>
    <w:rsid w:val="00527FDC"/>
    <w:rsid w:val="0053244D"/>
    <w:rsid w:val="00532A45"/>
    <w:rsid w:val="0053661D"/>
    <w:rsid w:val="00542209"/>
    <w:rsid w:val="005450AE"/>
    <w:rsid w:val="0055261E"/>
    <w:rsid w:val="00557BC5"/>
    <w:rsid w:val="00560D2C"/>
    <w:rsid w:val="0056491A"/>
    <w:rsid w:val="00573FFF"/>
    <w:rsid w:val="00580DBE"/>
    <w:rsid w:val="00581B51"/>
    <w:rsid w:val="00582A42"/>
    <w:rsid w:val="00585BEA"/>
    <w:rsid w:val="005906DF"/>
    <w:rsid w:val="005943F0"/>
    <w:rsid w:val="00596B5E"/>
    <w:rsid w:val="0059724B"/>
    <w:rsid w:val="005A1C06"/>
    <w:rsid w:val="005A2B0F"/>
    <w:rsid w:val="005A374D"/>
    <w:rsid w:val="005A420C"/>
    <w:rsid w:val="005A552E"/>
    <w:rsid w:val="005B11B4"/>
    <w:rsid w:val="005B6586"/>
    <w:rsid w:val="005B7E33"/>
    <w:rsid w:val="005C2CBE"/>
    <w:rsid w:val="005C342A"/>
    <w:rsid w:val="005C343C"/>
    <w:rsid w:val="005C5DF5"/>
    <w:rsid w:val="005D3F6C"/>
    <w:rsid w:val="005D5D66"/>
    <w:rsid w:val="005E017D"/>
    <w:rsid w:val="005E0B76"/>
    <w:rsid w:val="005E0C11"/>
    <w:rsid w:val="005E3BD3"/>
    <w:rsid w:val="005E6E47"/>
    <w:rsid w:val="005E70A5"/>
    <w:rsid w:val="005E7EDA"/>
    <w:rsid w:val="005F188D"/>
    <w:rsid w:val="005F6CD7"/>
    <w:rsid w:val="00600DFA"/>
    <w:rsid w:val="00601F7F"/>
    <w:rsid w:val="00604665"/>
    <w:rsid w:val="006137E6"/>
    <w:rsid w:val="00614725"/>
    <w:rsid w:val="006153D1"/>
    <w:rsid w:val="00616781"/>
    <w:rsid w:val="006168D6"/>
    <w:rsid w:val="006226B6"/>
    <w:rsid w:val="006258BD"/>
    <w:rsid w:val="00626571"/>
    <w:rsid w:val="00627B47"/>
    <w:rsid w:val="00632E4D"/>
    <w:rsid w:val="00637A37"/>
    <w:rsid w:val="006410B2"/>
    <w:rsid w:val="0064212D"/>
    <w:rsid w:val="00643D88"/>
    <w:rsid w:val="00645887"/>
    <w:rsid w:val="00647494"/>
    <w:rsid w:val="006514EA"/>
    <w:rsid w:val="0065364A"/>
    <w:rsid w:val="006612E1"/>
    <w:rsid w:val="0066215A"/>
    <w:rsid w:val="00670EC0"/>
    <w:rsid w:val="00672D68"/>
    <w:rsid w:val="0067464E"/>
    <w:rsid w:val="0067651F"/>
    <w:rsid w:val="0068035E"/>
    <w:rsid w:val="0068259B"/>
    <w:rsid w:val="006833CD"/>
    <w:rsid w:val="006840A2"/>
    <w:rsid w:val="0068715C"/>
    <w:rsid w:val="00691135"/>
    <w:rsid w:val="00693975"/>
    <w:rsid w:val="006A5F2B"/>
    <w:rsid w:val="006A7511"/>
    <w:rsid w:val="006A7C27"/>
    <w:rsid w:val="006B009D"/>
    <w:rsid w:val="006B0994"/>
    <w:rsid w:val="006B23F1"/>
    <w:rsid w:val="006B30E1"/>
    <w:rsid w:val="006B47A2"/>
    <w:rsid w:val="006B5894"/>
    <w:rsid w:val="006B5FC4"/>
    <w:rsid w:val="006D0D05"/>
    <w:rsid w:val="006D15F9"/>
    <w:rsid w:val="006D1763"/>
    <w:rsid w:val="006D28D9"/>
    <w:rsid w:val="006D2F1D"/>
    <w:rsid w:val="006D4F50"/>
    <w:rsid w:val="006D61D3"/>
    <w:rsid w:val="006E0C67"/>
    <w:rsid w:val="006E2B39"/>
    <w:rsid w:val="006E4453"/>
    <w:rsid w:val="006E7F7A"/>
    <w:rsid w:val="00702461"/>
    <w:rsid w:val="0070339D"/>
    <w:rsid w:val="0070380A"/>
    <w:rsid w:val="0070523B"/>
    <w:rsid w:val="00711F84"/>
    <w:rsid w:val="00714ADF"/>
    <w:rsid w:val="0071597C"/>
    <w:rsid w:val="00722B52"/>
    <w:rsid w:val="0072782C"/>
    <w:rsid w:val="00727897"/>
    <w:rsid w:val="00730233"/>
    <w:rsid w:val="00731AE3"/>
    <w:rsid w:val="00741F4D"/>
    <w:rsid w:val="00745078"/>
    <w:rsid w:val="007453DF"/>
    <w:rsid w:val="00746296"/>
    <w:rsid w:val="007472AD"/>
    <w:rsid w:val="0074753C"/>
    <w:rsid w:val="00747C82"/>
    <w:rsid w:val="00752044"/>
    <w:rsid w:val="00753070"/>
    <w:rsid w:val="00754132"/>
    <w:rsid w:val="00755AFD"/>
    <w:rsid w:val="007602AA"/>
    <w:rsid w:val="00764A3B"/>
    <w:rsid w:val="00765BE9"/>
    <w:rsid w:val="00765F44"/>
    <w:rsid w:val="00771FEF"/>
    <w:rsid w:val="00773DDA"/>
    <w:rsid w:val="007778E9"/>
    <w:rsid w:val="00780B09"/>
    <w:rsid w:val="00782058"/>
    <w:rsid w:val="00786469"/>
    <w:rsid w:val="00787EC2"/>
    <w:rsid w:val="00792799"/>
    <w:rsid w:val="00794BF4"/>
    <w:rsid w:val="007A5C2E"/>
    <w:rsid w:val="007A7405"/>
    <w:rsid w:val="007B0162"/>
    <w:rsid w:val="007B226F"/>
    <w:rsid w:val="007B31DA"/>
    <w:rsid w:val="007B4FD5"/>
    <w:rsid w:val="007B790E"/>
    <w:rsid w:val="007C055E"/>
    <w:rsid w:val="007C46A2"/>
    <w:rsid w:val="007C4C2D"/>
    <w:rsid w:val="007C737D"/>
    <w:rsid w:val="007C7BA6"/>
    <w:rsid w:val="007D2EC6"/>
    <w:rsid w:val="007D34C4"/>
    <w:rsid w:val="007D354C"/>
    <w:rsid w:val="007E0109"/>
    <w:rsid w:val="007E45A1"/>
    <w:rsid w:val="007E4D4D"/>
    <w:rsid w:val="007E679F"/>
    <w:rsid w:val="007E6ACF"/>
    <w:rsid w:val="007F0CEE"/>
    <w:rsid w:val="007F299E"/>
    <w:rsid w:val="007F3043"/>
    <w:rsid w:val="007F3B2A"/>
    <w:rsid w:val="007F5700"/>
    <w:rsid w:val="007F6883"/>
    <w:rsid w:val="008012CC"/>
    <w:rsid w:val="00801586"/>
    <w:rsid w:val="0080195A"/>
    <w:rsid w:val="00801D83"/>
    <w:rsid w:val="00802EA7"/>
    <w:rsid w:val="008035DA"/>
    <w:rsid w:val="00805E64"/>
    <w:rsid w:val="00807605"/>
    <w:rsid w:val="0081225B"/>
    <w:rsid w:val="00813CCB"/>
    <w:rsid w:val="0081618D"/>
    <w:rsid w:val="00816DAC"/>
    <w:rsid w:val="00823D25"/>
    <w:rsid w:val="00827733"/>
    <w:rsid w:val="00833216"/>
    <w:rsid w:val="00834A3D"/>
    <w:rsid w:val="00835887"/>
    <w:rsid w:val="00835CB5"/>
    <w:rsid w:val="00835D01"/>
    <w:rsid w:val="0084028D"/>
    <w:rsid w:val="00842462"/>
    <w:rsid w:val="0085018E"/>
    <w:rsid w:val="008502F5"/>
    <w:rsid w:val="00852B6A"/>
    <w:rsid w:val="00852DC8"/>
    <w:rsid w:val="008534AC"/>
    <w:rsid w:val="00861E97"/>
    <w:rsid w:val="008649FA"/>
    <w:rsid w:val="00871509"/>
    <w:rsid w:val="00871BA6"/>
    <w:rsid w:val="00873C30"/>
    <w:rsid w:val="00874B3E"/>
    <w:rsid w:val="008816D8"/>
    <w:rsid w:val="008836EB"/>
    <w:rsid w:val="008849B2"/>
    <w:rsid w:val="00885A42"/>
    <w:rsid w:val="0088678C"/>
    <w:rsid w:val="00886C73"/>
    <w:rsid w:val="008870F2"/>
    <w:rsid w:val="00890ADF"/>
    <w:rsid w:val="008911A4"/>
    <w:rsid w:val="00893CFA"/>
    <w:rsid w:val="00894942"/>
    <w:rsid w:val="008952B5"/>
    <w:rsid w:val="008A79FE"/>
    <w:rsid w:val="008B2155"/>
    <w:rsid w:val="008B2536"/>
    <w:rsid w:val="008B46CD"/>
    <w:rsid w:val="008B7B49"/>
    <w:rsid w:val="008B7F50"/>
    <w:rsid w:val="008C02AD"/>
    <w:rsid w:val="008C232B"/>
    <w:rsid w:val="008C4318"/>
    <w:rsid w:val="008D51BF"/>
    <w:rsid w:val="008E1C4A"/>
    <w:rsid w:val="008E24F4"/>
    <w:rsid w:val="008E3316"/>
    <w:rsid w:val="008E5653"/>
    <w:rsid w:val="008F0461"/>
    <w:rsid w:val="008F19EE"/>
    <w:rsid w:val="008F1C29"/>
    <w:rsid w:val="008F2181"/>
    <w:rsid w:val="008F4078"/>
    <w:rsid w:val="008F467B"/>
    <w:rsid w:val="008F56E0"/>
    <w:rsid w:val="008F5F8D"/>
    <w:rsid w:val="008F6281"/>
    <w:rsid w:val="009004A7"/>
    <w:rsid w:val="00903B87"/>
    <w:rsid w:val="00906BEC"/>
    <w:rsid w:val="00910571"/>
    <w:rsid w:val="0091291C"/>
    <w:rsid w:val="009141A8"/>
    <w:rsid w:val="009231BF"/>
    <w:rsid w:val="00923273"/>
    <w:rsid w:val="00924758"/>
    <w:rsid w:val="009256EF"/>
    <w:rsid w:val="00931569"/>
    <w:rsid w:val="009337E0"/>
    <w:rsid w:val="00936536"/>
    <w:rsid w:val="00940B98"/>
    <w:rsid w:val="00945931"/>
    <w:rsid w:val="00946480"/>
    <w:rsid w:val="009479EC"/>
    <w:rsid w:val="00950060"/>
    <w:rsid w:val="0095026C"/>
    <w:rsid w:val="0095209C"/>
    <w:rsid w:val="0095405B"/>
    <w:rsid w:val="00955FBC"/>
    <w:rsid w:val="00961C4B"/>
    <w:rsid w:val="0096212D"/>
    <w:rsid w:val="00962FA9"/>
    <w:rsid w:val="00963BD8"/>
    <w:rsid w:val="00971200"/>
    <w:rsid w:val="00972B0C"/>
    <w:rsid w:val="0097307D"/>
    <w:rsid w:val="009732C1"/>
    <w:rsid w:val="009735E0"/>
    <w:rsid w:val="00973E99"/>
    <w:rsid w:val="0099000E"/>
    <w:rsid w:val="00990CED"/>
    <w:rsid w:val="009934D6"/>
    <w:rsid w:val="00995686"/>
    <w:rsid w:val="009A02D6"/>
    <w:rsid w:val="009A2C26"/>
    <w:rsid w:val="009B25D1"/>
    <w:rsid w:val="009B26BA"/>
    <w:rsid w:val="009B2A54"/>
    <w:rsid w:val="009B64F5"/>
    <w:rsid w:val="009B74BE"/>
    <w:rsid w:val="009C23F9"/>
    <w:rsid w:val="009C2673"/>
    <w:rsid w:val="009D085C"/>
    <w:rsid w:val="009D1754"/>
    <w:rsid w:val="009E3D10"/>
    <w:rsid w:val="009F0D91"/>
    <w:rsid w:val="009F3C41"/>
    <w:rsid w:val="009F7159"/>
    <w:rsid w:val="00A024F6"/>
    <w:rsid w:val="00A04A58"/>
    <w:rsid w:val="00A225F1"/>
    <w:rsid w:val="00A26378"/>
    <w:rsid w:val="00A26629"/>
    <w:rsid w:val="00A334F8"/>
    <w:rsid w:val="00A33696"/>
    <w:rsid w:val="00A34B80"/>
    <w:rsid w:val="00A36171"/>
    <w:rsid w:val="00A40E64"/>
    <w:rsid w:val="00A41A38"/>
    <w:rsid w:val="00A43D8D"/>
    <w:rsid w:val="00A4483A"/>
    <w:rsid w:val="00A54EB6"/>
    <w:rsid w:val="00A62A76"/>
    <w:rsid w:val="00A64F58"/>
    <w:rsid w:val="00A64F83"/>
    <w:rsid w:val="00A70758"/>
    <w:rsid w:val="00A73024"/>
    <w:rsid w:val="00A760DA"/>
    <w:rsid w:val="00A76DAD"/>
    <w:rsid w:val="00A809E9"/>
    <w:rsid w:val="00A84BAC"/>
    <w:rsid w:val="00A960FB"/>
    <w:rsid w:val="00A9730D"/>
    <w:rsid w:val="00A9749E"/>
    <w:rsid w:val="00AA02B7"/>
    <w:rsid w:val="00AA1FA2"/>
    <w:rsid w:val="00AA3AD8"/>
    <w:rsid w:val="00AA4F5C"/>
    <w:rsid w:val="00AA6E87"/>
    <w:rsid w:val="00AA7738"/>
    <w:rsid w:val="00AB298D"/>
    <w:rsid w:val="00AB334B"/>
    <w:rsid w:val="00AC066E"/>
    <w:rsid w:val="00AC6B1D"/>
    <w:rsid w:val="00AD01E4"/>
    <w:rsid w:val="00AD200C"/>
    <w:rsid w:val="00AD360C"/>
    <w:rsid w:val="00AE01E0"/>
    <w:rsid w:val="00AE39E3"/>
    <w:rsid w:val="00AF0326"/>
    <w:rsid w:val="00AF16AE"/>
    <w:rsid w:val="00AF3B3F"/>
    <w:rsid w:val="00AF5F03"/>
    <w:rsid w:val="00AF648F"/>
    <w:rsid w:val="00B00654"/>
    <w:rsid w:val="00B0186B"/>
    <w:rsid w:val="00B03541"/>
    <w:rsid w:val="00B03AF6"/>
    <w:rsid w:val="00B03E7E"/>
    <w:rsid w:val="00B05B20"/>
    <w:rsid w:val="00B06E28"/>
    <w:rsid w:val="00B073A5"/>
    <w:rsid w:val="00B076AD"/>
    <w:rsid w:val="00B10C1E"/>
    <w:rsid w:val="00B12998"/>
    <w:rsid w:val="00B12D57"/>
    <w:rsid w:val="00B14126"/>
    <w:rsid w:val="00B14E12"/>
    <w:rsid w:val="00B15D14"/>
    <w:rsid w:val="00B1688F"/>
    <w:rsid w:val="00B170C0"/>
    <w:rsid w:val="00B20494"/>
    <w:rsid w:val="00B2125B"/>
    <w:rsid w:val="00B2459D"/>
    <w:rsid w:val="00B275D7"/>
    <w:rsid w:val="00B303D8"/>
    <w:rsid w:val="00B33150"/>
    <w:rsid w:val="00B3355B"/>
    <w:rsid w:val="00B4519A"/>
    <w:rsid w:val="00B45331"/>
    <w:rsid w:val="00B45B04"/>
    <w:rsid w:val="00B477A6"/>
    <w:rsid w:val="00B5098F"/>
    <w:rsid w:val="00B50ADA"/>
    <w:rsid w:val="00B51AAA"/>
    <w:rsid w:val="00B51DB8"/>
    <w:rsid w:val="00B533D2"/>
    <w:rsid w:val="00B53AE4"/>
    <w:rsid w:val="00B57AFE"/>
    <w:rsid w:val="00B60100"/>
    <w:rsid w:val="00B60BFB"/>
    <w:rsid w:val="00B61650"/>
    <w:rsid w:val="00B634E2"/>
    <w:rsid w:val="00B64EE4"/>
    <w:rsid w:val="00B75B32"/>
    <w:rsid w:val="00B75BE8"/>
    <w:rsid w:val="00B778D1"/>
    <w:rsid w:val="00B83F65"/>
    <w:rsid w:val="00B84169"/>
    <w:rsid w:val="00B861A7"/>
    <w:rsid w:val="00B9400C"/>
    <w:rsid w:val="00B9762E"/>
    <w:rsid w:val="00BA0869"/>
    <w:rsid w:val="00BA1D5D"/>
    <w:rsid w:val="00BB099B"/>
    <w:rsid w:val="00BB0E16"/>
    <w:rsid w:val="00BB1966"/>
    <w:rsid w:val="00BB5539"/>
    <w:rsid w:val="00BB75B7"/>
    <w:rsid w:val="00BB78A1"/>
    <w:rsid w:val="00BB7ED4"/>
    <w:rsid w:val="00BC228B"/>
    <w:rsid w:val="00BC27C5"/>
    <w:rsid w:val="00BD2BDB"/>
    <w:rsid w:val="00BD4258"/>
    <w:rsid w:val="00BD64CB"/>
    <w:rsid w:val="00BD7230"/>
    <w:rsid w:val="00BE0385"/>
    <w:rsid w:val="00BE085A"/>
    <w:rsid w:val="00BE2E12"/>
    <w:rsid w:val="00BE3B15"/>
    <w:rsid w:val="00BE63F2"/>
    <w:rsid w:val="00BE6D5F"/>
    <w:rsid w:val="00BE7020"/>
    <w:rsid w:val="00BF19B5"/>
    <w:rsid w:val="00BF22A8"/>
    <w:rsid w:val="00BF233B"/>
    <w:rsid w:val="00BF24CE"/>
    <w:rsid w:val="00C026E1"/>
    <w:rsid w:val="00C1016E"/>
    <w:rsid w:val="00C10D3A"/>
    <w:rsid w:val="00C1112A"/>
    <w:rsid w:val="00C17E8B"/>
    <w:rsid w:val="00C238C5"/>
    <w:rsid w:val="00C26C86"/>
    <w:rsid w:val="00C305FD"/>
    <w:rsid w:val="00C312AC"/>
    <w:rsid w:val="00C351F5"/>
    <w:rsid w:val="00C42B90"/>
    <w:rsid w:val="00C51AE8"/>
    <w:rsid w:val="00C527E5"/>
    <w:rsid w:val="00C532FF"/>
    <w:rsid w:val="00C54E72"/>
    <w:rsid w:val="00C566DC"/>
    <w:rsid w:val="00C5727B"/>
    <w:rsid w:val="00C574AC"/>
    <w:rsid w:val="00C57978"/>
    <w:rsid w:val="00C62DFE"/>
    <w:rsid w:val="00C633B0"/>
    <w:rsid w:val="00C64032"/>
    <w:rsid w:val="00C67187"/>
    <w:rsid w:val="00C679A5"/>
    <w:rsid w:val="00C67CDD"/>
    <w:rsid w:val="00C71C40"/>
    <w:rsid w:val="00C71E7A"/>
    <w:rsid w:val="00C73808"/>
    <w:rsid w:val="00C75085"/>
    <w:rsid w:val="00C758BE"/>
    <w:rsid w:val="00C76B72"/>
    <w:rsid w:val="00C83965"/>
    <w:rsid w:val="00C9347C"/>
    <w:rsid w:val="00C94AE3"/>
    <w:rsid w:val="00C95A1D"/>
    <w:rsid w:val="00C9617A"/>
    <w:rsid w:val="00CA0437"/>
    <w:rsid w:val="00CA3495"/>
    <w:rsid w:val="00CB070E"/>
    <w:rsid w:val="00CB3898"/>
    <w:rsid w:val="00CB4353"/>
    <w:rsid w:val="00CB77E9"/>
    <w:rsid w:val="00CB7DBC"/>
    <w:rsid w:val="00CC11CD"/>
    <w:rsid w:val="00CC2DA3"/>
    <w:rsid w:val="00CC3164"/>
    <w:rsid w:val="00CD0BD3"/>
    <w:rsid w:val="00CD1954"/>
    <w:rsid w:val="00CD2096"/>
    <w:rsid w:val="00CE04D6"/>
    <w:rsid w:val="00CE074C"/>
    <w:rsid w:val="00CE09D5"/>
    <w:rsid w:val="00CE226F"/>
    <w:rsid w:val="00CE229D"/>
    <w:rsid w:val="00CE2891"/>
    <w:rsid w:val="00CE35FB"/>
    <w:rsid w:val="00CE4131"/>
    <w:rsid w:val="00CE5FA1"/>
    <w:rsid w:val="00CF5123"/>
    <w:rsid w:val="00CF7212"/>
    <w:rsid w:val="00D00765"/>
    <w:rsid w:val="00D01918"/>
    <w:rsid w:val="00D022E9"/>
    <w:rsid w:val="00D0382A"/>
    <w:rsid w:val="00D05056"/>
    <w:rsid w:val="00D07C83"/>
    <w:rsid w:val="00D10186"/>
    <w:rsid w:val="00D159FC"/>
    <w:rsid w:val="00D17E11"/>
    <w:rsid w:val="00D2238A"/>
    <w:rsid w:val="00D241DB"/>
    <w:rsid w:val="00D24426"/>
    <w:rsid w:val="00D26009"/>
    <w:rsid w:val="00D2615B"/>
    <w:rsid w:val="00D41711"/>
    <w:rsid w:val="00D42706"/>
    <w:rsid w:val="00D43717"/>
    <w:rsid w:val="00D463FB"/>
    <w:rsid w:val="00D47966"/>
    <w:rsid w:val="00D50DC1"/>
    <w:rsid w:val="00D50DC7"/>
    <w:rsid w:val="00D54396"/>
    <w:rsid w:val="00D544EB"/>
    <w:rsid w:val="00D61AF8"/>
    <w:rsid w:val="00D621F3"/>
    <w:rsid w:val="00D64D32"/>
    <w:rsid w:val="00D72D7B"/>
    <w:rsid w:val="00D7582C"/>
    <w:rsid w:val="00D76F02"/>
    <w:rsid w:val="00D77DBF"/>
    <w:rsid w:val="00D80CEE"/>
    <w:rsid w:val="00D8311A"/>
    <w:rsid w:val="00D85771"/>
    <w:rsid w:val="00D90854"/>
    <w:rsid w:val="00D95174"/>
    <w:rsid w:val="00D95D32"/>
    <w:rsid w:val="00DA48B5"/>
    <w:rsid w:val="00DA7541"/>
    <w:rsid w:val="00DB00D6"/>
    <w:rsid w:val="00DB2874"/>
    <w:rsid w:val="00DB455B"/>
    <w:rsid w:val="00DC1351"/>
    <w:rsid w:val="00DC51D7"/>
    <w:rsid w:val="00DC7004"/>
    <w:rsid w:val="00DD1978"/>
    <w:rsid w:val="00DD2626"/>
    <w:rsid w:val="00DD40A2"/>
    <w:rsid w:val="00DD5074"/>
    <w:rsid w:val="00DE437B"/>
    <w:rsid w:val="00DE4AD1"/>
    <w:rsid w:val="00DF0191"/>
    <w:rsid w:val="00DF6F80"/>
    <w:rsid w:val="00DF7449"/>
    <w:rsid w:val="00E025A1"/>
    <w:rsid w:val="00E078DC"/>
    <w:rsid w:val="00E106A8"/>
    <w:rsid w:val="00E13DA9"/>
    <w:rsid w:val="00E167D6"/>
    <w:rsid w:val="00E16B23"/>
    <w:rsid w:val="00E1718D"/>
    <w:rsid w:val="00E27909"/>
    <w:rsid w:val="00E417F2"/>
    <w:rsid w:val="00E433F7"/>
    <w:rsid w:val="00E44DE7"/>
    <w:rsid w:val="00E479B3"/>
    <w:rsid w:val="00E56A6C"/>
    <w:rsid w:val="00E6469A"/>
    <w:rsid w:val="00E71FC3"/>
    <w:rsid w:val="00E72A77"/>
    <w:rsid w:val="00E77D9A"/>
    <w:rsid w:val="00E80A16"/>
    <w:rsid w:val="00E842F4"/>
    <w:rsid w:val="00E86B37"/>
    <w:rsid w:val="00E870C4"/>
    <w:rsid w:val="00E93173"/>
    <w:rsid w:val="00E95954"/>
    <w:rsid w:val="00EA3519"/>
    <w:rsid w:val="00EA6568"/>
    <w:rsid w:val="00EB09DE"/>
    <w:rsid w:val="00EB363E"/>
    <w:rsid w:val="00EB5821"/>
    <w:rsid w:val="00EB66B2"/>
    <w:rsid w:val="00EB6B78"/>
    <w:rsid w:val="00EB7D52"/>
    <w:rsid w:val="00EC1768"/>
    <w:rsid w:val="00EC5EDF"/>
    <w:rsid w:val="00EC6CA6"/>
    <w:rsid w:val="00ED2FF1"/>
    <w:rsid w:val="00ED36BA"/>
    <w:rsid w:val="00ED6A5B"/>
    <w:rsid w:val="00ED7290"/>
    <w:rsid w:val="00EE49ED"/>
    <w:rsid w:val="00EE4C2E"/>
    <w:rsid w:val="00EF6223"/>
    <w:rsid w:val="00EF7BEE"/>
    <w:rsid w:val="00F027CB"/>
    <w:rsid w:val="00F03141"/>
    <w:rsid w:val="00F04941"/>
    <w:rsid w:val="00F05577"/>
    <w:rsid w:val="00F056FC"/>
    <w:rsid w:val="00F05C06"/>
    <w:rsid w:val="00F071FF"/>
    <w:rsid w:val="00F1201F"/>
    <w:rsid w:val="00F12464"/>
    <w:rsid w:val="00F12BB7"/>
    <w:rsid w:val="00F14C4E"/>
    <w:rsid w:val="00F159EF"/>
    <w:rsid w:val="00F22B9A"/>
    <w:rsid w:val="00F24C53"/>
    <w:rsid w:val="00F25916"/>
    <w:rsid w:val="00F30B11"/>
    <w:rsid w:val="00F329F5"/>
    <w:rsid w:val="00F350FA"/>
    <w:rsid w:val="00F512D8"/>
    <w:rsid w:val="00F514ED"/>
    <w:rsid w:val="00F51F88"/>
    <w:rsid w:val="00F54320"/>
    <w:rsid w:val="00F5565D"/>
    <w:rsid w:val="00F558FD"/>
    <w:rsid w:val="00F564F8"/>
    <w:rsid w:val="00F60C31"/>
    <w:rsid w:val="00F61E7A"/>
    <w:rsid w:val="00F64268"/>
    <w:rsid w:val="00F64860"/>
    <w:rsid w:val="00F675C5"/>
    <w:rsid w:val="00F71D44"/>
    <w:rsid w:val="00F75493"/>
    <w:rsid w:val="00F811E0"/>
    <w:rsid w:val="00F811F2"/>
    <w:rsid w:val="00F846A0"/>
    <w:rsid w:val="00F8687B"/>
    <w:rsid w:val="00F86E63"/>
    <w:rsid w:val="00F875BC"/>
    <w:rsid w:val="00F9082A"/>
    <w:rsid w:val="00F955BE"/>
    <w:rsid w:val="00F95BAA"/>
    <w:rsid w:val="00FA0E26"/>
    <w:rsid w:val="00FA2480"/>
    <w:rsid w:val="00FA33B5"/>
    <w:rsid w:val="00FA3769"/>
    <w:rsid w:val="00FA745B"/>
    <w:rsid w:val="00FB1816"/>
    <w:rsid w:val="00FB45B9"/>
    <w:rsid w:val="00FB5440"/>
    <w:rsid w:val="00FB7117"/>
    <w:rsid w:val="00FC2F5B"/>
    <w:rsid w:val="00FC6BB7"/>
    <w:rsid w:val="00FC7F6C"/>
    <w:rsid w:val="00FD1194"/>
    <w:rsid w:val="00FD2010"/>
    <w:rsid w:val="00FD4FF8"/>
    <w:rsid w:val="00FD5608"/>
    <w:rsid w:val="00FD5F4A"/>
    <w:rsid w:val="00FD6034"/>
    <w:rsid w:val="00FE1B64"/>
    <w:rsid w:val="00FE1C9A"/>
    <w:rsid w:val="00FE2B71"/>
    <w:rsid w:val="00FE4A86"/>
    <w:rsid w:val="00FF0827"/>
    <w:rsid w:val="00FF10DE"/>
    <w:rsid w:val="00FF25CE"/>
    <w:rsid w:val="00FF4578"/>
    <w:rsid w:val="00FF460F"/>
    <w:rsid w:val="00FF47B4"/>
    <w:rsid w:val="00FF6A6E"/>
    <w:rsid w:val="012F41F1"/>
    <w:rsid w:val="0161350C"/>
    <w:rsid w:val="0169049A"/>
    <w:rsid w:val="018F2EE2"/>
    <w:rsid w:val="01A3073B"/>
    <w:rsid w:val="01AD4CF7"/>
    <w:rsid w:val="01C963F3"/>
    <w:rsid w:val="02106D22"/>
    <w:rsid w:val="02E761DE"/>
    <w:rsid w:val="032E1F43"/>
    <w:rsid w:val="03C84489"/>
    <w:rsid w:val="03CE34FD"/>
    <w:rsid w:val="03FA0753"/>
    <w:rsid w:val="04043713"/>
    <w:rsid w:val="04EA4A77"/>
    <w:rsid w:val="06181294"/>
    <w:rsid w:val="063E59FD"/>
    <w:rsid w:val="06420522"/>
    <w:rsid w:val="06544B57"/>
    <w:rsid w:val="06715FDE"/>
    <w:rsid w:val="06742FF7"/>
    <w:rsid w:val="06961A78"/>
    <w:rsid w:val="069B5E85"/>
    <w:rsid w:val="06C76C7A"/>
    <w:rsid w:val="071023CF"/>
    <w:rsid w:val="07413BEC"/>
    <w:rsid w:val="076B5857"/>
    <w:rsid w:val="077154CF"/>
    <w:rsid w:val="07A13620"/>
    <w:rsid w:val="07FC3E74"/>
    <w:rsid w:val="081552C7"/>
    <w:rsid w:val="08430582"/>
    <w:rsid w:val="088367FC"/>
    <w:rsid w:val="08FC30D8"/>
    <w:rsid w:val="09216B15"/>
    <w:rsid w:val="092A3A4F"/>
    <w:rsid w:val="09523172"/>
    <w:rsid w:val="098A2126"/>
    <w:rsid w:val="0A653592"/>
    <w:rsid w:val="0A851326"/>
    <w:rsid w:val="0AB00357"/>
    <w:rsid w:val="0AB9481D"/>
    <w:rsid w:val="0AC21C32"/>
    <w:rsid w:val="0AC57974"/>
    <w:rsid w:val="0AC9784C"/>
    <w:rsid w:val="0ADB7197"/>
    <w:rsid w:val="0AED6EE1"/>
    <w:rsid w:val="0AFA26C3"/>
    <w:rsid w:val="0AFA55C0"/>
    <w:rsid w:val="0B142265"/>
    <w:rsid w:val="0B721308"/>
    <w:rsid w:val="0B7A250D"/>
    <w:rsid w:val="0B931D31"/>
    <w:rsid w:val="0B941820"/>
    <w:rsid w:val="0B9D2454"/>
    <w:rsid w:val="0BCD2458"/>
    <w:rsid w:val="0C772F83"/>
    <w:rsid w:val="0C965124"/>
    <w:rsid w:val="0CA051C4"/>
    <w:rsid w:val="0D002EE5"/>
    <w:rsid w:val="0D0C53E6"/>
    <w:rsid w:val="0D1A7244"/>
    <w:rsid w:val="0D8B6C53"/>
    <w:rsid w:val="0D954BF4"/>
    <w:rsid w:val="0DCD726B"/>
    <w:rsid w:val="0DD04666"/>
    <w:rsid w:val="0DEA4637"/>
    <w:rsid w:val="0E283ED7"/>
    <w:rsid w:val="0E462B7A"/>
    <w:rsid w:val="0E582892"/>
    <w:rsid w:val="0E726641"/>
    <w:rsid w:val="0F746263"/>
    <w:rsid w:val="0F7F2AA6"/>
    <w:rsid w:val="0FE07EDA"/>
    <w:rsid w:val="0FE75135"/>
    <w:rsid w:val="121637D2"/>
    <w:rsid w:val="12384B3D"/>
    <w:rsid w:val="127974F0"/>
    <w:rsid w:val="12876233"/>
    <w:rsid w:val="12C82143"/>
    <w:rsid w:val="12CC5D44"/>
    <w:rsid w:val="12D15108"/>
    <w:rsid w:val="12DC11A6"/>
    <w:rsid w:val="13082AF4"/>
    <w:rsid w:val="13333D5C"/>
    <w:rsid w:val="13516249"/>
    <w:rsid w:val="13C22CA3"/>
    <w:rsid w:val="13C62793"/>
    <w:rsid w:val="14154841"/>
    <w:rsid w:val="14281C22"/>
    <w:rsid w:val="1450733C"/>
    <w:rsid w:val="14C31BBD"/>
    <w:rsid w:val="154F4A0A"/>
    <w:rsid w:val="15932B49"/>
    <w:rsid w:val="15B4486D"/>
    <w:rsid w:val="15E2762C"/>
    <w:rsid w:val="161606DA"/>
    <w:rsid w:val="163360DA"/>
    <w:rsid w:val="168B2846"/>
    <w:rsid w:val="16ED47B4"/>
    <w:rsid w:val="172D1F0F"/>
    <w:rsid w:val="184445C8"/>
    <w:rsid w:val="185F4F64"/>
    <w:rsid w:val="18697B91"/>
    <w:rsid w:val="18E611E1"/>
    <w:rsid w:val="19DD25E4"/>
    <w:rsid w:val="1A507406"/>
    <w:rsid w:val="1AD52AE7"/>
    <w:rsid w:val="1B89014D"/>
    <w:rsid w:val="1BA35AA5"/>
    <w:rsid w:val="1BEC03A4"/>
    <w:rsid w:val="1C0D7934"/>
    <w:rsid w:val="1C33473D"/>
    <w:rsid w:val="1C437248"/>
    <w:rsid w:val="1C5906D9"/>
    <w:rsid w:val="1CE6682B"/>
    <w:rsid w:val="1D012A8E"/>
    <w:rsid w:val="1D4913BD"/>
    <w:rsid w:val="1D5C5A99"/>
    <w:rsid w:val="1E2B2104"/>
    <w:rsid w:val="1E8A74DE"/>
    <w:rsid w:val="1E91718C"/>
    <w:rsid w:val="1ED62D1F"/>
    <w:rsid w:val="1EF6757D"/>
    <w:rsid w:val="1EFC5104"/>
    <w:rsid w:val="1F093390"/>
    <w:rsid w:val="1F152820"/>
    <w:rsid w:val="1F553954"/>
    <w:rsid w:val="1F9F6A09"/>
    <w:rsid w:val="1FF57F5C"/>
    <w:rsid w:val="1FFD4FF0"/>
    <w:rsid w:val="204764AE"/>
    <w:rsid w:val="20712924"/>
    <w:rsid w:val="20742FA2"/>
    <w:rsid w:val="20867B31"/>
    <w:rsid w:val="20DA5FA5"/>
    <w:rsid w:val="20F46465"/>
    <w:rsid w:val="213D310D"/>
    <w:rsid w:val="21423675"/>
    <w:rsid w:val="21CD554D"/>
    <w:rsid w:val="21FD0BD0"/>
    <w:rsid w:val="222020F4"/>
    <w:rsid w:val="22A75E85"/>
    <w:rsid w:val="22B03475"/>
    <w:rsid w:val="23313EB7"/>
    <w:rsid w:val="238439CA"/>
    <w:rsid w:val="23C84DE9"/>
    <w:rsid w:val="23D16D1A"/>
    <w:rsid w:val="23D305B4"/>
    <w:rsid w:val="23EF4590"/>
    <w:rsid w:val="24654ECD"/>
    <w:rsid w:val="2467660B"/>
    <w:rsid w:val="24BB79C6"/>
    <w:rsid w:val="24CC3981"/>
    <w:rsid w:val="250A711B"/>
    <w:rsid w:val="25311A36"/>
    <w:rsid w:val="255564D9"/>
    <w:rsid w:val="256F195A"/>
    <w:rsid w:val="2573204F"/>
    <w:rsid w:val="25754EBC"/>
    <w:rsid w:val="258B1A64"/>
    <w:rsid w:val="26055FF0"/>
    <w:rsid w:val="2694227D"/>
    <w:rsid w:val="26A61FB0"/>
    <w:rsid w:val="27AA4D38"/>
    <w:rsid w:val="27E55EA8"/>
    <w:rsid w:val="28437A30"/>
    <w:rsid w:val="289901F5"/>
    <w:rsid w:val="29447B75"/>
    <w:rsid w:val="2954088F"/>
    <w:rsid w:val="2970589C"/>
    <w:rsid w:val="29C9048F"/>
    <w:rsid w:val="2A377AEF"/>
    <w:rsid w:val="2A873256"/>
    <w:rsid w:val="2ABC6D6C"/>
    <w:rsid w:val="2AE15CAC"/>
    <w:rsid w:val="2B073965"/>
    <w:rsid w:val="2B586C2C"/>
    <w:rsid w:val="2B5C272F"/>
    <w:rsid w:val="2BD355F5"/>
    <w:rsid w:val="2C2220D9"/>
    <w:rsid w:val="2C2E6CCF"/>
    <w:rsid w:val="2C49278B"/>
    <w:rsid w:val="2C5A3F68"/>
    <w:rsid w:val="2C62225C"/>
    <w:rsid w:val="2C8B2BA4"/>
    <w:rsid w:val="2C9F3729"/>
    <w:rsid w:val="2CBC73F1"/>
    <w:rsid w:val="2CCC5955"/>
    <w:rsid w:val="2D7F4052"/>
    <w:rsid w:val="2D8972AC"/>
    <w:rsid w:val="2D8A05E6"/>
    <w:rsid w:val="2E640122"/>
    <w:rsid w:val="2EA27501"/>
    <w:rsid w:val="2F165C04"/>
    <w:rsid w:val="2F404F61"/>
    <w:rsid w:val="2FA07EE4"/>
    <w:rsid w:val="2FE73D65"/>
    <w:rsid w:val="3025488D"/>
    <w:rsid w:val="30344521"/>
    <w:rsid w:val="30590093"/>
    <w:rsid w:val="30A92DC8"/>
    <w:rsid w:val="31865C05"/>
    <w:rsid w:val="31BB7257"/>
    <w:rsid w:val="31D12E42"/>
    <w:rsid w:val="326D0948"/>
    <w:rsid w:val="32944ACC"/>
    <w:rsid w:val="32A22F3B"/>
    <w:rsid w:val="32E45D58"/>
    <w:rsid w:val="338673F1"/>
    <w:rsid w:val="33992EDC"/>
    <w:rsid w:val="343432F1"/>
    <w:rsid w:val="34531919"/>
    <w:rsid w:val="346C614C"/>
    <w:rsid w:val="34B20E76"/>
    <w:rsid w:val="34F91C74"/>
    <w:rsid w:val="35DC74B7"/>
    <w:rsid w:val="35F42E24"/>
    <w:rsid w:val="363C023B"/>
    <w:rsid w:val="367D2837"/>
    <w:rsid w:val="36CE4D7D"/>
    <w:rsid w:val="37037B8E"/>
    <w:rsid w:val="374B2E2B"/>
    <w:rsid w:val="37A16410"/>
    <w:rsid w:val="3824052A"/>
    <w:rsid w:val="382611A3"/>
    <w:rsid w:val="38265C7F"/>
    <w:rsid w:val="384949D9"/>
    <w:rsid w:val="3873434A"/>
    <w:rsid w:val="389A2D2B"/>
    <w:rsid w:val="38B35BDE"/>
    <w:rsid w:val="3911389D"/>
    <w:rsid w:val="39167469"/>
    <w:rsid w:val="397A17A6"/>
    <w:rsid w:val="39B06F76"/>
    <w:rsid w:val="39C96289"/>
    <w:rsid w:val="3A312307"/>
    <w:rsid w:val="3A346E62"/>
    <w:rsid w:val="3AA825E4"/>
    <w:rsid w:val="3AE372FD"/>
    <w:rsid w:val="3B353F5C"/>
    <w:rsid w:val="3B906996"/>
    <w:rsid w:val="3B93771F"/>
    <w:rsid w:val="3BB60406"/>
    <w:rsid w:val="3BE41159"/>
    <w:rsid w:val="3C5462DE"/>
    <w:rsid w:val="3CFC0570"/>
    <w:rsid w:val="3D3A4A98"/>
    <w:rsid w:val="3D622C7D"/>
    <w:rsid w:val="3DD516A1"/>
    <w:rsid w:val="3E68334A"/>
    <w:rsid w:val="3F136AFC"/>
    <w:rsid w:val="3F314B61"/>
    <w:rsid w:val="3F854F4E"/>
    <w:rsid w:val="3F8B4666"/>
    <w:rsid w:val="3FA0635A"/>
    <w:rsid w:val="3FD57E00"/>
    <w:rsid w:val="3FDA11F0"/>
    <w:rsid w:val="4003307C"/>
    <w:rsid w:val="40330901"/>
    <w:rsid w:val="40347E38"/>
    <w:rsid w:val="404B7F90"/>
    <w:rsid w:val="407927B7"/>
    <w:rsid w:val="40C4679E"/>
    <w:rsid w:val="41733E6B"/>
    <w:rsid w:val="4189307A"/>
    <w:rsid w:val="41DB2FFE"/>
    <w:rsid w:val="42045C63"/>
    <w:rsid w:val="4226071D"/>
    <w:rsid w:val="425B0CB6"/>
    <w:rsid w:val="42A67168"/>
    <w:rsid w:val="42A71A14"/>
    <w:rsid w:val="434A043B"/>
    <w:rsid w:val="43827ED5"/>
    <w:rsid w:val="43C33DCA"/>
    <w:rsid w:val="43F5739F"/>
    <w:rsid w:val="45725A27"/>
    <w:rsid w:val="457D327B"/>
    <w:rsid w:val="45950D71"/>
    <w:rsid w:val="45AD6A5F"/>
    <w:rsid w:val="4662784A"/>
    <w:rsid w:val="46873754"/>
    <w:rsid w:val="475353E4"/>
    <w:rsid w:val="47752ACA"/>
    <w:rsid w:val="477E06B3"/>
    <w:rsid w:val="4786696D"/>
    <w:rsid w:val="47D03E8C"/>
    <w:rsid w:val="48193DB1"/>
    <w:rsid w:val="482D3986"/>
    <w:rsid w:val="4856177F"/>
    <w:rsid w:val="48587156"/>
    <w:rsid w:val="4860425D"/>
    <w:rsid w:val="48645AFB"/>
    <w:rsid w:val="488E2B78"/>
    <w:rsid w:val="489A579E"/>
    <w:rsid w:val="48B040AA"/>
    <w:rsid w:val="48C66346"/>
    <w:rsid w:val="4901159C"/>
    <w:rsid w:val="492D05E3"/>
    <w:rsid w:val="499D11D6"/>
    <w:rsid w:val="49BA2757"/>
    <w:rsid w:val="49BE748D"/>
    <w:rsid w:val="4A0D5D1E"/>
    <w:rsid w:val="4A72783C"/>
    <w:rsid w:val="4A8364C7"/>
    <w:rsid w:val="4AF77FB7"/>
    <w:rsid w:val="4B375A36"/>
    <w:rsid w:val="4B7F49FA"/>
    <w:rsid w:val="4BFC75B5"/>
    <w:rsid w:val="4CA91B87"/>
    <w:rsid w:val="4D10676B"/>
    <w:rsid w:val="4D3F162C"/>
    <w:rsid w:val="4D9C0378"/>
    <w:rsid w:val="4E06620A"/>
    <w:rsid w:val="4E27577E"/>
    <w:rsid w:val="4E2875CB"/>
    <w:rsid w:val="4E942433"/>
    <w:rsid w:val="4E946A0E"/>
    <w:rsid w:val="4E964534"/>
    <w:rsid w:val="4E9B5052"/>
    <w:rsid w:val="4F043B94"/>
    <w:rsid w:val="4F2953A8"/>
    <w:rsid w:val="4F2C74DB"/>
    <w:rsid w:val="4F6E33DD"/>
    <w:rsid w:val="4FB2381E"/>
    <w:rsid w:val="500A35A4"/>
    <w:rsid w:val="502618E8"/>
    <w:rsid w:val="505C7A7D"/>
    <w:rsid w:val="50890FCA"/>
    <w:rsid w:val="50B87B51"/>
    <w:rsid w:val="50CC5E28"/>
    <w:rsid w:val="50EC7417"/>
    <w:rsid w:val="514069D9"/>
    <w:rsid w:val="5153495F"/>
    <w:rsid w:val="5188187B"/>
    <w:rsid w:val="51A8072E"/>
    <w:rsid w:val="51D94F61"/>
    <w:rsid w:val="51F36142"/>
    <w:rsid w:val="52827DF8"/>
    <w:rsid w:val="52BD5936"/>
    <w:rsid w:val="52CC4866"/>
    <w:rsid w:val="52D70E9F"/>
    <w:rsid w:val="536921A7"/>
    <w:rsid w:val="53840BD8"/>
    <w:rsid w:val="538A06B3"/>
    <w:rsid w:val="53C438F2"/>
    <w:rsid w:val="53D31110"/>
    <w:rsid w:val="54253CDE"/>
    <w:rsid w:val="54413194"/>
    <w:rsid w:val="54446D5E"/>
    <w:rsid w:val="54741D03"/>
    <w:rsid w:val="554734B4"/>
    <w:rsid w:val="554D131D"/>
    <w:rsid w:val="55633225"/>
    <w:rsid w:val="557F2476"/>
    <w:rsid w:val="562B1F7D"/>
    <w:rsid w:val="56536F90"/>
    <w:rsid w:val="56A53206"/>
    <w:rsid w:val="56D77DE0"/>
    <w:rsid w:val="56EF6ED8"/>
    <w:rsid w:val="570C56CD"/>
    <w:rsid w:val="574732BF"/>
    <w:rsid w:val="57727B09"/>
    <w:rsid w:val="58F25581"/>
    <w:rsid w:val="593B74AE"/>
    <w:rsid w:val="595C281E"/>
    <w:rsid w:val="59977482"/>
    <w:rsid w:val="59A30C9C"/>
    <w:rsid w:val="5A70570C"/>
    <w:rsid w:val="5AD9459C"/>
    <w:rsid w:val="5AF00347"/>
    <w:rsid w:val="5AF34ABD"/>
    <w:rsid w:val="5B510BFE"/>
    <w:rsid w:val="5B6A6FEB"/>
    <w:rsid w:val="5B735765"/>
    <w:rsid w:val="5B9012F0"/>
    <w:rsid w:val="5C2238AB"/>
    <w:rsid w:val="5C6D1EE2"/>
    <w:rsid w:val="5C8A0353"/>
    <w:rsid w:val="5CDD3114"/>
    <w:rsid w:val="5D867E6A"/>
    <w:rsid w:val="5D8F60CD"/>
    <w:rsid w:val="5D9373A4"/>
    <w:rsid w:val="5E5F1F77"/>
    <w:rsid w:val="5E96732F"/>
    <w:rsid w:val="5F047298"/>
    <w:rsid w:val="5F2913F5"/>
    <w:rsid w:val="5F3A0F0C"/>
    <w:rsid w:val="5F654A38"/>
    <w:rsid w:val="5F6A29BF"/>
    <w:rsid w:val="5F6E4E38"/>
    <w:rsid w:val="5F8229D3"/>
    <w:rsid w:val="5F8B1768"/>
    <w:rsid w:val="603B4F3C"/>
    <w:rsid w:val="60600A87"/>
    <w:rsid w:val="609A21B5"/>
    <w:rsid w:val="60D64C64"/>
    <w:rsid w:val="61671D60"/>
    <w:rsid w:val="61B50D1E"/>
    <w:rsid w:val="61F57EF2"/>
    <w:rsid w:val="620D2CF1"/>
    <w:rsid w:val="626F0BAD"/>
    <w:rsid w:val="62A0552A"/>
    <w:rsid w:val="62EB1EFF"/>
    <w:rsid w:val="636536DA"/>
    <w:rsid w:val="638F3F68"/>
    <w:rsid w:val="646C67BE"/>
    <w:rsid w:val="64BB489D"/>
    <w:rsid w:val="64BC3448"/>
    <w:rsid w:val="651E3AD5"/>
    <w:rsid w:val="653B5F1E"/>
    <w:rsid w:val="657B5DDA"/>
    <w:rsid w:val="65E63B9C"/>
    <w:rsid w:val="6637243F"/>
    <w:rsid w:val="671309C0"/>
    <w:rsid w:val="676A507B"/>
    <w:rsid w:val="6788496F"/>
    <w:rsid w:val="67904927"/>
    <w:rsid w:val="682578CD"/>
    <w:rsid w:val="6832131A"/>
    <w:rsid w:val="6A1508EF"/>
    <w:rsid w:val="6A68677D"/>
    <w:rsid w:val="6AF86815"/>
    <w:rsid w:val="6B0D1BCA"/>
    <w:rsid w:val="6B252A70"/>
    <w:rsid w:val="6BCB71CC"/>
    <w:rsid w:val="6C042FCD"/>
    <w:rsid w:val="6C3E6F85"/>
    <w:rsid w:val="6D260D22"/>
    <w:rsid w:val="6D633D24"/>
    <w:rsid w:val="6D892B85"/>
    <w:rsid w:val="6D9A65E3"/>
    <w:rsid w:val="6DE16806"/>
    <w:rsid w:val="6E201C15"/>
    <w:rsid w:val="6F084B83"/>
    <w:rsid w:val="6F20011E"/>
    <w:rsid w:val="6F35010A"/>
    <w:rsid w:val="70433998"/>
    <w:rsid w:val="705C4A42"/>
    <w:rsid w:val="70693765"/>
    <w:rsid w:val="70855F0A"/>
    <w:rsid w:val="708D288F"/>
    <w:rsid w:val="70CE5958"/>
    <w:rsid w:val="71286452"/>
    <w:rsid w:val="72127AC6"/>
    <w:rsid w:val="726227FC"/>
    <w:rsid w:val="726245AA"/>
    <w:rsid w:val="726A16B0"/>
    <w:rsid w:val="72701966"/>
    <w:rsid w:val="72713458"/>
    <w:rsid w:val="72C77253"/>
    <w:rsid w:val="730A5D0E"/>
    <w:rsid w:val="734C6CC3"/>
    <w:rsid w:val="73882824"/>
    <w:rsid w:val="73997859"/>
    <w:rsid w:val="74BC41AC"/>
    <w:rsid w:val="74C652C4"/>
    <w:rsid w:val="74D3353D"/>
    <w:rsid w:val="75157D18"/>
    <w:rsid w:val="7536481C"/>
    <w:rsid w:val="75641328"/>
    <w:rsid w:val="75795EB8"/>
    <w:rsid w:val="757A1C0A"/>
    <w:rsid w:val="75B82733"/>
    <w:rsid w:val="75E74553"/>
    <w:rsid w:val="76480CDA"/>
    <w:rsid w:val="765C7ADA"/>
    <w:rsid w:val="76945B56"/>
    <w:rsid w:val="769E16F5"/>
    <w:rsid w:val="76A63AE1"/>
    <w:rsid w:val="76E6322A"/>
    <w:rsid w:val="77194381"/>
    <w:rsid w:val="77C71105"/>
    <w:rsid w:val="78072D02"/>
    <w:rsid w:val="7841203C"/>
    <w:rsid w:val="78773E66"/>
    <w:rsid w:val="78D41F79"/>
    <w:rsid w:val="78D54533"/>
    <w:rsid w:val="79093C83"/>
    <w:rsid w:val="79151151"/>
    <w:rsid w:val="79EE2BC7"/>
    <w:rsid w:val="7A196674"/>
    <w:rsid w:val="7A707A80"/>
    <w:rsid w:val="7AE55D78"/>
    <w:rsid w:val="7B1C3D42"/>
    <w:rsid w:val="7B257452"/>
    <w:rsid w:val="7B393AB3"/>
    <w:rsid w:val="7B8B1F7D"/>
    <w:rsid w:val="7BC938EC"/>
    <w:rsid w:val="7BDF5456"/>
    <w:rsid w:val="7C317518"/>
    <w:rsid w:val="7C382752"/>
    <w:rsid w:val="7C413482"/>
    <w:rsid w:val="7C7C44BA"/>
    <w:rsid w:val="7CC5190A"/>
    <w:rsid w:val="7D4635B1"/>
    <w:rsid w:val="7DE26C94"/>
    <w:rsid w:val="7E704036"/>
    <w:rsid w:val="7ECB6786"/>
    <w:rsid w:val="7EEF3669"/>
    <w:rsid w:val="7FAB699F"/>
    <w:rsid w:val="7FAE0A4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880" w:firstLineChars="200"/>
      <w:jc w:val="both"/>
    </w:pPr>
    <w:rPr>
      <w:rFonts w:ascii="Times New Roman" w:hAnsi="Times New Roman" w:eastAsia="宋体" w:cs="Times New Roman"/>
      <w:kern w:val="2"/>
      <w:sz w:val="28"/>
      <w:szCs w:val="24"/>
      <w:lang w:val="en-US" w:eastAsia="zh-CN" w:bidi="ar-SA"/>
    </w:rPr>
  </w:style>
  <w:style w:type="paragraph" w:styleId="2">
    <w:name w:val="heading 1"/>
    <w:basedOn w:val="1"/>
    <w:next w:val="1"/>
    <w:link w:val="39"/>
    <w:qFormat/>
    <w:uiPriority w:val="0"/>
    <w:pPr>
      <w:keepNext/>
      <w:keepLines/>
      <w:spacing w:line="360" w:lineRule="auto"/>
      <w:ind w:firstLine="0" w:firstLineChars="0"/>
      <w:jc w:val="center"/>
      <w:outlineLvl w:val="0"/>
    </w:pPr>
    <w:rPr>
      <w:rFonts w:eastAsia="黑体"/>
      <w:b/>
      <w:bCs/>
      <w:kern w:val="44"/>
      <w:sz w:val="32"/>
      <w:szCs w:val="44"/>
    </w:rPr>
  </w:style>
  <w:style w:type="paragraph" w:styleId="3">
    <w:name w:val="heading 2"/>
    <w:basedOn w:val="1"/>
    <w:next w:val="1"/>
    <w:link w:val="38"/>
    <w:qFormat/>
    <w:uiPriority w:val="0"/>
    <w:pPr>
      <w:keepNext/>
      <w:keepLines/>
      <w:spacing w:line="360" w:lineRule="auto"/>
      <w:ind w:left="210" w:leftChars="100" w:firstLine="0" w:firstLineChars="0"/>
      <w:outlineLvl w:val="1"/>
    </w:pPr>
    <w:rPr>
      <w:rFonts w:eastAsia="黑体"/>
      <w:b/>
      <w:bCs/>
      <w:sz w:val="30"/>
      <w:szCs w:val="32"/>
    </w:rPr>
  </w:style>
  <w:style w:type="paragraph" w:styleId="4">
    <w:name w:val="heading 3"/>
    <w:basedOn w:val="1"/>
    <w:next w:val="1"/>
    <w:link w:val="40"/>
    <w:qFormat/>
    <w:uiPriority w:val="0"/>
    <w:pPr>
      <w:keepNext/>
      <w:keepLines/>
      <w:spacing w:line="360" w:lineRule="auto"/>
      <w:ind w:left="420" w:leftChars="200" w:firstLine="0" w:firstLineChars="0"/>
      <w:outlineLvl w:val="2"/>
    </w:pPr>
    <w:rPr>
      <w:rFonts w:eastAsia="黑体"/>
      <w:b/>
      <w:bCs/>
      <w:szCs w:val="32"/>
    </w:rPr>
  </w:style>
  <w:style w:type="paragraph" w:styleId="5">
    <w:name w:val="heading 4"/>
    <w:basedOn w:val="1"/>
    <w:next w:val="1"/>
    <w:link w:val="41"/>
    <w:qFormat/>
    <w:uiPriority w:val="0"/>
    <w:pPr>
      <w:keepNext/>
      <w:keepLines/>
      <w:spacing w:before="280" w:after="290" w:line="376" w:lineRule="auto"/>
      <w:outlineLvl w:val="3"/>
    </w:pPr>
    <w:rPr>
      <w:rFonts w:ascii="Arial" w:hAnsi="Arial" w:eastAsia="黑体"/>
      <w:b/>
      <w:bCs/>
      <w:sz w:val="28"/>
      <w:szCs w:val="28"/>
    </w:rPr>
  </w:style>
  <w:style w:type="character" w:default="1" w:styleId="34">
    <w:name w:val="Default Paragraph Font"/>
    <w:link w:val="35"/>
    <w:semiHidden/>
    <w:qFormat/>
    <w:uiPriority w:val="0"/>
  </w:style>
  <w:style w:type="table" w:default="1" w:styleId="32">
    <w:name w:val="Normal Table"/>
    <w:semiHidden/>
    <w:qFormat/>
    <w:uiPriority w:val="0"/>
    <w:tblPr>
      <w:tblCellMar>
        <w:top w:w="0" w:type="dxa"/>
        <w:left w:w="108" w:type="dxa"/>
        <w:bottom w:w="0" w:type="dxa"/>
        <w:right w:w="108" w:type="dxa"/>
      </w:tblCellMar>
    </w:tblPr>
  </w:style>
  <w:style w:type="paragraph" w:styleId="6">
    <w:name w:val="List 3"/>
    <w:basedOn w:val="1"/>
    <w:qFormat/>
    <w:uiPriority w:val="0"/>
    <w:pPr>
      <w:spacing w:line="360" w:lineRule="auto"/>
      <w:ind w:left="100" w:leftChars="400" w:hanging="200" w:hangingChars="200"/>
    </w:pPr>
    <w:rPr>
      <w:sz w:val="28"/>
    </w:rPr>
  </w:style>
  <w:style w:type="paragraph" w:styleId="7">
    <w:name w:val="Normal Indent"/>
    <w:basedOn w:val="1"/>
    <w:link w:val="42"/>
    <w:qFormat/>
    <w:uiPriority w:val="0"/>
    <w:pPr>
      <w:widowControl/>
      <w:spacing w:line="360" w:lineRule="auto"/>
      <w:ind w:firstLine="562" w:firstLineChars="200"/>
      <w:jc w:val="left"/>
    </w:pPr>
    <w:rPr>
      <w:b/>
      <w:bCs/>
      <w:sz w:val="28"/>
      <w:szCs w:val="20"/>
    </w:rPr>
  </w:style>
  <w:style w:type="paragraph" w:styleId="8">
    <w:name w:val="caption"/>
    <w:basedOn w:val="1"/>
    <w:next w:val="1"/>
    <w:semiHidden/>
    <w:qFormat/>
    <w:uiPriority w:val="0"/>
    <w:pPr>
      <w:spacing w:line="360" w:lineRule="auto"/>
    </w:pPr>
    <w:rPr>
      <w:rFonts w:ascii="Arial" w:hAnsi="Arial" w:eastAsia="黑体" w:cs="Arial"/>
      <w:sz w:val="20"/>
      <w:szCs w:val="20"/>
    </w:rPr>
  </w:style>
  <w:style w:type="paragraph" w:styleId="9">
    <w:name w:val="Document Map"/>
    <w:basedOn w:val="1"/>
    <w:semiHidden/>
    <w:qFormat/>
    <w:uiPriority w:val="0"/>
    <w:pPr>
      <w:shd w:val="clear" w:color="auto" w:fill="000080"/>
    </w:pPr>
  </w:style>
  <w:style w:type="paragraph" w:styleId="10">
    <w:name w:val="toa heading"/>
    <w:next w:val="1"/>
    <w:qFormat/>
    <w:uiPriority w:val="0"/>
    <w:pPr>
      <w:widowControl w:val="0"/>
      <w:spacing w:before="120"/>
      <w:jc w:val="both"/>
    </w:pPr>
    <w:rPr>
      <w:rFonts w:ascii="Cambria" w:hAnsi="Cambria" w:eastAsia="宋体" w:cs="Times New Roman"/>
      <w:kern w:val="2"/>
      <w:sz w:val="24"/>
      <w:szCs w:val="24"/>
      <w:lang w:val="en-US" w:eastAsia="zh-CN" w:bidi="ar-SA"/>
    </w:rPr>
  </w:style>
  <w:style w:type="paragraph" w:styleId="11">
    <w:name w:val="annotation text"/>
    <w:basedOn w:val="1"/>
    <w:qFormat/>
    <w:uiPriority w:val="0"/>
    <w:pPr>
      <w:jc w:val="left"/>
    </w:pPr>
  </w:style>
  <w:style w:type="paragraph" w:styleId="12">
    <w:name w:val="Body Text"/>
    <w:basedOn w:val="1"/>
    <w:link w:val="43"/>
    <w:qFormat/>
    <w:uiPriority w:val="0"/>
    <w:pPr>
      <w:spacing w:after="120" w:line="360" w:lineRule="auto"/>
    </w:pPr>
    <w:rPr>
      <w:sz w:val="28"/>
    </w:rPr>
  </w:style>
  <w:style w:type="paragraph" w:styleId="13">
    <w:name w:val="Body Text Indent"/>
    <w:basedOn w:val="1"/>
    <w:qFormat/>
    <w:uiPriority w:val="0"/>
    <w:pPr>
      <w:ind w:firstLine="560" w:firstLineChars="200"/>
    </w:pPr>
    <w:rPr>
      <w:sz w:val="28"/>
    </w:rPr>
  </w:style>
  <w:style w:type="paragraph" w:styleId="14">
    <w:name w:val="List 2"/>
    <w:basedOn w:val="1"/>
    <w:qFormat/>
    <w:uiPriority w:val="0"/>
    <w:pPr>
      <w:spacing w:line="360" w:lineRule="auto"/>
      <w:ind w:left="100" w:leftChars="200" w:hanging="200" w:hangingChars="200"/>
    </w:pPr>
    <w:rPr>
      <w:sz w:val="28"/>
    </w:rPr>
  </w:style>
  <w:style w:type="paragraph" w:styleId="15">
    <w:name w:val="Block Text"/>
    <w:qFormat/>
    <w:uiPriority w:val="0"/>
    <w:pPr>
      <w:widowControl w:val="0"/>
      <w:spacing w:line="20" w:lineRule="atLeast"/>
      <w:ind w:left="-178" w:leftChars="-85" w:right="-393" w:rightChars="-187" w:firstLine="560" w:firstLineChars="200"/>
      <w:jc w:val="both"/>
    </w:pPr>
    <w:rPr>
      <w:rFonts w:ascii="Calibri" w:hAnsi="Calibri" w:eastAsia="仿宋_GB2312" w:cs="宋体"/>
      <w:bCs/>
      <w:kern w:val="2"/>
      <w:sz w:val="28"/>
      <w:szCs w:val="24"/>
      <w:lang w:val="en-US" w:eastAsia="zh-CN" w:bidi="ar-SA"/>
    </w:rPr>
  </w:style>
  <w:style w:type="paragraph" w:styleId="16">
    <w:name w:val="toc 3"/>
    <w:basedOn w:val="1"/>
    <w:next w:val="1"/>
    <w:semiHidden/>
    <w:qFormat/>
    <w:uiPriority w:val="0"/>
    <w:pPr>
      <w:ind w:left="840" w:leftChars="400"/>
    </w:pPr>
    <w:rPr>
      <w:sz w:val="21"/>
    </w:rPr>
  </w:style>
  <w:style w:type="paragraph" w:styleId="17">
    <w:name w:val="Plain Text"/>
    <w:basedOn w:val="1"/>
    <w:link w:val="44"/>
    <w:qFormat/>
    <w:uiPriority w:val="0"/>
    <w:rPr>
      <w:rFonts w:ascii="宋体" w:hAnsi="Courier New" w:eastAsia="Times New Roman"/>
      <w:kern w:val="0"/>
      <w:sz w:val="20"/>
      <w:szCs w:val="21"/>
    </w:rPr>
  </w:style>
  <w:style w:type="paragraph" w:styleId="18">
    <w:name w:val="Date"/>
    <w:basedOn w:val="1"/>
    <w:next w:val="1"/>
    <w:qFormat/>
    <w:uiPriority w:val="0"/>
    <w:pPr>
      <w:spacing w:line="360" w:lineRule="auto"/>
      <w:ind w:left="100" w:leftChars="2500"/>
    </w:pPr>
    <w:rPr>
      <w:sz w:val="28"/>
    </w:rPr>
  </w:style>
  <w:style w:type="paragraph" w:styleId="19">
    <w:name w:val="Body Text Indent 2"/>
    <w:basedOn w:val="1"/>
    <w:qFormat/>
    <w:uiPriority w:val="0"/>
    <w:pPr>
      <w:spacing w:after="120" w:line="480" w:lineRule="auto"/>
      <w:ind w:left="420" w:leftChars="200"/>
    </w:pPr>
  </w:style>
  <w:style w:type="paragraph" w:styleId="20">
    <w:name w:val="Balloon Text"/>
    <w:basedOn w:val="1"/>
    <w:semiHidden/>
    <w:qFormat/>
    <w:uiPriority w:val="0"/>
    <w:rPr>
      <w:sz w:val="18"/>
      <w:szCs w:val="18"/>
    </w:rPr>
  </w:style>
  <w:style w:type="paragraph" w:styleId="21">
    <w:name w:val="footer"/>
    <w:basedOn w:val="1"/>
    <w:link w:val="45"/>
    <w:qFormat/>
    <w:uiPriority w:val="0"/>
    <w:pPr>
      <w:tabs>
        <w:tab w:val="center" w:pos="4153"/>
        <w:tab w:val="right" w:pos="8306"/>
      </w:tabs>
      <w:snapToGrid w:val="0"/>
      <w:jc w:val="left"/>
    </w:pPr>
    <w:rPr>
      <w:sz w:val="18"/>
      <w:szCs w:val="18"/>
    </w:rPr>
  </w:style>
  <w:style w:type="paragraph" w:styleId="2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3">
    <w:name w:val="toc 1"/>
    <w:basedOn w:val="1"/>
    <w:next w:val="1"/>
    <w:semiHidden/>
    <w:qFormat/>
    <w:uiPriority w:val="0"/>
  </w:style>
  <w:style w:type="paragraph" w:styleId="24">
    <w:name w:val="Subtitle"/>
    <w:basedOn w:val="1"/>
    <w:qFormat/>
    <w:uiPriority w:val="0"/>
    <w:pPr>
      <w:spacing w:before="240" w:after="60" w:line="312" w:lineRule="auto"/>
      <w:jc w:val="center"/>
      <w:outlineLvl w:val="1"/>
    </w:pPr>
    <w:rPr>
      <w:rFonts w:ascii="Arial" w:hAnsi="Arial" w:cs="Arial"/>
      <w:b/>
      <w:bCs/>
      <w:kern w:val="28"/>
      <w:sz w:val="32"/>
      <w:szCs w:val="32"/>
    </w:rPr>
  </w:style>
  <w:style w:type="paragraph" w:styleId="25">
    <w:name w:val="List"/>
    <w:basedOn w:val="1"/>
    <w:qFormat/>
    <w:uiPriority w:val="0"/>
    <w:pPr>
      <w:spacing w:line="360" w:lineRule="auto"/>
      <w:ind w:left="200" w:hanging="200" w:hangingChars="200"/>
    </w:pPr>
    <w:rPr>
      <w:sz w:val="28"/>
    </w:rPr>
  </w:style>
  <w:style w:type="paragraph" w:styleId="26">
    <w:name w:val="Body Text Indent 3"/>
    <w:basedOn w:val="1"/>
    <w:qFormat/>
    <w:uiPriority w:val="0"/>
    <w:pPr>
      <w:spacing w:after="120" w:line="360" w:lineRule="auto"/>
      <w:ind w:left="420" w:leftChars="200"/>
    </w:pPr>
    <w:rPr>
      <w:sz w:val="16"/>
      <w:szCs w:val="16"/>
    </w:rPr>
  </w:style>
  <w:style w:type="paragraph" w:styleId="27">
    <w:name w:val="toc 2"/>
    <w:basedOn w:val="1"/>
    <w:next w:val="1"/>
    <w:semiHidden/>
    <w:qFormat/>
    <w:uiPriority w:val="0"/>
    <w:pPr>
      <w:ind w:left="420" w:leftChars="200"/>
    </w:pPr>
    <w:rPr>
      <w:sz w:val="24"/>
    </w:rPr>
  </w:style>
  <w:style w:type="paragraph" w:styleId="28">
    <w:name w:val="Normal (Web)"/>
    <w:basedOn w:val="1"/>
    <w:link w:val="46"/>
    <w:qFormat/>
    <w:uiPriority w:val="0"/>
    <w:pPr>
      <w:widowControl/>
      <w:spacing w:before="100" w:beforeAutospacing="1" w:after="100" w:afterAutospacing="1"/>
      <w:jc w:val="left"/>
    </w:pPr>
    <w:rPr>
      <w:rFonts w:ascii="宋体" w:hAnsi="宋体"/>
      <w:kern w:val="0"/>
      <w:sz w:val="24"/>
    </w:rPr>
  </w:style>
  <w:style w:type="paragraph" w:styleId="29">
    <w:name w:val="Title"/>
    <w:basedOn w:val="1"/>
    <w:qFormat/>
    <w:uiPriority w:val="0"/>
    <w:pPr>
      <w:spacing w:before="240" w:after="60" w:line="360" w:lineRule="auto"/>
      <w:jc w:val="center"/>
      <w:outlineLvl w:val="0"/>
    </w:pPr>
    <w:rPr>
      <w:rFonts w:ascii="Arial" w:hAnsi="Arial" w:cs="Arial"/>
      <w:b/>
      <w:bCs/>
      <w:sz w:val="32"/>
      <w:szCs w:val="32"/>
    </w:rPr>
  </w:style>
  <w:style w:type="paragraph" w:styleId="30">
    <w:name w:val="Body Text First Indent"/>
    <w:basedOn w:val="12"/>
    <w:next w:val="1"/>
    <w:qFormat/>
    <w:uiPriority w:val="0"/>
    <w:pPr>
      <w:ind w:firstLine="420" w:firstLineChars="100"/>
    </w:pPr>
  </w:style>
  <w:style w:type="paragraph" w:styleId="31">
    <w:name w:val="Body Text First Indent 2"/>
    <w:basedOn w:val="1"/>
    <w:next w:val="30"/>
    <w:qFormat/>
    <w:uiPriority w:val="0"/>
    <w:pPr>
      <w:spacing w:after="120" w:line="360" w:lineRule="auto"/>
      <w:ind w:left="420" w:leftChars="200" w:firstLine="420"/>
    </w:pPr>
  </w:style>
  <w:style w:type="table" w:styleId="33">
    <w:name w:val="Table Grid"/>
    <w:basedOn w:val="3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5">
    <w:name w:val=" Char Char1 Char Char Char Char"/>
    <w:basedOn w:val="1"/>
    <w:link w:val="34"/>
    <w:qFormat/>
    <w:uiPriority w:val="0"/>
  </w:style>
  <w:style w:type="character" w:styleId="36">
    <w:name w:val="page number"/>
    <w:basedOn w:val="34"/>
    <w:qFormat/>
    <w:uiPriority w:val="0"/>
  </w:style>
  <w:style w:type="character" w:styleId="37">
    <w:name w:val="Hyperlink"/>
    <w:basedOn w:val="34"/>
    <w:qFormat/>
    <w:uiPriority w:val="0"/>
    <w:rPr>
      <w:color w:val="0000FF"/>
      <w:u w:val="single"/>
    </w:rPr>
  </w:style>
  <w:style w:type="character" w:customStyle="1" w:styleId="38">
    <w:name w:val="标题 2 Char"/>
    <w:basedOn w:val="34"/>
    <w:link w:val="3"/>
    <w:qFormat/>
    <w:uiPriority w:val="0"/>
    <w:rPr>
      <w:rFonts w:ascii="Times New Roman" w:hAnsi="Times New Roman" w:eastAsia="黑体"/>
      <w:b/>
      <w:bCs/>
      <w:kern w:val="2"/>
      <w:sz w:val="30"/>
      <w:szCs w:val="32"/>
      <w:lang w:val="en-US" w:eastAsia="zh-CN" w:bidi="ar-SA"/>
    </w:rPr>
  </w:style>
  <w:style w:type="character" w:customStyle="1" w:styleId="39">
    <w:name w:val="标题 1 Char"/>
    <w:link w:val="2"/>
    <w:qFormat/>
    <w:uiPriority w:val="0"/>
    <w:rPr>
      <w:rFonts w:eastAsia="黑体"/>
      <w:b/>
      <w:bCs/>
      <w:kern w:val="44"/>
      <w:sz w:val="32"/>
      <w:szCs w:val="44"/>
    </w:rPr>
  </w:style>
  <w:style w:type="character" w:customStyle="1" w:styleId="40">
    <w:name w:val="标题 3 Char"/>
    <w:link w:val="4"/>
    <w:qFormat/>
    <w:uiPriority w:val="0"/>
    <w:rPr>
      <w:rFonts w:eastAsia="黑体"/>
      <w:b/>
      <w:bCs/>
      <w:szCs w:val="32"/>
    </w:rPr>
  </w:style>
  <w:style w:type="character" w:customStyle="1" w:styleId="41">
    <w:name w:val="标题 4 Char"/>
    <w:link w:val="5"/>
    <w:qFormat/>
    <w:uiPriority w:val="0"/>
    <w:rPr>
      <w:rFonts w:ascii="Arial" w:hAnsi="Arial" w:eastAsia="黑体"/>
      <w:b/>
      <w:bCs/>
      <w:sz w:val="28"/>
      <w:szCs w:val="28"/>
    </w:rPr>
  </w:style>
  <w:style w:type="character" w:customStyle="1" w:styleId="42">
    <w:name w:val="正文缩进 Char Char"/>
    <w:basedOn w:val="34"/>
    <w:link w:val="7"/>
    <w:qFormat/>
    <w:uiPriority w:val="0"/>
    <w:rPr>
      <w:rFonts w:eastAsia="宋体"/>
      <w:b/>
      <w:bCs/>
      <w:kern w:val="2"/>
      <w:sz w:val="28"/>
      <w:lang w:val="en-US" w:eastAsia="zh-CN" w:bidi="ar-SA"/>
    </w:rPr>
  </w:style>
  <w:style w:type="character" w:customStyle="1" w:styleId="43">
    <w:name w:val="正文文本_"/>
    <w:basedOn w:val="34"/>
    <w:link w:val="12"/>
    <w:qFormat/>
    <w:uiPriority w:val="0"/>
    <w:rPr>
      <w:rFonts w:eastAsia="宋体"/>
      <w:kern w:val="2"/>
      <w:sz w:val="28"/>
      <w:szCs w:val="24"/>
      <w:lang w:val="en-US" w:eastAsia="zh-CN" w:bidi="ar-SA"/>
    </w:rPr>
  </w:style>
  <w:style w:type="character" w:customStyle="1" w:styleId="44">
    <w:name w:val="纯文本 Char Char Char"/>
    <w:basedOn w:val="34"/>
    <w:link w:val="17"/>
    <w:qFormat/>
    <w:uiPriority w:val="0"/>
    <w:rPr>
      <w:rFonts w:ascii="宋体" w:hAnsi="Courier New"/>
      <w:szCs w:val="21"/>
      <w:lang w:bidi="ar-SA"/>
    </w:rPr>
  </w:style>
  <w:style w:type="character" w:customStyle="1" w:styleId="45">
    <w:name w:val=" Char Char1"/>
    <w:basedOn w:val="34"/>
    <w:link w:val="21"/>
    <w:qFormat/>
    <w:uiPriority w:val="0"/>
    <w:rPr>
      <w:rFonts w:eastAsia="宋体"/>
      <w:kern w:val="2"/>
      <w:sz w:val="18"/>
      <w:szCs w:val="18"/>
      <w:lang w:val="en-US" w:eastAsia="zh-CN" w:bidi="ar-SA"/>
    </w:rPr>
  </w:style>
  <w:style w:type="character" w:customStyle="1" w:styleId="46">
    <w:name w:val="普通 (Web) Char1"/>
    <w:basedOn w:val="34"/>
    <w:link w:val="28"/>
    <w:qFormat/>
    <w:uiPriority w:val="0"/>
    <w:rPr>
      <w:rFonts w:ascii="宋体" w:hAnsi="宋体" w:eastAsia="宋体"/>
      <w:sz w:val="24"/>
      <w:szCs w:val="24"/>
      <w:lang w:val="en-US" w:eastAsia="zh-CN" w:bidi="ar-SA"/>
    </w:rPr>
  </w:style>
  <w:style w:type="paragraph" w:customStyle="1" w:styleId="47">
    <w:name w:val="样式 小四 首行缩进:  0.85 厘米 行距: 固定值 22 磅"/>
    <w:qFormat/>
    <w:uiPriority w:val="0"/>
    <w:pPr>
      <w:widowControl/>
      <w:spacing w:line="440" w:lineRule="exact"/>
      <w:ind w:firstLine="480" w:firstLineChars="200"/>
      <w:jc w:val="both"/>
    </w:pPr>
    <w:rPr>
      <w:rFonts w:ascii="新宋体" w:hAnsi="新宋体" w:eastAsia="新宋体" w:cs="新宋体"/>
      <w:kern w:val="0"/>
      <w:sz w:val="24"/>
      <w:szCs w:val="20"/>
      <w:lang w:val="en-US" w:eastAsia="en-US" w:bidi="en-US"/>
    </w:rPr>
  </w:style>
  <w:style w:type="paragraph" w:customStyle="1" w:styleId="48">
    <w:name w:val="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9">
    <w:name w:val="文本"/>
    <w:basedOn w:val="1"/>
    <w:qFormat/>
    <w:uiPriority w:val="0"/>
    <w:pPr>
      <w:spacing w:before="20" w:beforeLines="20" w:line="460" w:lineRule="exact"/>
      <w:ind w:firstLine="561"/>
    </w:pPr>
    <w:rPr>
      <w:sz w:val="28"/>
      <w:szCs w:val="28"/>
    </w:rPr>
  </w:style>
  <w:style w:type="paragraph" w:customStyle="1" w:styleId="50">
    <w:name w:val="样式 标题 3 + Arial 四号 非加粗"/>
    <w:basedOn w:val="4"/>
    <w:link w:val="51"/>
    <w:qFormat/>
    <w:uiPriority w:val="0"/>
    <w:pPr>
      <w:spacing w:before="60" w:after="60" w:line="415" w:lineRule="auto"/>
    </w:pPr>
    <w:rPr>
      <w:rFonts w:ascii="Arial" w:hAnsi="Arial"/>
      <w:b w:val="0"/>
      <w:bCs w:val="0"/>
      <w:sz w:val="28"/>
    </w:rPr>
  </w:style>
  <w:style w:type="character" w:customStyle="1" w:styleId="51">
    <w:name w:val="样式 标题 3 + Arial 四号 非加粗 Char"/>
    <w:basedOn w:val="34"/>
    <w:link w:val="50"/>
    <w:qFormat/>
    <w:uiPriority w:val="0"/>
    <w:rPr>
      <w:rFonts w:ascii="Arial" w:hAnsi="Arial" w:eastAsia="宋体"/>
      <w:kern w:val="2"/>
      <w:sz w:val="28"/>
      <w:szCs w:val="32"/>
      <w:lang w:val="en-US" w:eastAsia="zh-CN" w:bidi="ar-SA"/>
    </w:rPr>
  </w:style>
  <w:style w:type="paragraph" w:customStyle="1" w:styleId="52">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53">
    <w:name w:val="样式 宋体 小二 加粗 居中 行距: 固定值 28 磅"/>
    <w:basedOn w:val="1"/>
    <w:qFormat/>
    <w:uiPriority w:val="0"/>
    <w:pPr>
      <w:spacing w:line="560" w:lineRule="exact"/>
      <w:jc w:val="center"/>
    </w:pPr>
    <w:rPr>
      <w:rFonts w:ascii="宋体" w:hAnsi="宋体" w:cs="宋体"/>
      <w:b/>
      <w:bCs/>
      <w:sz w:val="36"/>
      <w:szCs w:val="20"/>
    </w:rPr>
  </w:style>
  <w:style w:type="paragraph" w:customStyle="1" w:styleId="54">
    <w:name w:val="Char1"/>
    <w:basedOn w:val="1"/>
    <w:qFormat/>
    <w:uiPriority w:val="0"/>
    <w:pPr>
      <w:autoSpaceDE w:val="0"/>
      <w:autoSpaceDN w:val="0"/>
      <w:adjustRightInd w:val="0"/>
      <w:snapToGrid w:val="0"/>
      <w:spacing w:before="50" w:after="50" w:line="360" w:lineRule="auto"/>
      <w:ind w:firstLine="560" w:firstLineChars="200"/>
    </w:pPr>
    <w:rPr>
      <w:szCs w:val="20"/>
    </w:rPr>
  </w:style>
  <w:style w:type="paragraph" w:customStyle="1" w:styleId="55">
    <w:name w:val="Char"/>
    <w:basedOn w:val="1"/>
    <w:next w:val="12"/>
    <w:qFormat/>
    <w:uiPriority w:val="0"/>
    <w:rPr>
      <w:sz w:val="24"/>
    </w:rPr>
  </w:style>
  <w:style w:type="character" w:customStyle="1" w:styleId="56">
    <w:name w:val="正文文本 (2)_"/>
    <w:basedOn w:val="34"/>
    <w:link w:val="57"/>
    <w:qFormat/>
    <w:uiPriority w:val="0"/>
    <w:rPr>
      <w:rFonts w:ascii="宋体" w:hAnsi="宋体"/>
      <w:spacing w:val="-10"/>
      <w:sz w:val="47"/>
      <w:szCs w:val="47"/>
      <w:lang w:bidi="ar-SA"/>
    </w:rPr>
  </w:style>
  <w:style w:type="paragraph" w:customStyle="1" w:styleId="57">
    <w:name w:val="正文文本 (2)"/>
    <w:basedOn w:val="1"/>
    <w:link w:val="56"/>
    <w:qFormat/>
    <w:uiPriority w:val="0"/>
    <w:pPr>
      <w:shd w:val="clear" w:color="auto" w:fill="FFFFFF"/>
      <w:spacing w:after="1320" w:line="917" w:lineRule="exact"/>
      <w:jc w:val="center"/>
    </w:pPr>
    <w:rPr>
      <w:rFonts w:ascii="宋体" w:hAnsi="宋体" w:eastAsia="Times New Roman"/>
      <w:spacing w:val="-10"/>
      <w:kern w:val="0"/>
      <w:sz w:val="47"/>
      <w:szCs w:val="47"/>
    </w:rPr>
  </w:style>
  <w:style w:type="character" w:customStyle="1" w:styleId="58">
    <w:name w:val="正文文本 (3)_"/>
    <w:basedOn w:val="34"/>
    <w:link w:val="59"/>
    <w:qFormat/>
    <w:uiPriority w:val="0"/>
    <w:rPr>
      <w:rFonts w:ascii="宋体" w:hAnsi="宋体"/>
      <w:spacing w:val="350"/>
      <w:sz w:val="73"/>
      <w:szCs w:val="73"/>
      <w:lang w:bidi="ar-SA"/>
    </w:rPr>
  </w:style>
  <w:style w:type="paragraph" w:customStyle="1" w:styleId="59">
    <w:name w:val="正文文本 (3)"/>
    <w:basedOn w:val="1"/>
    <w:link w:val="58"/>
    <w:qFormat/>
    <w:uiPriority w:val="0"/>
    <w:pPr>
      <w:shd w:val="clear" w:color="auto" w:fill="FFFFFF"/>
      <w:spacing w:before="1320" w:after="600" w:line="240" w:lineRule="atLeast"/>
      <w:jc w:val="left"/>
    </w:pPr>
    <w:rPr>
      <w:rFonts w:ascii="宋体" w:hAnsi="宋体" w:eastAsia="Times New Roman"/>
      <w:spacing w:val="350"/>
      <w:kern w:val="0"/>
      <w:sz w:val="73"/>
      <w:szCs w:val="73"/>
    </w:rPr>
  </w:style>
  <w:style w:type="character" w:customStyle="1" w:styleId="60">
    <w:name w:val="正文文本 (4)_"/>
    <w:basedOn w:val="34"/>
    <w:link w:val="61"/>
    <w:qFormat/>
    <w:uiPriority w:val="0"/>
    <w:rPr>
      <w:rFonts w:ascii="宋体" w:hAnsi="宋体"/>
      <w:sz w:val="35"/>
      <w:szCs w:val="35"/>
      <w:lang w:bidi="ar-SA"/>
    </w:rPr>
  </w:style>
  <w:style w:type="paragraph" w:customStyle="1" w:styleId="61">
    <w:name w:val="正文文本 (4)"/>
    <w:basedOn w:val="1"/>
    <w:link w:val="60"/>
    <w:qFormat/>
    <w:uiPriority w:val="0"/>
    <w:pPr>
      <w:shd w:val="clear" w:color="auto" w:fill="FFFFFF"/>
      <w:spacing w:before="600" w:after="5580" w:line="240" w:lineRule="atLeast"/>
      <w:jc w:val="center"/>
    </w:pPr>
    <w:rPr>
      <w:rFonts w:ascii="宋体" w:hAnsi="宋体" w:eastAsia="Times New Roman"/>
      <w:kern w:val="0"/>
      <w:sz w:val="35"/>
      <w:szCs w:val="35"/>
    </w:rPr>
  </w:style>
  <w:style w:type="character" w:customStyle="1" w:styleId="62">
    <w:name w:val="正文文本 (4) + Batang"/>
    <w:basedOn w:val="60"/>
    <w:qFormat/>
    <w:uiPriority w:val="0"/>
    <w:rPr>
      <w:rFonts w:ascii="Batang" w:eastAsia="Batang" w:cs="Batang"/>
      <w:spacing w:val="-30"/>
      <w:sz w:val="32"/>
      <w:szCs w:val="32"/>
    </w:rPr>
  </w:style>
  <w:style w:type="character" w:customStyle="1" w:styleId="63">
    <w:name w:val="正文文本 + 10.5 pt6"/>
    <w:basedOn w:val="43"/>
    <w:qFormat/>
    <w:uiPriority w:val="0"/>
    <w:rPr>
      <w:sz w:val="21"/>
      <w:szCs w:val="21"/>
    </w:rPr>
  </w:style>
  <w:style w:type="character" w:customStyle="1" w:styleId="64">
    <w:name w:val="正文文本 + Batang19"/>
    <w:basedOn w:val="43"/>
    <w:qFormat/>
    <w:uiPriority w:val="0"/>
    <w:rPr>
      <w:rFonts w:ascii="Batang" w:eastAsia="Batang" w:cs="Batang"/>
      <w:sz w:val="19"/>
      <w:szCs w:val="19"/>
      <w:lang w:eastAsia="en-US"/>
    </w:rPr>
  </w:style>
  <w:style w:type="character" w:customStyle="1" w:styleId="65">
    <w:name w:val="页眉或页脚 + Batang4"/>
    <w:basedOn w:val="34"/>
    <w:qFormat/>
    <w:uiPriority w:val="0"/>
    <w:rPr>
      <w:rFonts w:ascii="Batang" w:hAnsi="宋体" w:eastAsia="Batang" w:cs="Batang"/>
      <w:i/>
      <w:iCs/>
      <w:spacing w:val="-40"/>
      <w:sz w:val="20"/>
      <w:szCs w:val="20"/>
      <w:u w:val="none"/>
      <w:lang w:val="en-US" w:eastAsia="en-US"/>
    </w:rPr>
  </w:style>
  <w:style w:type="character" w:customStyle="1" w:styleId="66">
    <w:name w:val="正文文本 + Batang22"/>
    <w:basedOn w:val="43"/>
    <w:qFormat/>
    <w:uiPriority w:val="0"/>
    <w:rPr>
      <w:rFonts w:ascii="Batang" w:hAnsi="宋体" w:eastAsia="Batang" w:cs="Batang"/>
      <w:b/>
      <w:bCs/>
      <w:sz w:val="22"/>
      <w:szCs w:val="22"/>
      <w:u w:val="none"/>
      <w:lang w:eastAsia="en-US"/>
    </w:rPr>
  </w:style>
  <w:style w:type="character" w:customStyle="1" w:styleId="67">
    <w:name w:val="正文文本 Exact"/>
    <w:basedOn w:val="34"/>
    <w:qFormat/>
    <w:uiPriority w:val="0"/>
    <w:rPr>
      <w:rFonts w:ascii="宋体" w:hAnsi="宋体" w:cs="宋体"/>
      <w:spacing w:val="2"/>
      <w:sz w:val="23"/>
      <w:szCs w:val="23"/>
      <w:u w:val="none"/>
    </w:rPr>
  </w:style>
  <w:style w:type="character" w:customStyle="1" w:styleId="68">
    <w:name w:val="页眉或页脚_"/>
    <w:basedOn w:val="34"/>
    <w:link w:val="69"/>
    <w:qFormat/>
    <w:uiPriority w:val="0"/>
    <w:rPr>
      <w:rFonts w:ascii="宋体" w:hAnsi="宋体"/>
      <w:sz w:val="17"/>
      <w:szCs w:val="17"/>
      <w:lang w:bidi="ar-SA"/>
    </w:rPr>
  </w:style>
  <w:style w:type="paragraph" w:customStyle="1" w:styleId="69">
    <w:name w:val="页眉或页脚1"/>
    <w:basedOn w:val="1"/>
    <w:link w:val="68"/>
    <w:qFormat/>
    <w:uiPriority w:val="0"/>
    <w:pPr>
      <w:shd w:val="clear" w:color="auto" w:fill="FFFFFF"/>
      <w:spacing w:line="240" w:lineRule="atLeast"/>
      <w:jc w:val="left"/>
    </w:pPr>
    <w:rPr>
      <w:rFonts w:ascii="宋体" w:hAnsi="宋体" w:eastAsia="Times New Roman"/>
      <w:kern w:val="0"/>
      <w:sz w:val="17"/>
      <w:szCs w:val="17"/>
    </w:rPr>
  </w:style>
  <w:style w:type="character" w:customStyle="1" w:styleId="70">
    <w:name w:val="页眉或页脚 + Batang"/>
    <w:basedOn w:val="68"/>
    <w:qFormat/>
    <w:uiPriority w:val="0"/>
    <w:rPr>
      <w:rFonts w:ascii="Batang" w:eastAsia="Batang" w:cs="Batang"/>
      <w:sz w:val="16"/>
      <w:szCs w:val="16"/>
      <w:lang w:val="en-US" w:eastAsia="en-US"/>
    </w:rPr>
  </w:style>
  <w:style w:type="character" w:customStyle="1" w:styleId="71">
    <w:name w:val="页眉或页脚 + 10 pt"/>
    <w:basedOn w:val="68"/>
    <w:qFormat/>
    <w:uiPriority w:val="0"/>
    <w:rPr>
      <w:spacing w:val="-10"/>
      <w:sz w:val="20"/>
      <w:szCs w:val="20"/>
    </w:rPr>
  </w:style>
  <w:style w:type="character" w:customStyle="1" w:styleId="72">
    <w:name w:val="页眉或页脚 + Franklin Gothic Heavy"/>
    <w:basedOn w:val="68"/>
    <w:qFormat/>
    <w:uiPriority w:val="0"/>
    <w:rPr>
      <w:rFonts w:ascii="Franklin Gothic Heavy" w:hAnsi="Franklin Gothic Heavy" w:cs="Franklin Gothic Heavy"/>
      <w:i/>
      <w:iCs/>
      <w:spacing w:val="-60"/>
      <w:sz w:val="30"/>
      <w:szCs w:val="30"/>
      <w:lang w:val="en-US" w:eastAsia="en-US"/>
    </w:rPr>
  </w:style>
  <w:style w:type="character" w:customStyle="1" w:styleId="73">
    <w:name w:val="页眉或页脚 + Franklin Gothic Heavy6"/>
    <w:basedOn w:val="68"/>
    <w:qFormat/>
    <w:uiPriority w:val="0"/>
    <w:rPr>
      <w:rFonts w:ascii="Franklin Gothic Heavy" w:hAnsi="Franklin Gothic Heavy" w:cs="Franklin Gothic Heavy"/>
      <w:sz w:val="30"/>
      <w:szCs w:val="30"/>
    </w:rPr>
  </w:style>
  <w:style w:type="character" w:customStyle="1" w:styleId="74">
    <w:name w:val="页眉或页脚 + Franklin Gothic Heavy5"/>
    <w:basedOn w:val="68"/>
    <w:qFormat/>
    <w:uiPriority w:val="0"/>
    <w:rPr>
      <w:rFonts w:ascii="Franklin Gothic Heavy" w:hAnsi="Franklin Gothic Heavy" w:cs="Franklin Gothic Heavy"/>
      <w:sz w:val="22"/>
      <w:szCs w:val="22"/>
      <w:lang w:val="en-US" w:eastAsia="en-US"/>
    </w:rPr>
  </w:style>
  <w:style w:type="character" w:customStyle="1" w:styleId="75">
    <w:name w:val="页眉或页脚"/>
    <w:basedOn w:val="68"/>
    <w:qFormat/>
    <w:uiPriority w:val="0"/>
  </w:style>
  <w:style w:type="character" w:customStyle="1" w:styleId="76">
    <w:name w:val="正文文本 + 间距 1 pt3"/>
    <w:basedOn w:val="43"/>
    <w:qFormat/>
    <w:uiPriority w:val="0"/>
    <w:rPr>
      <w:rFonts w:ascii="宋体" w:hAnsi="宋体" w:cs="宋体"/>
      <w:spacing w:val="30"/>
      <w:u w:val="none"/>
    </w:rPr>
  </w:style>
  <w:style w:type="character" w:customStyle="1" w:styleId="77">
    <w:name w:val="正文文本 + 12 pt8"/>
    <w:basedOn w:val="43"/>
    <w:qFormat/>
    <w:uiPriority w:val="0"/>
    <w:rPr>
      <w:rFonts w:ascii="宋体" w:hAnsi="宋体" w:cs="宋体"/>
      <w:sz w:val="24"/>
      <w:u w:val="none"/>
    </w:rPr>
  </w:style>
  <w:style w:type="character" w:customStyle="1" w:styleId="78">
    <w:name w:val="正文文本 + 间距 0 pt Exact"/>
    <w:basedOn w:val="43"/>
    <w:qFormat/>
    <w:uiPriority w:val="0"/>
    <w:rPr>
      <w:rFonts w:ascii="宋体" w:hAnsi="宋体" w:cs="宋体"/>
      <w:spacing w:val="-5"/>
      <w:sz w:val="26"/>
      <w:szCs w:val="26"/>
      <w:u w:val="none"/>
      <w:lang w:eastAsia="en-US"/>
    </w:rPr>
  </w:style>
  <w:style w:type="character" w:customStyle="1" w:styleId="79">
    <w:name w:val="正文文本 (10)_"/>
    <w:basedOn w:val="34"/>
    <w:link w:val="80"/>
    <w:qFormat/>
    <w:uiPriority w:val="0"/>
    <w:rPr>
      <w:rFonts w:ascii="宋体" w:hAnsi="宋体"/>
      <w:b/>
      <w:bCs/>
      <w:sz w:val="28"/>
      <w:szCs w:val="28"/>
      <w:lang w:bidi="ar-SA"/>
    </w:rPr>
  </w:style>
  <w:style w:type="paragraph" w:customStyle="1" w:styleId="80">
    <w:name w:val="正文文本 (10)"/>
    <w:basedOn w:val="1"/>
    <w:link w:val="79"/>
    <w:qFormat/>
    <w:uiPriority w:val="0"/>
    <w:pPr>
      <w:shd w:val="clear" w:color="auto" w:fill="FFFFFF"/>
      <w:spacing w:before="540" w:after="300" w:line="240" w:lineRule="atLeast"/>
      <w:jc w:val="left"/>
    </w:pPr>
    <w:rPr>
      <w:rFonts w:ascii="宋体" w:hAnsi="宋体" w:eastAsia="Times New Roman"/>
      <w:b/>
      <w:bCs/>
      <w:kern w:val="0"/>
      <w:sz w:val="28"/>
      <w:szCs w:val="28"/>
    </w:rPr>
  </w:style>
  <w:style w:type="character" w:customStyle="1" w:styleId="81">
    <w:name w:val="正文文本 (10) + Times New Roman"/>
    <w:basedOn w:val="79"/>
    <w:qFormat/>
    <w:uiPriority w:val="0"/>
    <w:rPr>
      <w:rFonts w:ascii="Times New Roman" w:hAnsi="Times New Roman" w:cs="Times New Roman"/>
      <w:lang w:val="en-US" w:eastAsia="en-US"/>
    </w:rPr>
  </w:style>
  <w:style w:type="character" w:customStyle="1" w:styleId="82">
    <w:name w:val="正文文本 (11)_"/>
    <w:basedOn w:val="34"/>
    <w:link w:val="83"/>
    <w:qFormat/>
    <w:uiPriority w:val="0"/>
    <w:rPr>
      <w:rFonts w:ascii="宋体" w:hAnsi="宋体"/>
      <w:sz w:val="27"/>
      <w:szCs w:val="27"/>
      <w:lang w:val="en-US" w:eastAsia="en-US" w:bidi="ar-SA"/>
    </w:rPr>
  </w:style>
  <w:style w:type="paragraph" w:customStyle="1" w:styleId="83">
    <w:name w:val="正文文本 (11)1"/>
    <w:basedOn w:val="1"/>
    <w:link w:val="82"/>
    <w:qFormat/>
    <w:uiPriority w:val="0"/>
    <w:pPr>
      <w:shd w:val="clear" w:color="auto" w:fill="FFFFFF"/>
      <w:spacing w:before="300" w:line="542" w:lineRule="exact"/>
      <w:jc w:val="distribute"/>
    </w:pPr>
    <w:rPr>
      <w:rFonts w:ascii="宋体" w:hAnsi="宋体" w:eastAsia="Times New Roman"/>
      <w:kern w:val="0"/>
      <w:sz w:val="27"/>
      <w:szCs w:val="27"/>
      <w:lang w:eastAsia="en-US"/>
    </w:rPr>
  </w:style>
  <w:style w:type="character" w:customStyle="1" w:styleId="84">
    <w:name w:val="正文文本 (11)"/>
    <w:basedOn w:val="82"/>
    <w:qFormat/>
    <w:uiPriority w:val="0"/>
  </w:style>
  <w:style w:type="character" w:customStyle="1" w:styleId="85">
    <w:name w:val="正文文本 + 12 pt6"/>
    <w:basedOn w:val="43"/>
    <w:qFormat/>
    <w:uiPriority w:val="0"/>
    <w:rPr>
      <w:rFonts w:ascii="宋体" w:hAnsi="宋体" w:cs="宋体"/>
      <w:spacing w:val="-10"/>
      <w:sz w:val="24"/>
      <w:u w:val="none"/>
      <w:lang w:eastAsia="en-US"/>
    </w:rPr>
  </w:style>
  <w:style w:type="character" w:customStyle="1" w:styleId="86">
    <w:name w:val="正文文本 + 间距 2 pt2"/>
    <w:basedOn w:val="43"/>
    <w:qFormat/>
    <w:uiPriority w:val="0"/>
    <w:rPr>
      <w:rFonts w:ascii="宋体" w:hAnsi="宋体" w:cs="宋体"/>
      <w:spacing w:val="50"/>
      <w:sz w:val="27"/>
      <w:szCs w:val="27"/>
      <w:u w:val="none"/>
    </w:rPr>
  </w:style>
  <w:style w:type="character" w:customStyle="1" w:styleId="87">
    <w:name w:val="页眉或页脚 + Times New Roman"/>
    <w:basedOn w:val="68"/>
    <w:qFormat/>
    <w:uiPriority w:val="0"/>
    <w:rPr>
      <w:rFonts w:ascii="Times New Roman" w:hAnsi="Times New Roman" w:cs="Times New Roman"/>
      <w:spacing w:val="20"/>
      <w:sz w:val="21"/>
      <w:szCs w:val="21"/>
      <w:lang w:val="en-US" w:eastAsia="en-US"/>
    </w:rPr>
  </w:style>
  <w:style w:type="character" w:customStyle="1" w:styleId="88">
    <w:name w:val="页眉或页脚2"/>
    <w:basedOn w:val="68"/>
    <w:qFormat/>
    <w:uiPriority w:val="0"/>
    <w:rPr>
      <w:sz w:val="18"/>
      <w:szCs w:val="18"/>
    </w:rPr>
  </w:style>
  <w:style w:type="character" w:customStyle="1" w:styleId="89">
    <w:name w:val="标题 #3_"/>
    <w:basedOn w:val="34"/>
    <w:link w:val="90"/>
    <w:qFormat/>
    <w:uiPriority w:val="0"/>
    <w:rPr>
      <w:rFonts w:ascii="宋体" w:hAnsi="宋体"/>
      <w:b/>
      <w:bCs/>
      <w:sz w:val="28"/>
      <w:szCs w:val="28"/>
      <w:lang w:bidi="ar-SA"/>
    </w:rPr>
  </w:style>
  <w:style w:type="paragraph" w:customStyle="1" w:styleId="90">
    <w:name w:val="标题 #3"/>
    <w:basedOn w:val="1"/>
    <w:link w:val="89"/>
    <w:qFormat/>
    <w:uiPriority w:val="0"/>
    <w:pPr>
      <w:shd w:val="clear" w:color="auto" w:fill="FFFFFF"/>
      <w:spacing w:before="60" w:after="360" w:line="240" w:lineRule="atLeast"/>
      <w:outlineLvl w:val="2"/>
    </w:pPr>
    <w:rPr>
      <w:rFonts w:ascii="宋体" w:hAnsi="宋体" w:eastAsia="Times New Roman"/>
      <w:b/>
      <w:bCs/>
      <w:kern w:val="0"/>
      <w:sz w:val="28"/>
      <w:szCs w:val="28"/>
    </w:rPr>
  </w:style>
  <w:style w:type="character" w:customStyle="1" w:styleId="91">
    <w:name w:val="正文文本 + 11 pt"/>
    <w:basedOn w:val="43"/>
    <w:qFormat/>
    <w:uiPriority w:val="0"/>
    <w:rPr>
      <w:rFonts w:ascii="宋体" w:hAnsi="宋体"/>
      <w:spacing w:val="-10"/>
      <w:sz w:val="22"/>
      <w:szCs w:val="22"/>
    </w:rPr>
  </w:style>
  <w:style w:type="character" w:customStyle="1" w:styleId="92">
    <w:name w:val="正文文本 (5)_"/>
    <w:basedOn w:val="34"/>
    <w:link w:val="93"/>
    <w:qFormat/>
    <w:uiPriority w:val="0"/>
    <w:rPr>
      <w:rFonts w:ascii="宋体" w:hAnsi="宋体"/>
      <w:spacing w:val="-10"/>
      <w:sz w:val="37"/>
      <w:szCs w:val="37"/>
      <w:lang w:bidi="ar-SA"/>
    </w:rPr>
  </w:style>
  <w:style w:type="paragraph" w:customStyle="1" w:styleId="93">
    <w:name w:val="正文文本 (5)"/>
    <w:basedOn w:val="1"/>
    <w:link w:val="92"/>
    <w:qFormat/>
    <w:uiPriority w:val="0"/>
    <w:pPr>
      <w:shd w:val="clear" w:color="auto" w:fill="FFFFFF"/>
      <w:spacing w:before="4380" w:line="696" w:lineRule="exact"/>
      <w:jc w:val="center"/>
    </w:pPr>
    <w:rPr>
      <w:rFonts w:ascii="宋体" w:hAnsi="宋体" w:eastAsia="Times New Roman"/>
      <w:spacing w:val="-10"/>
      <w:kern w:val="0"/>
      <w:sz w:val="37"/>
      <w:szCs w:val="37"/>
    </w:rPr>
  </w:style>
  <w:style w:type="paragraph" w:customStyle="1" w:styleId="94">
    <w:name w:val="p0"/>
    <w:basedOn w:val="1"/>
    <w:qFormat/>
    <w:uiPriority w:val="0"/>
    <w:pPr>
      <w:widowControl/>
    </w:pPr>
    <w:rPr>
      <w:kern w:val="0"/>
      <w:szCs w:val="21"/>
    </w:rPr>
  </w:style>
  <w:style w:type="paragraph" w:customStyle="1" w:styleId="95">
    <w:name w:val=" Char"/>
    <w:basedOn w:val="1"/>
    <w:qFormat/>
    <w:uiPriority w:val="0"/>
    <w:rPr>
      <w:szCs w:val="20"/>
    </w:rPr>
  </w:style>
  <w:style w:type="character" w:customStyle="1" w:styleId="96">
    <w:name w:val="纯文本 Char Char"/>
    <w:basedOn w:val="34"/>
    <w:qFormat/>
    <w:uiPriority w:val="0"/>
    <w:rPr>
      <w:rFonts w:ascii="宋体" w:hAnsi="Courier New" w:cs="Courier New"/>
      <w:kern w:val="2"/>
      <w:sz w:val="21"/>
      <w:szCs w:val="21"/>
    </w:rPr>
  </w:style>
  <w:style w:type="paragraph" w:customStyle="1" w:styleId="9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98">
    <w:name w:val="正文首行缩进 21"/>
    <w:basedOn w:val="1"/>
    <w:qFormat/>
    <w:uiPriority w:val="0"/>
    <w:pPr>
      <w:ind w:left="420" w:leftChars="200" w:firstLine="210"/>
    </w:pPr>
    <w:rPr>
      <w:rFonts w:cs="Calibri"/>
      <w:szCs w:val="21"/>
    </w:rPr>
  </w:style>
  <w:style w:type="paragraph" w:customStyle="1" w:styleId="99">
    <w:name w:val="Table Text"/>
    <w:semiHidden/>
    <w:qFormat/>
    <w:uiPriority w:val="0"/>
    <w:pPr>
      <w:kinsoku w:val="0"/>
      <w:autoSpaceDE w:val="0"/>
      <w:autoSpaceDN w:val="0"/>
      <w:adjustRightInd w:val="0"/>
      <w:snapToGrid w:val="0"/>
      <w:spacing w:line="240" w:lineRule="auto"/>
      <w:jc w:val="left"/>
      <w:textAlignment w:val="baseline"/>
    </w:pPr>
    <w:rPr>
      <w:rFonts w:ascii="宋体" w:hAnsi="宋体" w:eastAsia="宋体" w:cs="宋体"/>
      <w:snapToGrid w:val="0"/>
      <w:color w:val="000000"/>
      <w:kern w:val="0"/>
      <w:sz w:val="21"/>
      <w:szCs w:val="21"/>
      <w:lang w:val="en-US" w:eastAsia="en-US" w:bidi="ar-SA"/>
    </w:rPr>
  </w:style>
  <w:style w:type="table" w:customStyle="1" w:styleId="100">
    <w:name w:val="Table Normal"/>
    <w:unhideWhenUsed/>
    <w:qFormat/>
    <w:uiPriority w:val="0"/>
    <w:tblPr>
      <w:tblCellMar>
        <w:top w:w="0" w:type="dxa"/>
        <w:left w:w="0" w:type="dxa"/>
        <w:bottom w:w="0" w:type="dxa"/>
        <w:right w:w="0" w:type="dxa"/>
      </w:tblCellMar>
    </w:tblPr>
  </w:style>
  <w:style w:type="paragraph" w:customStyle="1" w:styleId="101">
    <w:name w:val="普通正文"/>
    <w:basedOn w:val="1"/>
    <w:qFormat/>
    <w:uiPriority w:val="99"/>
    <w:pPr>
      <w:widowControl/>
      <w:spacing w:line="360" w:lineRule="auto"/>
      <w:jc w:val="left"/>
    </w:pPr>
    <w:rPr>
      <w:color w:val="000000"/>
    </w:rPr>
  </w:style>
  <w:style w:type="paragraph" w:customStyle="1" w:styleId="102">
    <w:name w:val="标正"/>
    <w:basedOn w:val="1"/>
    <w:qFormat/>
    <w:uiPriority w:val="0"/>
    <w:pPr>
      <w:spacing w:line="480" w:lineRule="exact"/>
      <w:ind w:firstLine="560" w:firstLineChars="200"/>
      <w:jc w:val="left"/>
    </w:pPr>
    <w:rPr>
      <w:rFonts w:ascii="仿宋_GB2312" w:hAnsi="Times New Roman" w:eastAsia="仿宋_GB2312" w:cs="Times New Roman"/>
      <w:kern w:val="0"/>
      <w:sz w:val="28"/>
      <w:szCs w:val="24"/>
    </w:rPr>
  </w:style>
  <w:style w:type="paragraph" w:customStyle="1" w:styleId="103">
    <w:name w:val="图片"/>
    <w:autoRedefine/>
    <w:qFormat/>
    <w:uiPriority w:val="0"/>
    <w:pPr>
      <w:spacing w:line="360" w:lineRule="auto"/>
      <w:jc w:val="center"/>
    </w:pPr>
    <w:rPr>
      <w:rFonts w:ascii="Times New Roman" w:hAnsi="Times New Roman" w:eastAsia="仿宋" w:cstheme="minorBidi"/>
      <w:kern w:val="2"/>
      <w:sz w:val="28"/>
      <w:szCs w:val="24"/>
      <w:lang w:val="en-US" w:eastAsia="zh-CN" w:bidi="ar-SA"/>
    </w:rPr>
  </w:style>
  <w:style w:type="character" w:customStyle="1" w:styleId="104">
    <w:name w:val="0-PhotoName 字符"/>
    <w:basedOn w:val="34"/>
    <w:link w:val="105"/>
    <w:autoRedefine/>
    <w:qFormat/>
    <w:uiPriority w:val="0"/>
    <w:rPr>
      <w:rFonts w:cs="仿宋"/>
      <w:b/>
      <w:bCs/>
      <w:sz w:val="24"/>
    </w:rPr>
  </w:style>
  <w:style w:type="paragraph" w:customStyle="1" w:styleId="105">
    <w:name w:val="0-PhotoName"/>
    <w:basedOn w:val="1"/>
    <w:link w:val="104"/>
    <w:autoRedefine/>
    <w:qFormat/>
    <w:uiPriority w:val="0"/>
    <w:pPr>
      <w:adjustRightInd w:val="0"/>
      <w:snapToGrid w:val="0"/>
      <w:spacing w:line="240" w:lineRule="auto"/>
      <w:ind w:firstLine="0" w:firstLineChars="0"/>
      <w:jc w:val="center"/>
    </w:pPr>
    <w:rPr>
      <w:rFonts w:cs="仿宋"/>
      <w:b/>
      <w:bCs/>
      <w:sz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3" Type="http://schemas.openxmlformats.org/officeDocument/2006/relationships/fontTable" Target="fontTable.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18.png"/><Relationship Id="rId3" Type="http://schemas.openxmlformats.org/officeDocument/2006/relationships/footnotes" Target="footnotes.xml"/><Relationship Id="rId29" Type="http://schemas.openxmlformats.org/officeDocument/2006/relationships/image" Target="media/image17.png"/><Relationship Id="rId28" Type="http://schemas.openxmlformats.org/officeDocument/2006/relationships/image" Target="media/image16.png"/><Relationship Id="rId27" Type="http://schemas.openxmlformats.org/officeDocument/2006/relationships/image" Target="media/image15.png"/><Relationship Id="rId26" Type="http://schemas.openxmlformats.org/officeDocument/2006/relationships/image" Target="media/image14.png"/><Relationship Id="rId25" Type="http://schemas.openxmlformats.org/officeDocument/2006/relationships/image" Target="media/image13.png"/><Relationship Id="rId24" Type="http://schemas.openxmlformats.org/officeDocument/2006/relationships/image" Target="media/image12.png"/><Relationship Id="rId23" Type="http://schemas.openxmlformats.org/officeDocument/2006/relationships/image" Target="media/image11.png"/><Relationship Id="rId22" Type="http://schemas.openxmlformats.org/officeDocument/2006/relationships/image" Target="media/image10.png"/><Relationship Id="rId21" Type="http://schemas.openxmlformats.org/officeDocument/2006/relationships/image" Target="media/image9.png"/><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media/image7.png"/><Relationship Id="rId18" Type="http://schemas.openxmlformats.org/officeDocument/2006/relationships/image" Target="media/image6.jpeg"/><Relationship Id="rId17" Type="http://schemas.openxmlformats.org/officeDocument/2006/relationships/image" Target="media/image5.jpeg"/><Relationship Id="rId16" Type="http://schemas.openxmlformats.org/officeDocument/2006/relationships/image" Target="media/image4.jpeg"/><Relationship Id="rId15" Type="http://schemas.openxmlformats.org/officeDocument/2006/relationships/image" Target="media/image3.jpe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footer" Target="footer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105</Pages>
  <Words>10972</Words>
  <Characters>13202</Characters>
  <Lines>1</Lines>
  <Paragraphs>1</Paragraphs>
  <TotalTime>8</TotalTime>
  <ScaleCrop>false</ScaleCrop>
  <LinksUpToDate>false</LinksUpToDate>
  <CharactersWithSpaces>14231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2014-03-27T03:14:00Z</dcterms:created>
  <dc:creator>微软用户</dc:creator>
  <cp:lastModifiedBy>爱哭的男孩</cp:lastModifiedBy>
  <cp:lastPrinted>2020-05-11T00:13:00Z</cp:lastPrinted>
  <dcterms:modified xsi:type="dcterms:W3CDTF">2026-08-18T09:21:44Z</dcterms:modified>
  <dc:title>铅山县港东乡老虎洞铅锌矿</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044A92475726427A85D22A079D942FED_13</vt:lpwstr>
  </property>
  <property fmtid="{D5CDD505-2E9C-101B-9397-08002B2CF9AE}" pid="4" name="KSOTemplateDocerSaveRecord">
    <vt:lpwstr>eyJoZGlkIjoiZDI0Njk3ZWQ2ZmQyYmJiOTI3YmFiOTc3MjlkMjYxZmEiLCJ1c2VySWQiOiI0MDI5OTA3NDkifQ==</vt:lpwstr>
  </property>
</Properties>
</file>