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highlight w:val="none"/>
        </w:rPr>
      </w:pPr>
    </w:p>
    <w:p w14:paraId="3F93ABB7">
      <w:pPr>
        <w:jc w:val="center"/>
        <w:rPr>
          <w:rFonts w:ascii="宋体" w:hAnsi="宋体" w:cs="宋体"/>
          <w:b/>
          <w:bCs/>
          <w:color w:val="auto"/>
          <w:sz w:val="44"/>
          <w:szCs w:val="44"/>
          <w:highlight w:val="none"/>
        </w:rPr>
      </w:pPr>
    </w:p>
    <w:p w14:paraId="03836CBF">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中国石化销售股份有限公司</w:t>
      </w:r>
    </w:p>
    <w:p w14:paraId="7AC0C4B8">
      <w:pPr>
        <w:jc w:val="center"/>
        <w:rPr>
          <w:rFonts w:hint="eastAsia" w:ascii="宋体" w:hAnsi="宋体" w:cs="宋体"/>
          <w:b/>
          <w:bCs/>
          <w:color w:val="auto"/>
          <w:sz w:val="44"/>
          <w:szCs w:val="44"/>
          <w:highlight w:val="none"/>
          <w:lang w:eastAsia="zh-CN"/>
        </w:rPr>
      </w:pPr>
      <w:r>
        <w:rPr>
          <w:rFonts w:hint="eastAsia" w:ascii="宋体" w:hAnsi="宋体" w:cs="宋体"/>
          <w:b/>
          <w:bCs/>
          <w:color w:val="auto"/>
          <w:sz w:val="44"/>
          <w:szCs w:val="44"/>
          <w:highlight w:val="none"/>
        </w:rPr>
        <w:t>江西赣州</w:t>
      </w:r>
      <w:r>
        <w:rPr>
          <w:rFonts w:hint="eastAsia" w:ascii="宋体" w:hAnsi="宋体" w:cs="宋体"/>
          <w:b/>
          <w:bCs/>
          <w:color w:val="auto"/>
          <w:sz w:val="44"/>
          <w:szCs w:val="44"/>
          <w:highlight w:val="none"/>
          <w:lang w:eastAsia="zh-CN"/>
        </w:rPr>
        <w:t>龙南石油分公司</w:t>
      </w:r>
    </w:p>
    <w:p w14:paraId="6F540244">
      <w:pPr>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lang w:eastAsia="zh-CN"/>
        </w:rPr>
        <w:t>大广高速渡江服务区西加油站</w:t>
      </w:r>
    </w:p>
    <w:p w14:paraId="40FD5D09">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安全设施符合性诊断及整改设计</w:t>
      </w:r>
    </w:p>
    <w:p w14:paraId="0ADAC841">
      <w:pPr>
        <w:jc w:val="center"/>
        <w:rPr>
          <w:rFonts w:ascii="宋体" w:cs="Times New Roman"/>
          <w:b/>
          <w:bCs/>
          <w:color w:val="auto"/>
          <w:sz w:val="44"/>
          <w:szCs w:val="44"/>
          <w:highlight w:val="none"/>
        </w:rPr>
      </w:pPr>
      <w:r>
        <w:rPr>
          <w:rFonts w:hint="eastAsia" w:ascii="宋体" w:hAnsi="宋体" w:cs="宋体"/>
          <w:b/>
          <w:bCs/>
          <w:color w:val="auto"/>
          <w:sz w:val="44"/>
          <w:szCs w:val="44"/>
          <w:highlight w:val="none"/>
        </w:rPr>
        <w:t>安全设施竣工验收评价报告</w:t>
      </w:r>
    </w:p>
    <w:p w14:paraId="55B64135">
      <w:pPr>
        <w:pStyle w:val="32"/>
        <w:jc w:val="center"/>
        <w:rPr>
          <w:rFonts w:hint="eastAsia" w:hAnsi="宋体" w:eastAsia="宋体" w:cs="Times New Roman"/>
          <w:b/>
          <w:bCs/>
          <w:color w:val="auto"/>
          <w:sz w:val="44"/>
          <w:szCs w:val="44"/>
          <w:highlight w:val="none"/>
          <w:lang w:eastAsia="zh-CN"/>
        </w:rPr>
      </w:pPr>
      <w:r>
        <w:rPr>
          <w:rFonts w:hint="eastAsia" w:hAnsi="宋体" w:cs="Times New Roman"/>
          <w:b/>
          <w:bCs/>
          <w:color w:val="auto"/>
          <w:sz w:val="44"/>
          <w:szCs w:val="44"/>
          <w:highlight w:val="none"/>
          <w:lang w:eastAsia="zh-CN"/>
        </w:rPr>
        <w:t>（</w:t>
      </w:r>
      <w:r>
        <w:rPr>
          <w:rFonts w:hint="eastAsia" w:hAnsi="宋体" w:cs="Times New Roman"/>
          <w:b/>
          <w:bCs/>
          <w:color w:val="auto"/>
          <w:sz w:val="44"/>
          <w:szCs w:val="44"/>
          <w:highlight w:val="none"/>
          <w:lang w:val="en-US" w:eastAsia="zh-CN"/>
        </w:rPr>
        <w:t>终稿</w:t>
      </w:r>
      <w:r>
        <w:rPr>
          <w:rFonts w:hint="eastAsia" w:hAnsi="宋体" w:cs="Times New Roman"/>
          <w:b/>
          <w:bCs/>
          <w:color w:val="auto"/>
          <w:sz w:val="44"/>
          <w:szCs w:val="44"/>
          <w:highlight w:val="none"/>
          <w:lang w:eastAsia="zh-CN"/>
        </w:rPr>
        <w:t>）</w:t>
      </w:r>
    </w:p>
    <w:p w14:paraId="76581743">
      <w:pPr>
        <w:pStyle w:val="32"/>
        <w:jc w:val="center"/>
        <w:rPr>
          <w:rFonts w:hAnsi="宋体" w:cs="Times New Roman"/>
          <w:b/>
          <w:bCs/>
          <w:color w:val="auto"/>
          <w:sz w:val="44"/>
          <w:szCs w:val="44"/>
          <w:highlight w:val="none"/>
        </w:rPr>
      </w:pPr>
    </w:p>
    <w:p w14:paraId="740017B8">
      <w:pPr>
        <w:pStyle w:val="32"/>
        <w:jc w:val="center"/>
        <w:rPr>
          <w:rFonts w:hAnsi="宋体" w:cs="Times New Roman"/>
          <w:b/>
          <w:bCs/>
          <w:color w:val="auto"/>
          <w:sz w:val="44"/>
          <w:szCs w:val="44"/>
          <w:highlight w:val="none"/>
        </w:rPr>
      </w:pPr>
    </w:p>
    <w:p w14:paraId="40EA031A">
      <w:pPr>
        <w:pStyle w:val="32"/>
        <w:jc w:val="center"/>
        <w:rPr>
          <w:rFonts w:hAnsi="宋体" w:cs="Times New Roman"/>
          <w:b/>
          <w:bCs/>
          <w:color w:val="auto"/>
          <w:sz w:val="44"/>
          <w:szCs w:val="44"/>
          <w:highlight w:val="none"/>
        </w:rPr>
      </w:pPr>
    </w:p>
    <w:p w14:paraId="5D991B2D">
      <w:pPr>
        <w:spacing w:line="600" w:lineRule="atLeast"/>
        <w:ind w:firstLine="1285" w:firstLineChars="400"/>
        <w:jc w:val="lef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建设单位：中国石化销售股份有限公司江西赣州</w:t>
      </w:r>
    </w:p>
    <w:p w14:paraId="161A62C2">
      <w:pPr>
        <w:spacing w:line="600" w:lineRule="atLeast"/>
        <w:ind w:firstLine="1285" w:firstLineChars="400"/>
        <w:jc w:val="left"/>
        <w:rPr>
          <w:rFonts w:hint="eastAsia" w:ascii="仿宋" w:hAnsi="仿宋" w:eastAsia="仿宋" w:cs="Times New Roman"/>
          <w:b/>
          <w:bCs/>
          <w:color w:val="auto"/>
          <w:sz w:val="32"/>
          <w:szCs w:val="32"/>
          <w:highlight w:val="none"/>
          <w:lang w:eastAsia="zh-CN"/>
        </w:rPr>
      </w:pPr>
      <w:r>
        <w:rPr>
          <w:rFonts w:hint="eastAsia" w:ascii="仿宋" w:hAnsi="仿宋" w:eastAsia="仿宋" w:cs="仿宋"/>
          <w:b/>
          <w:bCs/>
          <w:color w:val="auto"/>
          <w:sz w:val="32"/>
          <w:szCs w:val="32"/>
          <w:highlight w:val="none"/>
          <w:lang w:eastAsia="zh-CN"/>
        </w:rPr>
        <w:t>龙南石油分公司大广高速渡江服务区西加油站</w:t>
      </w:r>
    </w:p>
    <w:p w14:paraId="01F65DDD">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建设单位负责人：</w:t>
      </w:r>
      <w:r>
        <w:rPr>
          <w:rFonts w:hint="eastAsia" w:ascii="仿宋" w:hAnsi="仿宋" w:eastAsia="仿宋" w:cs="仿宋"/>
          <w:b/>
          <w:bCs/>
          <w:color w:val="auto"/>
          <w:sz w:val="32"/>
          <w:szCs w:val="32"/>
          <w:highlight w:val="none"/>
          <w:lang w:eastAsia="zh-CN"/>
        </w:rPr>
        <w:t>魏培昌</w:t>
      </w:r>
    </w:p>
    <w:p w14:paraId="69D4FC4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建设项目单位主要负责人：</w:t>
      </w:r>
      <w:r>
        <w:rPr>
          <w:rFonts w:hint="eastAsia" w:ascii="仿宋" w:hAnsi="仿宋" w:eastAsia="仿宋" w:cs="仿宋"/>
          <w:b/>
          <w:bCs/>
          <w:color w:val="auto"/>
          <w:sz w:val="32"/>
          <w:szCs w:val="32"/>
          <w:highlight w:val="none"/>
          <w:lang w:eastAsia="zh-CN"/>
        </w:rPr>
        <w:t>刘丽娟</w:t>
      </w:r>
    </w:p>
    <w:p w14:paraId="0A1CC2AC">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w:t>
      </w:r>
      <w:r>
        <w:rPr>
          <w:rFonts w:hint="eastAsia" w:ascii="仿宋" w:hAnsi="仿宋" w:eastAsia="仿宋" w:cs="仿宋"/>
          <w:b/>
          <w:bCs/>
          <w:color w:val="auto"/>
          <w:sz w:val="32"/>
          <w:szCs w:val="32"/>
          <w:highlight w:val="none"/>
          <w:lang w:eastAsia="zh-CN"/>
        </w:rPr>
        <w:t>刘丽娟</w:t>
      </w:r>
    </w:p>
    <w:p w14:paraId="7051593B">
      <w:pPr>
        <w:spacing w:line="600" w:lineRule="atLeast"/>
        <w:ind w:firstLine="1285" w:firstLineChars="400"/>
        <w:jc w:val="left"/>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建设项目单位联系电话：</w:t>
      </w:r>
    </w:p>
    <w:p w14:paraId="67A443B0">
      <w:pPr>
        <w:spacing w:line="600" w:lineRule="atLeast"/>
        <w:ind w:firstLine="1285" w:firstLineChars="400"/>
        <w:jc w:val="left"/>
        <w:rPr>
          <w:rFonts w:ascii="仿宋" w:hAnsi="仿宋" w:eastAsia="仿宋" w:cs="仿宋"/>
          <w:b/>
          <w:bCs/>
          <w:color w:val="auto"/>
          <w:sz w:val="32"/>
          <w:szCs w:val="32"/>
          <w:highlight w:val="none"/>
        </w:rPr>
      </w:pPr>
    </w:p>
    <w:p w14:paraId="2E0319A2">
      <w:pPr>
        <w:spacing w:line="600" w:lineRule="exact"/>
        <w:jc w:val="center"/>
        <w:rPr>
          <w:rFonts w:hAnsi="宋体" w:cs="Times New Roman"/>
          <w:b/>
          <w:bCs/>
          <w:color w:val="auto"/>
          <w:sz w:val="44"/>
          <w:szCs w:val="44"/>
          <w:highlight w:val="none"/>
        </w:rPr>
      </w:pPr>
    </w:p>
    <w:p w14:paraId="0BFC0738">
      <w:pPr>
        <w:spacing w:line="640" w:lineRule="exact"/>
        <w:jc w:val="center"/>
        <w:rPr>
          <w:rFonts w:ascii="Times New Roman" w:hAnsi="Times New Roman" w:cs="Times New Roman"/>
          <w:b/>
          <w:bCs/>
          <w:color w:val="auto"/>
          <w:sz w:val="32"/>
          <w:szCs w:val="32"/>
          <w:highlight w:val="none"/>
        </w:rPr>
      </w:pPr>
    </w:p>
    <w:p w14:paraId="59DB540F">
      <w:pPr>
        <w:spacing w:line="640" w:lineRule="exact"/>
        <w:jc w:val="center"/>
        <w:rPr>
          <w:rFonts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w:t>
      </w:r>
      <w:r>
        <w:rPr>
          <w:rFonts w:hint="eastAsia" w:ascii="Times New Roman" w:hAnsi="Times New Roman" w:cs="Times New Roman"/>
          <w:b/>
          <w:bCs/>
          <w:color w:val="auto"/>
          <w:sz w:val="32"/>
          <w:szCs w:val="32"/>
          <w:highlight w:val="none"/>
          <w:lang w:val="en-US" w:eastAsia="zh-CN"/>
        </w:rPr>
        <w:t>6</w:t>
      </w:r>
      <w:r>
        <w:rPr>
          <w:rFonts w:hint="eastAsia" w:ascii="Times New Roman" w:hAnsi="Times New Roman" w:cs="Times New Roman"/>
          <w:b/>
          <w:bCs/>
          <w:color w:val="auto"/>
          <w:sz w:val="32"/>
          <w:szCs w:val="32"/>
          <w:highlight w:val="none"/>
        </w:rPr>
        <w:t>年</w:t>
      </w:r>
      <w:r>
        <w:rPr>
          <w:rFonts w:hint="eastAsia" w:ascii="Times New Roman" w:hAnsi="Times New Roman" w:cs="Times New Roman"/>
          <w:b/>
          <w:bCs/>
          <w:color w:val="auto"/>
          <w:sz w:val="32"/>
          <w:szCs w:val="32"/>
          <w:highlight w:val="none"/>
          <w:lang w:val="en-US" w:eastAsia="zh-CN"/>
        </w:rPr>
        <w:t>7</w:t>
      </w:r>
      <w:r>
        <w:rPr>
          <w:rFonts w:hint="eastAsia" w:ascii="Times New Roman" w:hAnsi="Times New Roman" w:cs="Times New Roman"/>
          <w:b/>
          <w:bCs/>
          <w:color w:val="auto"/>
          <w:sz w:val="32"/>
          <w:szCs w:val="32"/>
          <w:highlight w:val="none"/>
        </w:rPr>
        <w:t>月</w:t>
      </w:r>
    </w:p>
    <w:p w14:paraId="4F573034">
      <w:pPr>
        <w:jc w:val="center"/>
        <w:rPr>
          <w:rFonts w:ascii="Times New Roman" w:hAnsi="Times New Roman" w:cs="Times New Roman"/>
          <w:b/>
          <w:bCs/>
          <w:color w:val="auto"/>
          <w:sz w:val="32"/>
          <w:szCs w:val="32"/>
          <w:highlight w:val="none"/>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highlight w:val="none"/>
        </w:rPr>
      </w:pPr>
    </w:p>
    <w:p w14:paraId="776B2448">
      <w:pPr>
        <w:jc w:val="center"/>
        <w:rPr>
          <w:rFonts w:ascii="Times New Roman" w:hAnsi="Times New Roman" w:cs="宋体"/>
          <w:b/>
          <w:bCs/>
          <w:color w:val="auto"/>
          <w:sz w:val="32"/>
          <w:szCs w:val="32"/>
          <w:highlight w:val="none"/>
        </w:rPr>
      </w:pPr>
    </w:p>
    <w:p w14:paraId="3D29752B">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183FBDFE">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龙南石油分公司大广高速渡江服务区西加油站</w:t>
      </w:r>
    </w:p>
    <w:p w14:paraId="30DE7FAD">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0C9C7F98">
      <w:pPr>
        <w:jc w:val="center"/>
        <w:rPr>
          <w:rFonts w:hint="eastAsia"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154E6CB8">
      <w:pPr>
        <w:jc w:val="center"/>
        <w:rPr>
          <w:rFonts w:hint="eastAsia" w:ascii="Times New Roman" w:hAnsi="Times New Roman" w:eastAsia="宋体" w:cs="Times New Roman"/>
          <w:b/>
          <w:bCs/>
          <w:color w:val="auto"/>
          <w:sz w:val="32"/>
          <w:szCs w:val="32"/>
          <w:highlight w:val="none"/>
          <w:lang w:eastAsia="zh-CN"/>
        </w:rPr>
      </w:pPr>
      <w:r>
        <w:rPr>
          <w:rFonts w:hint="eastAsia" w:ascii="Times New Roman" w:hAnsi="Times New Roman" w:cs="宋体"/>
          <w:b/>
          <w:bCs/>
          <w:color w:val="auto"/>
          <w:sz w:val="32"/>
          <w:szCs w:val="32"/>
          <w:highlight w:val="none"/>
          <w:lang w:eastAsia="zh-CN"/>
        </w:rPr>
        <w:t>（</w:t>
      </w:r>
      <w:r>
        <w:rPr>
          <w:rFonts w:hint="eastAsia" w:ascii="Times New Roman" w:hAnsi="Times New Roman" w:cs="宋体"/>
          <w:b/>
          <w:bCs/>
          <w:color w:val="auto"/>
          <w:sz w:val="32"/>
          <w:szCs w:val="32"/>
          <w:highlight w:val="none"/>
          <w:lang w:val="en-US" w:eastAsia="zh-CN"/>
        </w:rPr>
        <w:t>终稿</w:t>
      </w:r>
      <w:r>
        <w:rPr>
          <w:rFonts w:hint="eastAsia" w:ascii="Times New Roman" w:hAnsi="Times New Roman" w:cs="宋体"/>
          <w:b/>
          <w:bCs/>
          <w:color w:val="auto"/>
          <w:sz w:val="32"/>
          <w:szCs w:val="32"/>
          <w:highlight w:val="none"/>
          <w:lang w:eastAsia="zh-CN"/>
        </w:rPr>
        <w:t>）</w:t>
      </w:r>
    </w:p>
    <w:p w14:paraId="1DE84B23">
      <w:pPr>
        <w:pStyle w:val="32"/>
        <w:rPr>
          <w:color w:val="auto"/>
          <w:highlight w:val="none"/>
        </w:rPr>
      </w:pPr>
    </w:p>
    <w:p w14:paraId="7777510D">
      <w:pPr>
        <w:pStyle w:val="32"/>
        <w:jc w:val="center"/>
        <w:rPr>
          <w:rFonts w:cs="Times New Roman"/>
          <w:color w:val="auto"/>
          <w:highlight w:val="none"/>
        </w:rPr>
      </w:pPr>
    </w:p>
    <w:p w14:paraId="40DBA430">
      <w:pPr>
        <w:jc w:val="center"/>
        <w:rPr>
          <w:rFonts w:ascii="Times New Roman" w:hAnsi="Times New Roman" w:cs="Times New Roman"/>
          <w:color w:val="auto"/>
          <w:sz w:val="28"/>
          <w:szCs w:val="28"/>
          <w:highlight w:val="none"/>
        </w:rPr>
      </w:pPr>
    </w:p>
    <w:p w14:paraId="79CC6689">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评价机构名称：</w:t>
      </w:r>
      <w:r>
        <w:rPr>
          <w:rFonts w:hint="eastAsia"/>
          <w:color w:val="auto"/>
          <w:kern w:val="0"/>
          <w:sz w:val="32"/>
          <w:szCs w:val="32"/>
          <w:highlight w:val="none"/>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资质证书编号：</w:t>
      </w:r>
      <w:r>
        <w:rPr>
          <w:rFonts w:hint="eastAsia"/>
          <w:color w:val="auto"/>
          <w:kern w:val="0"/>
          <w:sz w:val="32"/>
          <w:szCs w:val="32"/>
          <w:highlight w:val="none"/>
        </w:rPr>
        <w:t>APJ-（赣）-00</w:t>
      </w:r>
      <w:r>
        <w:rPr>
          <w:rFonts w:hint="eastAsia"/>
          <w:color w:val="auto"/>
          <w:kern w:val="0"/>
          <w:sz w:val="32"/>
          <w:szCs w:val="32"/>
          <w:highlight w:val="none"/>
          <w:lang w:val="en-US" w:eastAsia="zh-CN"/>
        </w:rPr>
        <w:t>2</w:t>
      </w:r>
    </w:p>
    <w:p w14:paraId="69AC7B64">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法定代表人：应  宏</w:t>
      </w:r>
    </w:p>
    <w:p w14:paraId="45EB0760">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技术负责人：周红波</w:t>
      </w:r>
    </w:p>
    <w:p w14:paraId="4E5B8960">
      <w:pPr>
        <w:spacing w:line="360" w:lineRule="auto"/>
        <w:ind w:firstLine="640" w:firstLineChars="200"/>
        <w:rPr>
          <w:color w:val="auto"/>
          <w:kern w:val="0"/>
          <w:sz w:val="32"/>
          <w:szCs w:val="32"/>
          <w:highlight w:val="none"/>
        </w:rPr>
      </w:pPr>
      <w:r>
        <w:rPr>
          <w:rFonts w:hint="eastAsia"/>
          <w:color w:val="auto"/>
          <w:kern w:val="0"/>
          <w:sz w:val="32"/>
          <w:szCs w:val="32"/>
          <w:highlight w:val="none"/>
        </w:rPr>
        <w:t>项目负责人：郑  强</w:t>
      </w:r>
    </w:p>
    <w:p w14:paraId="036C6E9B">
      <w:pPr>
        <w:spacing w:line="360" w:lineRule="auto"/>
        <w:rPr>
          <w:color w:val="auto"/>
          <w:kern w:val="0"/>
          <w:sz w:val="32"/>
          <w:szCs w:val="32"/>
          <w:highlight w:val="none"/>
        </w:rPr>
      </w:pPr>
    </w:p>
    <w:p w14:paraId="3131A0DB">
      <w:pPr>
        <w:spacing w:line="360" w:lineRule="auto"/>
        <w:rPr>
          <w:color w:val="auto"/>
          <w:kern w:val="0"/>
          <w:sz w:val="32"/>
          <w:szCs w:val="32"/>
          <w:highlight w:val="none"/>
        </w:rPr>
      </w:pPr>
    </w:p>
    <w:p w14:paraId="79D839B8">
      <w:pPr>
        <w:spacing w:line="360" w:lineRule="auto"/>
        <w:rPr>
          <w:color w:val="auto"/>
          <w:kern w:val="0"/>
          <w:sz w:val="32"/>
          <w:szCs w:val="32"/>
          <w:highlight w:val="none"/>
        </w:rPr>
      </w:pPr>
    </w:p>
    <w:p w14:paraId="6E0E4B06">
      <w:pPr>
        <w:spacing w:line="360" w:lineRule="auto"/>
        <w:jc w:val="center"/>
        <w:rPr>
          <w:rFonts w:hint="eastAsia" w:eastAsia="宋体"/>
          <w:b/>
          <w:bCs/>
          <w:color w:val="auto"/>
          <w:kern w:val="0"/>
          <w:sz w:val="32"/>
          <w:szCs w:val="32"/>
          <w:highlight w:val="none"/>
          <w:lang w:eastAsia="zh-CN"/>
        </w:rPr>
      </w:pPr>
      <w:r>
        <w:rPr>
          <w:rFonts w:hint="eastAsia"/>
          <w:b/>
          <w:bCs/>
          <w:color w:val="auto"/>
          <w:kern w:val="0"/>
          <w:sz w:val="32"/>
          <w:szCs w:val="32"/>
          <w:highlight w:val="none"/>
          <w:lang w:eastAsia="zh-CN"/>
        </w:rPr>
        <w:t>江西赣安安全生产科学技术咨询服务中心</w:t>
      </w:r>
    </w:p>
    <w:p w14:paraId="663BD02B">
      <w:pPr>
        <w:spacing w:line="360" w:lineRule="auto"/>
        <w:jc w:val="center"/>
        <w:rPr>
          <w:b/>
          <w:color w:val="auto"/>
          <w:kern w:val="0"/>
          <w:sz w:val="32"/>
          <w:szCs w:val="32"/>
          <w:highlight w:val="none"/>
        </w:rPr>
      </w:pPr>
      <w:r>
        <w:rPr>
          <w:rFonts w:hint="eastAsia"/>
          <w:b/>
          <w:color w:val="auto"/>
          <w:kern w:val="0"/>
          <w:sz w:val="32"/>
          <w:szCs w:val="32"/>
          <w:highlight w:val="none"/>
        </w:rPr>
        <w:t>202</w:t>
      </w:r>
      <w:r>
        <w:rPr>
          <w:rFonts w:hint="eastAsia"/>
          <w:b/>
          <w:color w:val="auto"/>
          <w:kern w:val="0"/>
          <w:sz w:val="32"/>
          <w:szCs w:val="32"/>
          <w:highlight w:val="none"/>
          <w:lang w:val="en-US" w:eastAsia="zh-CN"/>
        </w:rPr>
        <w:t>6</w:t>
      </w:r>
      <w:r>
        <w:rPr>
          <w:rFonts w:hint="eastAsia"/>
          <w:b/>
          <w:color w:val="auto"/>
          <w:kern w:val="0"/>
          <w:sz w:val="32"/>
          <w:szCs w:val="32"/>
          <w:highlight w:val="none"/>
        </w:rPr>
        <w:t>年</w:t>
      </w:r>
      <w:r>
        <w:rPr>
          <w:rFonts w:hint="eastAsia"/>
          <w:b/>
          <w:color w:val="auto"/>
          <w:kern w:val="0"/>
          <w:sz w:val="32"/>
          <w:szCs w:val="32"/>
          <w:highlight w:val="none"/>
          <w:lang w:val="en-US" w:eastAsia="zh-CN"/>
        </w:rPr>
        <w:t>7</w:t>
      </w:r>
      <w:r>
        <w:rPr>
          <w:rFonts w:hint="eastAsia"/>
          <w:b/>
          <w:color w:val="auto"/>
          <w:kern w:val="0"/>
          <w:sz w:val="32"/>
          <w:szCs w:val="32"/>
          <w:highlight w:val="none"/>
        </w:rPr>
        <w:t>月</w:t>
      </w:r>
    </w:p>
    <w:p w14:paraId="523FDE00">
      <w:pPr>
        <w:jc w:val="center"/>
        <w:rPr>
          <w:rFonts w:eastAsia="黑体"/>
          <w:color w:val="auto"/>
          <w:sz w:val="36"/>
          <w:highlight w:val="none"/>
        </w:rPr>
      </w:pPr>
    </w:p>
    <w:p w14:paraId="0AA5AEE4">
      <w:pPr>
        <w:rPr>
          <w:color w:val="auto"/>
          <w:highlight w:val="none"/>
        </w:rPr>
      </w:pPr>
    </w:p>
    <w:p w14:paraId="287A14CB">
      <w:pPr>
        <w:jc w:val="center"/>
        <w:rPr>
          <w:rFonts w:ascii="Times New Roman" w:hAnsi="Times New Roman" w:cs="宋体"/>
          <w:b/>
          <w:bCs/>
          <w:color w:val="auto"/>
          <w:sz w:val="32"/>
          <w:szCs w:val="32"/>
          <w:highlight w:val="none"/>
        </w:rPr>
      </w:pPr>
    </w:p>
    <w:p w14:paraId="63224AE4">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7BC4801C">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龙南石油分公司大广高速渡江服务区西加油站</w:t>
      </w:r>
    </w:p>
    <w:p w14:paraId="438CF907">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4CA81001">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安全设施竣工验收评价技术服务承诺书</w:t>
      </w:r>
    </w:p>
    <w:p w14:paraId="3D6912CC">
      <w:pPr>
        <w:jc w:val="center"/>
        <w:rPr>
          <w:rFonts w:ascii="Times New Roman" w:hAnsi="Times New Roman" w:cs="Times New Roman"/>
          <w:b/>
          <w:bCs/>
          <w:color w:val="auto"/>
          <w:kern w:val="0"/>
          <w:sz w:val="36"/>
          <w:szCs w:val="36"/>
          <w:highlight w:val="none"/>
        </w:rPr>
      </w:pPr>
    </w:p>
    <w:p w14:paraId="1E146940">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一、在本项目安全评价活动过程中，我单位严格遵守《安全生产法》及相关法律、法规和标准的要求。</w:t>
      </w:r>
      <w:r>
        <w:rPr>
          <w:rFonts w:ascii="Times New Roman" w:hAnsi="Times New Roman" w:eastAsia="仿宋" w:cs="Times New Roman"/>
          <w:color w:val="auto"/>
          <w:kern w:val="0"/>
          <w:sz w:val="32"/>
          <w:szCs w:val="32"/>
          <w:highlight w:val="none"/>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eastAsia="仿宋"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宋体"/>
          <w:color w:val="auto"/>
          <w:kern w:val="0"/>
          <w:sz w:val="32"/>
          <w:szCs w:val="32"/>
          <w:highlight w:val="none"/>
          <w:lang w:eastAsia="zh-CN"/>
        </w:rPr>
        <w:t>江西赣安安全生产科学技术咨询服务中心</w:t>
      </w:r>
      <w:r>
        <w:rPr>
          <w:rFonts w:hint="eastAsia" w:ascii="Times New Roman" w:hAnsi="Times New Roman" w:cs="宋体"/>
          <w:color w:val="auto"/>
          <w:kern w:val="0"/>
          <w:sz w:val="32"/>
          <w:szCs w:val="32"/>
          <w:highlight w:val="none"/>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Times New Roman"/>
          <w:color w:val="auto"/>
          <w:kern w:val="0"/>
          <w:sz w:val="32"/>
          <w:szCs w:val="32"/>
          <w:highlight w:val="none"/>
        </w:rPr>
        <w:t>202</w:t>
      </w:r>
      <w:r>
        <w:rPr>
          <w:rFonts w:hint="eastAsia" w:ascii="Times New Roman" w:hAnsi="Times New Roman" w:cs="Times New Roman"/>
          <w:color w:val="auto"/>
          <w:kern w:val="0"/>
          <w:sz w:val="32"/>
          <w:szCs w:val="32"/>
          <w:highlight w:val="none"/>
          <w:lang w:val="en-US" w:eastAsia="zh-CN"/>
        </w:rPr>
        <w:t>6</w:t>
      </w:r>
      <w:r>
        <w:rPr>
          <w:rFonts w:hint="eastAsia" w:ascii="Times New Roman" w:hAnsi="Times New Roman" w:cs="Times New Roman"/>
          <w:color w:val="auto"/>
          <w:kern w:val="0"/>
          <w:sz w:val="32"/>
          <w:szCs w:val="32"/>
          <w:highlight w:val="none"/>
        </w:rPr>
        <w:t>年</w:t>
      </w:r>
      <w:r>
        <w:rPr>
          <w:rFonts w:hint="eastAsia" w:ascii="Times New Roman" w:hAnsi="Times New Roman" w:cs="Times New Roman"/>
          <w:color w:val="auto"/>
          <w:kern w:val="0"/>
          <w:sz w:val="32"/>
          <w:szCs w:val="32"/>
          <w:highlight w:val="none"/>
          <w:lang w:val="en-US" w:eastAsia="zh-CN"/>
        </w:rPr>
        <w:t>7</w:t>
      </w:r>
      <w:r>
        <w:rPr>
          <w:rFonts w:hint="eastAsia" w:ascii="Times New Roman" w:hAnsi="Times New Roman" w:cs="Times New Roman"/>
          <w:color w:val="auto"/>
          <w:kern w:val="0"/>
          <w:sz w:val="32"/>
          <w:szCs w:val="32"/>
          <w:highlight w:val="none"/>
        </w:rPr>
        <w:t>月</w:t>
      </w:r>
      <w:r>
        <w:rPr>
          <w:rFonts w:ascii="Times New Roman" w:hAnsi="Times New Roman" w:cs="Times New Roman"/>
          <w:color w:val="auto"/>
          <w:kern w:val="0"/>
          <w:sz w:val="32"/>
          <w:szCs w:val="32"/>
          <w:highlight w:val="none"/>
        </w:rPr>
        <w:t xml:space="preserve"> </w:t>
      </w:r>
    </w:p>
    <w:p w14:paraId="570F8EB2">
      <w:pPr>
        <w:rPr>
          <w:rFonts w:ascii="Times New Roman" w:hAnsi="Times New Roman" w:cs="宋体"/>
          <w:b/>
          <w:bCs/>
          <w:color w:val="auto"/>
          <w:sz w:val="36"/>
          <w:szCs w:val="36"/>
          <w:highlight w:val="none"/>
        </w:rPr>
      </w:pPr>
      <w:r>
        <w:rPr>
          <w:rFonts w:hint="eastAsia" w:ascii="Times New Roman" w:hAnsi="Times New Roman" w:cs="宋体"/>
          <w:b/>
          <w:bCs/>
          <w:color w:val="auto"/>
          <w:sz w:val="36"/>
          <w:szCs w:val="36"/>
          <w:highlight w:val="none"/>
        </w:rPr>
        <w:br w:type="page"/>
      </w:r>
    </w:p>
    <w:p w14:paraId="37C4BA3D">
      <w:pPr>
        <w:jc w:val="center"/>
        <w:rPr>
          <w:rFonts w:ascii="Times New Roman" w:hAnsi="Times New Roman" w:cs="Times New Roman"/>
          <w:b/>
          <w:bCs/>
          <w:color w:val="auto"/>
          <w:sz w:val="32"/>
          <w:szCs w:val="32"/>
          <w:highlight w:val="none"/>
        </w:rPr>
      </w:pPr>
      <w:bookmarkStart w:id="276" w:name="_GoBack"/>
      <w:bookmarkEnd w:id="276"/>
      <w:r>
        <w:rPr>
          <w:rFonts w:hint="eastAsia" w:ascii="Times New Roman" w:hAnsi="Times New Roman" w:cs="宋体"/>
          <w:b/>
          <w:bCs/>
          <w:color w:val="auto"/>
          <w:sz w:val="32"/>
          <w:szCs w:val="32"/>
          <w:highlight w:val="none"/>
        </w:rPr>
        <w:t xml:space="preserve">前 </w:t>
      </w:r>
      <w:r>
        <w:rPr>
          <w:rFonts w:ascii="Times New Roman" w:hAnsi="Times New Roman" w:cs="Times New Roman"/>
          <w:b/>
          <w:bCs/>
          <w:color w:val="auto"/>
          <w:sz w:val="32"/>
          <w:szCs w:val="32"/>
          <w:highlight w:val="none"/>
        </w:rPr>
        <w:t xml:space="preserve"> </w:t>
      </w:r>
      <w:r>
        <w:rPr>
          <w:rFonts w:hint="eastAsia" w:ascii="Times New Roman" w:hAnsi="Times New Roman" w:cs="Times New Roman"/>
          <w:b/>
          <w:bCs/>
          <w:color w:val="auto"/>
          <w:sz w:val="32"/>
          <w:szCs w:val="32"/>
          <w:highlight w:val="none"/>
        </w:rPr>
        <w:t xml:space="preserve">  </w:t>
      </w:r>
      <w:r>
        <w:rPr>
          <w:rFonts w:hint="eastAsia" w:ascii="Times New Roman" w:hAnsi="Times New Roman" w:cs="宋体"/>
          <w:b/>
          <w:bCs/>
          <w:color w:val="auto"/>
          <w:sz w:val="32"/>
          <w:szCs w:val="32"/>
          <w:highlight w:val="none"/>
        </w:rPr>
        <w:t>言</w:t>
      </w:r>
    </w:p>
    <w:p w14:paraId="259D3114">
      <w:pPr>
        <w:spacing w:line="600" w:lineRule="exact"/>
        <w:ind w:firstLine="560" w:firstLineChars="200"/>
        <w:rPr>
          <w:rFonts w:ascii="Times New Roman" w:hAnsi="Times New Roman" w:cs="Times New Roman"/>
          <w:color w:val="auto"/>
          <w:sz w:val="28"/>
          <w:szCs w:val="28"/>
          <w:highlight w:val="none"/>
        </w:rPr>
      </w:pPr>
    </w:p>
    <w:p w14:paraId="36A9EEAD">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龙南石油分公司大广高速渡江服务区西加油站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龙南大广高速渡江服务区西加油站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2016年07月20日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江西省龙南市大广高速渡江服务区西区</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4</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rPr>
        <w:t>埋地单层卧式储罐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#汽油储罐1个，</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ascii="Times New Roman" w:hAnsi="Times New Roman" w:cs="Times New Roman"/>
          <w:color w:val="auto"/>
          <w:spacing w:val="-4"/>
          <w:sz w:val="28"/>
          <w:szCs w:val="28"/>
          <w:highlight w:val="none"/>
        </w:rPr>
        <w:t>总容积为</w:t>
      </w:r>
      <w:r>
        <w:rPr>
          <w:rFonts w:hint="eastAsia" w:ascii="Times New Roman" w:hAnsi="Times New Roman" w:cs="Times New Roman"/>
          <w:color w:val="auto"/>
          <w:spacing w:val="-4"/>
          <w:sz w:val="28"/>
          <w:szCs w:val="28"/>
          <w:highlight w:val="none"/>
          <w:lang w:val="en-US" w:eastAsia="zh-CN"/>
        </w:rPr>
        <w:t>250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175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一</w:t>
      </w:r>
      <w:r>
        <w:rPr>
          <w:rFonts w:hint="eastAsia" w:ascii="Times New Roman" w:hAnsi="Times New Roman" w:cs="Times New Roman"/>
          <w:color w:val="auto"/>
          <w:spacing w:val="-4"/>
          <w:sz w:val="28"/>
          <w:szCs w:val="28"/>
          <w:highlight w:val="none"/>
        </w:rPr>
        <w:t>级加油站。</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w:t>
      </w:r>
      <w:r>
        <w:rPr>
          <w:rFonts w:hint="eastAsia" w:ascii="Times New Roman" w:hAnsi="Times New Roman" w:cs="Times New Roman"/>
          <w:color w:val="auto"/>
          <w:sz w:val="28"/>
          <w:szCs w:val="28"/>
          <w:highlight w:val="none"/>
          <w:lang w:val="en-US" w:eastAsia="zh-CN"/>
        </w:rPr>
        <w:t>虔</w:t>
      </w:r>
      <w:r>
        <w:rPr>
          <w:rFonts w:hint="eastAsia" w:ascii="Times New Roman" w:hAnsi="Times New Roman" w:cs="Times New Roman"/>
          <w:color w:val="auto"/>
          <w:sz w:val="28"/>
          <w:szCs w:val="28"/>
          <w:highlight w:val="none"/>
        </w:rPr>
        <w:t>龙安经</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甲</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字[2023]</w:t>
      </w:r>
      <w:r>
        <w:rPr>
          <w:rFonts w:hint="eastAsia" w:ascii="Times New Roman" w:hAnsi="Times New Roman" w:cs="Times New Roman"/>
          <w:color w:val="auto"/>
          <w:sz w:val="28"/>
          <w:szCs w:val="28"/>
          <w:highlight w:val="none"/>
          <w:lang w:val="en-US" w:eastAsia="zh-CN"/>
        </w:rPr>
        <w:t>10</w:t>
      </w:r>
      <w:r>
        <w:rPr>
          <w:rFonts w:hint="eastAsia" w:ascii="Times New Roman" w:hAnsi="Times New Roman" w:cs="Times New Roman"/>
          <w:color w:val="auto"/>
          <w:sz w:val="28"/>
          <w:szCs w:val="28"/>
          <w:highlight w:val="none"/>
        </w:rPr>
        <w:t>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285C136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龙南石油分公司大广高速渡江服务区西加油站</w:t>
      </w:r>
      <w:r>
        <w:rPr>
          <w:rFonts w:hint="eastAsia" w:ascii="Times New Roman" w:hAnsi="Times New Roman" w:cs="宋体"/>
          <w:color w:val="auto"/>
          <w:sz w:val="28"/>
          <w:szCs w:val="28"/>
          <w:highlight w:val="none"/>
        </w:rPr>
        <w:t>安全设施符合性诊断及整改设计》。</w:t>
      </w:r>
    </w:p>
    <w:p w14:paraId="7D7BBAF3">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w:t>
      </w:r>
      <w:r>
        <w:rPr>
          <w:rFonts w:hint="eastAsia" w:ascii="Times New Roman" w:hAnsi="Times New Roman" w:cs="宋体"/>
          <w:color w:val="auto"/>
          <w:sz w:val="28"/>
          <w:szCs w:val="28"/>
          <w:highlight w:val="none"/>
          <w:lang w:eastAsia="zh-CN"/>
        </w:rPr>
        <w:t>，根据</w:t>
      </w:r>
      <w:r>
        <w:rPr>
          <w:rFonts w:hint="eastAsia" w:ascii="Times New Roman" w:hAnsi="Times New Roman" w:cs="宋体"/>
          <w:color w:val="auto"/>
          <w:sz w:val="28"/>
          <w:szCs w:val="28"/>
          <w:highlight w:val="none"/>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龙南大广高速渡江服务区西加油站</w:t>
      </w:r>
      <w:r>
        <w:rPr>
          <w:rFonts w:hint="eastAsia" w:ascii="Times New Roman" w:hAnsi="Times New Roman" w:cs="宋体"/>
          <w:color w:val="auto"/>
          <w:sz w:val="28"/>
          <w:szCs w:val="28"/>
          <w:highlight w:val="none"/>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于</w:t>
      </w:r>
      <w:r>
        <w:rPr>
          <w:rFonts w:ascii="Times New Roman" w:hAnsi="Times New Roman"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Times New Roman"/>
          <w:color w:val="auto"/>
          <w:sz w:val="28"/>
          <w:szCs w:val="28"/>
          <w:highlight w:val="none"/>
          <w:lang w:val="en-US" w:eastAsia="zh-CN"/>
        </w:rPr>
        <w:t>5</w:t>
      </w:r>
      <w:r>
        <w:rPr>
          <w:rFonts w:hint="eastAsia" w:ascii="Times New Roman" w:hAnsi="Times New Roman" w:cs="宋体"/>
          <w:color w:val="auto"/>
          <w:sz w:val="28"/>
          <w:szCs w:val="28"/>
          <w:highlight w:val="none"/>
        </w:rPr>
        <w:t>月组成评价小组，对所提供的资料、文件</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审核，对现场</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实地检测，根据《安全评价通则》</w:t>
      </w:r>
      <w:r>
        <w:rPr>
          <w:rFonts w:ascii="Times New Roman" w:hAnsi="Times New Roman" w:cs="Times New Roman"/>
          <w:color w:val="auto"/>
          <w:sz w:val="28"/>
          <w:szCs w:val="28"/>
          <w:highlight w:val="none"/>
        </w:rPr>
        <w:t>AQ8001-2007</w:t>
      </w:r>
      <w:r>
        <w:rPr>
          <w:rFonts w:hint="eastAsia" w:ascii="Times New Roman" w:hAnsi="Times New Roman" w:cs="宋体"/>
          <w:color w:val="auto"/>
          <w:sz w:val="28"/>
          <w:szCs w:val="28"/>
          <w:highlight w:val="none"/>
        </w:rPr>
        <w:t>和《安全验收评价导则》</w:t>
      </w:r>
      <w:r>
        <w:rPr>
          <w:rFonts w:ascii="Times New Roman" w:hAnsi="Times New Roman" w:cs="Times New Roman"/>
          <w:color w:val="auto"/>
          <w:sz w:val="28"/>
          <w:szCs w:val="28"/>
          <w:highlight w:val="none"/>
        </w:rPr>
        <w:t>AQ8003-2007</w:t>
      </w:r>
      <w:r>
        <w:rPr>
          <w:rFonts w:hint="eastAsia" w:ascii="Times New Roman" w:hAnsi="Times New Roman" w:cs="Times New Roman"/>
          <w:color w:val="auto"/>
          <w:sz w:val="28"/>
          <w:szCs w:val="28"/>
          <w:highlight w:val="none"/>
        </w:rPr>
        <w:t>的</w:t>
      </w:r>
      <w:r>
        <w:rPr>
          <w:rFonts w:hint="eastAsia" w:ascii="Times New Roman" w:hAnsi="Times New Roman" w:cs="宋体"/>
          <w:color w:val="auto"/>
          <w:sz w:val="28"/>
          <w:szCs w:val="28"/>
          <w:highlight w:val="none"/>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需要说明的是，本评价报告和结论是根据评价时加油站的现实系统状况做出</w:t>
      </w:r>
      <w:r>
        <w:rPr>
          <w:rFonts w:hint="eastAsia" w:ascii="Times New Roman" w:hAnsi="Times New Roman" w:cs="宋体"/>
          <w:color w:val="auto"/>
          <w:sz w:val="28"/>
          <w:szCs w:val="28"/>
          <w:highlight w:val="none"/>
          <w:lang w:eastAsia="zh-CN"/>
        </w:rPr>
        <w:t>的。</w:t>
      </w:r>
      <w:r>
        <w:rPr>
          <w:rFonts w:hint="eastAsia" w:ascii="Times New Roman" w:hAnsi="Times New Roman" w:cs="宋体"/>
          <w:color w:val="auto"/>
          <w:sz w:val="28"/>
          <w:szCs w:val="28"/>
          <w:highlight w:val="none"/>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评价小组在工作中得到了中国石化销售股份有限公司江西赣州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目</w:t>
      </w:r>
      <w:r>
        <w:rPr>
          <w:rFonts w:ascii="Times New Roman" w:hAnsi="Times New Roman" w:cs="Times New Roman"/>
          <w:b/>
          <w:bCs/>
          <w:color w:val="auto"/>
          <w:sz w:val="28"/>
          <w:szCs w:val="28"/>
          <w:highlight w:val="none"/>
        </w:rPr>
        <w:t xml:space="preserve"> </w:t>
      </w:r>
      <w:r>
        <w:rPr>
          <w:rFonts w:hint="eastAsia"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录</w:t>
      </w:r>
    </w:p>
    <w:p w14:paraId="57F166C4">
      <w:pPr>
        <w:pStyle w:val="16"/>
        <w:tabs>
          <w:tab w:val="right" w:leader="dot" w:pos="9072"/>
        </w:tabs>
        <w:spacing w:line="520" w:lineRule="exact"/>
        <w:rPr>
          <w:rFonts w:ascii="Times New Roman" w:hAnsi="Times New Roman" w:cs="Times New Roman"/>
          <w:b/>
          <w:bCs/>
          <w:color w:val="auto"/>
          <w:sz w:val="24"/>
          <w:szCs w:val="24"/>
          <w:highlight w:val="none"/>
        </w:rPr>
      </w:pPr>
    </w:p>
    <w:p w14:paraId="6A601B21">
      <w:pPr>
        <w:pStyle w:val="16"/>
        <w:tabs>
          <w:tab w:val="right" w:leader="dot" w:pos="9072"/>
        </w:tabs>
      </w:pPr>
      <w:r>
        <w:rPr>
          <w:rFonts w:ascii="Times New Roman" w:hAnsi="Times New Roman" w:cs="Times New Roman"/>
          <w:b/>
          <w:bCs/>
          <w:color w:val="auto"/>
          <w:sz w:val="24"/>
          <w:szCs w:val="24"/>
          <w:highlight w:val="none"/>
        </w:rPr>
        <w:fldChar w:fldCharType="begin"/>
      </w:r>
      <w:r>
        <w:rPr>
          <w:rFonts w:ascii="Times New Roman" w:hAnsi="Times New Roman" w:cs="Times New Roman"/>
          <w:b/>
          <w:bCs/>
          <w:color w:val="auto"/>
          <w:sz w:val="24"/>
          <w:szCs w:val="24"/>
          <w:highlight w:val="none"/>
        </w:rPr>
        <w:instrText xml:space="preserve">TOC \o "1-2" \h \u </w:instrText>
      </w:r>
      <w:r>
        <w:rPr>
          <w:rFonts w:ascii="Times New Roman" w:hAnsi="Times New Roman" w:cs="Times New Roman"/>
          <w:b/>
          <w:bCs/>
          <w:color w:val="auto"/>
          <w:sz w:val="24"/>
          <w:szCs w:val="24"/>
          <w:highlight w:val="none"/>
        </w:rPr>
        <w:fldChar w:fldCharType="separate"/>
      </w: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_Toc16269 </w:instrText>
      </w:r>
      <w:r>
        <w:rPr>
          <w:rFonts w:ascii="Times New Roman" w:hAnsi="Times New Roman" w:cs="Times New Roman"/>
          <w:bCs/>
          <w:szCs w:val="24"/>
          <w:highlight w:val="none"/>
        </w:rPr>
        <w:fldChar w:fldCharType="separate"/>
      </w:r>
      <w:r>
        <w:rPr>
          <w:szCs w:val="32"/>
          <w:highlight w:val="none"/>
        </w:rPr>
        <w:t xml:space="preserve">1 </w:t>
      </w:r>
      <w:r>
        <w:rPr>
          <w:rFonts w:hint="eastAsia" w:cs="宋体"/>
          <w:szCs w:val="32"/>
          <w:highlight w:val="none"/>
        </w:rPr>
        <w:t>评价概述</w:t>
      </w:r>
      <w:r>
        <w:tab/>
      </w:r>
      <w:r>
        <w:fldChar w:fldCharType="begin"/>
      </w:r>
      <w:r>
        <w:instrText xml:space="preserve"> PAGEREF _Toc16269 \h </w:instrText>
      </w:r>
      <w:r>
        <w:fldChar w:fldCharType="separate"/>
      </w:r>
      <w:r>
        <w:t>1</w:t>
      </w:r>
      <w:r>
        <w:fldChar w:fldCharType="end"/>
      </w:r>
      <w:r>
        <w:rPr>
          <w:rFonts w:ascii="Times New Roman" w:hAnsi="Times New Roman" w:cs="Times New Roman"/>
          <w:bCs/>
          <w:color w:val="auto"/>
          <w:szCs w:val="24"/>
          <w:highlight w:val="none"/>
        </w:rPr>
        <w:fldChar w:fldCharType="end"/>
      </w:r>
    </w:p>
    <w:p w14:paraId="0224F372">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_Toc5395 </w:instrText>
      </w:r>
      <w:r>
        <w:rPr>
          <w:rFonts w:ascii="Times New Roman" w:hAnsi="Times New Roman" w:cs="Times New Roman"/>
          <w:bCs/>
          <w:szCs w:val="24"/>
          <w:highlight w:val="none"/>
        </w:rPr>
        <w:fldChar w:fldCharType="separate"/>
      </w:r>
      <w:r>
        <w:rPr>
          <w:szCs w:val="32"/>
          <w:highlight w:val="none"/>
        </w:rPr>
        <w:t>1.1</w:t>
      </w:r>
      <w:r>
        <w:rPr>
          <w:rFonts w:hint="eastAsia" w:cs="宋体"/>
          <w:szCs w:val="32"/>
          <w:highlight w:val="none"/>
        </w:rPr>
        <w:t>评价的目的和原则</w:t>
      </w:r>
      <w:r>
        <w:tab/>
      </w:r>
      <w:r>
        <w:fldChar w:fldCharType="begin"/>
      </w:r>
      <w:r>
        <w:instrText xml:space="preserve"> PAGEREF _Toc5395 \h </w:instrText>
      </w:r>
      <w:r>
        <w:fldChar w:fldCharType="separate"/>
      </w:r>
      <w:r>
        <w:t>1</w:t>
      </w:r>
      <w:r>
        <w:fldChar w:fldCharType="end"/>
      </w:r>
      <w:r>
        <w:rPr>
          <w:rFonts w:ascii="Times New Roman" w:hAnsi="Times New Roman" w:cs="Times New Roman"/>
          <w:bCs/>
          <w:color w:val="auto"/>
          <w:szCs w:val="24"/>
          <w:highlight w:val="none"/>
        </w:rPr>
        <w:fldChar w:fldCharType="end"/>
      </w:r>
    </w:p>
    <w:p w14:paraId="634E0EFB">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_Toc12819 </w:instrText>
      </w:r>
      <w:r>
        <w:rPr>
          <w:rFonts w:ascii="Times New Roman" w:hAnsi="Times New Roman" w:cs="Times New Roman"/>
          <w:bCs/>
          <w:szCs w:val="24"/>
          <w:highlight w:val="none"/>
        </w:rPr>
        <w:fldChar w:fldCharType="separate"/>
      </w:r>
      <w:r>
        <w:rPr>
          <w:highlight w:val="none"/>
        </w:rPr>
        <w:t>1.2</w:t>
      </w:r>
      <w:r>
        <w:rPr>
          <w:rFonts w:hint="eastAsia" w:cs="宋体"/>
          <w:highlight w:val="none"/>
        </w:rPr>
        <w:t>评价依据</w:t>
      </w:r>
      <w:r>
        <w:tab/>
      </w:r>
      <w:r>
        <w:fldChar w:fldCharType="begin"/>
      </w:r>
      <w:r>
        <w:instrText xml:space="preserve"> PAGEREF _Toc12819 \h </w:instrText>
      </w:r>
      <w:r>
        <w:fldChar w:fldCharType="separate"/>
      </w:r>
      <w:r>
        <w:t>1</w:t>
      </w:r>
      <w:r>
        <w:fldChar w:fldCharType="end"/>
      </w:r>
      <w:r>
        <w:rPr>
          <w:rFonts w:ascii="Times New Roman" w:hAnsi="Times New Roman" w:cs="Times New Roman"/>
          <w:bCs/>
          <w:color w:val="auto"/>
          <w:szCs w:val="24"/>
          <w:highlight w:val="none"/>
        </w:rPr>
        <w:fldChar w:fldCharType="end"/>
      </w:r>
    </w:p>
    <w:p w14:paraId="71B4B5F0">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_Toc30412 </w:instrText>
      </w:r>
      <w:r>
        <w:rPr>
          <w:rFonts w:ascii="Times New Roman" w:hAnsi="Times New Roman" w:cs="Times New Roman"/>
          <w:bCs/>
          <w:szCs w:val="24"/>
          <w:highlight w:val="none"/>
        </w:rPr>
        <w:fldChar w:fldCharType="separate"/>
      </w:r>
      <w:r>
        <w:rPr>
          <w:highlight w:val="none"/>
        </w:rPr>
        <w:t>1.3</w:t>
      </w:r>
      <w:r>
        <w:rPr>
          <w:rFonts w:hint="eastAsia" w:cs="宋体"/>
          <w:highlight w:val="none"/>
        </w:rPr>
        <w:t>评价范围及内容</w:t>
      </w:r>
      <w:r>
        <w:tab/>
      </w:r>
      <w:r>
        <w:fldChar w:fldCharType="begin"/>
      </w:r>
      <w:r>
        <w:instrText xml:space="preserve"> PAGEREF _Toc30412 \h </w:instrText>
      </w:r>
      <w:r>
        <w:fldChar w:fldCharType="separate"/>
      </w:r>
      <w:r>
        <w:t>9</w:t>
      </w:r>
      <w:r>
        <w:fldChar w:fldCharType="end"/>
      </w:r>
      <w:r>
        <w:rPr>
          <w:rFonts w:ascii="Times New Roman" w:hAnsi="Times New Roman" w:cs="Times New Roman"/>
          <w:bCs/>
          <w:color w:val="auto"/>
          <w:szCs w:val="24"/>
          <w:highlight w:val="none"/>
        </w:rPr>
        <w:fldChar w:fldCharType="end"/>
      </w:r>
    </w:p>
    <w:p w14:paraId="1F46C2CD">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_Toc14373 </w:instrText>
      </w:r>
      <w:r>
        <w:rPr>
          <w:rFonts w:ascii="Times New Roman" w:hAnsi="Times New Roman" w:cs="Times New Roman"/>
          <w:bCs/>
          <w:szCs w:val="24"/>
          <w:highlight w:val="none"/>
        </w:rPr>
        <w:fldChar w:fldCharType="separate"/>
      </w:r>
      <w:r>
        <w:rPr>
          <w:highlight w:val="none"/>
        </w:rPr>
        <w:t>1.4</w:t>
      </w:r>
      <w:r>
        <w:rPr>
          <w:rFonts w:hint="eastAsia" w:cs="宋体"/>
          <w:highlight w:val="none"/>
        </w:rPr>
        <w:t>评价程序</w:t>
      </w:r>
      <w:r>
        <w:tab/>
      </w:r>
      <w:r>
        <w:fldChar w:fldCharType="begin"/>
      </w:r>
      <w:r>
        <w:instrText xml:space="preserve"> PAGEREF _Toc14373 \h </w:instrText>
      </w:r>
      <w:r>
        <w:fldChar w:fldCharType="separate"/>
      </w:r>
      <w:r>
        <w:t>10</w:t>
      </w:r>
      <w:r>
        <w:fldChar w:fldCharType="end"/>
      </w:r>
      <w:r>
        <w:rPr>
          <w:rFonts w:ascii="Times New Roman" w:hAnsi="Times New Roman" w:cs="Times New Roman"/>
          <w:bCs/>
          <w:color w:val="auto"/>
          <w:szCs w:val="24"/>
          <w:highlight w:val="none"/>
        </w:rPr>
        <w:fldChar w:fldCharType="end"/>
      </w:r>
    </w:p>
    <w:p w14:paraId="3A2ADABC">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_Toc23930 </w:instrText>
      </w:r>
      <w:r>
        <w:rPr>
          <w:rFonts w:ascii="Times New Roman" w:hAnsi="Times New Roman" w:cs="Times New Roman"/>
          <w:bCs/>
          <w:szCs w:val="24"/>
          <w:highlight w:val="none"/>
        </w:rPr>
        <w:fldChar w:fldCharType="separate"/>
      </w:r>
      <w:r>
        <w:rPr>
          <w:rFonts w:hint="eastAsia" w:ascii="Times New Roman"/>
          <w:bCs/>
          <w:kern w:val="36"/>
          <w:szCs w:val="32"/>
          <w:highlight w:val="none"/>
        </w:rPr>
        <w:t>2 加油站概况</w:t>
      </w:r>
      <w:r>
        <w:tab/>
      </w:r>
      <w:r>
        <w:fldChar w:fldCharType="begin"/>
      </w:r>
      <w:r>
        <w:instrText xml:space="preserve"> PAGEREF _Toc23930 \h </w:instrText>
      </w:r>
      <w:r>
        <w:fldChar w:fldCharType="separate"/>
      </w:r>
      <w:r>
        <w:t>12</w:t>
      </w:r>
      <w:r>
        <w:fldChar w:fldCharType="end"/>
      </w:r>
      <w:r>
        <w:rPr>
          <w:rFonts w:ascii="Times New Roman" w:hAnsi="Times New Roman" w:cs="Times New Roman"/>
          <w:bCs/>
          <w:color w:val="auto"/>
          <w:szCs w:val="24"/>
          <w:highlight w:val="none"/>
        </w:rPr>
        <w:fldChar w:fldCharType="end"/>
      </w:r>
    </w:p>
    <w:p w14:paraId="57F04841">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_Toc10636 </w:instrText>
      </w:r>
      <w:r>
        <w:rPr>
          <w:rFonts w:ascii="Times New Roman" w:hAnsi="Times New Roman" w:cs="Times New Roman"/>
          <w:bCs/>
          <w:szCs w:val="24"/>
          <w:highlight w:val="none"/>
        </w:rPr>
        <w:fldChar w:fldCharType="separate"/>
      </w:r>
      <w:r>
        <w:rPr>
          <w:highlight w:val="none"/>
        </w:rPr>
        <w:t>2.1</w:t>
      </w:r>
      <w:r>
        <w:rPr>
          <w:rFonts w:hint="eastAsia" w:cs="宋体"/>
          <w:highlight w:val="none"/>
        </w:rPr>
        <w:t>建设项目基本情况</w:t>
      </w:r>
      <w:r>
        <w:tab/>
      </w:r>
      <w:r>
        <w:fldChar w:fldCharType="begin"/>
      </w:r>
      <w:r>
        <w:instrText xml:space="preserve"> PAGEREF _Toc10636 \h </w:instrText>
      </w:r>
      <w:r>
        <w:fldChar w:fldCharType="separate"/>
      </w:r>
      <w:r>
        <w:t>12</w:t>
      </w:r>
      <w:r>
        <w:fldChar w:fldCharType="end"/>
      </w:r>
      <w:r>
        <w:rPr>
          <w:rFonts w:ascii="Times New Roman" w:hAnsi="Times New Roman" w:cs="Times New Roman"/>
          <w:bCs/>
          <w:color w:val="auto"/>
          <w:szCs w:val="24"/>
          <w:highlight w:val="none"/>
        </w:rPr>
        <w:fldChar w:fldCharType="end"/>
      </w:r>
    </w:p>
    <w:p w14:paraId="52E45AD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_Toc26775 </w:instrText>
      </w:r>
      <w:r>
        <w:rPr>
          <w:rFonts w:ascii="Times New Roman" w:hAnsi="Times New Roman" w:cs="Times New Roman"/>
          <w:bCs/>
          <w:szCs w:val="24"/>
          <w:highlight w:val="none"/>
        </w:rPr>
        <w:fldChar w:fldCharType="separate"/>
      </w:r>
      <w:r>
        <w:rPr>
          <w:highlight w:val="none"/>
        </w:rPr>
        <w:t xml:space="preserve">2.2 </w:t>
      </w:r>
      <w:r>
        <w:rPr>
          <w:rFonts w:hint="eastAsia" w:cs="宋体"/>
          <w:highlight w:val="none"/>
        </w:rPr>
        <w:t>加油站概况</w:t>
      </w:r>
      <w:r>
        <w:tab/>
      </w:r>
      <w:r>
        <w:fldChar w:fldCharType="begin"/>
      </w:r>
      <w:r>
        <w:instrText xml:space="preserve"> PAGEREF _Toc26775 \h </w:instrText>
      </w:r>
      <w:r>
        <w:fldChar w:fldCharType="separate"/>
      </w:r>
      <w:r>
        <w:t>14</w:t>
      </w:r>
      <w:r>
        <w:fldChar w:fldCharType="end"/>
      </w:r>
      <w:r>
        <w:rPr>
          <w:rFonts w:ascii="Times New Roman" w:hAnsi="Times New Roman" w:cs="Times New Roman"/>
          <w:bCs/>
          <w:color w:val="auto"/>
          <w:szCs w:val="24"/>
          <w:highlight w:val="none"/>
        </w:rPr>
        <w:fldChar w:fldCharType="end"/>
      </w:r>
    </w:p>
    <w:p w14:paraId="31D63682">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_Toc31583 </w:instrText>
      </w:r>
      <w:r>
        <w:rPr>
          <w:rFonts w:ascii="Times New Roman" w:hAnsi="Times New Roman" w:cs="Times New Roman"/>
          <w:bCs/>
          <w:szCs w:val="24"/>
          <w:highlight w:val="none"/>
        </w:rPr>
        <w:fldChar w:fldCharType="separate"/>
      </w:r>
      <w:r>
        <w:rPr>
          <w:highlight w:val="none"/>
        </w:rPr>
        <w:t>2.3</w:t>
      </w:r>
      <w:r>
        <w:rPr>
          <w:rFonts w:hint="eastAsia" w:cs="宋体"/>
          <w:highlight w:val="none"/>
        </w:rPr>
        <w:t>主要设备、建筑物及工艺：</w:t>
      </w:r>
      <w:r>
        <w:tab/>
      </w:r>
      <w:r>
        <w:fldChar w:fldCharType="begin"/>
      </w:r>
      <w:r>
        <w:instrText xml:space="preserve"> PAGEREF _Toc31583 \h </w:instrText>
      </w:r>
      <w:r>
        <w:fldChar w:fldCharType="separate"/>
      </w:r>
      <w:r>
        <w:t>17</w:t>
      </w:r>
      <w:r>
        <w:fldChar w:fldCharType="end"/>
      </w:r>
      <w:r>
        <w:rPr>
          <w:rFonts w:ascii="Times New Roman" w:hAnsi="Times New Roman" w:cs="Times New Roman"/>
          <w:bCs/>
          <w:color w:val="auto"/>
          <w:szCs w:val="24"/>
          <w:highlight w:val="none"/>
        </w:rPr>
        <w:fldChar w:fldCharType="end"/>
      </w:r>
    </w:p>
    <w:p w14:paraId="42A32977">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_Toc26174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2.4 </w:t>
      </w:r>
      <w:r>
        <w:rPr>
          <w:rFonts w:hint="eastAsia" w:ascii="Times New Roman" w:hAnsi="Times New Roman" w:cs="宋体"/>
          <w:bCs/>
          <w:szCs w:val="28"/>
          <w:highlight w:val="none"/>
        </w:rPr>
        <w:t>辅助设施</w:t>
      </w:r>
      <w:r>
        <w:tab/>
      </w:r>
      <w:r>
        <w:fldChar w:fldCharType="begin"/>
      </w:r>
      <w:r>
        <w:instrText xml:space="preserve"> PAGEREF _Toc26174 \h </w:instrText>
      </w:r>
      <w:r>
        <w:fldChar w:fldCharType="separate"/>
      </w:r>
      <w:r>
        <w:t>19</w:t>
      </w:r>
      <w:r>
        <w:fldChar w:fldCharType="end"/>
      </w:r>
      <w:r>
        <w:rPr>
          <w:rFonts w:ascii="Times New Roman" w:hAnsi="Times New Roman" w:cs="Times New Roman"/>
          <w:bCs/>
          <w:color w:val="auto"/>
          <w:szCs w:val="24"/>
          <w:highlight w:val="none"/>
        </w:rPr>
        <w:fldChar w:fldCharType="end"/>
      </w:r>
    </w:p>
    <w:p w14:paraId="3EF78B83">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_Toc17194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2.5 </w:t>
      </w:r>
      <w:r>
        <w:rPr>
          <w:rFonts w:hint="eastAsia" w:ascii="Times New Roman" w:hAnsi="Times New Roman" w:cs="宋体"/>
          <w:bCs/>
          <w:szCs w:val="28"/>
          <w:highlight w:val="none"/>
        </w:rPr>
        <w:t>消防、安全设施</w:t>
      </w:r>
      <w:r>
        <w:tab/>
      </w:r>
      <w:r>
        <w:fldChar w:fldCharType="begin"/>
      </w:r>
      <w:r>
        <w:instrText xml:space="preserve"> PAGEREF _Toc17194 \h </w:instrText>
      </w:r>
      <w:r>
        <w:fldChar w:fldCharType="separate"/>
      </w:r>
      <w:r>
        <w:t>22</w:t>
      </w:r>
      <w:r>
        <w:fldChar w:fldCharType="end"/>
      </w:r>
      <w:r>
        <w:rPr>
          <w:rFonts w:ascii="Times New Roman" w:hAnsi="Times New Roman" w:cs="Times New Roman"/>
          <w:bCs/>
          <w:color w:val="auto"/>
          <w:szCs w:val="24"/>
          <w:highlight w:val="none"/>
        </w:rPr>
        <w:fldChar w:fldCharType="end"/>
      </w:r>
    </w:p>
    <w:p w14:paraId="1E679EB3">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_Toc32319 </w:instrText>
      </w:r>
      <w:r>
        <w:rPr>
          <w:rFonts w:ascii="Times New Roman" w:hAnsi="Times New Roman" w:cs="Times New Roman"/>
          <w:bCs/>
          <w:szCs w:val="24"/>
          <w:highlight w:val="none"/>
        </w:rPr>
        <w:fldChar w:fldCharType="separate"/>
      </w:r>
      <w:r>
        <w:rPr>
          <w:rFonts w:ascii="Times New Roman" w:hAnsi="Times New Roman" w:cs="Times New Roman"/>
          <w:bCs/>
          <w:kern w:val="36"/>
          <w:szCs w:val="32"/>
          <w:highlight w:val="none"/>
        </w:rPr>
        <w:t xml:space="preserve">3 </w:t>
      </w:r>
      <w:r>
        <w:rPr>
          <w:rFonts w:hint="eastAsia" w:ascii="Times New Roman" w:hAnsi="Times New Roman" w:cs="宋体"/>
          <w:bCs/>
          <w:kern w:val="36"/>
          <w:szCs w:val="32"/>
          <w:highlight w:val="none"/>
        </w:rPr>
        <w:t>主要危险、有害因素分析</w:t>
      </w:r>
      <w:r>
        <w:tab/>
      </w:r>
      <w:r>
        <w:fldChar w:fldCharType="begin"/>
      </w:r>
      <w:r>
        <w:instrText xml:space="preserve"> PAGEREF _Toc32319 \h </w:instrText>
      </w:r>
      <w:r>
        <w:fldChar w:fldCharType="separate"/>
      </w:r>
      <w:r>
        <w:t>26</w:t>
      </w:r>
      <w:r>
        <w:fldChar w:fldCharType="end"/>
      </w:r>
      <w:r>
        <w:rPr>
          <w:rFonts w:ascii="Times New Roman" w:hAnsi="Times New Roman" w:cs="Times New Roman"/>
          <w:bCs/>
          <w:color w:val="auto"/>
          <w:szCs w:val="24"/>
          <w:highlight w:val="none"/>
        </w:rPr>
        <w:fldChar w:fldCharType="end"/>
      </w:r>
    </w:p>
    <w:p w14:paraId="2904CB41">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_Toc6183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3.1 </w:t>
      </w:r>
      <w:r>
        <w:rPr>
          <w:rFonts w:hint="eastAsia" w:ascii="Times New Roman" w:hAnsi="Times New Roman" w:cs="宋体"/>
          <w:bCs/>
          <w:szCs w:val="28"/>
          <w:highlight w:val="none"/>
        </w:rPr>
        <w:t>物料的危险、有害因素分析</w:t>
      </w:r>
      <w:r>
        <w:tab/>
      </w:r>
      <w:r>
        <w:fldChar w:fldCharType="begin"/>
      </w:r>
      <w:r>
        <w:instrText xml:space="preserve"> PAGEREF _Toc6183 \h </w:instrText>
      </w:r>
      <w:r>
        <w:fldChar w:fldCharType="separate"/>
      </w:r>
      <w:r>
        <w:t>26</w:t>
      </w:r>
      <w:r>
        <w:fldChar w:fldCharType="end"/>
      </w:r>
      <w:r>
        <w:rPr>
          <w:rFonts w:ascii="Times New Roman" w:hAnsi="Times New Roman" w:cs="Times New Roman"/>
          <w:bCs/>
          <w:color w:val="auto"/>
          <w:szCs w:val="24"/>
          <w:highlight w:val="none"/>
        </w:rPr>
        <w:fldChar w:fldCharType="end"/>
      </w:r>
    </w:p>
    <w:p w14:paraId="18391E9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_Toc26345 </w:instrText>
      </w:r>
      <w:r>
        <w:rPr>
          <w:rFonts w:ascii="Times New Roman" w:hAnsi="Times New Roman" w:cs="Times New Roman"/>
          <w:bCs/>
          <w:szCs w:val="24"/>
          <w:highlight w:val="none"/>
        </w:rPr>
        <w:fldChar w:fldCharType="separate"/>
      </w:r>
      <w:r>
        <w:rPr>
          <w:highlight w:val="none"/>
        </w:rPr>
        <w:t>3.2</w:t>
      </w:r>
      <w:r>
        <w:rPr>
          <w:rFonts w:hint="eastAsia" w:cs="宋体"/>
          <w:highlight w:val="none"/>
        </w:rPr>
        <w:t>危险化学品及危险工艺辨识</w:t>
      </w:r>
      <w:r>
        <w:tab/>
      </w:r>
      <w:r>
        <w:fldChar w:fldCharType="begin"/>
      </w:r>
      <w:r>
        <w:instrText xml:space="preserve"> PAGEREF _Toc26345 \h </w:instrText>
      </w:r>
      <w:r>
        <w:fldChar w:fldCharType="separate"/>
      </w:r>
      <w:r>
        <w:t>28</w:t>
      </w:r>
      <w:r>
        <w:fldChar w:fldCharType="end"/>
      </w:r>
      <w:r>
        <w:rPr>
          <w:rFonts w:ascii="Times New Roman" w:hAnsi="Times New Roman" w:cs="Times New Roman"/>
          <w:bCs/>
          <w:color w:val="auto"/>
          <w:szCs w:val="24"/>
          <w:highlight w:val="none"/>
        </w:rPr>
        <w:fldChar w:fldCharType="end"/>
      </w:r>
    </w:p>
    <w:p w14:paraId="13D076E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_Toc27487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3.3 </w:t>
      </w:r>
      <w:r>
        <w:rPr>
          <w:rFonts w:hint="eastAsia" w:ascii="Times New Roman" w:hAnsi="Times New Roman" w:cs="宋体"/>
          <w:bCs/>
          <w:szCs w:val="28"/>
          <w:highlight w:val="none"/>
        </w:rPr>
        <w:t>重大危险源辨识</w:t>
      </w:r>
      <w:r>
        <w:tab/>
      </w:r>
      <w:r>
        <w:fldChar w:fldCharType="begin"/>
      </w:r>
      <w:r>
        <w:instrText xml:space="preserve"> PAGEREF _Toc27487 \h </w:instrText>
      </w:r>
      <w:r>
        <w:fldChar w:fldCharType="separate"/>
      </w:r>
      <w:r>
        <w:t>29</w:t>
      </w:r>
      <w:r>
        <w:fldChar w:fldCharType="end"/>
      </w:r>
      <w:r>
        <w:rPr>
          <w:rFonts w:ascii="Times New Roman" w:hAnsi="Times New Roman" w:cs="Times New Roman"/>
          <w:bCs/>
          <w:color w:val="auto"/>
          <w:szCs w:val="24"/>
          <w:highlight w:val="none"/>
        </w:rPr>
        <w:fldChar w:fldCharType="end"/>
      </w:r>
    </w:p>
    <w:p w14:paraId="2D218AF5">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_Toc31033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3.4</w:t>
      </w:r>
      <w:r>
        <w:rPr>
          <w:rFonts w:hint="eastAsia" w:ascii="Times New Roman" w:hAnsi="Times New Roman" w:cs="宋体"/>
          <w:bCs/>
          <w:szCs w:val="28"/>
          <w:highlight w:val="none"/>
        </w:rPr>
        <w:t>加油站主要危险因素分析</w:t>
      </w:r>
      <w:r>
        <w:tab/>
      </w:r>
      <w:r>
        <w:fldChar w:fldCharType="begin"/>
      </w:r>
      <w:r>
        <w:instrText xml:space="preserve"> PAGEREF _Toc31033 \h </w:instrText>
      </w:r>
      <w:r>
        <w:fldChar w:fldCharType="separate"/>
      </w:r>
      <w:r>
        <w:t>32</w:t>
      </w:r>
      <w:r>
        <w:fldChar w:fldCharType="end"/>
      </w:r>
      <w:r>
        <w:rPr>
          <w:rFonts w:ascii="Times New Roman" w:hAnsi="Times New Roman" w:cs="Times New Roman"/>
          <w:bCs/>
          <w:color w:val="auto"/>
          <w:szCs w:val="24"/>
          <w:highlight w:val="none"/>
        </w:rPr>
        <w:fldChar w:fldCharType="end"/>
      </w:r>
    </w:p>
    <w:p w14:paraId="02366004">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_Toc30124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3.5</w:t>
      </w:r>
      <w:r>
        <w:rPr>
          <w:rFonts w:hint="eastAsia" w:ascii="Times New Roman" w:hAnsi="Times New Roman" w:cs="宋体"/>
          <w:bCs/>
          <w:szCs w:val="28"/>
          <w:highlight w:val="none"/>
        </w:rPr>
        <w:t>经营过程中的危险辨识</w:t>
      </w:r>
      <w:r>
        <w:tab/>
      </w:r>
      <w:r>
        <w:fldChar w:fldCharType="begin"/>
      </w:r>
      <w:r>
        <w:instrText xml:space="preserve"> PAGEREF _Toc30124 \h </w:instrText>
      </w:r>
      <w:r>
        <w:fldChar w:fldCharType="separate"/>
      </w:r>
      <w:r>
        <w:t>35</w:t>
      </w:r>
      <w:r>
        <w:fldChar w:fldCharType="end"/>
      </w:r>
      <w:r>
        <w:rPr>
          <w:rFonts w:ascii="Times New Roman" w:hAnsi="Times New Roman" w:cs="Times New Roman"/>
          <w:bCs/>
          <w:color w:val="auto"/>
          <w:szCs w:val="24"/>
          <w:highlight w:val="none"/>
        </w:rPr>
        <w:fldChar w:fldCharType="end"/>
      </w:r>
    </w:p>
    <w:p w14:paraId="53672278">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_Toc26431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3.6</w:t>
      </w:r>
      <w:r>
        <w:rPr>
          <w:rFonts w:hint="eastAsia" w:ascii="Times New Roman" w:hAnsi="Times New Roman" w:cs="宋体"/>
          <w:bCs/>
          <w:szCs w:val="28"/>
          <w:highlight w:val="none"/>
        </w:rPr>
        <w:t>环境、自然危害因素分析</w:t>
      </w:r>
      <w:r>
        <w:tab/>
      </w:r>
      <w:r>
        <w:fldChar w:fldCharType="begin"/>
      </w:r>
      <w:r>
        <w:instrText xml:space="preserve"> PAGEREF _Toc26431 \h </w:instrText>
      </w:r>
      <w:r>
        <w:fldChar w:fldCharType="separate"/>
      </w:r>
      <w:r>
        <w:t>42</w:t>
      </w:r>
      <w:r>
        <w:fldChar w:fldCharType="end"/>
      </w:r>
      <w:r>
        <w:rPr>
          <w:rFonts w:ascii="Times New Roman" w:hAnsi="Times New Roman" w:cs="Times New Roman"/>
          <w:bCs/>
          <w:color w:val="auto"/>
          <w:szCs w:val="24"/>
          <w:highlight w:val="none"/>
        </w:rPr>
        <w:fldChar w:fldCharType="end"/>
      </w:r>
    </w:p>
    <w:p w14:paraId="3D9BAA57">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_Toc4851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3.7</w:t>
      </w:r>
      <w:r>
        <w:rPr>
          <w:rFonts w:hint="eastAsia" w:ascii="Times New Roman" w:hAnsi="Times New Roman" w:cs="宋体"/>
          <w:bCs/>
          <w:szCs w:val="28"/>
          <w:highlight w:val="none"/>
        </w:rPr>
        <w:t>有害因素分析</w:t>
      </w:r>
      <w:r>
        <w:tab/>
      </w:r>
      <w:r>
        <w:fldChar w:fldCharType="begin"/>
      </w:r>
      <w:r>
        <w:instrText xml:space="preserve"> PAGEREF _Toc4851 \h </w:instrText>
      </w:r>
      <w:r>
        <w:fldChar w:fldCharType="separate"/>
      </w:r>
      <w:r>
        <w:t>43</w:t>
      </w:r>
      <w:r>
        <w:fldChar w:fldCharType="end"/>
      </w:r>
      <w:r>
        <w:rPr>
          <w:rFonts w:ascii="Times New Roman" w:hAnsi="Times New Roman" w:cs="Times New Roman"/>
          <w:bCs/>
          <w:color w:val="auto"/>
          <w:szCs w:val="24"/>
          <w:highlight w:val="none"/>
        </w:rPr>
        <w:fldChar w:fldCharType="end"/>
      </w:r>
    </w:p>
    <w:p w14:paraId="565B0C42">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_Toc12031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3.8</w:t>
      </w:r>
      <w:r>
        <w:rPr>
          <w:rFonts w:hint="eastAsia" w:ascii="Times New Roman" w:hAnsi="Times New Roman" w:cs="宋体"/>
          <w:bCs/>
          <w:szCs w:val="28"/>
          <w:highlight w:val="none"/>
        </w:rPr>
        <w:t>危险和有害因素分析总结</w:t>
      </w:r>
      <w:r>
        <w:tab/>
      </w:r>
      <w:r>
        <w:fldChar w:fldCharType="begin"/>
      </w:r>
      <w:r>
        <w:instrText xml:space="preserve"> PAGEREF _Toc12031 \h </w:instrText>
      </w:r>
      <w:r>
        <w:fldChar w:fldCharType="separate"/>
      </w:r>
      <w:r>
        <w:t>43</w:t>
      </w:r>
      <w:r>
        <w:fldChar w:fldCharType="end"/>
      </w:r>
      <w:r>
        <w:rPr>
          <w:rFonts w:ascii="Times New Roman" w:hAnsi="Times New Roman" w:cs="Times New Roman"/>
          <w:bCs/>
          <w:color w:val="auto"/>
          <w:szCs w:val="24"/>
          <w:highlight w:val="none"/>
        </w:rPr>
        <w:fldChar w:fldCharType="end"/>
      </w:r>
    </w:p>
    <w:p w14:paraId="7504E9E8">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_Toc23571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3.9</w:t>
      </w:r>
      <w:r>
        <w:rPr>
          <w:rFonts w:hint="eastAsia" w:ascii="Times New Roman" w:hAnsi="Times New Roman" w:cs="宋体"/>
          <w:bCs/>
          <w:szCs w:val="28"/>
          <w:highlight w:val="none"/>
        </w:rPr>
        <w:t>爆炸危险区域划分</w:t>
      </w:r>
      <w:r>
        <w:tab/>
      </w:r>
      <w:r>
        <w:fldChar w:fldCharType="begin"/>
      </w:r>
      <w:r>
        <w:instrText xml:space="preserve"> PAGEREF _Toc23571 \h </w:instrText>
      </w:r>
      <w:r>
        <w:fldChar w:fldCharType="separate"/>
      </w:r>
      <w:r>
        <w:t>44</w:t>
      </w:r>
      <w:r>
        <w:fldChar w:fldCharType="end"/>
      </w:r>
      <w:r>
        <w:rPr>
          <w:rFonts w:ascii="Times New Roman" w:hAnsi="Times New Roman" w:cs="Times New Roman"/>
          <w:bCs/>
          <w:color w:val="auto"/>
          <w:szCs w:val="24"/>
          <w:highlight w:val="none"/>
        </w:rPr>
        <w:fldChar w:fldCharType="end"/>
      </w:r>
    </w:p>
    <w:p w14:paraId="02442249">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_Toc29982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3.10 </w:t>
      </w:r>
      <w:r>
        <w:rPr>
          <w:rFonts w:hint="eastAsia" w:ascii="Times New Roman" w:hAnsi="Times New Roman" w:cs="宋体"/>
          <w:bCs/>
          <w:szCs w:val="28"/>
          <w:highlight w:val="none"/>
        </w:rPr>
        <w:t>典型事故案例</w:t>
      </w:r>
      <w:r>
        <w:tab/>
      </w:r>
      <w:r>
        <w:fldChar w:fldCharType="begin"/>
      </w:r>
      <w:r>
        <w:instrText xml:space="preserve"> PAGEREF _Toc29982 \h </w:instrText>
      </w:r>
      <w:r>
        <w:fldChar w:fldCharType="separate"/>
      </w:r>
      <w:r>
        <w:t>45</w:t>
      </w:r>
      <w:r>
        <w:fldChar w:fldCharType="end"/>
      </w:r>
      <w:r>
        <w:rPr>
          <w:rFonts w:ascii="Times New Roman" w:hAnsi="Times New Roman" w:cs="Times New Roman"/>
          <w:bCs/>
          <w:color w:val="auto"/>
          <w:szCs w:val="24"/>
          <w:highlight w:val="none"/>
        </w:rPr>
        <w:fldChar w:fldCharType="end"/>
      </w:r>
    </w:p>
    <w:p w14:paraId="582CF524">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_Toc7510 </w:instrText>
      </w:r>
      <w:r>
        <w:rPr>
          <w:rFonts w:ascii="Times New Roman" w:hAnsi="Times New Roman" w:cs="Times New Roman"/>
          <w:bCs/>
          <w:szCs w:val="24"/>
          <w:highlight w:val="none"/>
        </w:rPr>
        <w:fldChar w:fldCharType="separate"/>
      </w:r>
      <w:r>
        <w:rPr>
          <w:rFonts w:ascii="宋体" w:hAnsi="宋体"/>
          <w:szCs w:val="32"/>
          <w:highlight w:val="none"/>
        </w:rPr>
        <w:t xml:space="preserve">4 </w:t>
      </w:r>
      <w:r>
        <w:rPr>
          <w:rFonts w:hint="eastAsia" w:ascii="宋体" w:hAnsi="宋体"/>
          <w:szCs w:val="32"/>
          <w:highlight w:val="none"/>
        </w:rPr>
        <w:t>评价单元划分和评价方法选择</w:t>
      </w:r>
      <w:r>
        <w:tab/>
      </w:r>
      <w:r>
        <w:fldChar w:fldCharType="begin"/>
      </w:r>
      <w:r>
        <w:instrText xml:space="preserve"> PAGEREF _Toc7510 \h </w:instrText>
      </w:r>
      <w:r>
        <w:fldChar w:fldCharType="separate"/>
      </w:r>
      <w:r>
        <w:t>47</w:t>
      </w:r>
      <w:r>
        <w:fldChar w:fldCharType="end"/>
      </w:r>
      <w:r>
        <w:rPr>
          <w:rFonts w:ascii="Times New Roman" w:hAnsi="Times New Roman" w:cs="Times New Roman"/>
          <w:bCs/>
          <w:color w:val="auto"/>
          <w:szCs w:val="24"/>
          <w:highlight w:val="none"/>
        </w:rPr>
        <w:fldChar w:fldCharType="end"/>
      </w:r>
    </w:p>
    <w:p w14:paraId="408250F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_Toc3601 </w:instrText>
      </w:r>
      <w:r>
        <w:rPr>
          <w:rFonts w:ascii="Times New Roman" w:hAnsi="Times New Roman" w:cs="Times New Roman"/>
          <w:bCs/>
          <w:szCs w:val="24"/>
          <w:highlight w:val="none"/>
        </w:rPr>
        <w:fldChar w:fldCharType="separate"/>
      </w:r>
      <w:r>
        <w:rPr>
          <w:rFonts w:ascii="宋体" w:hAnsi="宋体"/>
          <w:szCs w:val="30"/>
          <w:highlight w:val="none"/>
        </w:rPr>
        <w:t xml:space="preserve">4.1 </w:t>
      </w:r>
      <w:r>
        <w:rPr>
          <w:rFonts w:hint="eastAsia" w:ascii="宋体" w:hAnsi="宋体"/>
          <w:szCs w:val="30"/>
          <w:highlight w:val="none"/>
        </w:rPr>
        <w:t>评价单元的划分和评价方法选择</w:t>
      </w:r>
      <w:r>
        <w:tab/>
      </w:r>
      <w:r>
        <w:fldChar w:fldCharType="begin"/>
      </w:r>
      <w:r>
        <w:instrText xml:space="preserve"> PAGEREF _Toc3601 \h </w:instrText>
      </w:r>
      <w:r>
        <w:fldChar w:fldCharType="separate"/>
      </w:r>
      <w:r>
        <w:t>47</w:t>
      </w:r>
      <w:r>
        <w:fldChar w:fldCharType="end"/>
      </w:r>
      <w:r>
        <w:rPr>
          <w:rFonts w:ascii="Times New Roman" w:hAnsi="Times New Roman" w:cs="Times New Roman"/>
          <w:bCs/>
          <w:color w:val="auto"/>
          <w:szCs w:val="24"/>
          <w:highlight w:val="none"/>
        </w:rPr>
        <w:fldChar w:fldCharType="end"/>
      </w:r>
    </w:p>
    <w:p w14:paraId="26738F21">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_Toc30060 </w:instrText>
      </w:r>
      <w:r>
        <w:rPr>
          <w:rFonts w:ascii="Times New Roman" w:hAnsi="Times New Roman" w:cs="Times New Roman"/>
          <w:bCs/>
          <w:szCs w:val="24"/>
          <w:highlight w:val="none"/>
        </w:rPr>
        <w:fldChar w:fldCharType="separate"/>
      </w:r>
      <w:r>
        <w:rPr>
          <w:rFonts w:ascii="宋体" w:hAnsi="宋体"/>
          <w:szCs w:val="30"/>
          <w:highlight w:val="none"/>
        </w:rPr>
        <w:t>4.</w:t>
      </w:r>
      <w:r>
        <w:rPr>
          <w:rFonts w:hint="eastAsia" w:ascii="宋体" w:hAnsi="宋体"/>
          <w:szCs w:val="30"/>
          <w:highlight w:val="none"/>
        </w:rPr>
        <w:t>2 评价方法简介</w:t>
      </w:r>
      <w:r>
        <w:tab/>
      </w:r>
      <w:r>
        <w:fldChar w:fldCharType="begin"/>
      </w:r>
      <w:r>
        <w:instrText xml:space="preserve"> PAGEREF _Toc30060 \h </w:instrText>
      </w:r>
      <w:r>
        <w:fldChar w:fldCharType="separate"/>
      </w:r>
      <w:r>
        <w:t>47</w:t>
      </w:r>
      <w:r>
        <w:fldChar w:fldCharType="end"/>
      </w:r>
      <w:r>
        <w:rPr>
          <w:rFonts w:ascii="Times New Roman" w:hAnsi="Times New Roman" w:cs="Times New Roman"/>
          <w:bCs/>
          <w:color w:val="auto"/>
          <w:szCs w:val="24"/>
          <w:highlight w:val="none"/>
        </w:rPr>
        <w:fldChar w:fldCharType="end"/>
      </w:r>
    </w:p>
    <w:p w14:paraId="3248DE30">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_Toc29097 </w:instrText>
      </w:r>
      <w:r>
        <w:rPr>
          <w:rFonts w:ascii="Times New Roman" w:hAnsi="Times New Roman" w:cs="Times New Roman"/>
          <w:bCs/>
          <w:szCs w:val="24"/>
          <w:highlight w:val="none"/>
        </w:rPr>
        <w:fldChar w:fldCharType="separate"/>
      </w:r>
      <w:r>
        <w:rPr>
          <w:rFonts w:ascii="宋体" w:hAnsi="宋体"/>
          <w:szCs w:val="32"/>
          <w:highlight w:val="none"/>
        </w:rPr>
        <w:t xml:space="preserve">5 </w:t>
      </w:r>
      <w:r>
        <w:rPr>
          <w:rFonts w:hint="eastAsia" w:ascii="宋体" w:hAnsi="宋体"/>
          <w:szCs w:val="32"/>
          <w:highlight w:val="none"/>
        </w:rPr>
        <w:t>定性、定量评价</w:t>
      </w:r>
      <w:r>
        <w:tab/>
      </w:r>
      <w:r>
        <w:fldChar w:fldCharType="begin"/>
      </w:r>
      <w:r>
        <w:instrText xml:space="preserve"> PAGEREF _Toc29097 \h </w:instrText>
      </w:r>
      <w:r>
        <w:fldChar w:fldCharType="separate"/>
      </w:r>
      <w:r>
        <w:t>52</w:t>
      </w:r>
      <w:r>
        <w:fldChar w:fldCharType="end"/>
      </w:r>
      <w:r>
        <w:rPr>
          <w:rFonts w:ascii="Times New Roman" w:hAnsi="Times New Roman" w:cs="Times New Roman"/>
          <w:bCs/>
          <w:color w:val="auto"/>
          <w:szCs w:val="24"/>
          <w:highlight w:val="none"/>
        </w:rPr>
        <w:fldChar w:fldCharType="end"/>
      </w:r>
    </w:p>
    <w:p w14:paraId="679ABB09">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_Toc2357 </w:instrText>
      </w:r>
      <w:r>
        <w:rPr>
          <w:rFonts w:ascii="Times New Roman" w:hAnsi="Times New Roman" w:cs="Times New Roman"/>
          <w:bCs/>
          <w:szCs w:val="24"/>
          <w:highlight w:val="none"/>
        </w:rPr>
        <w:fldChar w:fldCharType="separate"/>
      </w:r>
      <w:r>
        <w:rPr>
          <w:rFonts w:ascii="宋体" w:hAnsi="宋体"/>
          <w:szCs w:val="30"/>
          <w:highlight w:val="none"/>
        </w:rPr>
        <w:t>5.1 作业条件危险性评价法（</w:t>
      </w:r>
      <w:r>
        <w:rPr>
          <w:rFonts w:hint="eastAsia" w:ascii="宋体" w:hAnsi="宋体"/>
          <w:szCs w:val="30"/>
          <w:highlight w:val="none"/>
        </w:rPr>
        <w:t>D＝</w:t>
      </w:r>
      <w:r>
        <w:rPr>
          <w:rFonts w:ascii="宋体" w:hAnsi="宋体"/>
          <w:szCs w:val="30"/>
          <w:highlight w:val="none"/>
        </w:rPr>
        <w:t>LEC）</w:t>
      </w:r>
      <w:r>
        <w:tab/>
      </w:r>
      <w:r>
        <w:fldChar w:fldCharType="begin"/>
      </w:r>
      <w:r>
        <w:instrText xml:space="preserve"> PAGEREF _Toc2357 \h </w:instrText>
      </w:r>
      <w:r>
        <w:fldChar w:fldCharType="separate"/>
      </w:r>
      <w:r>
        <w:t>52</w:t>
      </w:r>
      <w:r>
        <w:fldChar w:fldCharType="end"/>
      </w:r>
      <w:r>
        <w:rPr>
          <w:rFonts w:ascii="Times New Roman" w:hAnsi="Times New Roman" w:cs="Times New Roman"/>
          <w:bCs/>
          <w:color w:val="auto"/>
          <w:szCs w:val="24"/>
          <w:highlight w:val="none"/>
        </w:rPr>
        <w:fldChar w:fldCharType="end"/>
      </w:r>
    </w:p>
    <w:p w14:paraId="058E3107">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_Toc29753 </w:instrText>
      </w:r>
      <w:r>
        <w:rPr>
          <w:rFonts w:ascii="Times New Roman" w:hAnsi="Times New Roman" w:cs="Times New Roman"/>
          <w:bCs/>
          <w:szCs w:val="24"/>
          <w:highlight w:val="none"/>
        </w:rPr>
        <w:fldChar w:fldCharType="separate"/>
      </w:r>
      <w:r>
        <w:rPr>
          <w:rFonts w:ascii="宋体" w:hAnsi="宋体"/>
          <w:szCs w:val="30"/>
          <w:highlight w:val="none"/>
        </w:rPr>
        <w:t xml:space="preserve">5.2 </w:t>
      </w:r>
      <w:r>
        <w:rPr>
          <w:rFonts w:hint="eastAsia" w:ascii="宋体" w:hAnsi="宋体"/>
          <w:szCs w:val="30"/>
          <w:highlight w:val="none"/>
        </w:rPr>
        <w:t>危险度评价</w:t>
      </w:r>
      <w:r>
        <w:tab/>
      </w:r>
      <w:r>
        <w:fldChar w:fldCharType="begin"/>
      </w:r>
      <w:r>
        <w:instrText xml:space="preserve"> PAGEREF _Toc29753 \h </w:instrText>
      </w:r>
      <w:r>
        <w:fldChar w:fldCharType="separate"/>
      </w:r>
      <w:r>
        <w:t>54</w:t>
      </w:r>
      <w:r>
        <w:fldChar w:fldCharType="end"/>
      </w:r>
      <w:r>
        <w:rPr>
          <w:rFonts w:ascii="Times New Roman" w:hAnsi="Times New Roman" w:cs="Times New Roman"/>
          <w:bCs/>
          <w:color w:val="auto"/>
          <w:szCs w:val="24"/>
          <w:highlight w:val="none"/>
        </w:rPr>
        <w:fldChar w:fldCharType="end"/>
      </w:r>
    </w:p>
    <w:p w14:paraId="3DF53FF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_Toc23269 </w:instrText>
      </w:r>
      <w:r>
        <w:rPr>
          <w:rFonts w:ascii="Times New Roman" w:hAnsi="Times New Roman" w:cs="Times New Roman"/>
          <w:bCs/>
          <w:szCs w:val="24"/>
          <w:highlight w:val="none"/>
        </w:rPr>
        <w:fldChar w:fldCharType="separate"/>
      </w:r>
      <w:r>
        <w:rPr>
          <w:rFonts w:hint="eastAsia" w:ascii="宋体" w:hAnsi="宋体"/>
          <w:szCs w:val="30"/>
          <w:highlight w:val="none"/>
        </w:rPr>
        <w:t xml:space="preserve">5.3 </w:t>
      </w:r>
      <w:r>
        <w:rPr>
          <w:rFonts w:ascii="宋体" w:hAnsi="宋体"/>
          <w:szCs w:val="30"/>
          <w:highlight w:val="none"/>
        </w:rPr>
        <w:t>安全管理</w:t>
      </w:r>
      <w:r>
        <w:tab/>
      </w:r>
      <w:r>
        <w:fldChar w:fldCharType="begin"/>
      </w:r>
      <w:r>
        <w:instrText xml:space="preserve"> PAGEREF _Toc23269 \h </w:instrText>
      </w:r>
      <w:r>
        <w:fldChar w:fldCharType="separate"/>
      </w:r>
      <w:r>
        <w:t>54</w:t>
      </w:r>
      <w:r>
        <w:fldChar w:fldCharType="end"/>
      </w:r>
      <w:r>
        <w:rPr>
          <w:rFonts w:ascii="Times New Roman" w:hAnsi="Times New Roman" w:cs="Times New Roman"/>
          <w:bCs/>
          <w:color w:val="auto"/>
          <w:szCs w:val="24"/>
          <w:highlight w:val="none"/>
        </w:rPr>
        <w:fldChar w:fldCharType="end"/>
      </w:r>
    </w:p>
    <w:p w14:paraId="45A4E0AD">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_Toc14758 </w:instrText>
      </w:r>
      <w:r>
        <w:rPr>
          <w:rFonts w:ascii="Times New Roman" w:hAnsi="Times New Roman" w:cs="Times New Roman"/>
          <w:bCs/>
          <w:szCs w:val="24"/>
          <w:highlight w:val="none"/>
        </w:rPr>
        <w:fldChar w:fldCharType="separate"/>
      </w:r>
      <w:r>
        <w:rPr>
          <w:rFonts w:hint="eastAsia" w:ascii="宋体" w:hAnsi="宋体"/>
          <w:szCs w:val="30"/>
          <w:highlight w:val="none"/>
        </w:rPr>
        <w:t>5.4 站址选择符合性评价</w:t>
      </w:r>
      <w:r>
        <w:tab/>
      </w:r>
      <w:r>
        <w:fldChar w:fldCharType="begin"/>
      </w:r>
      <w:r>
        <w:instrText xml:space="preserve"> PAGEREF _Toc14758 \h </w:instrText>
      </w:r>
      <w:r>
        <w:fldChar w:fldCharType="separate"/>
      </w:r>
      <w:r>
        <w:t>56</w:t>
      </w:r>
      <w:r>
        <w:fldChar w:fldCharType="end"/>
      </w:r>
      <w:r>
        <w:rPr>
          <w:rFonts w:ascii="Times New Roman" w:hAnsi="Times New Roman" w:cs="Times New Roman"/>
          <w:bCs/>
          <w:color w:val="auto"/>
          <w:szCs w:val="24"/>
          <w:highlight w:val="none"/>
        </w:rPr>
        <w:fldChar w:fldCharType="end"/>
      </w:r>
    </w:p>
    <w:p w14:paraId="1F1E0045">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_Toc1867 </w:instrText>
      </w:r>
      <w:r>
        <w:rPr>
          <w:rFonts w:ascii="Times New Roman" w:hAnsi="Times New Roman" w:cs="Times New Roman"/>
          <w:bCs/>
          <w:szCs w:val="24"/>
          <w:highlight w:val="none"/>
        </w:rPr>
        <w:fldChar w:fldCharType="separate"/>
      </w:r>
      <w:r>
        <w:rPr>
          <w:rFonts w:hint="eastAsia" w:ascii="宋体" w:hAnsi="宋体"/>
          <w:szCs w:val="30"/>
          <w:highlight w:val="none"/>
        </w:rPr>
        <w:t>5.5 平面布置符合性评价</w:t>
      </w:r>
      <w:r>
        <w:tab/>
      </w:r>
      <w:r>
        <w:fldChar w:fldCharType="begin"/>
      </w:r>
      <w:r>
        <w:instrText xml:space="preserve"> PAGEREF _Toc1867 \h </w:instrText>
      </w:r>
      <w:r>
        <w:fldChar w:fldCharType="separate"/>
      </w:r>
      <w:r>
        <w:t>57</w:t>
      </w:r>
      <w:r>
        <w:fldChar w:fldCharType="end"/>
      </w:r>
      <w:r>
        <w:rPr>
          <w:rFonts w:ascii="Times New Roman" w:hAnsi="Times New Roman" w:cs="Times New Roman"/>
          <w:bCs/>
          <w:color w:val="auto"/>
          <w:szCs w:val="24"/>
          <w:highlight w:val="none"/>
        </w:rPr>
        <w:fldChar w:fldCharType="end"/>
      </w:r>
    </w:p>
    <w:p w14:paraId="2916AEB8">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_Toc14868 </w:instrText>
      </w:r>
      <w:r>
        <w:rPr>
          <w:rFonts w:ascii="Times New Roman" w:hAnsi="Times New Roman" w:cs="Times New Roman"/>
          <w:bCs/>
          <w:szCs w:val="24"/>
          <w:highlight w:val="none"/>
        </w:rPr>
        <w:fldChar w:fldCharType="separate"/>
      </w:r>
      <w:r>
        <w:rPr>
          <w:rFonts w:hint="eastAsia" w:ascii="宋体" w:hAnsi="宋体"/>
          <w:szCs w:val="30"/>
          <w:highlight w:val="none"/>
        </w:rPr>
        <w:t>5.6 工艺及设施符合性评价</w:t>
      </w:r>
      <w:r>
        <w:tab/>
      </w:r>
      <w:r>
        <w:fldChar w:fldCharType="begin"/>
      </w:r>
      <w:r>
        <w:instrText xml:space="preserve"> PAGEREF _Toc14868 \h </w:instrText>
      </w:r>
      <w:r>
        <w:fldChar w:fldCharType="separate"/>
      </w:r>
      <w:r>
        <w:t>59</w:t>
      </w:r>
      <w:r>
        <w:fldChar w:fldCharType="end"/>
      </w:r>
      <w:r>
        <w:rPr>
          <w:rFonts w:ascii="Times New Roman" w:hAnsi="Times New Roman" w:cs="Times New Roman"/>
          <w:bCs/>
          <w:color w:val="auto"/>
          <w:szCs w:val="24"/>
          <w:highlight w:val="none"/>
        </w:rPr>
        <w:fldChar w:fldCharType="end"/>
      </w:r>
    </w:p>
    <w:p w14:paraId="76DDC9CB">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_Toc573 </w:instrText>
      </w:r>
      <w:r>
        <w:rPr>
          <w:rFonts w:ascii="Times New Roman" w:hAnsi="Times New Roman" w:cs="Times New Roman"/>
          <w:bCs/>
          <w:szCs w:val="24"/>
          <w:highlight w:val="none"/>
        </w:rPr>
        <w:fldChar w:fldCharType="separate"/>
      </w:r>
      <w:r>
        <w:rPr>
          <w:rFonts w:hint="eastAsia" w:ascii="宋体" w:hAnsi="宋体"/>
          <w:szCs w:val="30"/>
          <w:highlight w:val="none"/>
        </w:rPr>
        <w:t>5.7 消防设施及给排水符合性评价</w:t>
      </w:r>
      <w:r>
        <w:tab/>
      </w:r>
      <w:r>
        <w:fldChar w:fldCharType="begin"/>
      </w:r>
      <w:r>
        <w:instrText xml:space="preserve"> PAGEREF _Toc573 \h </w:instrText>
      </w:r>
      <w:r>
        <w:fldChar w:fldCharType="separate"/>
      </w:r>
      <w:r>
        <w:t>63</w:t>
      </w:r>
      <w:r>
        <w:fldChar w:fldCharType="end"/>
      </w:r>
      <w:r>
        <w:rPr>
          <w:rFonts w:ascii="Times New Roman" w:hAnsi="Times New Roman" w:cs="Times New Roman"/>
          <w:bCs/>
          <w:color w:val="auto"/>
          <w:szCs w:val="24"/>
          <w:highlight w:val="none"/>
        </w:rPr>
        <w:fldChar w:fldCharType="end"/>
      </w:r>
    </w:p>
    <w:p w14:paraId="3A8D1BE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_Toc11555 </w:instrText>
      </w:r>
      <w:r>
        <w:rPr>
          <w:rFonts w:ascii="Times New Roman" w:hAnsi="Times New Roman" w:cs="Times New Roman"/>
          <w:bCs/>
          <w:szCs w:val="24"/>
          <w:highlight w:val="none"/>
        </w:rPr>
        <w:fldChar w:fldCharType="separate"/>
      </w:r>
      <w:r>
        <w:rPr>
          <w:rFonts w:hint="eastAsia" w:ascii="宋体" w:hAnsi="宋体"/>
          <w:szCs w:val="30"/>
          <w:highlight w:val="none"/>
        </w:rPr>
        <w:t>5.8 电气、报警和紧急切断系统符合性评价</w:t>
      </w:r>
      <w:r>
        <w:tab/>
      </w:r>
      <w:r>
        <w:fldChar w:fldCharType="begin"/>
      </w:r>
      <w:r>
        <w:instrText xml:space="preserve"> PAGEREF _Toc11555 \h </w:instrText>
      </w:r>
      <w:r>
        <w:fldChar w:fldCharType="separate"/>
      </w:r>
      <w:r>
        <w:t>64</w:t>
      </w:r>
      <w:r>
        <w:fldChar w:fldCharType="end"/>
      </w:r>
      <w:r>
        <w:rPr>
          <w:rFonts w:ascii="Times New Roman" w:hAnsi="Times New Roman" w:cs="Times New Roman"/>
          <w:bCs/>
          <w:color w:val="auto"/>
          <w:szCs w:val="24"/>
          <w:highlight w:val="none"/>
        </w:rPr>
        <w:fldChar w:fldCharType="end"/>
      </w:r>
    </w:p>
    <w:p w14:paraId="0148DEAA">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_Toc29562 </w:instrText>
      </w:r>
      <w:r>
        <w:rPr>
          <w:rFonts w:ascii="Times New Roman" w:hAnsi="Times New Roman" w:cs="Times New Roman"/>
          <w:bCs/>
          <w:szCs w:val="24"/>
          <w:highlight w:val="none"/>
        </w:rPr>
        <w:fldChar w:fldCharType="separate"/>
      </w:r>
      <w:r>
        <w:rPr>
          <w:rFonts w:hint="eastAsia" w:ascii="宋体" w:hAnsi="宋体"/>
          <w:szCs w:val="30"/>
          <w:highlight w:val="none"/>
        </w:rPr>
        <w:t>5.9 采暖通风、建（构）筑物、绿化符合性评价</w:t>
      </w:r>
      <w:r>
        <w:tab/>
      </w:r>
      <w:r>
        <w:fldChar w:fldCharType="begin"/>
      </w:r>
      <w:r>
        <w:instrText xml:space="preserve"> PAGEREF _Toc29562 \h </w:instrText>
      </w:r>
      <w:r>
        <w:fldChar w:fldCharType="separate"/>
      </w:r>
      <w:r>
        <w:t>66</w:t>
      </w:r>
      <w:r>
        <w:fldChar w:fldCharType="end"/>
      </w:r>
      <w:r>
        <w:rPr>
          <w:rFonts w:ascii="Times New Roman" w:hAnsi="Times New Roman" w:cs="Times New Roman"/>
          <w:bCs/>
          <w:color w:val="auto"/>
          <w:szCs w:val="24"/>
          <w:highlight w:val="none"/>
        </w:rPr>
        <w:fldChar w:fldCharType="end"/>
      </w:r>
    </w:p>
    <w:p w14:paraId="114DF723">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_Toc6094 </w:instrText>
      </w:r>
      <w:r>
        <w:rPr>
          <w:rFonts w:ascii="Times New Roman" w:hAnsi="Times New Roman" w:cs="Times New Roman"/>
          <w:bCs/>
          <w:szCs w:val="24"/>
          <w:highlight w:val="none"/>
        </w:rPr>
        <w:fldChar w:fldCharType="separate"/>
      </w:r>
      <w:r>
        <w:rPr>
          <w:rFonts w:hint="eastAsia" w:ascii="宋体" w:hAnsi="宋体"/>
          <w:szCs w:val="30"/>
          <w:highlight w:val="none"/>
        </w:rPr>
        <w:t>5.10加油站作业安全规范评价</w:t>
      </w:r>
      <w:r>
        <w:tab/>
      </w:r>
      <w:r>
        <w:fldChar w:fldCharType="begin"/>
      </w:r>
      <w:r>
        <w:instrText xml:space="preserve"> PAGEREF _Toc6094 \h </w:instrText>
      </w:r>
      <w:r>
        <w:fldChar w:fldCharType="separate"/>
      </w:r>
      <w:r>
        <w:t>68</w:t>
      </w:r>
      <w:r>
        <w:fldChar w:fldCharType="end"/>
      </w:r>
      <w:r>
        <w:rPr>
          <w:rFonts w:ascii="Times New Roman" w:hAnsi="Times New Roman" w:cs="Times New Roman"/>
          <w:bCs/>
          <w:color w:val="auto"/>
          <w:szCs w:val="24"/>
          <w:highlight w:val="none"/>
        </w:rPr>
        <w:fldChar w:fldCharType="end"/>
      </w:r>
    </w:p>
    <w:p w14:paraId="35F13C3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_Toc8060 </w:instrText>
      </w:r>
      <w:r>
        <w:rPr>
          <w:rFonts w:ascii="Times New Roman" w:hAnsi="Times New Roman" w:cs="Times New Roman"/>
          <w:bCs/>
          <w:szCs w:val="24"/>
          <w:highlight w:val="none"/>
        </w:rPr>
        <w:fldChar w:fldCharType="separate"/>
      </w:r>
      <w:r>
        <w:rPr>
          <w:rFonts w:hint="eastAsia" w:ascii="宋体" w:hAnsi="宋体"/>
          <w:szCs w:val="30"/>
          <w:highlight w:val="none"/>
        </w:rPr>
        <w:t>5.11 重点监管的危险化学品安全措施落实情况</w:t>
      </w:r>
      <w:r>
        <w:tab/>
      </w:r>
      <w:r>
        <w:fldChar w:fldCharType="begin"/>
      </w:r>
      <w:r>
        <w:instrText xml:space="preserve"> PAGEREF _Toc8060 \h </w:instrText>
      </w:r>
      <w:r>
        <w:fldChar w:fldCharType="separate"/>
      </w:r>
      <w:r>
        <w:t>73</w:t>
      </w:r>
      <w:r>
        <w:fldChar w:fldCharType="end"/>
      </w:r>
      <w:r>
        <w:rPr>
          <w:rFonts w:ascii="Times New Roman" w:hAnsi="Times New Roman" w:cs="Times New Roman"/>
          <w:bCs/>
          <w:color w:val="auto"/>
          <w:szCs w:val="24"/>
          <w:highlight w:val="none"/>
        </w:rPr>
        <w:fldChar w:fldCharType="end"/>
      </w:r>
    </w:p>
    <w:p w14:paraId="0B9569E0">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_Toc23136 </w:instrText>
      </w:r>
      <w:r>
        <w:rPr>
          <w:rFonts w:ascii="Times New Roman" w:hAnsi="Times New Roman" w:cs="Times New Roman"/>
          <w:bCs/>
          <w:szCs w:val="24"/>
          <w:highlight w:val="none"/>
        </w:rPr>
        <w:fldChar w:fldCharType="separate"/>
      </w:r>
      <w:r>
        <w:rPr>
          <w:rFonts w:hint="eastAsia" w:ascii="宋体" w:hAnsi="宋体"/>
          <w:szCs w:val="30"/>
          <w:highlight w:val="none"/>
        </w:rPr>
        <w:t>5.12 重大事故隐患情况分析</w:t>
      </w:r>
      <w:r>
        <w:tab/>
      </w:r>
      <w:r>
        <w:fldChar w:fldCharType="begin"/>
      </w:r>
      <w:r>
        <w:instrText xml:space="preserve"> PAGEREF _Toc23136 \h </w:instrText>
      </w:r>
      <w:r>
        <w:fldChar w:fldCharType="separate"/>
      </w:r>
      <w:r>
        <w:t>75</w:t>
      </w:r>
      <w:r>
        <w:fldChar w:fldCharType="end"/>
      </w:r>
      <w:r>
        <w:rPr>
          <w:rFonts w:ascii="Times New Roman" w:hAnsi="Times New Roman" w:cs="Times New Roman"/>
          <w:bCs/>
          <w:color w:val="auto"/>
          <w:szCs w:val="24"/>
          <w:highlight w:val="none"/>
        </w:rPr>
        <w:fldChar w:fldCharType="end"/>
      </w:r>
    </w:p>
    <w:p w14:paraId="799EBFC9">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_Toc25626 </w:instrText>
      </w:r>
      <w:r>
        <w:rPr>
          <w:rFonts w:ascii="Times New Roman" w:hAnsi="Times New Roman" w:cs="Times New Roman"/>
          <w:bCs/>
          <w:szCs w:val="24"/>
          <w:highlight w:val="none"/>
        </w:rPr>
        <w:fldChar w:fldCharType="separate"/>
      </w:r>
      <w:r>
        <w:rPr>
          <w:rFonts w:hint="eastAsia" w:ascii="宋体" w:hAnsi="宋体"/>
          <w:szCs w:val="30"/>
          <w:highlight w:val="none"/>
        </w:rPr>
        <w:t>5.13 安全分类整治评价</w:t>
      </w:r>
      <w:r>
        <w:tab/>
      </w:r>
      <w:r>
        <w:fldChar w:fldCharType="begin"/>
      </w:r>
      <w:r>
        <w:instrText xml:space="preserve"> PAGEREF _Toc25626 \h </w:instrText>
      </w:r>
      <w:r>
        <w:fldChar w:fldCharType="separate"/>
      </w:r>
      <w:r>
        <w:t>77</w:t>
      </w:r>
      <w:r>
        <w:fldChar w:fldCharType="end"/>
      </w:r>
      <w:r>
        <w:rPr>
          <w:rFonts w:ascii="Times New Roman" w:hAnsi="Times New Roman" w:cs="Times New Roman"/>
          <w:bCs/>
          <w:color w:val="auto"/>
          <w:szCs w:val="24"/>
          <w:highlight w:val="none"/>
        </w:rPr>
        <w:fldChar w:fldCharType="end"/>
      </w:r>
    </w:p>
    <w:p w14:paraId="5991DBD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_Toc18221 </w:instrText>
      </w:r>
      <w:r>
        <w:rPr>
          <w:rFonts w:ascii="Times New Roman" w:hAnsi="Times New Roman" w:cs="Times New Roman"/>
          <w:bCs/>
          <w:szCs w:val="24"/>
          <w:highlight w:val="none"/>
        </w:rPr>
        <w:fldChar w:fldCharType="separate"/>
      </w:r>
      <w:r>
        <w:rPr>
          <w:rFonts w:hint="eastAsia" w:ascii="宋体" w:hAnsi="宋体"/>
          <w:szCs w:val="30"/>
          <w:highlight w:val="none"/>
        </w:rPr>
        <w:t>5.14 安全经营条件评价</w:t>
      </w:r>
      <w:r>
        <w:tab/>
      </w:r>
      <w:r>
        <w:fldChar w:fldCharType="begin"/>
      </w:r>
      <w:r>
        <w:instrText xml:space="preserve"> PAGEREF _Toc18221 \h </w:instrText>
      </w:r>
      <w:r>
        <w:fldChar w:fldCharType="separate"/>
      </w:r>
      <w:r>
        <w:t>83</w:t>
      </w:r>
      <w:r>
        <w:fldChar w:fldCharType="end"/>
      </w:r>
      <w:r>
        <w:rPr>
          <w:rFonts w:ascii="Times New Roman" w:hAnsi="Times New Roman" w:cs="Times New Roman"/>
          <w:bCs/>
          <w:color w:val="auto"/>
          <w:szCs w:val="24"/>
          <w:highlight w:val="none"/>
        </w:rPr>
        <w:fldChar w:fldCharType="end"/>
      </w:r>
    </w:p>
    <w:p w14:paraId="0E331889">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_Toc20194 </w:instrText>
      </w:r>
      <w:r>
        <w:rPr>
          <w:rFonts w:ascii="Times New Roman" w:hAnsi="Times New Roman" w:cs="Times New Roman"/>
          <w:bCs/>
          <w:szCs w:val="24"/>
          <w:highlight w:val="none"/>
        </w:rPr>
        <w:fldChar w:fldCharType="separate"/>
      </w:r>
      <w:r>
        <w:rPr>
          <w:rFonts w:hint="eastAsia" w:ascii="宋体" w:hAnsi="宋体"/>
          <w:szCs w:val="30"/>
          <w:highlight w:val="none"/>
        </w:rPr>
        <w:t>5.15 安全设施符合性诊断及整改设计提出的对策措施采纳情况</w:t>
      </w:r>
      <w:r>
        <w:tab/>
      </w:r>
      <w:r>
        <w:fldChar w:fldCharType="begin"/>
      </w:r>
      <w:r>
        <w:instrText xml:space="preserve"> PAGEREF _Toc20194 \h </w:instrText>
      </w:r>
      <w:r>
        <w:fldChar w:fldCharType="separate"/>
      </w:r>
      <w:r>
        <w:t>84</w:t>
      </w:r>
      <w:r>
        <w:fldChar w:fldCharType="end"/>
      </w:r>
      <w:r>
        <w:rPr>
          <w:rFonts w:ascii="Times New Roman" w:hAnsi="Times New Roman" w:cs="Times New Roman"/>
          <w:bCs/>
          <w:color w:val="auto"/>
          <w:szCs w:val="24"/>
          <w:highlight w:val="none"/>
        </w:rPr>
        <w:fldChar w:fldCharType="end"/>
      </w:r>
    </w:p>
    <w:p w14:paraId="397F6B8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_Toc20457 </w:instrText>
      </w:r>
      <w:r>
        <w:rPr>
          <w:rFonts w:ascii="Times New Roman" w:hAnsi="Times New Roman" w:cs="Times New Roman"/>
          <w:bCs/>
          <w:szCs w:val="24"/>
          <w:highlight w:val="none"/>
        </w:rPr>
        <w:fldChar w:fldCharType="separate"/>
      </w:r>
      <w:r>
        <w:rPr>
          <w:rFonts w:ascii="宋体" w:hAnsi="宋体"/>
          <w:szCs w:val="30"/>
          <w:highlight w:val="none"/>
        </w:rPr>
        <w:t>5.</w:t>
      </w:r>
      <w:r>
        <w:rPr>
          <w:rFonts w:hint="eastAsia" w:ascii="宋体" w:hAnsi="宋体"/>
          <w:szCs w:val="30"/>
          <w:highlight w:val="none"/>
        </w:rPr>
        <w:t>16</w:t>
      </w:r>
      <w:r>
        <w:rPr>
          <w:rFonts w:ascii="宋体" w:hAnsi="宋体"/>
          <w:szCs w:val="30"/>
          <w:highlight w:val="none"/>
        </w:rPr>
        <w:t xml:space="preserve"> 加油站安全检查表</w:t>
      </w:r>
      <w:r>
        <w:tab/>
      </w:r>
      <w:r>
        <w:fldChar w:fldCharType="begin"/>
      </w:r>
      <w:r>
        <w:instrText xml:space="preserve"> PAGEREF _Toc20457 \h </w:instrText>
      </w:r>
      <w:r>
        <w:fldChar w:fldCharType="separate"/>
      </w:r>
      <w:r>
        <w:t>93</w:t>
      </w:r>
      <w:r>
        <w:fldChar w:fldCharType="end"/>
      </w:r>
      <w:r>
        <w:rPr>
          <w:rFonts w:ascii="Times New Roman" w:hAnsi="Times New Roman" w:cs="Times New Roman"/>
          <w:bCs/>
          <w:color w:val="auto"/>
          <w:szCs w:val="24"/>
          <w:highlight w:val="none"/>
        </w:rPr>
        <w:fldChar w:fldCharType="end"/>
      </w:r>
    </w:p>
    <w:p w14:paraId="5F2C2E1A">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_Toc17297 </w:instrText>
      </w:r>
      <w:r>
        <w:rPr>
          <w:rFonts w:ascii="Times New Roman" w:hAnsi="Times New Roman" w:cs="Times New Roman"/>
          <w:bCs/>
          <w:szCs w:val="24"/>
          <w:highlight w:val="none"/>
        </w:rPr>
        <w:fldChar w:fldCharType="separate"/>
      </w:r>
      <w:r>
        <w:rPr>
          <w:rFonts w:hint="eastAsia" w:ascii="Times New Roman" w:hAnsi="Times New Roman" w:cs="Times New Roman"/>
          <w:bCs/>
          <w:kern w:val="36"/>
          <w:szCs w:val="32"/>
          <w:highlight w:val="none"/>
        </w:rPr>
        <w:t>6</w:t>
      </w:r>
      <w:r>
        <w:rPr>
          <w:rFonts w:ascii="Times New Roman" w:hAnsi="Times New Roman" w:cs="Times New Roman"/>
          <w:bCs/>
          <w:kern w:val="36"/>
          <w:szCs w:val="32"/>
          <w:highlight w:val="none"/>
        </w:rPr>
        <w:t xml:space="preserve"> </w:t>
      </w:r>
      <w:r>
        <w:rPr>
          <w:rFonts w:hint="eastAsia" w:ascii="Times New Roman" w:hAnsi="Times New Roman" w:cs="宋体"/>
          <w:bCs/>
          <w:kern w:val="36"/>
          <w:szCs w:val="32"/>
          <w:highlight w:val="none"/>
        </w:rPr>
        <w:t>整改落实情况</w:t>
      </w:r>
      <w:r>
        <w:tab/>
      </w:r>
      <w:r>
        <w:fldChar w:fldCharType="begin"/>
      </w:r>
      <w:r>
        <w:instrText xml:space="preserve"> PAGEREF _Toc17297 \h </w:instrText>
      </w:r>
      <w:r>
        <w:fldChar w:fldCharType="separate"/>
      </w:r>
      <w:r>
        <w:t>101</w:t>
      </w:r>
      <w:r>
        <w:fldChar w:fldCharType="end"/>
      </w:r>
      <w:r>
        <w:rPr>
          <w:rFonts w:ascii="Times New Roman" w:hAnsi="Times New Roman" w:cs="Times New Roman"/>
          <w:bCs/>
          <w:color w:val="auto"/>
          <w:szCs w:val="24"/>
          <w:highlight w:val="none"/>
        </w:rPr>
        <w:fldChar w:fldCharType="end"/>
      </w:r>
    </w:p>
    <w:p w14:paraId="74B988C5">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_Toc1745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6.1</w:t>
      </w:r>
      <w:r>
        <w:rPr>
          <w:rFonts w:ascii="Times New Roman" w:hAnsi="Times New Roman" w:cs="Times New Roman"/>
          <w:bCs/>
          <w:szCs w:val="28"/>
          <w:highlight w:val="none"/>
        </w:rPr>
        <w:t xml:space="preserve"> </w:t>
      </w:r>
      <w:r>
        <w:rPr>
          <w:rFonts w:hint="eastAsia" w:ascii="宋体" w:hAnsi="宋体" w:cs="宋体"/>
          <w:bCs/>
          <w:szCs w:val="28"/>
          <w:highlight w:val="none"/>
        </w:rPr>
        <w:t>安全设施符合性诊断及整改设计提出的整改项落实情况</w:t>
      </w:r>
      <w:r>
        <w:tab/>
      </w:r>
      <w:r>
        <w:fldChar w:fldCharType="begin"/>
      </w:r>
      <w:r>
        <w:instrText xml:space="preserve"> PAGEREF _Toc1745 \h </w:instrText>
      </w:r>
      <w:r>
        <w:fldChar w:fldCharType="separate"/>
      </w:r>
      <w:r>
        <w:t>101</w:t>
      </w:r>
      <w:r>
        <w:fldChar w:fldCharType="end"/>
      </w:r>
      <w:r>
        <w:rPr>
          <w:rFonts w:ascii="Times New Roman" w:hAnsi="Times New Roman" w:cs="Times New Roman"/>
          <w:bCs/>
          <w:color w:val="auto"/>
          <w:szCs w:val="24"/>
          <w:highlight w:val="none"/>
        </w:rPr>
        <w:fldChar w:fldCharType="end"/>
      </w:r>
    </w:p>
    <w:p w14:paraId="02C91381">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_Toc6941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2</w:t>
      </w:r>
      <w:r>
        <w:rPr>
          <w:rFonts w:hint="eastAsia" w:ascii="Times New Roman" w:hAnsi="Times New Roman" w:cs="宋体"/>
          <w:bCs/>
          <w:szCs w:val="28"/>
          <w:highlight w:val="none"/>
        </w:rPr>
        <w:t>隐患整改措施</w:t>
      </w:r>
      <w:r>
        <w:tab/>
      </w:r>
      <w:r>
        <w:fldChar w:fldCharType="begin"/>
      </w:r>
      <w:r>
        <w:instrText xml:space="preserve"> PAGEREF _Toc6941 \h </w:instrText>
      </w:r>
      <w:r>
        <w:fldChar w:fldCharType="separate"/>
      </w:r>
      <w:r>
        <w:t>101</w:t>
      </w:r>
      <w:r>
        <w:fldChar w:fldCharType="end"/>
      </w:r>
      <w:r>
        <w:rPr>
          <w:rFonts w:ascii="Times New Roman" w:hAnsi="Times New Roman" w:cs="Times New Roman"/>
          <w:bCs/>
          <w:color w:val="auto"/>
          <w:szCs w:val="24"/>
          <w:highlight w:val="none"/>
        </w:rPr>
        <w:fldChar w:fldCharType="end"/>
      </w:r>
    </w:p>
    <w:p w14:paraId="4260597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_Toc23043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3</w:t>
      </w:r>
      <w:r>
        <w:rPr>
          <w:rFonts w:ascii="Times New Roman" w:hAnsi="Times New Roman" w:cs="Times New Roman"/>
          <w:bCs/>
          <w:szCs w:val="28"/>
          <w:highlight w:val="none"/>
        </w:rPr>
        <w:t xml:space="preserve"> </w:t>
      </w:r>
      <w:r>
        <w:rPr>
          <w:rFonts w:hint="eastAsia" w:ascii="Times New Roman" w:hAnsi="Times New Roman" w:cs="宋体"/>
          <w:bCs/>
          <w:szCs w:val="28"/>
          <w:highlight w:val="none"/>
        </w:rPr>
        <w:t>整改落实情况</w:t>
      </w:r>
      <w:r>
        <w:tab/>
      </w:r>
      <w:r>
        <w:fldChar w:fldCharType="begin"/>
      </w:r>
      <w:r>
        <w:instrText xml:space="preserve"> PAGEREF _Toc23043 \h </w:instrText>
      </w:r>
      <w:r>
        <w:fldChar w:fldCharType="separate"/>
      </w:r>
      <w:r>
        <w:t>102</w:t>
      </w:r>
      <w:r>
        <w:fldChar w:fldCharType="end"/>
      </w:r>
      <w:r>
        <w:rPr>
          <w:rFonts w:ascii="Times New Roman" w:hAnsi="Times New Roman" w:cs="Times New Roman"/>
          <w:bCs/>
          <w:color w:val="auto"/>
          <w:szCs w:val="24"/>
          <w:highlight w:val="none"/>
        </w:rPr>
        <w:fldChar w:fldCharType="end"/>
      </w:r>
    </w:p>
    <w:p w14:paraId="5CAF3313">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_Toc10275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4</w:t>
      </w:r>
      <w:r>
        <w:rPr>
          <w:rFonts w:ascii="Times New Roman" w:hAnsi="Times New Roman" w:cs="Times New Roman"/>
          <w:bCs/>
          <w:szCs w:val="28"/>
          <w:highlight w:val="none"/>
        </w:rPr>
        <w:t xml:space="preserve"> </w:t>
      </w:r>
      <w:r>
        <w:rPr>
          <w:rFonts w:hint="eastAsia" w:ascii="Times New Roman" w:hAnsi="Times New Roman" w:cs="宋体"/>
          <w:bCs/>
          <w:szCs w:val="28"/>
          <w:highlight w:val="none"/>
        </w:rPr>
        <w:t>建议补充的安全对策措施</w:t>
      </w:r>
      <w:r>
        <w:tab/>
      </w:r>
      <w:r>
        <w:fldChar w:fldCharType="begin"/>
      </w:r>
      <w:r>
        <w:instrText xml:space="preserve"> PAGEREF _Toc10275 \h </w:instrText>
      </w:r>
      <w:r>
        <w:fldChar w:fldCharType="separate"/>
      </w:r>
      <w:r>
        <w:t>102</w:t>
      </w:r>
      <w:r>
        <w:fldChar w:fldCharType="end"/>
      </w:r>
      <w:r>
        <w:rPr>
          <w:rFonts w:ascii="Times New Roman" w:hAnsi="Times New Roman" w:cs="Times New Roman"/>
          <w:bCs/>
          <w:color w:val="auto"/>
          <w:szCs w:val="24"/>
          <w:highlight w:val="none"/>
        </w:rPr>
        <w:fldChar w:fldCharType="end"/>
      </w:r>
    </w:p>
    <w:p w14:paraId="743CF4CB">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_Toc25274 </w:instrText>
      </w:r>
      <w:r>
        <w:rPr>
          <w:rFonts w:ascii="Times New Roman" w:hAnsi="Times New Roman" w:cs="Times New Roman"/>
          <w:bCs/>
          <w:szCs w:val="24"/>
          <w:highlight w:val="none"/>
        </w:rPr>
        <w:fldChar w:fldCharType="separate"/>
      </w:r>
      <w:r>
        <w:rPr>
          <w:rFonts w:hint="eastAsia"/>
          <w:highlight w:val="none"/>
        </w:rPr>
        <w:t>7</w:t>
      </w:r>
      <w:r>
        <w:rPr>
          <w:highlight w:val="none"/>
        </w:rPr>
        <w:t xml:space="preserve"> </w:t>
      </w:r>
      <w:r>
        <w:rPr>
          <w:rFonts w:hint="eastAsia"/>
          <w:highlight w:val="none"/>
        </w:rPr>
        <w:t>安全验收评价结论</w:t>
      </w:r>
      <w:r>
        <w:tab/>
      </w:r>
      <w:r>
        <w:fldChar w:fldCharType="begin"/>
      </w:r>
      <w:r>
        <w:instrText xml:space="preserve"> PAGEREF _Toc25274 \h </w:instrText>
      </w:r>
      <w:r>
        <w:fldChar w:fldCharType="separate"/>
      </w:r>
      <w:r>
        <w:t>104</w:t>
      </w:r>
      <w:r>
        <w:fldChar w:fldCharType="end"/>
      </w:r>
      <w:r>
        <w:rPr>
          <w:rFonts w:ascii="Times New Roman" w:hAnsi="Times New Roman" w:cs="Times New Roman"/>
          <w:bCs/>
          <w:color w:val="auto"/>
          <w:szCs w:val="24"/>
          <w:highlight w:val="none"/>
        </w:rPr>
        <w:fldChar w:fldCharType="end"/>
      </w:r>
    </w:p>
    <w:p w14:paraId="4F183949">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_Toc13247 </w:instrText>
      </w:r>
      <w:r>
        <w:rPr>
          <w:rFonts w:ascii="Times New Roman" w:hAnsi="Times New Roman" w:cs="Times New Roman"/>
          <w:bCs/>
          <w:szCs w:val="24"/>
          <w:highlight w:val="none"/>
        </w:rPr>
        <w:fldChar w:fldCharType="separate"/>
      </w:r>
      <w:r>
        <w:rPr>
          <w:rFonts w:hint="eastAsia" w:ascii="宋体" w:hAnsi="宋体"/>
          <w:szCs w:val="32"/>
          <w:highlight w:val="none"/>
        </w:rPr>
        <w:t>附件</w:t>
      </w:r>
      <w:r>
        <w:tab/>
      </w:r>
      <w:r>
        <w:fldChar w:fldCharType="begin"/>
      </w:r>
      <w:r>
        <w:instrText xml:space="preserve"> PAGEREF _Toc13247 \h </w:instrText>
      </w:r>
      <w:r>
        <w:fldChar w:fldCharType="separate"/>
      </w:r>
      <w:r>
        <w:t>106</w:t>
      </w:r>
      <w:r>
        <w:fldChar w:fldCharType="end"/>
      </w:r>
      <w:r>
        <w:rPr>
          <w:rFonts w:ascii="Times New Roman" w:hAnsi="Times New Roman" w:cs="Times New Roman"/>
          <w:bCs/>
          <w:color w:val="auto"/>
          <w:szCs w:val="24"/>
          <w:highlight w:val="none"/>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highlight w:val="none"/>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highlight w:val="none"/>
        </w:rPr>
        <w:fldChar w:fldCharType="end"/>
      </w:r>
    </w:p>
    <w:p w14:paraId="5B44EF86">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5C936DCC">
      <w:pPr>
        <w:spacing w:line="600" w:lineRule="exact"/>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龙南石油分公司大广高速渡江服务区西加油站</w:t>
      </w:r>
    </w:p>
    <w:p w14:paraId="504CFFE5">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1B920775">
      <w:pPr>
        <w:spacing w:line="600" w:lineRule="exact"/>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验收评价报告</w:t>
      </w:r>
    </w:p>
    <w:p w14:paraId="77DDBEFE">
      <w:pPr>
        <w:pStyle w:val="2"/>
        <w:rPr>
          <w:color w:val="auto"/>
          <w:sz w:val="32"/>
          <w:szCs w:val="32"/>
          <w:highlight w:val="none"/>
        </w:rPr>
      </w:pPr>
      <w:bookmarkStart w:id="0" w:name="_Toc16269"/>
      <w:bookmarkStart w:id="1" w:name="_Toc16878"/>
      <w:r>
        <w:rPr>
          <w:color w:val="auto"/>
          <w:sz w:val="32"/>
          <w:szCs w:val="32"/>
          <w:highlight w:val="none"/>
        </w:rPr>
        <w:t xml:space="preserve">1 </w:t>
      </w:r>
      <w:r>
        <w:rPr>
          <w:rFonts w:hint="eastAsia" w:cs="宋体"/>
          <w:color w:val="auto"/>
          <w:sz w:val="32"/>
          <w:szCs w:val="32"/>
          <w:highlight w:val="none"/>
        </w:rPr>
        <w:t>评价概述</w:t>
      </w:r>
      <w:bookmarkEnd w:id="0"/>
      <w:bookmarkEnd w:id="1"/>
    </w:p>
    <w:p w14:paraId="6C23E7A4">
      <w:pPr>
        <w:pStyle w:val="3"/>
        <w:rPr>
          <w:color w:val="auto"/>
          <w:sz w:val="32"/>
          <w:szCs w:val="32"/>
          <w:highlight w:val="none"/>
        </w:rPr>
      </w:pPr>
      <w:bookmarkStart w:id="2" w:name="_Toc5395"/>
      <w:bookmarkStart w:id="3" w:name="_Toc343692239"/>
      <w:bookmarkStart w:id="4" w:name="_Toc20305"/>
      <w:r>
        <w:rPr>
          <w:color w:val="auto"/>
          <w:sz w:val="32"/>
          <w:szCs w:val="32"/>
          <w:highlight w:val="none"/>
        </w:rPr>
        <w:t>1.1</w:t>
      </w:r>
      <w:r>
        <w:rPr>
          <w:rFonts w:hint="eastAsia" w:cs="宋体"/>
          <w:color w:val="auto"/>
          <w:sz w:val="32"/>
          <w:szCs w:val="32"/>
          <w:highlight w:val="none"/>
        </w:rPr>
        <w:t>评价的目的和原则</w:t>
      </w:r>
      <w:bookmarkEnd w:id="2"/>
      <w:bookmarkEnd w:id="3"/>
      <w:bookmarkEnd w:id="4"/>
    </w:p>
    <w:p w14:paraId="5B8DCCF9">
      <w:pPr>
        <w:pStyle w:val="4"/>
        <w:rPr>
          <w:color w:val="auto"/>
          <w:highlight w:val="none"/>
        </w:rPr>
      </w:pPr>
      <w:bookmarkStart w:id="5" w:name="_Toc22256"/>
      <w:r>
        <w:rPr>
          <w:color w:val="auto"/>
          <w:highlight w:val="none"/>
        </w:rPr>
        <w:t>1.1.1</w:t>
      </w:r>
      <w:r>
        <w:rPr>
          <w:rFonts w:hint="eastAsia" w:cs="宋体"/>
          <w:color w:val="auto"/>
          <w:highlight w:val="none"/>
        </w:rPr>
        <w:t>评价的目的</w:t>
      </w:r>
      <w:bookmarkEnd w:id="5"/>
      <w:r>
        <w:rPr>
          <w:color w:val="auto"/>
          <w:highlight w:val="none"/>
        </w:rPr>
        <w:t xml:space="preserve"> </w:t>
      </w:r>
    </w:p>
    <w:p w14:paraId="4FD144D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highlight w:val="none"/>
        </w:rPr>
      </w:pPr>
      <w:bookmarkStart w:id="6" w:name="_Toc17968"/>
      <w:r>
        <w:rPr>
          <w:color w:val="auto"/>
          <w:highlight w:val="none"/>
        </w:rPr>
        <w:t>1.1.2</w:t>
      </w:r>
      <w:r>
        <w:rPr>
          <w:rFonts w:hint="eastAsia" w:cs="宋体"/>
          <w:color w:val="auto"/>
          <w:highlight w:val="none"/>
        </w:rPr>
        <w:t>评价的原则</w:t>
      </w:r>
      <w:bookmarkEnd w:id="6"/>
    </w:p>
    <w:p w14:paraId="166BBAB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坚持科学性、</w:t>
      </w:r>
      <w:r>
        <w:rPr>
          <w:rFonts w:hint="eastAsia" w:ascii="Times New Roman" w:hAnsi="Times New Roman" w:cs="宋体"/>
          <w:color w:val="auto"/>
          <w:sz w:val="28"/>
          <w:szCs w:val="28"/>
          <w:highlight w:val="none"/>
          <w:lang w:eastAsia="zh-CN"/>
        </w:rPr>
        <w:t>公平性</w:t>
      </w:r>
      <w:r>
        <w:rPr>
          <w:rFonts w:hint="eastAsia" w:ascii="Times New Roman" w:hAnsi="Times New Roman" w:cs="宋体"/>
          <w:color w:val="auto"/>
          <w:sz w:val="28"/>
          <w:szCs w:val="28"/>
          <w:highlight w:val="none"/>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highlight w:val="none"/>
        </w:rPr>
      </w:pPr>
      <w:bookmarkStart w:id="7" w:name="_Toc12819"/>
      <w:bookmarkStart w:id="8" w:name="_Toc343692240"/>
      <w:bookmarkStart w:id="9" w:name="_Toc26059"/>
      <w:r>
        <w:rPr>
          <w:color w:val="auto"/>
          <w:highlight w:val="none"/>
        </w:rPr>
        <w:t>1.2</w:t>
      </w:r>
      <w:r>
        <w:rPr>
          <w:rFonts w:hint="eastAsia" w:cs="宋体"/>
          <w:color w:val="auto"/>
          <w:highlight w:val="none"/>
        </w:rPr>
        <w:t>评价依据</w:t>
      </w:r>
      <w:bookmarkEnd w:id="7"/>
      <w:bookmarkEnd w:id="8"/>
      <w:bookmarkEnd w:id="9"/>
    </w:p>
    <w:p w14:paraId="2A694DBD">
      <w:pPr>
        <w:pStyle w:val="4"/>
        <w:rPr>
          <w:rFonts w:cs="Times New Roman"/>
          <w:color w:val="auto"/>
          <w:highlight w:val="none"/>
        </w:rPr>
      </w:pPr>
      <w:bookmarkStart w:id="10" w:name="_Toc32728"/>
      <w:r>
        <w:rPr>
          <w:color w:val="auto"/>
          <w:highlight w:val="none"/>
        </w:rPr>
        <w:t>1.2.1</w:t>
      </w:r>
      <w:r>
        <w:rPr>
          <w:rFonts w:hint="eastAsia" w:cs="宋体"/>
          <w:color w:val="auto"/>
          <w:highlight w:val="none"/>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《生产安全事故应急条例》国务院令【2019】第708号（2018年12月5日国务院第33次常务会议通过，2019年4</w:t>
      </w:r>
      <w:r>
        <w:rPr>
          <w:rFonts w:hint="eastAsia" w:ascii="Times New Roman" w:hAnsi="Times New Roman" w:cs="Times New Roman"/>
          <w:color w:val="auto"/>
          <w:sz w:val="28"/>
          <w:szCs w:val="36"/>
          <w:highlight w:val="none"/>
          <w:lang w:eastAsia="zh-CN"/>
        </w:rPr>
        <w:t>月</w:t>
      </w:r>
      <w:r>
        <w:rPr>
          <w:rFonts w:hint="eastAsia" w:ascii="Times New Roman" w:hAnsi="Times New Roman" w:cs="Times New Roman"/>
          <w:color w:val="auto"/>
          <w:sz w:val="28"/>
          <w:szCs w:val="36"/>
          <w:highlight w:val="none"/>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生产安全事故应急预案管理办法</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《危险化学品目录（2015版）》（应急管理部等十部门公告202</w:t>
      </w:r>
      <w:r>
        <w:rPr>
          <w:rFonts w:hint="eastAsia" w:ascii="Times New Roman" w:hAnsi="Times New Roman" w:cs="Times New Roman"/>
          <w:color w:val="auto"/>
          <w:sz w:val="28"/>
          <w:szCs w:val="36"/>
          <w:highlight w:val="none"/>
          <w:lang w:val="en-US" w:eastAsia="zh-CN"/>
        </w:rPr>
        <w:t>6</w:t>
      </w:r>
      <w:r>
        <w:rPr>
          <w:rFonts w:hint="eastAsia" w:ascii="Times New Roman" w:hAnsi="Times New Roman" w:cs="Times New Roman"/>
          <w:color w:val="auto"/>
          <w:sz w:val="28"/>
          <w:szCs w:val="36"/>
          <w:highlight w:val="none"/>
        </w:rPr>
        <w:t>年第</w:t>
      </w:r>
      <w:r>
        <w:rPr>
          <w:rFonts w:hint="eastAsia" w:ascii="Times New Roman" w:hAnsi="Times New Roman" w:cs="Times New Roman"/>
          <w:color w:val="auto"/>
          <w:sz w:val="28"/>
          <w:szCs w:val="36"/>
          <w:highlight w:val="none"/>
          <w:lang w:val="en-US" w:eastAsia="zh-CN"/>
        </w:rPr>
        <w:t>3</w:t>
      </w:r>
      <w:r>
        <w:rPr>
          <w:rFonts w:hint="eastAsia" w:ascii="Times New Roman" w:hAnsi="Times New Roman" w:cs="Times New Roman"/>
          <w:color w:val="auto"/>
          <w:sz w:val="28"/>
          <w:szCs w:val="36"/>
          <w:highlight w:val="none"/>
        </w:rPr>
        <w:t>号）</w:t>
      </w:r>
    </w:p>
    <w:p w14:paraId="2B2B77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安全生产责任保险实施办法</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《危险化学品经营单位安全评价导则</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试行</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《化工和危险化学品生产经营单位重大生产安全事故</w:t>
      </w:r>
      <w:r>
        <w:rPr>
          <w:rFonts w:hint="eastAsia" w:ascii="Times New Roman" w:hAnsi="Times New Roman" w:cs="Times New Roman"/>
          <w:color w:val="auto"/>
          <w:spacing w:val="-6"/>
          <w:sz w:val="28"/>
          <w:szCs w:val="36"/>
          <w:highlight w:val="none"/>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宋体" w:hAnsi="宋体"/>
          <w:color w:val="auto"/>
          <w:sz w:val="28"/>
          <w:szCs w:val="28"/>
          <w:highlight w:val="none"/>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 xml:space="preserve">《安全生产责任保险实施办法》            </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安监总办(2017)140号</w:t>
      </w:r>
      <w:r>
        <w:rPr>
          <w:rFonts w:hint="eastAsia" w:ascii="Times New Roman" w:hAnsi="Times New Roman" w:cs="Times New Roman"/>
          <w:color w:val="auto"/>
          <w:spacing w:val="-6"/>
          <w:sz w:val="28"/>
          <w:szCs w:val="36"/>
          <w:highlight w:val="none"/>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加油站安全检查表</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36"/>
          <w:highlight w:val="none"/>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《江西省应急管理厅办公室关于规范危险化学品经营许可工作的通知》（赣应急办字〔2025〕58号）</w:t>
      </w:r>
    </w:p>
    <w:p w14:paraId="2282CBC2">
      <w:pPr>
        <w:pStyle w:val="4"/>
        <w:rPr>
          <w:rFonts w:cs="Times New Roman"/>
          <w:color w:val="auto"/>
          <w:highlight w:val="none"/>
        </w:rPr>
      </w:pPr>
      <w:bookmarkStart w:id="11" w:name="_Toc17479"/>
      <w:r>
        <w:rPr>
          <w:color w:val="auto"/>
          <w:highlight w:val="none"/>
        </w:rPr>
        <w:t>1.2.2</w:t>
      </w:r>
      <w:r>
        <w:rPr>
          <w:rFonts w:hint="eastAsia" w:cs="宋体"/>
          <w:color w:val="auto"/>
          <w:highlight w:val="none"/>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《防止静电事故通用要求》GB12158-20</w:t>
      </w:r>
      <w:r>
        <w:rPr>
          <w:rFonts w:hint="eastAsia" w:ascii="Times New Roman" w:hAnsi="Times New Roman" w:cs="Times New Roman"/>
          <w:color w:val="auto"/>
          <w:sz w:val="28"/>
          <w:szCs w:val="28"/>
          <w:highlight w:val="none"/>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w:t>
      </w:r>
      <w:r>
        <w:rPr>
          <w:rFonts w:hint="default" w:ascii="Times New Roman" w:hAnsi="Times New Roman" w:eastAsia="宋体" w:cs="Times New Roman"/>
          <w:color w:val="auto"/>
          <w:sz w:val="28"/>
          <w:szCs w:val="28"/>
          <w:highlight w:val="none"/>
        </w:rPr>
        <w:t>生产安全事故分类与编码</w:t>
      </w:r>
      <w:r>
        <w:rPr>
          <w:rFonts w:ascii="Times New Roman" w:hAnsi="Times New Roman" w:eastAsia="宋体" w:cs="Times New Roman"/>
          <w:color w:val="auto"/>
          <w:sz w:val="28"/>
          <w:szCs w:val="28"/>
          <w:highlight w:val="none"/>
        </w:rPr>
        <w:t>》GB6441-</w:t>
      </w:r>
      <w:r>
        <w:rPr>
          <w:rFonts w:hint="eastAsia" w:ascii="Times New Roman" w:hAnsi="Times New Roman" w:cs="Times New Roman"/>
          <w:color w:val="auto"/>
          <w:sz w:val="28"/>
          <w:szCs w:val="28"/>
          <w:highlight w:val="none"/>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《重大火灾隐患判定规则》（GB35181-20</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《工作场所有害因素职业接触限值 第1部分</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化学有害因素》</w:t>
      </w:r>
      <w:r>
        <w:rPr>
          <w:rFonts w:ascii="Times New Roman" w:hAnsi="Times New Roman" w:eastAsia="宋体" w:cs="Times New Roman"/>
          <w:color w:val="auto"/>
          <w:sz w:val="28"/>
          <w:szCs w:val="28"/>
          <w:highlight w:val="none"/>
        </w:rPr>
        <w:t>行业标准第</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号修改单GBZ 2.1-2019/XG</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《安全验收评价导则》AQ8003-2007</w:t>
      </w:r>
    </w:p>
    <w:p w14:paraId="16FE7A6D">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相关的专业性国家标准、行业标准和地方标准及规定。</w:t>
      </w:r>
    </w:p>
    <w:p w14:paraId="2B1EB785">
      <w:pPr>
        <w:pStyle w:val="4"/>
        <w:rPr>
          <w:rFonts w:cs="Times New Roman"/>
          <w:color w:val="auto"/>
          <w:highlight w:val="none"/>
        </w:rPr>
      </w:pPr>
      <w:bookmarkStart w:id="12" w:name="_Toc1957"/>
      <w:r>
        <w:rPr>
          <w:color w:val="auto"/>
          <w:highlight w:val="none"/>
        </w:rPr>
        <w:t>1.2.3</w:t>
      </w:r>
      <w:r>
        <w:rPr>
          <w:rFonts w:hint="eastAsia" w:cs="宋体"/>
          <w:color w:val="auto"/>
          <w:highlight w:val="none"/>
        </w:rPr>
        <w:t>相关资料</w:t>
      </w:r>
      <w:bookmarkEnd w:id="12"/>
    </w:p>
    <w:p w14:paraId="1883A06F">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营业执照、土地证明、防雷装置检测检验报告；设计单位资质；安全管理制度、操作规程、应急预案及备案、整改后总平面布置图等。</w:t>
      </w:r>
    </w:p>
    <w:p w14:paraId="716CCA6E">
      <w:pPr>
        <w:pStyle w:val="3"/>
        <w:rPr>
          <w:color w:val="auto"/>
          <w:highlight w:val="none"/>
        </w:rPr>
      </w:pPr>
      <w:bookmarkStart w:id="13" w:name="_Toc29244"/>
      <w:bookmarkStart w:id="14" w:name="_Toc30412"/>
      <w:r>
        <w:rPr>
          <w:color w:val="auto"/>
          <w:highlight w:val="none"/>
        </w:rPr>
        <w:t>1.3</w:t>
      </w:r>
      <w:r>
        <w:rPr>
          <w:rFonts w:hint="eastAsia" w:cs="宋体"/>
          <w:color w:val="auto"/>
          <w:highlight w:val="none"/>
        </w:rPr>
        <w:t>评价范围及内容</w:t>
      </w:r>
      <w:bookmarkEnd w:id="13"/>
      <w:bookmarkEnd w:id="14"/>
    </w:p>
    <w:p w14:paraId="49C278D6">
      <w:pPr>
        <w:pStyle w:val="4"/>
        <w:rPr>
          <w:rFonts w:cs="Times New Roman"/>
          <w:color w:val="auto"/>
          <w:highlight w:val="none"/>
        </w:rPr>
      </w:pPr>
      <w:bookmarkStart w:id="15" w:name="_Toc8274"/>
      <w:r>
        <w:rPr>
          <w:color w:val="auto"/>
          <w:highlight w:val="none"/>
        </w:rPr>
        <w:t>1.3.1</w:t>
      </w:r>
      <w:r>
        <w:rPr>
          <w:rFonts w:hint="eastAsia" w:cs="宋体"/>
          <w:color w:val="auto"/>
          <w:highlight w:val="none"/>
        </w:rPr>
        <w:t>评价范围</w:t>
      </w:r>
      <w:bookmarkEnd w:id="15"/>
    </w:p>
    <w:p w14:paraId="07E3CA84">
      <w:pPr>
        <w:spacing w:line="600" w:lineRule="exact"/>
        <w:ind w:firstLine="536" w:firstLineChars="200"/>
        <w:rPr>
          <w:rFonts w:ascii="Times New Roman" w:hAnsi="Times New Roman" w:cs="宋体"/>
          <w:color w:val="auto"/>
          <w:spacing w:val="-6"/>
          <w:sz w:val="28"/>
          <w:szCs w:val="28"/>
          <w:highlight w:val="none"/>
        </w:rPr>
      </w:pPr>
      <w:r>
        <w:rPr>
          <w:rFonts w:hint="eastAsia" w:ascii="Times New Roman" w:hAnsi="Times New Roman" w:cs="宋体"/>
          <w:color w:val="auto"/>
          <w:spacing w:val="-6"/>
          <w:sz w:val="28"/>
          <w:szCs w:val="28"/>
          <w:highlight w:val="none"/>
        </w:rPr>
        <w:t>根据委托，本次评价范围仅为中石化</w:t>
      </w:r>
      <w:r>
        <w:rPr>
          <w:rFonts w:hint="eastAsia" w:ascii="Times New Roman" w:hAnsi="Times New Roman" w:cs="宋体"/>
          <w:color w:val="auto"/>
          <w:spacing w:val="-6"/>
          <w:sz w:val="28"/>
          <w:szCs w:val="28"/>
          <w:highlight w:val="none"/>
          <w:lang w:eastAsia="zh-CN"/>
        </w:rPr>
        <w:t>龙南大广高速渡江服务区西加油站</w:t>
      </w:r>
      <w:r>
        <w:rPr>
          <w:rFonts w:hint="eastAsia" w:ascii="Times New Roman" w:hAnsi="Times New Roman" w:cs="宋体"/>
          <w:color w:val="auto"/>
          <w:spacing w:val="-6"/>
          <w:sz w:val="28"/>
          <w:szCs w:val="28"/>
          <w:highlight w:val="none"/>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highlight w:val="none"/>
        </w:rPr>
      </w:pPr>
      <w:r>
        <w:rPr>
          <w:rFonts w:hint="eastAsia" w:ascii="Times New Roman" w:hAnsi="Times New Roman" w:cs="宋体"/>
          <w:color w:val="auto"/>
          <w:spacing w:val="-17"/>
          <w:sz w:val="28"/>
          <w:szCs w:val="28"/>
          <w:highlight w:val="none"/>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如经营场所、储存条件、品种、设施等发生变化，则不在本评价报告范围内。</w:t>
      </w:r>
    </w:p>
    <w:p w14:paraId="4375EEAF">
      <w:pPr>
        <w:pStyle w:val="4"/>
        <w:rPr>
          <w:rFonts w:cs="Times New Roman"/>
          <w:color w:val="auto"/>
          <w:highlight w:val="none"/>
        </w:rPr>
      </w:pPr>
      <w:bookmarkStart w:id="16" w:name="_Toc26802"/>
      <w:r>
        <w:rPr>
          <w:color w:val="auto"/>
          <w:highlight w:val="none"/>
        </w:rPr>
        <w:t>1.3.2</w:t>
      </w:r>
      <w:r>
        <w:rPr>
          <w:rFonts w:hint="eastAsia" w:cs="宋体"/>
          <w:color w:val="auto"/>
          <w:highlight w:val="none"/>
        </w:rPr>
        <w:t>评价内容</w:t>
      </w:r>
      <w:bookmarkEnd w:id="16"/>
    </w:p>
    <w:p w14:paraId="603DCCE1">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、采用定性、定量的评价</w:t>
      </w:r>
      <w:r>
        <w:rPr>
          <w:rFonts w:hint="eastAsia" w:ascii="Times New Roman" w:hAnsi="Times New Roman" w:cs="宋体"/>
          <w:color w:val="auto"/>
          <w:sz w:val="28"/>
          <w:szCs w:val="28"/>
          <w:highlight w:val="none"/>
          <w:lang w:eastAsia="zh-CN"/>
        </w:rPr>
        <w:t>方式</w:t>
      </w:r>
      <w:r>
        <w:rPr>
          <w:rFonts w:hint="eastAsia" w:ascii="Times New Roman" w:hAnsi="Times New Roman" w:cs="宋体"/>
          <w:color w:val="auto"/>
          <w:sz w:val="28"/>
          <w:szCs w:val="28"/>
          <w:highlight w:val="none"/>
        </w:rPr>
        <w:t>进行评价；</w:t>
      </w:r>
    </w:p>
    <w:p w14:paraId="2E85D79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6</w:t>
      </w:r>
      <w:r>
        <w:rPr>
          <w:rFonts w:hint="eastAsia" w:ascii="Times New Roman" w:hAnsi="Times New Roman" w:cs="宋体"/>
          <w:color w:val="auto"/>
          <w:sz w:val="28"/>
          <w:szCs w:val="28"/>
          <w:highlight w:val="none"/>
        </w:rPr>
        <w:t>、提出对策措施和建议；</w:t>
      </w:r>
    </w:p>
    <w:p w14:paraId="1CA31695">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7</w:t>
      </w:r>
      <w:r>
        <w:rPr>
          <w:rFonts w:hint="eastAsia" w:ascii="Times New Roman" w:hAnsi="Times New Roman" w:cs="宋体"/>
          <w:color w:val="auto"/>
          <w:sz w:val="28"/>
          <w:szCs w:val="28"/>
          <w:highlight w:val="none"/>
        </w:rPr>
        <w:t>、得出评价结论。</w:t>
      </w:r>
    </w:p>
    <w:p w14:paraId="60E4F61A">
      <w:pPr>
        <w:spacing w:line="600" w:lineRule="exact"/>
        <w:outlineLvl w:val="1"/>
        <w:rPr>
          <w:rStyle w:val="35"/>
          <w:color w:val="auto"/>
          <w:highlight w:val="none"/>
        </w:rPr>
      </w:pPr>
      <w:bookmarkStart w:id="17" w:name="_Toc343692242"/>
      <w:bookmarkStart w:id="18" w:name="_Toc14373"/>
      <w:bookmarkStart w:id="19" w:name="_Toc790"/>
      <w:r>
        <w:rPr>
          <w:rStyle w:val="35"/>
          <w:color w:val="auto"/>
          <w:highlight w:val="none"/>
        </w:rPr>
        <w:t>1.4</w:t>
      </w:r>
      <w:r>
        <w:rPr>
          <w:rStyle w:val="35"/>
          <w:rFonts w:hint="eastAsia" w:cs="宋体"/>
          <w:color w:val="auto"/>
          <w:highlight w:val="none"/>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评价程序见图</w:t>
      </w:r>
      <w:r>
        <w:rPr>
          <w:rFonts w:ascii="Times New Roman" w:hAnsi="Times New Roman" w:cs="Times New Roman"/>
          <w:color w:val="auto"/>
          <w:sz w:val="28"/>
          <w:szCs w:val="28"/>
          <w:highlight w:val="none"/>
        </w:rPr>
        <w:t>1.4-1</w:t>
      </w:r>
      <w:r>
        <w:rPr>
          <w:rFonts w:hint="eastAsia" w:ascii="Times New Roman" w:hAnsi="Times New Roman" w:cs="宋体"/>
          <w:color w:val="auto"/>
          <w:sz w:val="28"/>
          <w:szCs w:val="28"/>
          <w:highlight w:val="none"/>
        </w:rPr>
        <w:t>。</w:t>
      </w:r>
    </w:p>
    <w:p w14:paraId="0A9AC99F">
      <w:pPr>
        <w:rPr>
          <w:rFonts w:ascii="Times New Roman" w:hAnsi="Times New Roman" w:cs="Times New Roman"/>
          <w:color w:val="auto"/>
          <w:sz w:val="24"/>
          <w:szCs w:val="24"/>
          <w:highlight w:val="none"/>
        </w:rPr>
      </w:pPr>
    </w:p>
    <w:p w14:paraId="68CB86CC">
      <w:pPr>
        <w:pStyle w:val="32"/>
        <w:rPr>
          <w:rFonts w:cs="Times New Roman"/>
          <w:color w:val="auto"/>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highlight w:val="none"/>
        </w:rPr>
      </w:pPr>
    </w:p>
    <w:p w14:paraId="4B41B4EE">
      <w:pPr>
        <w:pStyle w:val="32"/>
        <w:rPr>
          <w:rFonts w:cs="Times New Roman"/>
          <w:color w:val="auto"/>
          <w:highlight w:val="none"/>
        </w:rPr>
      </w:pPr>
    </w:p>
    <w:p w14:paraId="00A736DC">
      <w:pPr>
        <w:pStyle w:val="32"/>
        <w:rPr>
          <w:rFonts w:cs="Times New Roman"/>
          <w:color w:val="auto"/>
          <w:highlight w:val="none"/>
        </w:rPr>
      </w:pPr>
    </w:p>
    <w:p w14:paraId="145D5834">
      <w:pPr>
        <w:pStyle w:val="32"/>
        <w:rPr>
          <w:rFonts w:cs="Times New Roman"/>
          <w:color w:val="auto"/>
          <w:highlight w:val="none"/>
        </w:rPr>
      </w:pPr>
    </w:p>
    <w:p w14:paraId="4D890F11">
      <w:pPr>
        <w:pStyle w:val="32"/>
        <w:rPr>
          <w:rFonts w:cs="Times New Roman"/>
          <w:color w:val="auto"/>
          <w:highlight w:val="none"/>
        </w:rPr>
      </w:pPr>
    </w:p>
    <w:p w14:paraId="7B08B412">
      <w:pPr>
        <w:pStyle w:val="32"/>
        <w:rPr>
          <w:rFonts w:cs="Times New Roman"/>
          <w:color w:val="auto"/>
          <w:highlight w:val="none"/>
        </w:rPr>
      </w:pPr>
    </w:p>
    <w:p w14:paraId="078600A9">
      <w:pPr>
        <w:pStyle w:val="32"/>
        <w:rPr>
          <w:rFonts w:cs="Times New Roman"/>
          <w:color w:val="auto"/>
          <w:highlight w:val="none"/>
        </w:rPr>
      </w:pPr>
    </w:p>
    <w:p w14:paraId="561DD7E9">
      <w:pPr>
        <w:pStyle w:val="32"/>
        <w:rPr>
          <w:rFonts w:cs="Times New Roman"/>
          <w:color w:val="auto"/>
          <w:highlight w:val="none"/>
        </w:rPr>
      </w:pPr>
    </w:p>
    <w:p w14:paraId="0A669B41">
      <w:pPr>
        <w:pStyle w:val="32"/>
        <w:rPr>
          <w:rFonts w:cs="Times New Roman"/>
          <w:color w:val="auto"/>
          <w:highlight w:val="none"/>
        </w:rPr>
      </w:pPr>
    </w:p>
    <w:p w14:paraId="40AB3319">
      <w:pPr>
        <w:pStyle w:val="32"/>
        <w:rPr>
          <w:rFonts w:cs="Times New Roman"/>
          <w:color w:val="auto"/>
          <w:highlight w:val="none"/>
        </w:rPr>
      </w:pPr>
    </w:p>
    <w:p w14:paraId="33AE0939">
      <w:pPr>
        <w:pStyle w:val="32"/>
        <w:rPr>
          <w:rFonts w:cs="Times New Roman"/>
          <w:color w:val="auto"/>
          <w:highlight w:val="none"/>
        </w:rPr>
      </w:pPr>
    </w:p>
    <w:p w14:paraId="44199675">
      <w:pPr>
        <w:pStyle w:val="32"/>
        <w:rPr>
          <w:rFonts w:cs="Times New Roman"/>
          <w:color w:val="auto"/>
          <w:highlight w:val="none"/>
        </w:rPr>
      </w:pPr>
    </w:p>
    <w:p w14:paraId="0D27DF97">
      <w:pPr>
        <w:jc w:val="center"/>
        <w:rPr>
          <w:rFonts w:ascii="Times New Roman" w:hAnsi="Times New Roman" w:cs="宋体"/>
          <w:b/>
          <w:bCs/>
          <w:color w:val="auto"/>
          <w:sz w:val="28"/>
          <w:szCs w:val="28"/>
          <w:highlight w:val="none"/>
        </w:rPr>
      </w:pPr>
    </w:p>
    <w:p w14:paraId="259A396D">
      <w:pPr>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图</w:t>
      </w:r>
      <w:r>
        <w:rPr>
          <w:rFonts w:ascii="Times New Roman" w:hAnsi="Times New Roman" w:cs="Times New Roman"/>
          <w:b/>
          <w:bCs/>
          <w:color w:val="auto"/>
          <w:sz w:val="28"/>
          <w:szCs w:val="28"/>
          <w:highlight w:val="none"/>
        </w:rPr>
        <w:t xml:space="preserve">1.4-1 </w:t>
      </w:r>
      <w:r>
        <w:rPr>
          <w:rFonts w:hint="eastAsia" w:ascii="Times New Roman" w:hAnsi="Times New Roman" w:cs="宋体"/>
          <w:b/>
          <w:bCs/>
          <w:color w:val="auto"/>
          <w:sz w:val="28"/>
          <w:szCs w:val="28"/>
          <w:highlight w:val="none"/>
        </w:rPr>
        <w:t>评价工作程序图</w:t>
      </w:r>
    </w:p>
    <w:p w14:paraId="5A6E6875">
      <w:pPr>
        <w:pStyle w:val="32"/>
        <w:ind w:firstLine="0"/>
        <w:outlineLvl w:val="0"/>
        <w:rPr>
          <w:rStyle w:val="34"/>
          <w:color w:val="auto"/>
          <w:highlight w:val="none"/>
        </w:rPr>
      </w:pPr>
      <w:bookmarkStart w:id="20" w:name="_Toc343692243"/>
      <w:bookmarkStart w:id="21" w:name="_Toc3289"/>
      <w:bookmarkStart w:id="22" w:name="_Toc22287"/>
      <w:r>
        <w:rPr>
          <w:rStyle w:val="34"/>
          <w:color w:val="auto"/>
          <w:highlight w:val="none"/>
        </w:rPr>
        <w:br w:type="page"/>
      </w:r>
      <w:bookmarkStart w:id="23" w:name="_Toc23930"/>
      <w:r>
        <w:rPr>
          <w:rFonts w:hint="eastAsia" w:ascii="Times New Roman"/>
          <w:b/>
          <w:bCs/>
          <w:color w:val="auto"/>
          <w:kern w:val="36"/>
          <w:sz w:val="32"/>
          <w:szCs w:val="32"/>
          <w:highlight w:val="none"/>
        </w:rPr>
        <w:t>2 加油站概况</w:t>
      </w:r>
      <w:bookmarkEnd w:id="20"/>
      <w:bookmarkEnd w:id="21"/>
      <w:bookmarkEnd w:id="22"/>
      <w:bookmarkEnd w:id="23"/>
    </w:p>
    <w:p w14:paraId="4894874E">
      <w:pPr>
        <w:pStyle w:val="3"/>
        <w:spacing w:line="360" w:lineRule="auto"/>
        <w:rPr>
          <w:color w:val="auto"/>
          <w:highlight w:val="none"/>
        </w:rPr>
      </w:pPr>
      <w:bookmarkStart w:id="24" w:name="_Toc10636"/>
      <w:bookmarkStart w:id="25" w:name="_Toc343692244"/>
      <w:bookmarkStart w:id="26" w:name="_Toc14502"/>
      <w:r>
        <w:rPr>
          <w:color w:val="auto"/>
          <w:highlight w:val="none"/>
        </w:rPr>
        <w:t>2.1</w:t>
      </w:r>
      <w:r>
        <w:rPr>
          <w:rFonts w:hint="eastAsia" w:cs="宋体"/>
          <w:color w:val="auto"/>
          <w:highlight w:val="none"/>
        </w:rPr>
        <w:t>建设项目基本情况</w:t>
      </w:r>
      <w:bookmarkEnd w:id="24"/>
    </w:p>
    <w:p w14:paraId="550526A7">
      <w:pPr>
        <w:pStyle w:val="4"/>
        <w:snapToGrid w:val="0"/>
        <w:spacing w:line="360" w:lineRule="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2.1.1 </w:t>
      </w:r>
      <w:r>
        <w:rPr>
          <w:rFonts w:hint="eastAsia" w:ascii="Times New Roman" w:hAnsi="Times New Roman" w:cs="宋体"/>
          <w:color w:val="auto"/>
          <w:sz w:val="28"/>
          <w:szCs w:val="28"/>
          <w:highlight w:val="none"/>
        </w:rPr>
        <w:t>建设项目背景、组成</w:t>
      </w:r>
    </w:p>
    <w:p w14:paraId="2C06E275">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项目背景</w:t>
      </w:r>
    </w:p>
    <w:p w14:paraId="72C3BF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龙南石油分公司大广高速渡江服务区西加油站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龙南大广高速渡江服务区西加油站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2016年07月20日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江西省龙南市大广高速渡江服务区西区</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4</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rPr>
        <w:t>埋地单层卧式储罐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#汽油储罐1个，</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ascii="Times New Roman" w:hAnsi="Times New Roman" w:cs="Times New Roman"/>
          <w:color w:val="auto"/>
          <w:spacing w:val="-4"/>
          <w:sz w:val="28"/>
          <w:szCs w:val="28"/>
          <w:highlight w:val="none"/>
        </w:rPr>
        <w:t>总容积为</w:t>
      </w:r>
      <w:r>
        <w:rPr>
          <w:rFonts w:hint="eastAsia" w:ascii="Times New Roman" w:hAnsi="Times New Roman" w:cs="Times New Roman"/>
          <w:color w:val="auto"/>
          <w:spacing w:val="-4"/>
          <w:sz w:val="28"/>
          <w:szCs w:val="28"/>
          <w:highlight w:val="none"/>
          <w:lang w:val="en-US" w:eastAsia="zh-CN"/>
        </w:rPr>
        <w:t>250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175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一</w:t>
      </w:r>
      <w:r>
        <w:rPr>
          <w:rFonts w:hint="eastAsia" w:ascii="Times New Roman" w:hAnsi="Times New Roman" w:cs="Times New Roman"/>
          <w:color w:val="auto"/>
          <w:spacing w:val="-4"/>
          <w:sz w:val="28"/>
          <w:szCs w:val="28"/>
          <w:highlight w:val="none"/>
        </w:rPr>
        <w:t>级加油站。</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w:t>
      </w:r>
      <w:r>
        <w:rPr>
          <w:rFonts w:hint="eastAsia" w:ascii="Times New Roman" w:hAnsi="Times New Roman" w:cs="Times New Roman"/>
          <w:color w:val="auto"/>
          <w:sz w:val="28"/>
          <w:szCs w:val="28"/>
          <w:highlight w:val="none"/>
          <w:lang w:val="en-US" w:eastAsia="zh-CN"/>
        </w:rPr>
        <w:t>虔</w:t>
      </w:r>
      <w:r>
        <w:rPr>
          <w:rFonts w:hint="eastAsia" w:ascii="Times New Roman" w:hAnsi="Times New Roman" w:cs="Times New Roman"/>
          <w:color w:val="auto"/>
          <w:sz w:val="28"/>
          <w:szCs w:val="28"/>
          <w:highlight w:val="none"/>
        </w:rPr>
        <w:t>龙安经</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甲</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字[2023]</w:t>
      </w:r>
      <w:r>
        <w:rPr>
          <w:rFonts w:hint="eastAsia" w:ascii="Times New Roman" w:hAnsi="Times New Roman" w:cs="Times New Roman"/>
          <w:color w:val="auto"/>
          <w:sz w:val="28"/>
          <w:szCs w:val="28"/>
          <w:highlight w:val="none"/>
          <w:lang w:val="en-US" w:eastAsia="zh-CN"/>
        </w:rPr>
        <w:t>10</w:t>
      </w:r>
      <w:r>
        <w:rPr>
          <w:rFonts w:hint="eastAsia" w:ascii="Times New Roman" w:hAnsi="Times New Roman" w:cs="Times New Roman"/>
          <w:color w:val="auto"/>
          <w:sz w:val="28"/>
          <w:szCs w:val="28"/>
          <w:highlight w:val="none"/>
        </w:rPr>
        <w:t>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3470AE2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龙南石油分公司大广高速渡江服务区西加油站</w:t>
      </w:r>
      <w:r>
        <w:rPr>
          <w:rFonts w:hint="eastAsia" w:ascii="Times New Roman" w:hAnsi="Times New Roman" w:cs="宋体"/>
          <w:color w:val="auto"/>
          <w:sz w:val="28"/>
          <w:szCs w:val="28"/>
          <w:highlight w:val="none"/>
        </w:rPr>
        <w:t>安全设施符合性诊断及整改设计》。</w:t>
      </w:r>
    </w:p>
    <w:p w14:paraId="68FC4CFC">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龙南大广高速渡江服务区西加油站</w:t>
      </w:r>
      <w:r>
        <w:rPr>
          <w:rFonts w:hint="eastAsia" w:ascii="Times New Roman" w:hAnsi="Times New Roman" w:cs="宋体"/>
          <w:color w:val="auto"/>
          <w:sz w:val="28"/>
          <w:szCs w:val="28"/>
          <w:highlight w:val="none"/>
        </w:rPr>
        <w:t>进行安全设施符合性诊断及整改设计验收。</w:t>
      </w:r>
    </w:p>
    <w:p w14:paraId="019EF9FE">
      <w:pPr>
        <w:pStyle w:val="4"/>
        <w:rPr>
          <w:rFonts w:ascii="Times New Roman" w:hAnsi="Times New Roman" w:cs="Times New Roman"/>
          <w:color w:val="auto"/>
          <w:highlight w:val="none"/>
        </w:rPr>
      </w:pPr>
      <w:r>
        <w:rPr>
          <w:rFonts w:ascii="Times New Roman" w:hAnsi="Times New Roman" w:cs="Times New Roman"/>
          <w:color w:val="auto"/>
          <w:highlight w:val="none"/>
        </w:rPr>
        <w:t xml:space="preserve">2.1.2 </w:t>
      </w:r>
      <w:r>
        <w:rPr>
          <w:rFonts w:hint="eastAsia" w:ascii="Times New Roman" w:hAnsi="Times New Roman" w:cs="宋体"/>
          <w:color w:val="auto"/>
          <w:highlight w:val="none"/>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加油站情况简介如下表所示：</w:t>
      </w:r>
    </w:p>
    <w:p w14:paraId="63B06F9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2</w:t>
      </w:r>
      <w:r>
        <w:rPr>
          <w:rFonts w:hint="eastAsia" w:ascii="Times New Roman" w:hAnsi="Times New Roman" w:cs="宋体"/>
          <w:color w:val="auto"/>
          <w:sz w:val="24"/>
          <w:szCs w:val="24"/>
          <w:highlight w:val="none"/>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Times New Roman"/>
                <w:color w:val="auto"/>
                <w:highlight w:val="none"/>
              </w:rPr>
              <w:t>中国石化销售股份有限公司江西赣州</w:t>
            </w:r>
            <w:r>
              <w:rPr>
                <w:rFonts w:hint="eastAsia" w:ascii="Times New Roman" w:hAnsi="Times New Roman" w:cs="Times New Roman"/>
                <w:color w:val="auto"/>
                <w:highlight w:val="none"/>
                <w:lang w:eastAsia="zh-CN"/>
              </w:rPr>
              <w:t>龙南石油分公司大广高速渡江服务区西加油站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江西省龙南市大广高速渡江服务区西区</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highlight w:val="none"/>
                <w:lang w:eastAsia="zh-CN"/>
              </w:rPr>
            </w:pPr>
          </w:p>
        </w:tc>
        <w:tc>
          <w:tcPr>
            <w:tcW w:w="1226" w:type="dxa"/>
            <w:gridSpan w:val="2"/>
            <w:vAlign w:val="center"/>
          </w:tcPr>
          <w:p w14:paraId="51A931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传真</w:t>
            </w:r>
          </w:p>
        </w:tc>
        <w:tc>
          <w:tcPr>
            <w:tcW w:w="1734" w:type="dxa"/>
            <w:gridSpan w:val="5"/>
            <w:vAlign w:val="center"/>
          </w:tcPr>
          <w:p w14:paraId="20224B41">
            <w:pPr>
              <w:spacing w:line="260" w:lineRule="exact"/>
              <w:jc w:val="center"/>
              <w:rPr>
                <w:rFonts w:ascii="Times New Roman" w:hAnsi="Times New Roman" w:cs="宋体"/>
                <w:color w:val="auto"/>
                <w:highlight w:val="none"/>
              </w:rPr>
            </w:pPr>
          </w:p>
        </w:tc>
        <w:tc>
          <w:tcPr>
            <w:tcW w:w="1410" w:type="dxa"/>
            <w:gridSpan w:val="3"/>
            <w:vAlign w:val="center"/>
          </w:tcPr>
          <w:p w14:paraId="0154F7C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邮政编码</w:t>
            </w:r>
          </w:p>
        </w:tc>
        <w:tc>
          <w:tcPr>
            <w:tcW w:w="1754" w:type="dxa"/>
            <w:gridSpan w:val="2"/>
            <w:vAlign w:val="center"/>
          </w:tcPr>
          <w:p w14:paraId="0B7B2AD9">
            <w:pPr>
              <w:spacing w:line="260" w:lineRule="exact"/>
              <w:jc w:val="center"/>
              <w:rPr>
                <w:rFonts w:ascii="Times New Roman" w:hAnsi="Times New Roman" w:cs="宋体"/>
                <w:color w:val="auto"/>
                <w:highlight w:val="none"/>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企业类型</w:t>
            </w:r>
          </w:p>
        </w:tc>
        <w:tc>
          <w:tcPr>
            <w:tcW w:w="7837" w:type="dxa"/>
            <w:gridSpan w:val="16"/>
            <w:vAlign w:val="center"/>
          </w:tcPr>
          <w:p w14:paraId="2DFED4B7">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非法人类别</w:t>
            </w:r>
          </w:p>
        </w:tc>
        <w:tc>
          <w:tcPr>
            <w:tcW w:w="7837" w:type="dxa"/>
            <w:gridSpan w:val="16"/>
            <w:vAlign w:val="center"/>
          </w:tcPr>
          <w:p w14:paraId="42BF56BA">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经济类型</w:t>
            </w:r>
          </w:p>
        </w:tc>
        <w:tc>
          <w:tcPr>
            <w:tcW w:w="7837" w:type="dxa"/>
            <w:gridSpan w:val="16"/>
            <w:vAlign w:val="center"/>
          </w:tcPr>
          <w:p w14:paraId="59E7703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全民所有制☑      集体所有制□      私有制</w:t>
            </w:r>
            <w:r>
              <w:rPr>
                <w:rFonts w:hint="eastAsia" w:ascii="Times New Roman" w:hAnsi="Times New Roman" w:cs="宋体"/>
                <w:color w:val="auto"/>
                <w:highlight w:val="none"/>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登记机关</w:t>
            </w:r>
          </w:p>
        </w:tc>
        <w:tc>
          <w:tcPr>
            <w:tcW w:w="7837" w:type="dxa"/>
            <w:gridSpan w:val="16"/>
            <w:vAlign w:val="center"/>
          </w:tcPr>
          <w:p w14:paraId="71EDA62C">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魏培昌</w:t>
            </w:r>
          </w:p>
        </w:tc>
        <w:tc>
          <w:tcPr>
            <w:tcW w:w="1516" w:type="dxa"/>
            <w:gridSpan w:val="3"/>
            <w:vAlign w:val="center"/>
          </w:tcPr>
          <w:p w14:paraId="6F8D0DF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刘丽娟</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经营场所</w:t>
            </w:r>
          </w:p>
        </w:tc>
        <w:tc>
          <w:tcPr>
            <w:tcW w:w="1235" w:type="dxa"/>
            <w:gridSpan w:val="2"/>
            <w:vAlign w:val="center"/>
          </w:tcPr>
          <w:p w14:paraId="56730E9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江西省龙南市大广高速渡江服务区西区</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highlight w:val="none"/>
              </w:rPr>
            </w:pPr>
          </w:p>
        </w:tc>
        <w:tc>
          <w:tcPr>
            <w:tcW w:w="1235" w:type="dxa"/>
            <w:gridSpan w:val="2"/>
            <w:vAlign w:val="center"/>
          </w:tcPr>
          <w:p w14:paraId="475DA23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F2FD1B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储存设施</w:t>
            </w:r>
          </w:p>
        </w:tc>
        <w:tc>
          <w:tcPr>
            <w:tcW w:w="1235" w:type="dxa"/>
            <w:gridSpan w:val="2"/>
            <w:vAlign w:val="center"/>
          </w:tcPr>
          <w:p w14:paraId="06CCC30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5CA691D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中石化</w:t>
            </w:r>
            <w:r>
              <w:rPr>
                <w:rFonts w:hint="eastAsia" w:ascii="Times New Roman" w:hAnsi="Times New Roman" w:cs="宋体"/>
                <w:color w:val="auto"/>
                <w:highlight w:val="none"/>
                <w:lang w:eastAsia="zh-CN"/>
              </w:rPr>
              <w:t>龙南大广高速渡江服务区西加油站</w:t>
            </w:r>
            <w:r>
              <w:rPr>
                <w:rFonts w:hint="eastAsia" w:ascii="Times New Roman" w:hAnsi="Times New Roman" w:cs="宋体"/>
                <w:color w:val="auto"/>
                <w:highlight w:val="none"/>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highlight w:val="none"/>
              </w:rPr>
            </w:pPr>
          </w:p>
        </w:tc>
        <w:tc>
          <w:tcPr>
            <w:tcW w:w="1235" w:type="dxa"/>
            <w:gridSpan w:val="2"/>
            <w:vAlign w:val="center"/>
          </w:tcPr>
          <w:p w14:paraId="782C5AF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4具埋地单层卧式储罐，1具</w:t>
            </w:r>
            <w:r>
              <w:rPr>
                <w:rFonts w:hint="default" w:ascii="Times New Roman" w:hAnsi="Times New Roman" w:eastAsia="宋体" w:cs="宋体"/>
                <w:color w:val="auto"/>
                <w:highlight w:val="none"/>
                <w:lang w:val="en-US" w:eastAsia="zh-CN"/>
              </w:rPr>
              <w:t>SF双层储罐</w:t>
            </w:r>
          </w:p>
        </w:tc>
        <w:tc>
          <w:tcPr>
            <w:tcW w:w="1410" w:type="dxa"/>
            <w:gridSpan w:val="4"/>
            <w:vAlign w:val="center"/>
          </w:tcPr>
          <w:p w14:paraId="44FD5950">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储存能力</w:t>
            </w:r>
          </w:p>
        </w:tc>
        <w:tc>
          <w:tcPr>
            <w:tcW w:w="2626" w:type="dxa"/>
            <w:gridSpan w:val="4"/>
            <w:vAlign w:val="center"/>
          </w:tcPr>
          <w:p w14:paraId="437BF56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（总）</w:t>
            </w:r>
            <w:r>
              <w:rPr>
                <w:rFonts w:hint="eastAsia" w:ascii="Times New Roman" w:hAnsi="Times New Roman" w:cs="宋体"/>
                <w:color w:val="auto"/>
                <w:highlight w:val="none"/>
                <w:lang w:val="en-US" w:eastAsia="zh-CN"/>
              </w:rPr>
              <w:t>250</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，折算</w:t>
            </w:r>
            <w:r>
              <w:rPr>
                <w:rFonts w:hint="eastAsia" w:ascii="Times New Roman" w:hAnsi="Times New Roman" w:cs="宋体"/>
                <w:color w:val="auto"/>
                <w:highlight w:val="none"/>
                <w:lang w:val="en-US" w:eastAsia="zh-CN"/>
              </w:rPr>
              <w:t>175</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highlight w:val="none"/>
              </w:rPr>
            </w:pPr>
          </w:p>
        </w:tc>
        <w:tc>
          <w:tcPr>
            <w:tcW w:w="1235" w:type="dxa"/>
            <w:gridSpan w:val="2"/>
            <w:vAlign w:val="center"/>
          </w:tcPr>
          <w:p w14:paraId="0CF2A1C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C20A0F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lang w:eastAsia="zh-CN"/>
              </w:rPr>
              <w:t>☑</w:t>
            </w:r>
            <w:r>
              <w:rPr>
                <w:rFonts w:hint="eastAsia" w:ascii="Times New Roman" w:hAnsi="Times New Roman" w:cs="宋体"/>
                <w:color w:val="auto"/>
                <w:highlight w:val="none"/>
              </w:rPr>
              <w:t xml:space="preserve">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剧毒化学品</w:t>
            </w:r>
          </w:p>
        </w:tc>
        <w:tc>
          <w:tcPr>
            <w:tcW w:w="3052" w:type="dxa"/>
            <w:gridSpan w:val="7"/>
            <w:vAlign w:val="center"/>
          </w:tcPr>
          <w:p w14:paraId="7BDB5AFD">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成品油（储量）</w:t>
            </w:r>
          </w:p>
        </w:tc>
        <w:tc>
          <w:tcPr>
            <w:tcW w:w="3274" w:type="dxa"/>
            <w:gridSpan w:val="6"/>
            <w:vAlign w:val="center"/>
          </w:tcPr>
          <w:p w14:paraId="15AE0A1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157" w:type="dxa"/>
            <w:gridSpan w:val="2"/>
            <w:vAlign w:val="center"/>
          </w:tcPr>
          <w:p w14:paraId="6980D65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787" w:type="dxa"/>
            <w:gridSpan w:val="2"/>
            <w:vAlign w:val="center"/>
          </w:tcPr>
          <w:p w14:paraId="59CC390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95" w:type="dxa"/>
            <w:gridSpan w:val="2"/>
            <w:vAlign w:val="center"/>
          </w:tcPr>
          <w:p w14:paraId="0E20702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083" w:type="dxa"/>
            <w:gridSpan w:val="2"/>
            <w:vAlign w:val="center"/>
          </w:tcPr>
          <w:p w14:paraId="0048005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974" w:type="dxa"/>
            <w:gridSpan w:val="3"/>
            <w:vAlign w:val="center"/>
          </w:tcPr>
          <w:p w14:paraId="427F1A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69" w:type="dxa"/>
            <w:gridSpan w:val="3"/>
            <w:vAlign w:val="center"/>
          </w:tcPr>
          <w:p w14:paraId="4DA52AA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971" w:type="dxa"/>
            <w:gridSpan w:val="2"/>
            <w:vAlign w:val="center"/>
          </w:tcPr>
          <w:p w14:paraId="54225A5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1334" w:type="dxa"/>
            <w:vAlign w:val="center"/>
          </w:tcPr>
          <w:p w14:paraId="5B60DC8C">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highlight w:val="none"/>
              </w:rPr>
            </w:pPr>
          </w:p>
        </w:tc>
        <w:tc>
          <w:tcPr>
            <w:tcW w:w="1157" w:type="dxa"/>
            <w:gridSpan w:val="2"/>
            <w:vAlign w:val="center"/>
          </w:tcPr>
          <w:p w14:paraId="6CB4BFAE">
            <w:pPr>
              <w:spacing w:line="260" w:lineRule="exact"/>
              <w:jc w:val="center"/>
              <w:rPr>
                <w:rFonts w:ascii="Times New Roman" w:hAnsi="Times New Roman" w:cs="宋体"/>
                <w:color w:val="auto"/>
                <w:highlight w:val="none"/>
              </w:rPr>
            </w:pPr>
          </w:p>
        </w:tc>
        <w:tc>
          <w:tcPr>
            <w:tcW w:w="787" w:type="dxa"/>
            <w:gridSpan w:val="2"/>
            <w:vAlign w:val="center"/>
          </w:tcPr>
          <w:p w14:paraId="309C1C94">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4CC05A04">
            <w:pPr>
              <w:spacing w:line="260" w:lineRule="exact"/>
              <w:jc w:val="center"/>
              <w:rPr>
                <w:rFonts w:ascii="Times New Roman" w:hAnsi="Times New Roman" w:cs="宋体"/>
                <w:color w:val="auto"/>
                <w:highlight w:val="none"/>
              </w:rPr>
            </w:pPr>
          </w:p>
        </w:tc>
        <w:tc>
          <w:tcPr>
            <w:tcW w:w="971" w:type="dxa"/>
            <w:gridSpan w:val="2"/>
            <w:vAlign w:val="center"/>
          </w:tcPr>
          <w:p w14:paraId="5C7C732F">
            <w:pPr>
              <w:spacing w:line="260" w:lineRule="exact"/>
              <w:jc w:val="center"/>
              <w:rPr>
                <w:rFonts w:ascii="Times New Roman" w:hAnsi="Times New Roman" w:cs="宋体"/>
                <w:color w:val="auto"/>
                <w:highlight w:val="none"/>
              </w:rPr>
            </w:pPr>
          </w:p>
        </w:tc>
        <w:tc>
          <w:tcPr>
            <w:tcW w:w="1334" w:type="dxa"/>
            <w:vAlign w:val="center"/>
          </w:tcPr>
          <w:p w14:paraId="607EA6EE">
            <w:pPr>
              <w:spacing w:line="260" w:lineRule="exact"/>
              <w:jc w:val="center"/>
              <w:rPr>
                <w:rFonts w:ascii="Times New Roman" w:hAnsi="Times New Roman" w:cs="宋体"/>
                <w:color w:val="auto"/>
                <w:highlight w:val="none"/>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410C521F">
            <w:pPr>
              <w:spacing w:line="260" w:lineRule="exact"/>
              <w:jc w:val="center"/>
              <w:rPr>
                <w:rFonts w:ascii="Times New Roman" w:hAnsi="Times New Roman" w:cs="宋体"/>
                <w:color w:val="auto"/>
                <w:highlight w:val="none"/>
              </w:rPr>
            </w:pPr>
          </w:p>
        </w:tc>
        <w:tc>
          <w:tcPr>
            <w:tcW w:w="1157" w:type="dxa"/>
            <w:gridSpan w:val="2"/>
            <w:vAlign w:val="center"/>
          </w:tcPr>
          <w:p w14:paraId="362F30AC">
            <w:pPr>
              <w:spacing w:line="260" w:lineRule="exact"/>
              <w:jc w:val="center"/>
              <w:rPr>
                <w:rFonts w:ascii="Times New Roman" w:hAnsi="Times New Roman" w:cs="宋体"/>
                <w:color w:val="auto"/>
                <w:highlight w:val="none"/>
              </w:rPr>
            </w:pPr>
          </w:p>
        </w:tc>
        <w:tc>
          <w:tcPr>
            <w:tcW w:w="787" w:type="dxa"/>
            <w:gridSpan w:val="2"/>
            <w:vAlign w:val="center"/>
          </w:tcPr>
          <w:p w14:paraId="722DDC89">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0#柴油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车用</w:t>
            </w:r>
          </w:p>
        </w:tc>
        <w:tc>
          <w:tcPr>
            <w:tcW w:w="969" w:type="dxa"/>
            <w:gridSpan w:val="3"/>
            <w:vAlign w:val="center"/>
          </w:tcPr>
          <w:p w14:paraId="56D8FB21">
            <w:pPr>
              <w:spacing w:line="260" w:lineRule="exact"/>
              <w:jc w:val="center"/>
              <w:rPr>
                <w:rFonts w:ascii="Times New Roman" w:hAnsi="Times New Roman" w:cs="宋体"/>
                <w:color w:val="auto"/>
                <w:highlight w:val="none"/>
              </w:rPr>
            </w:pPr>
          </w:p>
        </w:tc>
        <w:tc>
          <w:tcPr>
            <w:tcW w:w="971" w:type="dxa"/>
            <w:gridSpan w:val="2"/>
            <w:vAlign w:val="center"/>
          </w:tcPr>
          <w:p w14:paraId="0F153FA9">
            <w:pPr>
              <w:spacing w:line="260" w:lineRule="exact"/>
              <w:jc w:val="center"/>
              <w:rPr>
                <w:rFonts w:ascii="Times New Roman" w:hAnsi="Times New Roman" w:cs="宋体"/>
                <w:color w:val="auto"/>
                <w:highlight w:val="none"/>
              </w:rPr>
            </w:pPr>
          </w:p>
        </w:tc>
        <w:tc>
          <w:tcPr>
            <w:tcW w:w="1334" w:type="dxa"/>
            <w:vAlign w:val="center"/>
          </w:tcPr>
          <w:p w14:paraId="154DA748">
            <w:pPr>
              <w:spacing w:line="260" w:lineRule="exact"/>
              <w:jc w:val="center"/>
              <w:rPr>
                <w:rFonts w:ascii="Times New Roman" w:hAnsi="Times New Roman" w:cs="宋体"/>
                <w:color w:val="auto"/>
                <w:highlight w:val="none"/>
              </w:rPr>
            </w:pPr>
          </w:p>
        </w:tc>
      </w:tr>
      <w:tr w14:paraId="3EE42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9EA69D0">
            <w:pPr>
              <w:spacing w:line="260" w:lineRule="exact"/>
              <w:jc w:val="center"/>
              <w:rPr>
                <w:rFonts w:ascii="Times New Roman" w:hAnsi="Times New Roman" w:cs="宋体"/>
                <w:color w:val="auto"/>
                <w:highlight w:val="none"/>
              </w:rPr>
            </w:pPr>
          </w:p>
        </w:tc>
        <w:tc>
          <w:tcPr>
            <w:tcW w:w="1157" w:type="dxa"/>
            <w:gridSpan w:val="2"/>
            <w:vAlign w:val="center"/>
          </w:tcPr>
          <w:p w14:paraId="4A250146">
            <w:pPr>
              <w:spacing w:line="260" w:lineRule="exact"/>
              <w:jc w:val="center"/>
              <w:rPr>
                <w:rFonts w:ascii="Times New Roman" w:hAnsi="Times New Roman" w:cs="宋体"/>
                <w:color w:val="auto"/>
                <w:highlight w:val="none"/>
              </w:rPr>
            </w:pPr>
          </w:p>
        </w:tc>
        <w:tc>
          <w:tcPr>
            <w:tcW w:w="787" w:type="dxa"/>
            <w:gridSpan w:val="2"/>
            <w:vAlign w:val="center"/>
          </w:tcPr>
          <w:p w14:paraId="34041B0B">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1E4083DA">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0#柴油</w:t>
            </w:r>
          </w:p>
        </w:tc>
        <w:tc>
          <w:tcPr>
            <w:tcW w:w="1083" w:type="dxa"/>
            <w:gridSpan w:val="2"/>
            <w:shd w:val="clear" w:color="auto" w:fill="auto"/>
            <w:vAlign w:val="center"/>
          </w:tcPr>
          <w:p w14:paraId="71AC19D7">
            <w:pPr>
              <w:spacing w:line="260" w:lineRule="exact"/>
              <w:jc w:val="center"/>
              <w:rPr>
                <w:rFonts w:hint="eastAsia" w:ascii="Times New Roman" w:hAnsi="Times New Roman" w:cs="宋体"/>
                <w:color w:val="auto"/>
                <w:highlight w:val="none"/>
                <w:lang w:val="en-US" w:eastAsia="zh-CN"/>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6743ABE">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38D9E635">
            <w:pPr>
              <w:spacing w:line="260" w:lineRule="exact"/>
              <w:jc w:val="center"/>
              <w:rPr>
                <w:rFonts w:ascii="Times New Roman" w:hAnsi="Times New Roman" w:cs="宋体"/>
                <w:color w:val="auto"/>
                <w:highlight w:val="none"/>
              </w:rPr>
            </w:pPr>
          </w:p>
        </w:tc>
        <w:tc>
          <w:tcPr>
            <w:tcW w:w="971" w:type="dxa"/>
            <w:gridSpan w:val="2"/>
            <w:vAlign w:val="center"/>
          </w:tcPr>
          <w:p w14:paraId="41265B05">
            <w:pPr>
              <w:spacing w:line="260" w:lineRule="exact"/>
              <w:jc w:val="center"/>
              <w:rPr>
                <w:rFonts w:ascii="Times New Roman" w:hAnsi="Times New Roman" w:cs="宋体"/>
                <w:color w:val="auto"/>
                <w:highlight w:val="none"/>
              </w:rPr>
            </w:pPr>
          </w:p>
        </w:tc>
        <w:tc>
          <w:tcPr>
            <w:tcW w:w="1334" w:type="dxa"/>
            <w:vAlign w:val="center"/>
          </w:tcPr>
          <w:p w14:paraId="31304B9F">
            <w:pPr>
              <w:spacing w:line="260" w:lineRule="exact"/>
              <w:jc w:val="center"/>
              <w:rPr>
                <w:rFonts w:ascii="Times New Roman" w:hAnsi="Times New Roman" w:cs="宋体"/>
                <w:color w:val="auto"/>
                <w:highlight w:val="none"/>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A3DAA61">
            <w:pPr>
              <w:spacing w:line="260" w:lineRule="exact"/>
              <w:jc w:val="center"/>
              <w:rPr>
                <w:rFonts w:ascii="Times New Roman" w:hAnsi="Times New Roman" w:cs="宋体"/>
                <w:color w:val="auto"/>
                <w:highlight w:val="none"/>
              </w:rPr>
            </w:pPr>
          </w:p>
        </w:tc>
        <w:tc>
          <w:tcPr>
            <w:tcW w:w="1157" w:type="dxa"/>
            <w:gridSpan w:val="2"/>
            <w:vAlign w:val="center"/>
          </w:tcPr>
          <w:p w14:paraId="1E8FE1ED">
            <w:pPr>
              <w:spacing w:line="260" w:lineRule="exact"/>
              <w:jc w:val="center"/>
              <w:rPr>
                <w:rFonts w:ascii="Times New Roman" w:hAnsi="Times New Roman" w:cs="宋体"/>
                <w:color w:val="auto"/>
                <w:highlight w:val="none"/>
              </w:rPr>
            </w:pPr>
          </w:p>
        </w:tc>
        <w:tc>
          <w:tcPr>
            <w:tcW w:w="787" w:type="dxa"/>
            <w:gridSpan w:val="2"/>
            <w:vAlign w:val="center"/>
          </w:tcPr>
          <w:p w14:paraId="33210FEB">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4529544E">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#汽油</w:t>
            </w:r>
          </w:p>
        </w:tc>
        <w:tc>
          <w:tcPr>
            <w:tcW w:w="1083" w:type="dxa"/>
            <w:gridSpan w:val="2"/>
            <w:shd w:val="clear" w:color="auto" w:fill="auto"/>
            <w:vAlign w:val="center"/>
          </w:tcPr>
          <w:p w14:paraId="0FD1F930">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63269DB9">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5BA8F62C">
            <w:pPr>
              <w:spacing w:line="260" w:lineRule="exact"/>
              <w:jc w:val="center"/>
              <w:rPr>
                <w:rFonts w:ascii="Times New Roman" w:hAnsi="Times New Roman" w:cs="宋体"/>
                <w:color w:val="auto"/>
                <w:highlight w:val="none"/>
              </w:rPr>
            </w:pPr>
          </w:p>
        </w:tc>
        <w:tc>
          <w:tcPr>
            <w:tcW w:w="971" w:type="dxa"/>
            <w:gridSpan w:val="2"/>
            <w:vAlign w:val="center"/>
          </w:tcPr>
          <w:p w14:paraId="552403A1">
            <w:pPr>
              <w:spacing w:line="260" w:lineRule="exact"/>
              <w:jc w:val="center"/>
              <w:rPr>
                <w:rFonts w:ascii="Times New Roman" w:hAnsi="Times New Roman" w:cs="宋体"/>
                <w:color w:val="auto"/>
                <w:highlight w:val="none"/>
              </w:rPr>
            </w:pPr>
          </w:p>
        </w:tc>
        <w:tc>
          <w:tcPr>
            <w:tcW w:w="1334" w:type="dxa"/>
            <w:vAlign w:val="center"/>
          </w:tcPr>
          <w:p w14:paraId="01E739E5">
            <w:pPr>
              <w:spacing w:line="260" w:lineRule="exact"/>
              <w:jc w:val="center"/>
              <w:rPr>
                <w:rFonts w:ascii="Times New Roman" w:hAnsi="Times New Roman" w:cs="宋体"/>
                <w:color w:val="auto"/>
                <w:highlight w:val="none"/>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3452D198">
            <w:pPr>
              <w:spacing w:line="260" w:lineRule="exact"/>
              <w:jc w:val="center"/>
              <w:rPr>
                <w:rFonts w:ascii="Times New Roman" w:hAnsi="Times New Roman" w:cs="宋体"/>
                <w:color w:val="auto"/>
                <w:highlight w:val="none"/>
              </w:rPr>
            </w:pPr>
          </w:p>
        </w:tc>
        <w:tc>
          <w:tcPr>
            <w:tcW w:w="1157" w:type="dxa"/>
            <w:gridSpan w:val="2"/>
            <w:vAlign w:val="center"/>
          </w:tcPr>
          <w:p w14:paraId="250C5BC6">
            <w:pPr>
              <w:spacing w:line="260" w:lineRule="exact"/>
              <w:jc w:val="center"/>
              <w:rPr>
                <w:rFonts w:ascii="Times New Roman" w:hAnsi="Times New Roman" w:cs="宋体"/>
                <w:color w:val="auto"/>
                <w:highlight w:val="none"/>
              </w:rPr>
            </w:pPr>
          </w:p>
        </w:tc>
        <w:tc>
          <w:tcPr>
            <w:tcW w:w="787" w:type="dxa"/>
            <w:gridSpan w:val="2"/>
            <w:vAlign w:val="center"/>
          </w:tcPr>
          <w:p w14:paraId="5FC3D5D2">
            <w:pPr>
              <w:spacing w:line="260" w:lineRule="exact"/>
              <w:jc w:val="center"/>
              <w:rPr>
                <w:rFonts w:ascii="Times New Roman" w:hAnsi="Times New Roman" w:cs="宋体"/>
                <w:color w:val="auto"/>
                <w:highlight w:val="none"/>
              </w:rPr>
            </w:pPr>
          </w:p>
        </w:tc>
        <w:tc>
          <w:tcPr>
            <w:tcW w:w="995" w:type="dxa"/>
            <w:gridSpan w:val="2"/>
            <w:vAlign w:val="center"/>
          </w:tcPr>
          <w:p w14:paraId="4A9CEB2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92#汽油</w:t>
            </w:r>
          </w:p>
        </w:tc>
        <w:tc>
          <w:tcPr>
            <w:tcW w:w="1083" w:type="dxa"/>
            <w:gridSpan w:val="2"/>
            <w:vAlign w:val="center"/>
          </w:tcPr>
          <w:p w14:paraId="025E120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vAlign w:val="center"/>
          </w:tcPr>
          <w:p w14:paraId="4480818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11113A07">
            <w:pPr>
              <w:spacing w:line="260" w:lineRule="exact"/>
              <w:jc w:val="center"/>
              <w:rPr>
                <w:rFonts w:ascii="Times New Roman" w:hAnsi="Times New Roman" w:cs="宋体"/>
                <w:color w:val="auto"/>
                <w:highlight w:val="none"/>
              </w:rPr>
            </w:pPr>
          </w:p>
        </w:tc>
        <w:tc>
          <w:tcPr>
            <w:tcW w:w="971" w:type="dxa"/>
            <w:gridSpan w:val="2"/>
            <w:vAlign w:val="center"/>
          </w:tcPr>
          <w:p w14:paraId="02E1C3B4">
            <w:pPr>
              <w:spacing w:line="260" w:lineRule="exact"/>
              <w:jc w:val="center"/>
              <w:rPr>
                <w:rFonts w:ascii="Times New Roman" w:hAnsi="Times New Roman" w:cs="宋体"/>
                <w:color w:val="auto"/>
                <w:highlight w:val="none"/>
              </w:rPr>
            </w:pPr>
          </w:p>
        </w:tc>
        <w:tc>
          <w:tcPr>
            <w:tcW w:w="1334" w:type="dxa"/>
            <w:vAlign w:val="center"/>
          </w:tcPr>
          <w:p w14:paraId="2898A6BE">
            <w:pPr>
              <w:spacing w:line="260" w:lineRule="exact"/>
              <w:jc w:val="center"/>
              <w:rPr>
                <w:rFonts w:ascii="Times New Roman" w:hAnsi="Times New Roman" w:cs="宋体"/>
                <w:color w:val="auto"/>
                <w:highlight w:val="none"/>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申请经营方式</w:t>
            </w:r>
          </w:p>
        </w:tc>
        <w:tc>
          <w:tcPr>
            <w:tcW w:w="7113" w:type="dxa"/>
            <w:gridSpan w:val="15"/>
            <w:vAlign w:val="center"/>
          </w:tcPr>
          <w:p w14:paraId="70F6F4E5">
            <w:pPr>
              <w:spacing w:line="260" w:lineRule="exact"/>
              <w:rPr>
                <w:rFonts w:ascii="Times New Roman" w:hAnsi="Times New Roman" w:cs="宋体"/>
                <w:color w:val="auto"/>
                <w:highlight w:val="none"/>
              </w:rPr>
            </w:pPr>
            <w:r>
              <w:rPr>
                <w:rFonts w:hint="eastAsia" w:ascii="Times New Roman" w:hAnsi="Times New Roman" w:cs="宋体"/>
                <w:color w:val="auto"/>
                <w:highlight w:val="none"/>
              </w:rPr>
              <w:t xml:space="preserve"> 零售</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诊断及整改设计单位</w:t>
            </w:r>
          </w:p>
        </w:tc>
        <w:tc>
          <w:tcPr>
            <w:tcW w:w="7113" w:type="dxa"/>
            <w:gridSpan w:val="15"/>
            <w:vAlign w:val="center"/>
          </w:tcPr>
          <w:p w14:paraId="02888BEF">
            <w:pPr>
              <w:spacing w:line="260" w:lineRule="exact"/>
              <w:rPr>
                <w:rFonts w:ascii="Times New Roman" w:hAnsi="Times New Roman" w:cs="宋体"/>
                <w:color w:val="auto"/>
                <w:highlight w:val="none"/>
              </w:rPr>
            </w:pPr>
            <w:r>
              <w:rPr>
                <w:rFonts w:hint="eastAsia" w:ascii="Times New Roman" w:hAnsi="Times New Roman" w:cs="宋体"/>
                <w:color w:val="auto"/>
                <w:highlight w:val="none"/>
              </w:rPr>
              <w:t>海湾工程有限公司，具有化工石化医药行业（化工工程）专业甲级资质</w:t>
            </w:r>
          </w:p>
        </w:tc>
      </w:tr>
    </w:tbl>
    <w:p w14:paraId="0E00C8FF">
      <w:pPr>
        <w:pStyle w:val="4"/>
        <w:spacing w:line="360" w:lineRule="auto"/>
        <w:rPr>
          <w:rFonts w:cs="Times New Roman"/>
          <w:color w:val="auto"/>
          <w:sz w:val="28"/>
          <w:szCs w:val="28"/>
          <w:highlight w:val="none"/>
        </w:rPr>
      </w:pPr>
      <w:bookmarkStart w:id="27" w:name="_Toc26252"/>
      <w:r>
        <w:rPr>
          <w:color w:val="auto"/>
          <w:sz w:val="28"/>
          <w:szCs w:val="28"/>
          <w:highlight w:val="none"/>
        </w:rPr>
        <w:t>2.1.3</w:t>
      </w:r>
      <w:r>
        <w:rPr>
          <w:rFonts w:hint="eastAsia" w:cs="宋体"/>
          <w:color w:val="auto"/>
          <w:sz w:val="28"/>
          <w:szCs w:val="28"/>
          <w:highlight w:val="none"/>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年</w:t>
      </w:r>
      <w:r>
        <w:rPr>
          <w:rFonts w:hint="eastAsia" w:ascii="Times New Roman" w:hAnsi="Times New Roman" w:cs="宋体"/>
          <w:color w:val="auto"/>
          <w:spacing w:val="-6"/>
          <w:sz w:val="28"/>
          <w:szCs w:val="28"/>
          <w:highlight w:val="none"/>
          <w:lang w:val="en-US" w:eastAsia="zh-CN"/>
        </w:rPr>
        <w:t>5</w:t>
      </w:r>
      <w:r>
        <w:rPr>
          <w:rFonts w:hint="eastAsia" w:ascii="Times New Roman" w:hAnsi="Times New Roman" w:cs="宋体"/>
          <w:color w:val="auto"/>
          <w:spacing w:val="-6"/>
          <w:sz w:val="28"/>
          <w:szCs w:val="28"/>
          <w:highlight w:val="none"/>
        </w:rPr>
        <w:t>月委托海湾工程有限公司出具了《中国石化销售股份有限公司江西赣州</w:t>
      </w:r>
      <w:r>
        <w:rPr>
          <w:rFonts w:hint="eastAsia" w:ascii="Times New Roman" w:hAnsi="Times New Roman" w:cs="宋体"/>
          <w:color w:val="auto"/>
          <w:spacing w:val="-6"/>
          <w:sz w:val="28"/>
          <w:szCs w:val="28"/>
          <w:highlight w:val="none"/>
          <w:lang w:eastAsia="zh-CN"/>
        </w:rPr>
        <w:t>龙南石油分公司大广高速渡江服务区西加油站</w:t>
      </w:r>
      <w:r>
        <w:rPr>
          <w:rFonts w:hint="eastAsia" w:ascii="Times New Roman" w:hAnsi="Times New Roman" w:cs="宋体"/>
          <w:color w:val="auto"/>
          <w:spacing w:val="-6"/>
          <w:sz w:val="28"/>
          <w:szCs w:val="28"/>
          <w:highlight w:val="none"/>
        </w:rPr>
        <w:t>安全设施符合性诊断及整改设计》，并通过专家审查。</w:t>
      </w:r>
    </w:p>
    <w:p w14:paraId="651FAA7E">
      <w:pPr>
        <w:pStyle w:val="32"/>
        <w:rPr>
          <w:rFonts w:ascii="Times New Roman"/>
          <w:color w:val="auto"/>
          <w:sz w:val="28"/>
          <w:szCs w:val="28"/>
          <w:highlight w:val="none"/>
        </w:rPr>
      </w:pPr>
      <w:r>
        <w:rPr>
          <w:rFonts w:hint="eastAsia" w:ascii="Times New Roman"/>
          <w:color w:val="auto"/>
          <w:sz w:val="28"/>
          <w:szCs w:val="28"/>
          <w:highlight w:val="none"/>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highlight w:val="none"/>
        </w:rPr>
      </w:pPr>
      <w:r>
        <w:rPr>
          <w:rFonts w:hint="eastAsia" w:ascii="Times New Roman"/>
          <w:color w:val="auto"/>
          <w:sz w:val="28"/>
          <w:szCs w:val="28"/>
          <w:highlight w:val="none"/>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highlight w:val="none"/>
          <w:lang w:val="en-US" w:eastAsia="zh-CN"/>
        </w:rPr>
        <w:t>5</w:t>
      </w:r>
      <w:r>
        <w:rPr>
          <w:rFonts w:hint="eastAsia" w:ascii="Times New Roman"/>
          <w:color w:val="auto"/>
          <w:sz w:val="28"/>
          <w:szCs w:val="28"/>
          <w:highlight w:val="none"/>
        </w:rPr>
        <w:t>章节。</w:t>
      </w:r>
    </w:p>
    <w:p w14:paraId="2065EC61">
      <w:pPr>
        <w:spacing w:line="360" w:lineRule="auto"/>
        <w:outlineLvl w:val="1"/>
        <w:rPr>
          <w:rStyle w:val="35"/>
          <w:color w:val="auto"/>
          <w:highlight w:val="none"/>
        </w:rPr>
      </w:pPr>
      <w:bookmarkStart w:id="28" w:name="_Toc26775"/>
      <w:r>
        <w:rPr>
          <w:rStyle w:val="35"/>
          <w:color w:val="auto"/>
          <w:highlight w:val="none"/>
        </w:rPr>
        <w:t xml:space="preserve">2.2 </w:t>
      </w:r>
      <w:r>
        <w:rPr>
          <w:rStyle w:val="35"/>
          <w:rFonts w:hint="eastAsia" w:cs="宋体"/>
          <w:color w:val="auto"/>
          <w:highlight w:val="none"/>
        </w:rPr>
        <w:t>加油站概况</w:t>
      </w:r>
      <w:bookmarkEnd w:id="27"/>
      <w:bookmarkEnd w:id="28"/>
    </w:p>
    <w:p w14:paraId="38A5320F">
      <w:pPr>
        <w:pStyle w:val="4"/>
        <w:spacing w:line="360" w:lineRule="auto"/>
        <w:rPr>
          <w:rFonts w:cs="Times New Roman"/>
          <w:color w:val="auto"/>
          <w:highlight w:val="none"/>
        </w:rPr>
      </w:pPr>
      <w:bookmarkStart w:id="29" w:name="_Toc25412"/>
      <w:r>
        <w:rPr>
          <w:color w:val="auto"/>
          <w:highlight w:val="none"/>
        </w:rPr>
        <w:t>2.2.1</w:t>
      </w:r>
      <w:r>
        <w:rPr>
          <w:rFonts w:hint="eastAsia" w:cs="宋体"/>
          <w:color w:val="auto"/>
          <w:highlight w:val="none"/>
        </w:rPr>
        <w:t>周边环境</w:t>
      </w:r>
      <w:bookmarkEnd w:id="29"/>
    </w:p>
    <w:p w14:paraId="2E520DC4">
      <w:pPr>
        <w:spacing w:line="360" w:lineRule="auto"/>
        <w:ind w:firstLine="560" w:firstLineChars="200"/>
        <w:jc w:val="left"/>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加油站地处</w:t>
      </w:r>
      <w:r>
        <w:rPr>
          <w:rFonts w:hint="eastAsia" w:ascii="Times New Roman" w:hAnsi="Times New Roman" w:cs="宋体"/>
          <w:color w:val="auto"/>
          <w:sz w:val="28"/>
          <w:szCs w:val="28"/>
          <w:highlight w:val="none"/>
          <w:lang w:eastAsia="zh-CN"/>
        </w:rPr>
        <w:t>江西省龙南市大广高速渡江服务区西区</w:t>
      </w:r>
      <w:r>
        <w:rPr>
          <w:rFonts w:hint="eastAsia" w:ascii="Times New Roman" w:hAnsi="Times New Roman" w:cs="宋体"/>
          <w:color w:val="auto"/>
          <w:sz w:val="28"/>
          <w:szCs w:val="28"/>
          <w:highlight w:val="none"/>
        </w:rPr>
        <w:t>。</w:t>
      </w:r>
    </w:p>
    <w:p w14:paraId="602B24BC">
      <w:pPr>
        <w:spacing w:line="360" w:lineRule="auto"/>
        <w:ind w:firstLine="560" w:firstLineChars="200"/>
        <w:jc w:val="left"/>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周边环境如下:</w:t>
      </w:r>
    </w:p>
    <w:p w14:paraId="447D21A3">
      <w:pPr>
        <w:spacing w:line="360" w:lineRule="auto"/>
        <w:ind w:firstLine="560" w:firstLineChars="200"/>
        <w:jc w:val="left"/>
        <w:rPr>
          <w:rFonts w:hint="eastAsia" w:ascii="Times New Roman" w:hAnsi="Times New Roman" w:eastAsia="宋体" w:cs="宋体"/>
          <w:color w:val="auto"/>
          <w:sz w:val="28"/>
          <w:szCs w:val="28"/>
          <w:highlight w:val="none"/>
          <w:lang w:eastAsia="zh-CN"/>
        </w:rPr>
      </w:pPr>
      <w:r>
        <w:rPr>
          <w:rFonts w:hint="eastAsia" w:ascii="Times New Roman" w:hAnsi="Times New Roman" w:cs="宋体"/>
          <w:color w:val="auto"/>
          <w:sz w:val="28"/>
          <w:szCs w:val="28"/>
          <w:highlight w:val="none"/>
        </w:rPr>
        <w:t>东南</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服务区辅道</w:t>
      </w:r>
      <w:r>
        <w:rPr>
          <w:rFonts w:hint="eastAsia" w:ascii="Times New Roman" w:hAnsi="Times New Roman" w:cs="宋体"/>
          <w:color w:val="auto"/>
          <w:sz w:val="28"/>
          <w:szCs w:val="28"/>
          <w:highlight w:val="none"/>
          <w:lang w:eastAsia="zh-CN"/>
        </w:rPr>
        <w:t>；</w:t>
      </w:r>
    </w:p>
    <w:p w14:paraId="2BE38591">
      <w:pPr>
        <w:spacing w:line="360" w:lineRule="auto"/>
        <w:ind w:firstLine="560" w:firstLineChars="200"/>
        <w:jc w:val="left"/>
        <w:rPr>
          <w:rFonts w:hint="eastAsia" w:ascii="Times New Roman" w:hAnsi="Times New Roman" w:eastAsia="宋体" w:cs="宋体"/>
          <w:color w:val="auto"/>
          <w:sz w:val="28"/>
          <w:szCs w:val="28"/>
          <w:highlight w:val="none"/>
          <w:lang w:eastAsia="zh-CN"/>
        </w:rPr>
      </w:pPr>
      <w:r>
        <w:rPr>
          <w:rFonts w:hint="eastAsia" w:ascii="Times New Roman" w:hAnsi="Times New Roman" w:cs="宋体"/>
          <w:color w:val="auto"/>
          <w:sz w:val="28"/>
          <w:szCs w:val="28"/>
          <w:highlight w:val="none"/>
        </w:rPr>
        <w:t>西北</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三级加气站</w:t>
      </w:r>
      <w:r>
        <w:rPr>
          <w:rFonts w:hint="eastAsia" w:ascii="Times New Roman" w:hAnsi="Times New Roman" w:cs="宋体"/>
          <w:color w:val="auto"/>
          <w:sz w:val="28"/>
          <w:szCs w:val="28"/>
          <w:highlight w:val="none"/>
          <w:lang w:eastAsia="zh-CN"/>
        </w:rPr>
        <w:t>；</w:t>
      </w:r>
    </w:p>
    <w:p w14:paraId="57EE8349">
      <w:pPr>
        <w:spacing w:line="360" w:lineRule="auto"/>
        <w:ind w:firstLine="560" w:firstLineChars="200"/>
        <w:jc w:val="left"/>
        <w:rPr>
          <w:rFonts w:hint="eastAsia" w:ascii="Times New Roman" w:hAnsi="Times New Roman" w:eastAsia="宋体" w:cs="宋体"/>
          <w:color w:val="auto"/>
          <w:sz w:val="28"/>
          <w:szCs w:val="28"/>
          <w:highlight w:val="none"/>
          <w:lang w:eastAsia="zh-CN"/>
        </w:rPr>
      </w:pPr>
      <w:r>
        <w:rPr>
          <w:rFonts w:hint="eastAsia" w:ascii="Times New Roman" w:hAnsi="Times New Roman" w:cs="宋体"/>
          <w:color w:val="auto"/>
          <w:sz w:val="28"/>
          <w:szCs w:val="28"/>
          <w:highlight w:val="none"/>
        </w:rPr>
        <w:t>西</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lang w:val="en-US" w:eastAsia="zh-CN"/>
        </w:rPr>
        <w:t>架空电力线（H=8m，有绝缘层）</w:t>
      </w:r>
      <w:r>
        <w:rPr>
          <w:rFonts w:hint="eastAsia" w:ascii="Times New Roman" w:hAnsi="Times New Roman" w:cs="宋体"/>
          <w:color w:val="auto"/>
          <w:sz w:val="28"/>
          <w:szCs w:val="28"/>
          <w:highlight w:val="none"/>
          <w:lang w:eastAsia="zh-CN"/>
        </w:rPr>
        <w:t>；</w:t>
      </w:r>
    </w:p>
    <w:p w14:paraId="328ED8C8">
      <w:pPr>
        <w:spacing w:line="360" w:lineRule="auto"/>
        <w:ind w:firstLine="560" w:firstLineChars="200"/>
        <w:jc w:val="left"/>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东北</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大广高速</w:t>
      </w:r>
      <w:r>
        <w:rPr>
          <w:rFonts w:hint="eastAsia" w:ascii="Times New Roman" w:hAnsi="Times New Roman" w:cs="宋体"/>
          <w:color w:val="auto"/>
          <w:sz w:val="28"/>
          <w:szCs w:val="28"/>
          <w:highlight w:val="none"/>
          <w:lang w:val="en-US" w:eastAsia="zh-CN"/>
        </w:rPr>
        <w:t>停车场（二类保护物）</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民用建筑(三类保护物)。</w:t>
      </w:r>
    </w:p>
    <w:p w14:paraId="52ACB481">
      <w:pPr>
        <w:spacing w:line="360" w:lineRule="auto"/>
        <w:ind w:firstLine="560" w:firstLineChars="200"/>
        <w:jc w:val="left"/>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2.2-1</w:t>
      </w:r>
      <w:r>
        <w:rPr>
          <w:rFonts w:hint="eastAsia" w:ascii="Times New Roman" w:hAnsi="Times New Roman" w:cs="宋体"/>
          <w:color w:val="auto"/>
          <w:sz w:val="24"/>
          <w:szCs w:val="24"/>
          <w:highlight w:val="none"/>
          <w:lang w:val="zh-CN"/>
        </w:rPr>
        <w:t xml:space="preserve"> 油罐、加油机和通气管管口与站外</w:t>
      </w:r>
      <w:r>
        <w:rPr>
          <w:rFonts w:hint="eastAsia" w:ascii="Times New Roman" w:hAnsi="Times New Roman" w:cs="宋体"/>
          <w:color w:val="auto"/>
          <w:sz w:val="24"/>
          <w:szCs w:val="24"/>
          <w:highlight w:val="none"/>
        </w:rPr>
        <w:t>建</w:t>
      </w:r>
      <w:r>
        <w:rPr>
          <w:rFonts w:hint="eastAsia" w:ascii="Times New Roman" w:hAnsi="Times New Roman" w:cs="宋体"/>
          <w:color w:val="auto"/>
          <w:sz w:val="24"/>
          <w:szCs w:val="24"/>
          <w:highlight w:val="none"/>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1331" w:type="dxa"/>
            <w:vAlign w:val="center"/>
          </w:tcPr>
          <w:p w14:paraId="451C56A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4108" w:type="dxa"/>
            <w:vAlign w:val="center"/>
          </w:tcPr>
          <w:p w14:paraId="2DAFAE0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331" w:type="dxa"/>
            <w:shd w:val="clear" w:color="auto" w:fill="auto"/>
            <w:vAlign w:val="center"/>
          </w:tcPr>
          <w:p w14:paraId="29F5502D">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东南</w:t>
            </w:r>
          </w:p>
        </w:tc>
        <w:tc>
          <w:tcPr>
            <w:tcW w:w="4108" w:type="dxa"/>
            <w:shd w:val="clear" w:color="auto" w:fill="auto"/>
            <w:vAlign w:val="center"/>
          </w:tcPr>
          <w:p w14:paraId="6A6C6792">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服务区辅道</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45.1/39.4</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65B0E06">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东北</w:t>
            </w:r>
          </w:p>
        </w:tc>
        <w:tc>
          <w:tcPr>
            <w:tcW w:w="4108" w:type="dxa"/>
            <w:shd w:val="clear" w:color="auto" w:fill="auto"/>
            <w:vAlign w:val="center"/>
          </w:tcPr>
          <w:p w14:paraId="21B79107">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大广高速停车场（二类保护物）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75.7/73.3</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0C8FD4">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东北</w:t>
            </w:r>
          </w:p>
        </w:tc>
        <w:tc>
          <w:tcPr>
            <w:tcW w:w="4108" w:type="dxa"/>
            <w:shd w:val="clear" w:color="auto" w:fill="auto"/>
            <w:vAlign w:val="center"/>
          </w:tcPr>
          <w:p w14:paraId="3492C104">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民用建筑(三类保护物)</w:t>
            </w:r>
          </w:p>
        </w:tc>
        <w:tc>
          <w:tcPr>
            <w:tcW w:w="1766" w:type="dxa"/>
            <w:vAlign w:val="center"/>
          </w:tcPr>
          <w:p w14:paraId="4D7C2EC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122.1/119.2</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5C86D44A">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西</w:t>
            </w:r>
          </w:p>
        </w:tc>
        <w:tc>
          <w:tcPr>
            <w:tcW w:w="4108" w:type="dxa"/>
            <w:shd w:val="clear" w:color="auto" w:fill="auto"/>
            <w:vAlign w:val="center"/>
          </w:tcPr>
          <w:p w14:paraId="6AE9C414">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架空电力线（H=8m，有绝缘层）</w:t>
            </w:r>
          </w:p>
        </w:tc>
        <w:tc>
          <w:tcPr>
            <w:tcW w:w="1766" w:type="dxa"/>
            <w:vAlign w:val="center"/>
          </w:tcPr>
          <w:p w14:paraId="0B8CB9F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21/14.7</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784A9943">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西北</w:t>
            </w:r>
          </w:p>
        </w:tc>
        <w:tc>
          <w:tcPr>
            <w:tcW w:w="4108" w:type="dxa"/>
            <w:shd w:val="clear" w:color="auto" w:fill="auto"/>
            <w:vAlign w:val="center"/>
          </w:tcPr>
          <w:p w14:paraId="3667D163">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LNG 储罐</w:t>
            </w:r>
          </w:p>
        </w:tc>
        <w:tc>
          <w:tcPr>
            <w:tcW w:w="1766" w:type="dxa"/>
            <w:vAlign w:val="center"/>
          </w:tcPr>
          <w:p w14:paraId="4692F15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58.1/50.6</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857CE03">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8CD819E">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西北</w:t>
            </w:r>
          </w:p>
        </w:tc>
        <w:tc>
          <w:tcPr>
            <w:tcW w:w="4108" w:type="dxa"/>
            <w:shd w:val="clear" w:color="auto" w:fill="auto"/>
            <w:vAlign w:val="center"/>
          </w:tcPr>
          <w:p w14:paraId="35187D54">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LNG加气机</w:t>
            </w:r>
          </w:p>
        </w:tc>
        <w:tc>
          <w:tcPr>
            <w:tcW w:w="1766" w:type="dxa"/>
            <w:vAlign w:val="center"/>
          </w:tcPr>
          <w:p w14:paraId="71464E9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56/48.5</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331" w:type="dxa"/>
            <w:shd w:val="clear" w:color="auto" w:fill="auto"/>
            <w:vAlign w:val="center"/>
          </w:tcPr>
          <w:p w14:paraId="41BEB26C">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东南</w:t>
            </w:r>
          </w:p>
        </w:tc>
        <w:tc>
          <w:tcPr>
            <w:tcW w:w="4108" w:type="dxa"/>
            <w:shd w:val="clear" w:color="auto" w:fill="auto"/>
            <w:vAlign w:val="center"/>
          </w:tcPr>
          <w:p w14:paraId="579F926E">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服务区辅道</w:t>
            </w:r>
          </w:p>
        </w:tc>
        <w:tc>
          <w:tcPr>
            <w:tcW w:w="1766" w:type="dxa"/>
            <w:vAlign w:val="center"/>
          </w:tcPr>
          <w:p w14:paraId="7A83C1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48.7/48.1</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B70D19F">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4108" w:type="dxa"/>
            <w:shd w:val="clear" w:color="auto" w:fill="auto"/>
            <w:vAlign w:val="center"/>
          </w:tcPr>
          <w:p w14:paraId="2BBA18E2">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大广高速停车场（二类保护物）</w:t>
            </w:r>
          </w:p>
        </w:tc>
        <w:tc>
          <w:tcPr>
            <w:tcW w:w="1766" w:type="dxa"/>
            <w:vAlign w:val="center"/>
          </w:tcPr>
          <w:p w14:paraId="6603C8F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85/82.7</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95AE19">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4108" w:type="dxa"/>
            <w:shd w:val="clear" w:color="auto" w:fill="auto"/>
            <w:vAlign w:val="center"/>
          </w:tcPr>
          <w:p w14:paraId="0BF903B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民用建筑(三类保护物)</w:t>
            </w:r>
          </w:p>
        </w:tc>
        <w:tc>
          <w:tcPr>
            <w:tcW w:w="1766" w:type="dxa"/>
            <w:vAlign w:val="center"/>
          </w:tcPr>
          <w:p w14:paraId="1142A2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131.4/128.4</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83A4C5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w:t>
            </w:r>
          </w:p>
        </w:tc>
        <w:tc>
          <w:tcPr>
            <w:tcW w:w="4108" w:type="dxa"/>
            <w:shd w:val="clear" w:color="auto" w:fill="auto"/>
            <w:vAlign w:val="center"/>
          </w:tcPr>
          <w:p w14:paraId="417BD428">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架空电力线（H=8m，有绝缘层）</w:t>
            </w:r>
          </w:p>
        </w:tc>
        <w:tc>
          <w:tcPr>
            <w:tcW w:w="1766" w:type="dxa"/>
            <w:vAlign w:val="center"/>
          </w:tcPr>
          <w:p w14:paraId="0959341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27.6/14.6</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49AB111">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4108" w:type="dxa"/>
            <w:shd w:val="clear" w:color="auto" w:fill="auto"/>
            <w:vAlign w:val="center"/>
          </w:tcPr>
          <w:p w14:paraId="2843946B">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 储罐</w:t>
            </w:r>
          </w:p>
        </w:tc>
        <w:tc>
          <w:tcPr>
            <w:tcW w:w="1766" w:type="dxa"/>
            <w:vAlign w:val="center"/>
          </w:tcPr>
          <w:p w14:paraId="6D7233B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64.6/51.4</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192BCA2">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796A0CEF">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4108" w:type="dxa"/>
            <w:shd w:val="clear" w:color="auto" w:fill="auto"/>
            <w:vAlign w:val="center"/>
          </w:tcPr>
          <w:p w14:paraId="4DA12510">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LNG加气机</w:t>
            </w:r>
          </w:p>
        </w:tc>
        <w:tc>
          <w:tcPr>
            <w:tcW w:w="1766" w:type="dxa"/>
            <w:vAlign w:val="center"/>
          </w:tcPr>
          <w:p w14:paraId="474B0C8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62.5/49.4</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r>
              <w:rPr>
                <w:rFonts w:hint="eastAsia" w:ascii="Times New Roman" w:hAnsi="Times New Roman" w:cs="Times New Roman"/>
                <w:color w:val="auto"/>
                <w:szCs w:val="24"/>
                <w:highlight w:val="none"/>
                <w:lang w:val="zh-CN"/>
              </w:rPr>
              <w:t>（</w:t>
            </w:r>
            <w:r>
              <w:rPr>
                <w:rFonts w:hint="eastAsia" w:ascii="Times New Roman" w:hAnsi="Times New Roman" w:cs="Times New Roman"/>
                <w:color w:val="auto"/>
                <w:szCs w:val="24"/>
                <w:highlight w:val="none"/>
                <w:lang w:val="en-US" w:eastAsia="zh-CN"/>
              </w:rPr>
              <w:t>西侧</w:t>
            </w:r>
            <w:r>
              <w:rPr>
                <w:rFonts w:hint="eastAsia" w:ascii="Times New Roman" w:hAnsi="Times New Roman" w:cs="Times New Roman"/>
                <w:color w:val="auto"/>
                <w:szCs w:val="24"/>
                <w:highlight w:val="none"/>
                <w:lang w:val="zh-CN"/>
              </w:rPr>
              <w:t>）</w:t>
            </w:r>
          </w:p>
        </w:tc>
        <w:tc>
          <w:tcPr>
            <w:tcW w:w="1331" w:type="dxa"/>
            <w:shd w:val="clear" w:color="auto" w:fill="auto"/>
            <w:vAlign w:val="center"/>
          </w:tcPr>
          <w:p w14:paraId="0B03ADE3">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东南</w:t>
            </w:r>
          </w:p>
        </w:tc>
        <w:tc>
          <w:tcPr>
            <w:tcW w:w="4108" w:type="dxa"/>
            <w:shd w:val="clear" w:color="auto" w:fill="auto"/>
            <w:vAlign w:val="center"/>
          </w:tcPr>
          <w:p w14:paraId="7E73B51B">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服务区辅道</w:t>
            </w:r>
          </w:p>
        </w:tc>
        <w:tc>
          <w:tcPr>
            <w:tcW w:w="1766" w:type="dxa"/>
            <w:vAlign w:val="center"/>
          </w:tcPr>
          <w:p w14:paraId="035C15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/56.2</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A7E2FB3">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4108" w:type="dxa"/>
            <w:shd w:val="clear" w:color="auto" w:fill="auto"/>
            <w:vAlign w:val="center"/>
          </w:tcPr>
          <w:p w14:paraId="48F2012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大广高速停车场（二类保护物）</w:t>
            </w:r>
          </w:p>
        </w:tc>
        <w:tc>
          <w:tcPr>
            <w:tcW w:w="1766" w:type="dxa"/>
            <w:vAlign w:val="center"/>
          </w:tcPr>
          <w:p w14:paraId="7AE4996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46.8/45.2</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3E49285">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4108" w:type="dxa"/>
            <w:shd w:val="clear" w:color="auto" w:fill="auto"/>
            <w:vAlign w:val="center"/>
          </w:tcPr>
          <w:p w14:paraId="5D45A3C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民用建筑(三类保护物)</w:t>
            </w:r>
          </w:p>
        </w:tc>
        <w:tc>
          <w:tcPr>
            <w:tcW w:w="1766" w:type="dxa"/>
            <w:vAlign w:val="center"/>
          </w:tcPr>
          <w:p w14:paraId="799DDE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92.7/91.4</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D4BE1C8">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w:t>
            </w:r>
          </w:p>
        </w:tc>
        <w:tc>
          <w:tcPr>
            <w:tcW w:w="4108" w:type="dxa"/>
            <w:shd w:val="clear" w:color="auto" w:fill="auto"/>
            <w:vAlign w:val="center"/>
          </w:tcPr>
          <w:p w14:paraId="280A22EA">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架空电力线（H=8m，有绝缘层）</w:t>
            </w:r>
          </w:p>
        </w:tc>
        <w:tc>
          <w:tcPr>
            <w:tcW w:w="1766" w:type="dxa"/>
            <w:vAlign w:val="center"/>
          </w:tcPr>
          <w:p w14:paraId="2F55087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35.3/37.1</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F38D9B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78F22A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4108" w:type="dxa"/>
            <w:shd w:val="clear" w:color="auto" w:fill="auto"/>
            <w:vAlign w:val="center"/>
          </w:tcPr>
          <w:p w14:paraId="684EB990">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 储罐</w:t>
            </w:r>
          </w:p>
        </w:tc>
        <w:tc>
          <w:tcPr>
            <w:tcW w:w="1766" w:type="dxa"/>
            <w:vAlign w:val="center"/>
          </w:tcPr>
          <w:p w14:paraId="3A37311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43.2/40.4</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E86BCE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56A5C71C">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4108" w:type="dxa"/>
            <w:shd w:val="clear" w:color="auto" w:fill="auto"/>
            <w:vAlign w:val="center"/>
          </w:tcPr>
          <w:p w14:paraId="027554AE">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LNG加气机</w:t>
            </w:r>
          </w:p>
        </w:tc>
        <w:tc>
          <w:tcPr>
            <w:tcW w:w="1766" w:type="dxa"/>
            <w:vAlign w:val="center"/>
          </w:tcPr>
          <w:p w14:paraId="1CF64E2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41/38.4</w:t>
            </w:r>
          </w:p>
        </w:tc>
      </w:tr>
      <w:tr w14:paraId="37EA9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shd w:val="clear" w:color="auto" w:fill="auto"/>
            <w:vAlign w:val="center"/>
          </w:tcPr>
          <w:p w14:paraId="0DBEDA90">
            <w:pPr>
              <w:spacing w:line="240" w:lineRule="exact"/>
              <w:jc w:val="center"/>
              <w:rPr>
                <w:rFonts w:ascii="Times New Roman" w:hAnsi="Times New Roman" w:eastAsia="宋体" w:cs="Times New Roman"/>
                <w:bCs/>
                <w:color w:val="auto"/>
                <w:kern w:val="2"/>
                <w:sz w:val="21"/>
                <w:szCs w:val="24"/>
                <w:highlight w:val="none"/>
                <w:lang w:val="en-US" w:eastAsia="zh-CN" w:bidi="ar-SA"/>
              </w:rPr>
            </w:pPr>
            <w:bookmarkStart w:id="30" w:name="_Toc7824"/>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p w14:paraId="28B51148">
            <w:pPr>
              <w:spacing w:line="240" w:lineRule="exact"/>
              <w:jc w:val="center"/>
              <w:rPr>
                <w:rFonts w:hint="eastAsia" w:ascii="Times New Roman" w:hAnsi="Times New Roman" w:eastAsia="宋体" w:cs="Times New Roman"/>
                <w:bCs/>
                <w:color w:val="auto"/>
                <w:szCs w:val="24"/>
                <w:highlight w:val="none"/>
                <w:lang w:eastAsia="zh-CN"/>
              </w:rPr>
            </w:pP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东侧</w:t>
            </w:r>
            <w:r>
              <w:rPr>
                <w:rFonts w:hint="eastAsia" w:ascii="Times New Roman" w:hAnsi="Times New Roman" w:cs="Times New Roman"/>
                <w:bCs/>
                <w:color w:val="auto"/>
                <w:szCs w:val="24"/>
                <w:highlight w:val="none"/>
                <w:lang w:eastAsia="zh-CN"/>
              </w:rPr>
              <w:t>）</w:t>
            </w:r>
          </w:p>
        </w:tc>
        <w:tc>
          <w:tcPr>
            <w:tcW w:w="1331" w:type="dxa"/>
            <w:shd w:val="clear" w:color="auto" w:fill="auto"/>
            <w:vAlign w:val="center"/>
          </w:tcPr>
          <w:p w14:paraId="4F2B160D">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东南</w:t>
            </w:r>
          </w:p>
        </w:tc>
        <w:tc>
          <w:tcPr>
            <w:tcW w:w="4108" w:type="dxa"/>
            <w:shd w:val="clear" w:color="auto" w:fill="auto"/>
            <w:vAlign w:val="center"/>
          </w:tcPr>
          <w:p w14:paraId="7109C3ED">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服务区辅道</w:t>
            </w:r>
          </w:p>
        </w:tc>
        <w:tc>
          <w:tcPr>
            <w:tcW w:w="1766" w:type="dxa"/>
            <w:vAlign w:val="center"/>
          </w:tcPr>
          <w:p w14:paraId="10CC07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17.6/17.6</w:t>
            </w:r>
          </w:p>
        </w:tc>
      </w:tr>
      <w:tr w14:paraId="66FB2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B6FEEA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5910B6E">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4108" w:type="dxa"/>
            <w:shd w:val="clear" w:color="auto" w:fill="auto"/>
            <w:vAlign w:val="center"/>
          </w:tcPr>
          <w:p w14:paraId="4DA14E09">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大广高速停车场（二类保护物）</w:t>
            </w:r>
          </w:p>
        </w:tc>
        <w:tc>
          <w:tcPr>
            <w:tcW w:w="1766" w:type="dxa"/>
            <w:vAlign w:val="center"/>
          </w:tcPr>
          <w:p w14:paraId="1906A735">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31.4/39.7</w:t>
            </w:r>
          </w:p>
        </w:tc>
      </w:tr>
      <w:tr w14:paraId="523D80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9FAC7E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5FDFE7F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4108" w:type="dxa"/>
            <w:shd w:val="clear" w:color="auto" w:fill="auto"/>
            <w:vAlign w:val="center"/>
          </w:tcPr>
          <w:p w14:paraId="00BA34DD">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民用建筑(三类保护物)</w:t>
            </w:r>
          </w:p>
        </w:tc>
        <w:tc>
          <w:tcPr>
            <w:tcW w:w="1766" w:type="dxa"/>
            <w:vAlign w:val="center"/>
          </w:tcPr>
          <w:p w14:paraId="39839B8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74.6/79</w:t>
            </w:r>
          </w:p>
        </w:tc>
      </w:tr>
      <w:tr w14:paraId="00F0D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151E29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B51035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w:t>
            </w:r>
          </w:p>
        </w:tc>
        <w:tc>
          <w:tcPr>
            <w:tcW w:w="4108" w:type="dxa"/>
            <w:shd w:val="clear" w:color="auto" w:fill="auto"/>
            <w:vAlign w:val="center"/>
          </w:tcPr>
          <w:p w14:paraId="0BD21E2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架空电力线（H=8m，有绝缘层）</w:t>
            </w:r>
          </w:p>
        </w:tc>
        <w:tc>
          <w:tcPr>
            <w:tcW w:w="1766" w:type="dxa"/>
            <w:vAlign w:val="center"/>
          </w:tcPr>
          <w:p w14:paraId="6C6587D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64.2/73.5</w:t>
            </w:r>
          </w:p>
        </w:tc>
      </w:tr>
      <w:tr w14:paraId="6671D3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444D663">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544893B9">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4108" w:type="dxa"/>
            <w:shd w:val="clear" w:color="auto" w:fill="auto"/>
            <w:vAlign w:val="center"/>
          </w:tcPr>
          <w:p w14:paraId="7751D1EF">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 储罐</w:t>
            </w:r>
          </w:p>
        </w:tc>
        <w:tc>
          <w:tcPr>
            <w:tcW w:w="1766" w:type="dxa"/>
            <w:vAlign w:val="center"/>
          </w:tcPr>
          <w:p w14:paraId="70D734C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77/89</w:t>
            </w:r>
          </w:p>
        </w:tc>
      </w:tr>
      <w:tr w14:paraId="551F9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EFC725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2B67A89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4108" w:type="dxa"/>
            <w:shd w:val="clear" w:color="auto" w:fill="auto"/>
            <w:vAlign w:val="center"/>
          </w:tcPr>
          <w:p w14:paraId="3E09A666">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LNG加气机</w:t>
            </w:r>
          </w:p>
        </w:tc>
        <w:tc>
          <w:tcPr>
            <w:tcW w:w="1766" w:type="dxa"/>
            <w:vAlign w:val="center"/>
          </w:tcPr>
          <w:p w14:paraId="5B55335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75/87</w:t>
            </w:r>
          </w:p>
        </w:tc>
      </w:tr>
    </w:tbl>
    <w:p w14:paraId="0FB26A44">
      <w:pPr>
        <w:pStyle w:val="4"/>
        <w:spacing w:line="360" w:lineRule="auto"/>
        <w:rPr>
          <w:rFonts w:cs="Times New Roman"/>
          <w:color w:val="auto"/>
          <w:sz w:val="28"/>
          <w:szCs w:val="28"/>
          <w:highlight w:val="none"/>
        </w:rPr>
      </w:pPr>
      <w:r>
        <w:rPr>
          <w:color w:val="auto"/>
          <w:sz w:val="28"/>
          <w:szCs w:val="28"/>
          <w:highlight w:val="none"/>
        </w:rPr>
        <w:t>2.2.3</w:t>
      </w:r>
      <w:r>
        <w:rPr>
          <w:rFonts w:hint="eastAsia" w:cs="宋体"/>
          <w:color w:val="auto"/>
          <w:sz w:val="28"/>
          <w:szCs w:val="28"/>
          <w:highlight w:val="none"/>
        </w:rPr>
        <w:t>总图及平面布置</w:t>
      </w:r>
      <w:bookmarkEnd w:id="30"/>
    </w:p>
    <w:p w14:paraId="257969F2">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该加油站总平面布置按功能划分为加油区、站房、油罐区、密闭卸油口等。站区东南面临大广高速，西北面为加气站，西面为空地，东北面为高速服务区，西面设置2.2m高围墙与站外分隔。</w:t>
      </w:r>
    </w:p>
    <w:p w14:paraId="20F92D26">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加油站站区内地势平坦，坡向道路，地面坡度&lt;2%。站内混凝土路面与站外道路相连，进口、出口分开设置。</w:t>
      </w:r>
    </w:p>
    <w:p w14:paraId="696AF2B5">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站房</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位于站区中部，单层建筑，占地面积234m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，内设营业厅、便利店、站长室、值班室、配电间、发电机房等。</w:t>
      </w:r>
    </w:p>
    <w:p w14:paraId="37530723">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加油区</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加油区分为2块，分别位于站房西侧和东侧，罩棚净空高度9.6m，占地面积1123.5m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。罩棚共6根现浇钢筋混凝土立柱，顶为轻钢结构彩钢瓦顶</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内设有6座加油岛，加油岛上共设8台加油机(6台四枪，1台双枪，1台6枪)、3台尿素加注机。</w:t>
      </w:r>
    </w:p>
    <w:p w14:paraId="2808E65E">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油罐区</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位于站区西侧地下，本站油罐区分两部分，V</w:t>
      </w:r>
      <w:r>
        <w:rPr>
          <w:rFonts w:hint="eastAsia" w:ascii="Times New Roman" w:hAnsi="Times New Roman" w:cs="Times New Roman"/>
          <w:color w:val="auto"/>
          <w:sz w:val="28"/>
          <w:szCs w:val="28"/>
          <w:highlight w:val="none"/>
          <w:lang w:val="en-US" w:eastAsia="zh-CN"/>
        </w:rPr>
        <w:t>0</w:t>
      </w:r>
      <w:r>
        <w:rPr>
          <w:rFonts w:hint="eastAsia" w:ascii="Times New Roman" w:hAnsi="Times New Roman" w:cs="Times New Roman"/>
          <w:color w:val="auto"/>
          <w:sz w:val="28"/>
          <w:szCs w:val="28"/>
          <w:highlight w:val="none"/>
        </w:rPr>
        <w:t>1-V04为4台单层埋地卧式油罐</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95#汽油储罐1台，92#汽油储罐1台，0#柴油储罐2台，储罐容积均为50m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，置于防渗罐池内，直埋敷设。V</w:t>
      </w:r>
      <w:r>
        <w:rPr>
          <w:rFonts w:hint="eastAsia" w:ascii="Times New Roman" w:hAnsi="Times New Roman" w:cs="Times New Roman"/>
          <w:color w:val="auto"/>
          <w:sz w:val="28"/>
          <w:szCs w:val="28"/>
          <w:highlight w:val="none"/>
          <w:lang w:val="en-US" w:eastAsia="zh-CN"/>
        </w:rPr>
        <w:t>0</w:t>
      </w:r>
      <w:r>
        <w:rPr>
          <w:rFonts w:hint="eastAsia" w:ascii="Times New Roman" w:hAnsi="Times New Roman" w:cs="Times New Roman"/>
          <w:color w:val="auto"/>
          <w:sz w:val="28"/>
          <w:szCs w:val="28"/>
          <w:highlight w:val="none"/>
        </w:rPr>
        <w:t>5为双层卧式埋地柴油储罐，直埋敷设，储罐容积为50m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。储罐区折合成汽油总容量为175m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(柴油折半计算)。油罐通气管为DN50无缝钢管，通气管口高出地面4m。</w:t>
      </w:r>
    </w:p>
    <w:p w14:paraId="43945BD1">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密闭卸油口</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位于罐区东侧围堰，旁边设置1座2m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消防沙池，1个消防器材箱。</w:t>
      </w:r>
    </w:p>
    <w:p w14:paraId="026027F0">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隔油池:站区东侧入口旁绿化带内设有5m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隔油池一座。</w:t>
      </w:r>
    </w:p>
    <w:p w14:paraId="4FE59C4F">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站内设施防火间距详见下表。</w:t>
      </w:r>
    </w:p>
    <w:p w14:paraId="10B2E0F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2.2-2</w:t>
      </w:r>
      <w:r>
        <w:rPr>
          <w:rFonts w:hint="eastAsia" w:ascii="Times New Roman" w:hAnsi="Times New Roman" w:cs="宋体"/>
          <w:color w:val="auto"/>
          <w:sz w:val="24"/>
          <w:szCs w:val="24"/>
          <w:highlight w:val="none"/>
          <w:lang w:val="zh-CN"/>
        </w:rPr>
        <w:t>站内加油设施之间防火间距</w:t>
      </w:r>
      <w:r>
        <w:rPr>
          <w:rFonts w:hint="eastAsia" w:ascii="Times New Roman" w:hAnsi="Times New Roman" w:cs="宋体"/>
          <w:color w:val="auto"/>
          <w:sz w:val="24"/>
          <w:szCs w:val="24"/>
          <w:highlight w:val="none"/>
        </w:rPr>
        <w:t>表</w:t>
      </w:r>
    </w:p>
    <w:tbl>
      <w:tblPr>
        <w:tblStyle w:val="25"/>
        <w:tblW w:w="539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5"/>
        <w:gridCol w:w="2416"/>
        <w:gridCol w:w="3470"/>
        <w:gridCol w:w="1878"/>
        <w:gridCol w:w="1595"/>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32" w:type="pct"/>
            <w:vAlign w:val="center"/>
          </w:tcPr>
          <w:p w14:paraId="63C8415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230" w:type="pct"/>
            <w:vAlign w:val="center"/>
          </w:tcPr>
          <w:p w14:paraId="389EA6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767" w:type="pct"/>
            <w:vAlign w:val="center"/>
          </w:tcPr>
          <w:p w14:paraId="1172C92D">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956" w:type="pct"/>
            <w:vAlign w:val="center"/>
          </w:tcPr>
          <w:p w14:paraId="15845D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12" w:type="pct"/>
            <w:vAlign w:val="center"/>
          </w:tcPr>
          <w:p w14:paraId="1171369A">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1F8793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767" w:type="pct"/>
            <w:vAlign w:val="center"/>
          </w:tcPr>
          <w:p w14:paraId="5D09655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956" w:type="pct"/>
            <w:vAlign w:val="center"/>
          </w:tcPr>
          <w:p w14:paraId="18908505">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12" w:type="pct"/>
            <w:vAlign w:val="center"/>
          </w:tcPr>
          <w:p w14:paraId="7116D2DB">
            <w:pPr>
              <w:jc w:val="center"/>
              <w:rPr>
                <w:rFonts w:hint="eastAsia"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AE242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7" w:type="pct"/>
            <w:vAlign w:val="center"/>
          </w:tcPr>
          <w:p w14:paraId="5E42B47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C376AE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641560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31.7</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C47EE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7" w:type="pct"/>
            <w:vAlign w:val="center"/>
          </w:tcPr>
          <w:p w14:paraId="610087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7E1F47A">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12" w:type="pct"/>
            <w:vAlign w:val="center"/>
          </w:tcPr>
          <w:p w14:paraId="6D5C57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31</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7" w:type="pct"/>
            <w:shd w:val="clear" w:color="auto" w:fill="auto"/>
            <w:vAlign w:val="center"/>
          </w:tcPr>
          <w:p w14:paraId="1CA4E3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3B9C73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24A83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4.4</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7" w:type="pct"/>
            <w:shd w:val="clear" w:color="auto" w:fill="auto"/>
            <w:vAlign w:val="center"/>
          </w:tcPr>
          <w:p w14:paraId="70C7614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28979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76D1E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4.4</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ECAED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7" w:type="pct"/>
            <w:vAlign w:val="center"/>
          </w:tcPr>
          <w:p w14:paraId="2BF246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5BE649E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12" w:type="pct"/>
            <w:vAlign w:val="center"/>
          </w:tcPr>
          <w:p w14:paraId="788784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40.6</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CF06C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7" w:type="pct"/>
            <w:vAlign w:val="center"/>
          </w:tcPr>
          <w:p w14:paraId="2F5725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FC2275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12" w:type="pct"/>
            <w:vAlign w:val="center"/>
          </w:tcPr>
          <w:p w14:paraId="701F5B3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40.6</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AB1A6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7" w:type="pct"/>
            <w:vAlign w:val="center"/>
          </w:tcPr>
          <w:p w14:paraId="0E575D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47748C4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12" w:type="pct"/>
            <w:vAlign w:val="center"/>
          </w:tcPr>
          <w:p w14:paraId="689925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10.5</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1DBBC7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7" w:type="pct"/>
            <w:vAlign w:val="center"/>
          </w:tcPr>
          <w:p w14:paraId="5D3FAC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74D3D47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12" w:type="pct"/>
            <w:vAlign w:val="center"/>
          </w:tcPr>
          <w:p w14:paraId="57094F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10.5</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D38E3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7" w:type="pct"/>
            <w:vAlign w:val="center"/>
          </w:tcPr>
          <w:p w14:paraId="5EE013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6D24C3B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F5F04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6.7</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7AE9A3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7" w:type="pct"/>
            <w:vAlign w:val="center"/>
          </w:tcPr>
          <w:p w14:paraId="732760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258124E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18B6309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6.7</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B6ACC0A">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西</w:t>
            </w:r>
            <w:r>
              <w:rPr>
                <w:rFonts w:hint="eastAsia" w:ascii="Times New Roman" w:hAnsi="Times New Roman" w:cs="Times New Roman"/>
                <w:color w:val="auto"/>
                <w:kern w:val="0"/>
                <w:highlight w:val="none"/>
                <w:lang w:eastAsia="zh-CN"/>
              </w:rPr>
              <w:t>）</w:t>
            </w:r>
          </w:p>
        </w:tc>
        <w:tc>
          <w:tcPr>
            <w:tcW w:w="1767" w:type="pct"/>
            <w:vAlign w:val="center"/>
          </w:tcPr>
          <w:p w14:paraId="255F9B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15E85BF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3568E4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F64E8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西</w:t>
            </w:r>
            <w:r>
              <w:rPr>
                <w:rFonts w:hint="eastAsia" w:ascii="Times New Roman" w:hAnsi="Times New Roman" w:cs="Times New Roman"/>
                <w:color w:val="auto"/>
                <w:kern w:val="0"/>
                <w:highlight w:val="none"/>
                <w:lang w:eastAsia="zh-CN"/>
              </w:rPr>
              <w:t>）</w:t>
            </w:r>
          </w:p>
        </w:tc>
        <w:tc>
          <w:tcPr>
            <w:tcW w:w="1767" w:type="pct"/>
            <w:vAlign w:val="center"/>
          </w:tcPr>
          <w:p w14:paraId="2C58A0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0CC1C0D2">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098C52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w:t>
            </w:r>
          </w:p>
        </w:tc>
      </w:tr>
      <w:tr w14:paraId="56C3F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2C7F45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499448FA">
            <w:pPr>
              <w:autoSpaceDE w:val="0"/>
              <w:autoSpaceDN w:val="0"/>
              <w:jc w:val="center"/>
              <w:rPr>
                <w:rFonts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东</w:t>
            </w:r>
            <w:r>
              <w:rPr>
                <w:rFonts w:hint="eastAsia" w:ascii="Times New Roman" w:hAnsi="Times New Roman" w:cs="Times New Roman"/>
                <w:color w:val="auto"/>
                <w:kern w:val="0"/>
                <w:highlight w:val="none"/>
                <w:lang w:eastAsia="zh-CN"/>
              </w:rPr>
              <w:t>）</w:t>
            </w:r>
          </w:p>
        </w:tc>
        <w:tc>
          <w:tcPr>
            <w:tcW w:w="1767" w:type="pct"/>
            <w:shd w:val="clear" w:color="auto" w:fill="auto"/>
            <w:vAlign w:val="center"/>
          </w:tcPr>
          <w:p w14:paraId="5E4C9E74">
            <w:pPr>
              <w:autoSpaceDE w:val="0"/>
              <w:autoSpaceDN w:val="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cs="Times New Roman"/>
                <w:color w:val="auto"/>
                <w:kern w:val="0"/>
                <w:highlight w:val="none"/>
              </w:rPr>
              <w:t>站房</w:t>
            </w:r>
          </w:p>
        </w:tc>
        <w:tc>
          <w:tcPr>
            <w:tcW w:w="956" w:type="pct"/>
            <w:shd w:val="clear" w:color="auto" w:fill="auto"/>
            <w:vAlign w:val="center"/>
          </w:tcPr>
          <w:p w14:paraId="5B0FF636">
            <w:pPr>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812" w:type="pct"/>
            <w:vAlign w:val="center"/>
          </w:tcPr>
          <w:p w14:paraId="7F2515A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8.5</w:t>
            </w:r>
          </w:p>
        </w:tc>
      </w:tr>
      <w:tr w14:paraId="2FE7F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70F949B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436C4D6">
            <w:pPr>
              <w:autoSpaceDE w:val="0"/>
              <w:autoSpaceDN w:val="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cs="Times New Roman"/>
                <w:color w:val="auto"/>
                <w:kern w:val="0"/>
                <w:highlight w:val="none"/>
              </w:rPr>
              <w:t>柴油加油机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东</w:t>
            </w:r>
            <w:r>
              <w:rPr>
                <w:rFonts w:hint="eastAsia" w:ascii="Times New Roman" w:hAnsi="Times New Roman" w:cs="Times New Roman"/>
                <w:color w:val="auto"/>
                <w:kern w:val="0"/>
                <w:highlight w:val="none"/>
                <w:lang w:eastAsia="zh-CN"/>
              </w:rPr>
              <w:t>）</w:t>
            </w:r>
          </w:p>
        </w:tc>
        <w:tc>
          <w:tcPr>
            <w:tcW w:w="1767" w:type="pct"/>
            <w:shd w:val="clear" w:color="auto" w:fill="auto"/>
            <w:vAlign w:val="center"/>
          </w:tcPr>
          <w:p w14:paraId="782ECE35">
            <w:pPr>
              <w:autoSpaceDE w:val="0"/>
              <w:autoSpaceDN w:val="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cs="Times New Roman"/>
                <w:color w:val="auto"/>
                <w:kern w:val="0"/>
                <w:highlight w:val="none"/>
              </w:rPr>
              <w:t>站房</w:t>
            </w:r>
          </w:p>
        </w:tc>
        <w:tc>
          <w:tcPr>
            <w:tcW w:w="956" w:type="pct"/>
            <w:shd w:val="clear" w:color="auto" w:fill="auto"/>
            <w:vAlign w:val="center"/>
          </w:tcPr>
          <w:p w14:paraId="5517D283">
            <w:pPr>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812" w:type="pct"/>
            <w:vAlign w:val="center"/>
          </w:tcPr>
          <w:p w14:paraId="7517909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20.5</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37D8B9A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6CA305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767" w:type="pct"/>
            <w:vAlign w:val="center"/>
          </w:tcPr>
          <w:p w14:paraId="7DA0B3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D1A16C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4385A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28.5</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46415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767" w:type="pct"/>
            <w:vAlign w:val="center"/>
          </w:tcPr>
          <w:p w14:paraId="2544C99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E321E6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12" w:type="pct"/>
            <w:vAlign w:val="center"/>
          </w:tcPr>
          <w:p w14:paraId="7ED340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45.7</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D50C0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7" w:type="pct"/>
            <w:vAlign w:val="center"/>
          </w:tcPr>
          <w:p w14:paraId="23D01F4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43FEEA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12" w:type="pct"/>
            <w:vAlign w:val="center"/>
          </w:tcPr>
          <w:p w14:paraId="29A4E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49.3</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2"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76765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767" w:type="pct"/>
            <w:vAlign w:val="center"/>
          </w:tcPr>
          <w:p w14:paraId="4938785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592BB4B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12" w:type="pct"/>
            <w:vAlign w:val="center"/>
          </w:tcPr>
          <w:p w14:paraId="322C9A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2"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562028B">
            <w:pPr>
              <w:autoSpaceDE w:val="0"/>
              <w:autoSpaceDN w:val="0"/>
              <w:jc w:val="center"/>
              <w:rPr>
                <w:rFonts w:hint="eastAsia" w:ascii="Times New Roman" w:hAnsi="Times New Roman" w:eastAsia="宋体" w:cs="Times New Roman"/>
                <w:color w:val="auto"/>
                <w:kern w:val="0"/>
                <w:highlight w:val="none"/>
                <w:lang w:eastAsia="zh-CN"/>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西</w:t>
            </w:r>
            <w:r>
              <w:rPr>
                <w:rFonts w:hint="eastAsia" w:ascii="Times New Roman" w:hAnsi="Times New Roman" w:cs="Times New Roman"/>
                <w:color w:val="auto"/>
                <w:kern w:val="0"/>
                <w:highlight w:val="none"/>
                <w:lang w:eastAsia="zh-CN"/>
              </w:rPr>
              <w:t>）</w:t>
            </w:r>
          </w:p>
        </w:tc>
        <w:tc>
          <w:tcPr>
            <w:tcW w:w="1767" w:type="pct"/>
            <w:vAlign w:val="center"/>
          </w:tcPr>
          <w:p w14:paraId="3AB6AA3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48D707D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12" w:type="pct"/>
            <w:vAlign w:val="center"/>
          </w:tcPr>
          <w:p w14:paraId="5B3A31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10.7</w:t>
            </w:r>
          </w:p>
        </w:tc>
      </w:tr>
      <w:tr w14:paraId="632CB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2" w:type="pct"/>
            <w:vAlign w:val="center"/>
          </w:tcPr>
          <w:p w14:paraId="68AE42C9">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6BB1F45">
            <w:pPr>
              <w:autoSpaceDE w:val="0"/>
              <w:autoSpaceDN w:val="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东</w:t>
            </w:r>
            <w:r>
              <w:rPr>
                <w:rFonts w:hint="eastAsia" w:ascii="Times New Roman" w:hAnsi="Times New Roman" w:cs="Times New Roman"/>
                <w:color w:val="auto"/>
                <w:kern w:val="0"/>
                <w:highlight w:val="none"/>
                <w:lang w:eastAsia="zh-CN"/>
              </w:rPr>
              <w:t>）</w:t>
            </w:r>
          </w:p>
        </w:tc>
        <w:tc>
          <w:tcPr>
            <w:tcW w:w="1767" w:type="pct"/>
            <w:shd w:val="clear" w:color="auto" w:fill="auto"/>
            <w:vAlign w:val="center"/>
          </w:tcPr>
          <w:p w14:paraId="19072956">
            <w:pPr>
              <w:autoSpaceDE w:val="0"/>
              <w:autoSpaceDN w:val="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highlight w:val="none"/>
              </w:rPr>
              <w:t>配电间</w:t>
            </w:r>
          </w:p>
        </w:tc>
        <w:tc>
          <w:tcPr>
            <w:tcW w:w="956" w:type="pct"/>
            <w:shd w:val="clear" w:color="auto" w:fill="auto"/>
            <w:vAlign w:val="center"/>
          </w:tcPr>
          <w:p w14:paraId="41A9AE1C">
            <w:pPr>
              <w:autoSpaceDE w:val="0"/>
              <w:autoSpaceDN w:val="0"/>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12" w:type="pct"/>
            <w:vAlign w:val="center"/>
          </w:tcPr>
          <w:p w14:paraId="6A2A198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20.2</w:t>
            </w:r>
          </w:p>
        </w:tc>
      </w:tr>
    </w:tbl>
    <w:p w14:paraId="719FD588">
      <w:pPr>
        <w:pStyle w:val="4"/>
        <w:rPr>
          <w:rFonts w:cs="Times New Roman"/>
          <w:color w:val="auto"/>
          <w:highlight w:val="none"/>
        </w:rPr>
      </w:pPr>
      <w:r>
        <w:rPr>
          <w:color w:val="auto"/>
          <w:highlight w:val="none"/>
        </w:rPr>
        <w:t xml:space="preserve">2.2.2 </w:t>
      </w:r>
      <w:r>
        <w:rPr>
          <w:rFonts w:hint="eastAsia" w:cs="宋体"/>
          <w:color w:val="auto"/>
          <w:highlight w:val="none"/>
        </w:rPr>
        <w:t>气象条件</w:t>
      </w:r>
    </w:p>
    <w:p w14:paraId="2F67A3DF">
      <w:pPr>
        <w:pStyle w:val="32"/>
        <w:ind w:firstLine="536" w:firstLineChars="200"/>
        <w:rPr>
          <w:rFonts w:hint="eastAsia" w:ascii="Times New Roman" w:cs="Times New Roman"/>
          <w:color w:val="auto"/>
          <w:spacing w:val="-6"/>
          <w:sz w:val="28"/>
          <w:szCs w:val="28"/>
          <w:highlight w:val="none"/>
        </w:rPr>
      </w:pPr>
      <w:r>
        <w:rPr>
          <w:rFonts w:hint="eastAsia" w:ascii="Times New Roman" w:cs="Times New Roman"/>
          <w:color w:val="auto"/>
          <w:spacing w:val="-6"/>
          <w:sz w:val="28"/>
          <w:szCs w:val="28"/>
          <w:highlight w:val="none"/>
        </w:rPr>
        <w:t>龙南市气候为亚热带季风湿润型。主要特征是生长季节长，气候温暖，雨量充沛，四季分明，光照充足。年平均气温为 19.5℃。年平均气温变幅为 29℃，1月份平均气温变辐为 4.8℃，7 月份平均气温变幅为 3.4℃。龙南市降水年平均降水量为 1526.2 毫米。蒸发年蒸发量为 1376.6 毫米。日照以气象局所在地为代表，年平均日照时数为 1600.8 小时，日照百分率为 36%，最多月份为 7 月，平均为219.4 小时，日照百分率为 53%；最少月份为 3 月，平均为 68.4 小时，日照百分率 18%。年平均风速 1.60 米/秒。湿度年平均相对湿度为 80%。</w:t>
      </w:r>
    </w:p>
    <w:p w14:paraId="23BD30A4">
      <w:pPr>
        <w:pStyle w:val="32"/>
        <w:ind w:firstLine="560" w:firstLineChars="200"/>
        <w:rPr>
          <w:rFonts w:ascii="Times New Roman" w:cs="Times New Roman"/>
          <w:color w:val="auto"/>
          <w:sz w:val="28"/>
          <w:szCs w:val="28"/>
          <w:highlight w:val="none"/>
        </w:rPr>
      </w:pPr>
      <w:r>
        <w:rPr>
          <w:rFonts w:hint="eastAsia" w:ascii="Times New Roman" w:cs="Times New Roman"/>
          <w:color w:val="auto"/>
          <w:sz w:val="28"/>
          <w:szCs w:val="28"/>
          <w:highlight w:val="none"/>
          <w:lang w:eastAsia="zh-CN"/>
        </w:rPr>
        <w:t>年平均雷暴日</w:t>
      </w:r>
      <w:r>
        <w:rPr>
          <w:rFonts w:hint="eastAsia" w:ascii="Times New Roman" w:cs="Times New Roman"/>
          <w:color w:val="auto"/>
          <w:sz w:val="28"/>
          <w:szCs w:val="28"/>
          <w:highlight w:val="none"/>
          <w:lang w:val="en-US" w:eastAsia="zh-CN"/>
        </w:rPr>
        <w:t>67.2</w:t>
      </w:r>
      <w:r>
        <w:rPr>
          <w:rFonts w:hint="eastAsia" w:ascii="Times New Roman" w:cs="Times New Roman"/>
          <w:color w:val="auto"/>
          <w:sz w:val="28"/>
          <w:szCs w:val="28"/>
          <w:highlight w:val="none"/>
          <w:lang w:eastAsia="zh-CN"/>
        </w:rPr>
        <w:t>d/a，无雷灾历史，属于雷电易发区。</w:t>
      </w:r>
    </w:p>
    <w:p w14:paraId="1458ACC0">
      <w:pPr>
        <w:pStyle w:val="3"/>
        <w:spacing w:line="580" w:lineRule="exact"/>
        <w:rPr>
          <w:color w:val="auto"/>
          <w:highlight w:val="none"/>
        </w:rPr>
      </w:pPr>
      <w:bookmarkStart w:id="31" w:name="_Toc19009"/>
      <w:bookmarkStart w:id="32" w:name="_Toc31583"/>
      <w:r>
        <w:rPr>
          <w:color w:val="auto"/>
          <w:highlight w:val="none"/>
        </w:rPr>
        <w:t>2.3</w:t>
      </w:r>
      <w:r>
        <w:rPr>
          <w:rFonts w:hint="eastAsia" w:cs="宋体"/>
          <w:color w:val="auto"/>
          <w:highlight w:val="none"/>
        </w:rPr>
        <w:t>主要设备、建筑物及工艺：</w:t>
      </w:r>
      <w:bookmarkEnd w:id="31"/>
      <w:bookmarkEnd w:id="32"/>
    </w:p>
    <w:p w14:paraId="6AAF370C">
      <w:pPr>
        <w:pStyle w:val="4"/>
        <w:spacing w:line="580" w:lineRule="exact"/>
        <w:rPr>
          <w:rFonts w:cs="Times New Roman"/>
          <w:color w:val="auto"/>
          <w:highlight w:val="none"/>
        </w:rPr>
      </w:pPr>
      <w:bookmarkStart w:id="33" w:name="_Toc6304"/>
      <w:r>
        <w:rPr>
          <w:color w:val="auto"/>
          <w:highlight w:val="none"/>
        </w:rPr>
        <w:t>2.3.1</w:t>
      </w:r>
      <w:r>
        <w:rPr>
          <w:rFonts w:hint="eastAsia" w:cs="宋体"/>
          <w:color w:val="auto"/>
          <w:highlight w:val="none"/>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主要设备、建筑物</w:t>
      </w:r>
      <w:r>
        <w:rPr>
          <w:rFonts w:hint="eastAsia" w:ascii="Times New Roman" w:hAnsi="Times New Roman" w:cs="宋体"/>
          <w:color w:val="auto"/>
          <w:sz w:val="28"/>
          <w:szCs w:val="28"/>
          <w:highlight w:val="none"/>
        </w:rPr>
        <w:t>具体见表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和表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2</w:t>
      </w:r>
    </w:p>
    <w:p w14:paraId="752B6A8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2.3-1</w:t>
      </w:r>
      <w:r>
        <w:rPr>
          <w:rFonts w:hint="eastAsia" w:ascii="Times New Roman" w:hAnsi="Times New Roman" w:cs="宋体"/>
          <w:color w:val="auto"/>
          <w:sz w:val="24"/>
          <w:szCs w:val="24"/>
          <w:highlight w:val="none"/>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22"/>
        <w:gridCol w:w="1915"/>
        <w:gridCol w:w="698"/>
        <w:gridCol w:w="698"/>
        <w:gridCol w:w="1622"/>
        <w:gridCol w:w="2039"/>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C17C2EA">
            <w:pPr>
              <w:spacing w:line="260" w:lineRule="exact"/>
              <w:jc w:val="center"/>
              <w:rPr>
                <w:bCs/>
                <w:color w:val="auto"/>
                <w:highlight w:val="none"/>
              </w:rPr>
            </w:pPr>
            <w:r>
              <w:rPr>
                <w:rFonts w:hint="eastAsia"/>
                <w:bCs/>
                <w:color w:val="auto"/>
                <w:highlight w:val="none"/>
              </w:rPr>
              <w:t>序号</w:t>
            </w:r>
          </w:p>
        </w:tc>
        <w:tc>
          <w:tcPr>
            <w:tcW w:w="873" w:type="pct"/>
            <w:vAlign w:val="center"/>
          </w:tcPr>
          <w:p w14:paraId="7811277D">
            <w:pPr>
              <w:spacing w:line="260" w:lineRule="exact"/>
              <w:jc w:val="center"/>
              <w:rPr>
                <w:bCs/>
                <w:color w:val="auto"/>
                <w:highlight w:val="none"/>
              </w:rPr>
            </w:pPr>
            <w:r>
              <w:rPr>
                <w:rFonts w:hint="eastAsia"/>
                <w:bCs/>
                <w:color w:val="auto"/>
                <w:highlight w:val="none"/>
              </w:rPr>
              <w:t>设备名称</w:t>
            </w:r>
          </w:p>
        </w:tc>
        <w:tc>
          <w:tcPr>
            <w:tcW w:w="1031" w:type="pct"/>
            <w:vAlign w:val="center"/>
          </w:tcPr>
          <w:p w14:paraId="663FD794">
            <w:pPr>
              <w:spacing w:line="260" w:lineRule="exact"/>
              <w:jc w:val="center"/>
              <w:rPr>
                <w:bCs/>
                <w:color w:val="auto"/>
                <w:highlight w:val="none"/>
              </w:rPr>
            </w:pPr>
            <w:r>
              <w:rPr>
                <w:rFonts w:hint="eastAsia"/>
                <w:bCs/>
                <w:color w:val="auto"/>
                <w:highlight w:val="none"/>
              </w:rPr>
              <w:t>规格/型号</w:t>
            </w:r>
          </w:p>
        </w:tc>
        <w:tc>
          <w:tcPr>
            <w:tcW w:w="376" w:type="pct"/>
            <w:vAlign w:val="center"/>
          </w:tcPr>
          <w:p w14:paraId="20C08688">
            <w:pPr>
              <w:spacing w:line="260" w:lineRule="exact"/>
              <w:jc w:val="center"/>
              <w:rPr>
                <w:bCs/>
                <w:color w:val="auto"/>
                <w:highlight w:val="none"/>
              </w:rPr>
            </w:pPr>
            <w:r>
              <w:rPr>
                <w:rFonts w:hint="eastAsia"/>
                <w:bCs/>
                <w:color w:val="auto"/>
                <w:highlight w:val="none"/>
              </w:rPr>
              <w:t>单位</w:t>
            </w:r>
          </w:p>
        </w:tc>
        <w:tc>
          <w:tcPr>
            <w:tcW w:w="376" w:type="pct"/>
            <w:vAlign w:val="center"/>
          </w:tcPr>
          <w:p w14:paraId="4DEC7AAB">
            <w:pPr>
              <w:spacing w:line="260" w:lineRule="exact"/>
              <w:jc w:val="center"/>
              <w:rPr>
                <w:bCs/>
                <w:color w:val="auto"/>
                <w:highlight w:val="none"/>
              </w:rPr>
            </w:pPr>
            <w:r>
              <w:rPr>
                <w:rFonts w:hint="eastAsia"/>
                <w:bCs/>
                <w:color w:val="auto"/>
                <w:highlight w:val="none"/>
              </w:rPr>
              <w:t>数量</w:t>
            </w:r>
          </w:p>
        </w:tc>
        <w:tc>
          <w:tcPr>
            <w:tcW w:w="873" w:type="pct"/>
            <w:vAlign w:val="center"/>
          </w:tcPr>
          <w:p w14:paraId="2799146C">
            <w:pPr>
              <w:spacing w:line="260" w:lineRule="exact"/>
              <w:jc w:val="center"/>
              <w:rPr>
                <w:bCs/>
                <w:color w:val="auto"/>
                <w:highlight w:val="none"/>
              </w:rPr>
            </w:pPr>
            <w:r>
              <w:rPr>
                <w:rFonts w:hint="eastAsia"/>
                <w:bCs/>
                <w:color w:val="auto"/>
                <w:highlight w:val="none"/>
              </w:rPr>
              <w:t>材质</w:t>
            </w:r>
          </w:p>
        </w:tc>
        <w:tc>
          <w:tcPr>
            <w:tcW w:w="1098" w:type="pct"/>
            <w:vAlign w:val="center"/>
          </w:tcPr>
          <w:p w14:paraId="23CA1D42">
            <w:pPr>
              <w:spacing w:line="260" w:lineRule="exact"/>
              <w:jc w:val="center"/>
              <w:rPr>
                <w:bCs/>
                <w:color w:val="auto"/>
                <w:highlight w:val="none"/>
              </w:rPr>
            </w:pPr>
            <w:r>
              <w:rPr>
                <w:rFonts w:hint="eastAsia"/>
                <w:bCs/>
                <w:color w:val="auto"/>
                <w:highlight w:val="none"/>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57E7EE5">
            <w:pPr>
              <w:spacing w:line="260" w:lineRule="exact"/>
              <w:jc w:val="center"/>
              <w:rPr>
                <w:bCs/>
                <w:color w:val="auto"/>
                <w:highlight w:val="none"/>
              </w:rPr>
            </w:pPr>
            <w:r>
              <w:rPr>
                <w:rFonts w:hint="eastAsia"/>
                <w:bCs/>
                <w:color w:val="auto"/>
                <w:highlight w:val="none"/>
              </w:rPr>
              <w:t>1</w:t>
            </w:r>
          </w:p>
        </w:tc>
        <w:tc>
          <w:tcPr>
            <w:tcW w:w="873" w:type="pct"/>
            <w:shd w:val="clear" w:color="auto" w:fill="auto"/>
            <w:vAlign w:val="center"/>
          </w:tcPr>
          <w:p w14:paraId="6E95BAD8">
            <w:pPr>
              <w:spacing w:line="260" w:lineRule="exact"/>
              <w:jc w:val="center"/>
              <w:rPr>
                <w:bCs/>
                <w:color w:val="auto"/>
                <w:highlight w:val="none"/>
              </w:rPr>
            </w:pPr>
            <w:r>
              <w:rPr>
                <w:rFonts w:hint="eastAsia"/>
                <w:bCs/>
                <w:color w:val="auto"/>
                <w:highlight w:val="none"/>
              </w:rPr>
              <w:t>汽油储罐</w:t>
            </w:r>
          </w:p>
        </w:tc>
        <w:tc>
          <w:tcPr>
            <w:tcW w:w="1031" w:type="pct"/>
            <w:shd w:val="clear" w:color="auto" w:fill="auto"/>
            <w:vAlign w:val="center"/>
          </w:tcPr>
          <w:p w14:paraId="580982D5">
            <w:pPr>
              <w:spacing w:line="260" w:lineRule="exact"/>
              <w:jc w:val="center"/>
              <w:rPr>
                <w:bCs/>
                <w:color w:val="auto"/>
                <w:highlight w:val="none"/>
              </w:rPr>
            </w:pPr>
            <w:r>
              <w:rPr>
                <w:rFonts w:hint="eastAsia"/>
                <w:bCs/>
                <w:color w:val="auto"/>
                <w:highlight w:val="none"/>
                <w:lang w:val="en-US" w:eastAsia="zh-CN"/>
              </w:rPr>
              <w:t>5</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140C523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5F9A3C79">
            <w:pPr>
              <w:spacing w:line="260" w:lineRule="exact"/>
              <w:jc w:val="center"/>
              <w:rPr>
                <w:rFonts w:hint="eastAsia" w:eastAsia="宋体"/>
                <w:bCs/>
                <w:color w:val="auto"/>
                <w:highlight w:val="none"/>
                <w:lang w:eastAsia="zh-CN"/>
              </w:rPr>
            </w:pPr>
            <w:r>
              <w:rPr>
                <w:rFonts w:hint="eastAsia"/>
                <w:bCs/>
                <w:color w:val="auto"/>
                <w:highlight w:val="none"/>
                <w:lang w:val="en-US" w:eastAsia="zh-CN"/>
              </w:rPr>
              <w:t>2</w:t>
            </w:r>
          </w:p>
        </w:tc>
        <w:tc>
          <w:tcPr>
            <w:tcW w:w="873" w:type="pct"/>
            <w:shd w:val="clear" w:color="auto" w:fill="auto"/>
            <w:vAlign w:val="center"/>
          </w:tcPr>
          <w:p w14:paraId="2378C459">
            <w:pPr>
              <w:spacing w:line="260" w:lineRule="exact"/>
              <w:jc w:val="center"/>
              <w:rPr>
                <w:bCs/>
                <w:color w:val="auto"/>
                <w:highlight w:val="none"/>
              </w:rPr>
            </w:pPr>
            <w:r>
              <w:rPr>
                <w:rFonts w:hint="eastAsia"/>
                <w:bCs/>
                <w:color w:val="auto"/>
                <w:highlight w:val="none"/>
              </w:rPr>
              <w:t>单层埋地卧式油罐</w:t>
            </w:r>
          </w:p>
        </w:tc>
        <w:tc>
          <w:tcPr>
            <w:tcW w:w="1098" w:type="pct"/>
            <w:shd w:val="clear" w:color="auto" w:fill="auto"/>
            <w:vAlign w:val="center"/>
          </w:tcPr>
          <w:p w14:paraId="5C7D2A47">
            <w:pPr>
              <w:spacing w:line="260" w:lineRule="exact"/>
              <w:jc w:val="center"/>
              <w:rPr>
                <w:bCs/>
                <w:color w:val="auto"/>
                <w:highlight w:val="none"/>
              </w:rPr>
            </w:pPr>
            <w:r>
              <w:rPr>
                <w:rFonts w:hint="eastAsia"/>
                <w:bCs/>
                <w:color w:val="auto"/>
                <w:highlight w:val="none"/>
              </w:rPr>
              <w:t>9</w:t>
            </w:r>
            <w:r>
              <w:rPr>
                <w:rFonts w:hint="eastAsia"/>
                <w:bCs/>
                <w:color w:val="auto"/>
                <w:highlight w:val="none"/>
                <w:lang w:val="en-US" w:eastAsia="zh-CN"/>
              </w:rPr>
              <w:t>5</w:t>
            </w:r>
            <w:r>
              <w:rPr>
                <w:rFonts w:hint="eastAsia"/>
                <w:bCs/>
                <w:color w:val="auto"/>
                <w:highlight w:val="none"/>
              </w:rPr>
              <w:t>#</w:t>
            </w:r>
            <w:r>
              <w:rPr>
                <w:rFonts w:hint="eastAsia"/>
                <w:bCs/>
                <w:color w:val="auto"/>
                <w:highlight w:val="none"/>
                <w:lang w:eastAsia="zh-CN"/>
              </w:rPr>
              <w:t>、</w:t>
            </w:r>
            <w:r>
              <w:rPr>
                <w:rFonts w:hint="eastAsia"/>
                <w:bCs/>
                <w:color w:val="auto"/>
                <w:highlight w:val="none"/>
              </w:rPr>
              <w:t>9</w:t>
            </w:r>
            <w:r>
              <w:rPr>
                <w:rFonts w:hint="eastAsia"/>
                <w:bCs/>
                <w:color w:val="auto"/>
                <w:highlight w:val="none"/>
                <w:lang w:val="en-US" w:eastAsia="zh-CN"/>
              </w:rPr>
              <w:t>2</w:t>
            </w:r>
            <w:r>
              <w:rPr>
                <w:rFonts w:hint="eastAsia"/>
                <w:bCs/>
                <w:color w:val="auto"/>
                <w:highlight w:val="none"/>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2</w:t>
            </w:r>
          </w:p>
        </w:tc>
        <w:tc>
          <w:tcPr>
            <w:tcW w:w="873" w:type="pct"/>
            <w:shd w:val="clear" w:color="auto" w:fill="auto"/>
            <w:vAlign w:val="center"/>
          </w:tcPr>
          <w:p w14:paraId="12F38595">
            <w:pPr>
              <w:spacing w:line="260" w:lineRule="exact"/>
              <w:jc w:val="center"/>
              <w:rPr>
                <w:bCs/>
                <w:color w:val="auto"/>
                <w:highlight w:val="none"/>
              </w:rPr>
            </w:pPr>
            <w:r>
              <w:rPr>
                <w:rFonts w:hint="eastAsia"/>
                <w:bCs/>
                <w:color w:val="auto"/>
                <w:highlight w:val="none"/>
              </w:rPr>
              <w:t>柴油储罐</w:t>
            </w:r>
          </w:p>
        </w:tc>
        <w:tc>
          <w:tcPr>
            <w:tcW w:w="1031" w:type="pct"/>
            <w:shd w:val="clear" w:color="auto" w:fill="auto"/>
            <w:vAlign w:val="center"/>
          </w:tcPr>
          <w:p w14:paraId="3589C42B">
            <w:pPr>
              <w:spacing w:line="260" w:lineRule="exact"/>
              <w:jc w:val="center"/>
              <w:rPr>
                <w:bCs/>
                <w:color w:val="auto"/>
                <w:highlight w:val="none"/>
              </w:rPr>
            </w:pPr>
            <w:r>
              <w:rPr>
                <w:rFonts w:hint="eastAsia"/>
                <w:bCs/>
                <w:color w:val="auto"/>
                <w:highlight w:val="none"/>
                <w:lang w:val="en-US" w:eastAsia="zh-CN"/>
              </w:rPr>
              <w:t>5</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781EEEA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1642EF81">
            <w:pPr>
              <w:spacing w:line="260" w:lineRule="exact"/>
              <w:jc w:val="center"/>
              <w:rPr>
                <w:rFonts w:hint="eastAsia" w:eastAsia="宋体"/>
                <w:bCs/>
                <w:color w:val="auto"/>
                <w:highlight w:val="none"/>
                <w:lang w:eastAsia="zh-CN"/>
              </w:rPr>
            </w:pPr>
            <w:r>
              <w:rPr>
                <w:rFonts w:hint="eastAsia"/>
                <w:bCs/>
                <w:color w:val="auto"/>
                <w:highlight w:val="none"/>
                <w:lang w:val="en-US" w:eastAsia="zh-CN"/>
              </w:rPr>
              <w:t>2</w:t>
            </w:r>
          </w:p>
        </w:tc>
        <w:tc>
          <w:tcPr>
            <w:tcW w:w="873" w:type="pct"/>
            <w:shd w:val="clear" w:color="auto" w:fill="auto"/>
            <w:vAlign w:val="center"/>
          </w:tcPr>
          <w:p w14:paraId="0AB70744">
            <w:pPr>
              <w:spacing w:line="260" w:lineRule="exact"/>
              <w:jc w:val="center"/>
              <w:rPr>
                <w:bCs/>
                <w:color w:val="auto"/>
                <w:highlight w:val="none"/>
              </w:rPr>
            </w:pPr>
            <w:r>
              <w:rPr>
                <w:rFonts w:hint="eastAsia"/>
                <w:bCs/>
                <w:color w:val="auto"/>
                <w:highlight w:val="none"/>
              </w:rPr>
              <w:t>单层埋地卧式油罐</w:t>
            </w:r>
          </w:p>
        </w:tc>
        <w:tc>
          <w:tcPr>
            <w:tcW w:w="1098" w:type="pct"/>
            <w:shd w:val="clear" w:color="auto" w:fill="auto"/>
            <w:vAlign w:val="center"/>
          </w:tcPr>
          <w:p w14:paraId="0AF29216">
            <w:pPr>
              <w:spacing w:line="260" w:lineRule="exact"/>
              <w:jc w:val="center"/>
              <w:rPr>
                <w:bCs/>
                <w:color w:val="auto"/>
                <w:highlight w:val="none"/>
              </w:rPr>
            </w:pPr>
            <w:r>
              <w:rPr>
                <w:rFonts w:hint="eastAsia"/>
                <w:bCs/>
                <w:color w:val="auto"/>
                <w:highlight w:val="none"/>
              </w:rPr>
              <w:t>0#柴油</w:t>
            </w:r>
          </w:p>
        </w:tc>
      </w:tr>
      <w:tr w14:paraId="26E45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B7FA840">
            <w:pPr>
              <w:spacing w:line="260" w:lineRule="exact"/>
              <w:jc w:val="center"/>
              <w:rPr>
                <w:rFonts w:hint="default"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3</w:t>
            </w:r>
          </w:p>
        </w:tc>
        <w:tc>
          <w:tcPr>
            <w:tcW w:w="873" w:type="pct"/>
            <w:shd w:val="clear" w:color="auto" w:fill="auto"/>
            <w:vAlign w:val="center"/>
          </w:tcPr>
          <w:p w14:paraId="5AB0365D">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柴油储罐</w:t>
            </w:r>
          </w:p>
        </w:tc>
        <w:tc>
          <w:tcPr>
            <w:tcW w:w="1031" w:type="pct"/>
            <w:shd w:val="clear" w:color="auto" w:fill="auto"/>
            <w:vAlign w:val="center"/>
          </w:tcPr>
          <w:p w14:paraId="64895461">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5</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531677B4">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个</w:t>
            </w:r>
          </w:p>
        </w:tc>
        <w:tc>
          <w:tcPr>
            <w:tcW w:w="376" w:type="pct"/>
            <w:shd w:val="clear" w:color="auto" w:fill="auto"/>
            <w:vAlign w:val="center"/>
          </w:tcPr>
          <w:p w14:paraId="28290327">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1</w:t>
            </w:r>
          </w:p>
        </w:tc>
        <w:tc>
          <w:tcPr>
            <w:tcW w:w="873" w:type="pct"/>
            <w:shd w:val="clear" w:color="auto" w:fill="auto"/>
            <w:vAlign w:val="center"/>
          </w:tcPr>
          <w:p w14:paraId="2B3CE9C8">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default" w:ascii="Times New Roman" w:hAnsi="Times New Roman" w:eastAsia="宋体" w:cs="宋体"/>
                <w:color w:val="auto"/>
                <w:highlight w:val="none"/>
                <w:lang w:val="en-US" w:eastAsia="zh-CN"/>
              </w:rPr>
              <w:t>SF 双层储罐</w:t>
            </w:r>
          </w:p>
        </w:tc>
        <w:tc>
          <w:tcPr>
            <w:tcW w:w="1098" w:type="pct"/>
            <w:shd w:val="clear" w:color="auto" w:fill="auto"/>
            <w:vAlign w:val="center"/>
          </w:tcPr>
          <w:p w14:paraId="5CAE140E">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E89D664">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4</w:t>
            </w:r>
          </w:p>
        </w:tc>
        <w:tc>
          <w:tcPr>
            <w:tcW w:w="873" w:type="pct"/>
            <w:vAlign w:val="center"/>
          </w:tcPr>
          <w:p w14:paraId="38FF651D">
            <w:pPr>
              <w:spacing w:line="260" w:lineRule="exact"/>
              <w:jc w:val="center"/>
              <w:rPr>
                <w:bCs/>
                <w:color w:val="auto"/>
                <w:highlight w:val="none"/>
              </w:rPr>
            </w:pPr>
            <w:r>
              <w:rPr>
                <w:rFonts w:hint="eastAsia"/>
                <w:bCs/>
                <w:color w:val="auto"/>
                <w:highlight w:val="none"/>
              </w:rPr>
              <w:t>燃油加油机</w:t>
            </w:r>
          </w:p>
        </w:tc>
        <w:tc>
          <w:tcPr>
            <w:tcW w:w="1031" w:type="pct"/>
            <w:vAlign w:val="center"/>
          </w:tcPr>
          <w:p w14:paraId="64008698">
            <w:pPr>
              <w:spacing w:line="260" w:lineRule="exact"/>
              <w:rPr>
                <w:bCs/>
                <w:color w:val="auto"/>
                <w:highlight w:val="none"/>
              </w:rPr>
            </w:pPr>
            <w:r>
              <w:rPr>
                <w:rFonts w:hint="eastAsia" w:ascii="Times New Roman" w:hAnsi="Times New Roman" w:cs="Times New Roman"/>
                <w:bCs/>
                <w:color w:val="auto"/>
                <w:highlight w:val="none"/>
              </w:rPr>
              <w:t>5-50L/min</w:t>
            </w:r>
            <w:r>
              <w:rPr>
                <w:rFonts w:hint="eastAsia" w:ascii="Times New Roman" w:hAnsi="Times New Roman" w:cs="Times New Roman"/>
                <w:bCs/>
                <w:color w:val="auto"/>
                <w:highlight w:val="none"/>
                <w:lang w:eastAsia="zh-CN"/>
              </w:rPr>
              <w:t xml:space="preserve">; </w:t>
            </w:r>
            <w:r>
              <w:rPr>
                <w:rFonts w:hint="eastAsia" w:ascii="Times New Roman" w:hAnsi="Times New Roman" w:cs="Times New Roman"/>
                <w:bCs/>
                <w:color w:val="auto"/>
                <w:highlight w:val="none"/>
              </w:rPr>
              <w:t>Exdibmb</w:t>
            </w: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AT3Gb</w:t>
            </w:r>
          </w:p>
        </w:tc>
        <w:tc>
          <w:tcPr>
            <w:tcW w:w="376" w:type="pct"/>
            <w:vAlign w:val="center"/>
          </w:tcPr>
          <w:p w14:paraId="2CC071DE">
            <w:pPr>
              <w:spacing w:line="260" w:lineRule="exact"/>
              <w:jc w:val="center"/>
              <w:rPr>
                <w:bCs/>
                <w:color w:val="auto"/>
                <w:highlight w:val="none"/>
              </w:rPr>
            </w:pPr>
            <w:r>
              <w:rPr>
                <w:rFonts w:hint="eastAsia"/>
                <w:bCs/>
                <w:color w:val="auto"/>
                <w:highlight w:val="none"/>
              </w:rPr>
              <w:t>台</w:t>
            </w:r>
          </w:p>
        </w:tc>
        <w:tc>
          <w:tcPr>
            <w:tcW w:w="376" w:type="pct"/>
            <w:vAlign w:val="center"/>
          </w:tcPr>
          <w:p w14:paraId="19757907">
            <w:pPr>
              <w:spacing w:line="260" w:lineRule="exact"/>
              <w:jc w:val="center"/>
              <w:rPr>
                <w:rFonts w:hint="eastAsia" w:eastAsia="宋体"/>
                <w:bCs/>
                <w:color w:val="auto"/>
                <w:highlight w:val="none"/>
                <w:lang w:eastAsia="zh-CN"/>
              </w:rPr>
            </w:pPr>
            <w:r>
              <w:rPr>
                <w:rFonts w:hint="eastAsia"/>
                <w:bCs/>
                <w:color w:val="auto"/>
                <w:highlight w:val="none"/>
                <w:lang w:val="en-US" w:eastAsia="zh-CN"/>
              </w:rPr>
              <w:t>8</w:t>
            </w:r>
          </w:p>
        </w:tc>
        <w:tc>
          <w:tcPr>
            <w:tcW w:w="873" w:type="pct"/>
            <w:vAlign w:val="center"/>
          </w:tcPr>
          <w:p w14:paraId="2908A827">
            <w:pPr>
              <w:spacing w:line="260" w:lineRule="exact"/>
              <w:jc w:val="center"/>
              <w:rPr>
                <w:bCs/>
                <w:color w:val="auto"/>
                <w:highlight w:val="none"/>
              </w:rPr>
            </w:pPr>
            <w:r>
              <w:rPr>
                <w:rFonts w:hint="eastAsia"/>
                <w:bCs/>
                <w:color w:val="auto"/>
                <w:highlight w:val="none"/>
              </w:rPr>
              <w:t>-</w:t>
            </w:r>
          </w:p>
        </w:tc>
        <w:tc>
          <w:tcPr>
            <w:tcW w:w="1098" w:type="pct"/>
            <w:vAlign w:val="center"/>
          </w:tcPr>
          <w:p w14:paraId="29C1063F">
            <w:pPr>
              <w:spacing w:line="260" w:lineRule="exact"/>
              <w:jc w:val="center"/>
              <w:rPr>
                <w:rFonts w:ascii="宋体" w:hAnsi="宋体"/>
                <w:bCs/>
                <w:color w:val="auto"/>
                <w:highlight w:val="none"/>
              </w:rPr>
            </w:pPr>
            <w:r>
              <w:rPr>
                <w:rFonts w:hint="eastAsia"/>
                <w:bCs/>
                <w:color w:val="auto"/>
                <w:highlight w:val="none"/>
                <w:lang w:val="en-US" w:eastAsia="zh-CN"/>
              </w:rPr>
              <w:t>6</w:t>
            </w:r>
            <w:r>
              <w:rPr>
                <w:rFonts w:hint="eastAsia"/>
                <w:bCs/>
                <w:color w:val="auto"/>
                <w:highlight w:val="none"/>
              </w:rPr>
              <w:t>台</w:t>
            </w:r>
            <w:r>
              <w:rPr>
                <w:rFonts w:hint="eastAsia"/>
                <w:bCs/>
                <w:color w:val="auto"/>
                <w:highlight w:val="none"/>
                <w:lang w:val="en-US" w:eastAsia="zh-CN"/>
              </w:rPr>
              <w:t>四</w:t>
            </w:r>
            <w:r>
              <w:rPr>
                <w:rFonts w:hint="eastAsia"/>
                <w:bCs/>
                <w:color w:val="auto"/>
                <w:highlight w:val="none"/>
              </w:rPr>
              <w:t>枪加油机</w:t>
            </w:r>
            <w:r>
              <w:rPr>
                <w:rFonts w:hint="eastAsia"/>
                <w:bCs/>
                <w:color w:val="auto"/>
                <w:highlight w:val="none"/>
                <w:lang w:eastAsia="zh-CN"/>
              </w:rPr>
              <w:t>，</w:t>
            </w:r>
            <w:r>
              <w:rPr>
                <w:rFonts w:hint="eastAsia"/>
                <w:bCs/>
                <w:color w:val="auto"/>
                <w:highlight w:val="none"/>
                <w:lang w:val="en-US" w:eastAsia="zh-CN"/>
              </w:rPr>
              <w:t>1</w:t>
            </w:r>
            <w:r>
              <w:rPr>
                <w:rFonts w:hint="eastAsia"/>
                <w:bCs/>
                <w:color w:val="auto"/>
                <w:highlight w:val="none"/>
              </w:rPr>
              <w:t>台</w:t>
            </w:r>
            <w:r>
              <w:rPr>
                <w:rFonts w:hint="eastAsia"/>
                <w:bCs/>
                <w:color w:val="auto"/>
                <w:highlight w:val="none"/>
                <w:lang w:val="en-US" w:eastAsia="zh-CN"/>
              </w:rPr>
              <w:t>六</w:t>
            </w:r>
            <w:r>
              <w:rPr>
                <w:rFonts w:hint="eastAsia"/>
                <w:bCs/>
                <w:color w:val="auto"/>
                <w:highlight w:val="none"/>
              </w:rPr>
              <w:t>枪加油机</w:t>
            </w:r>
            <w:r>
              <w:rPr>
                <w:rFonts w:hint="eastAsia"/>
                <w:bCs/>
                <w:color w:val="auto"/>
                <w:highlight w:val="none"/>
                <w:lang w:val="en-US" w:eastAsia="zh-CN"/>
              </w:rPr>
              <w:t>，1</w:t>
            </w:r>
            <w:r>
              <w:rPr>
                <w:rFonts w:hint="eastAsia"/>
                <w:bCs/>
                <w:color w:val="auto"/>
                <w:highlight w:val="none"/>
              </w:rPr>
              <w:t>台</w:t>
            </w:r>
            <w:r>
              <w:rPr>
                <w:rFonts w:hint="eastAsia"/>
                <w:bCs/>
                <w:color w:val="auto"/>
                <w:highlight w:val="none"/>
                <w:lang w:val="en-US" w:eastAsia="zh-CN"/>
              </w:rPr>
              <w:t>双</w:t>
            </w:r>
            <w:r>
              <w:rPr>
                <w:rFonts w:hint="eastAsia"/>
                <w:bCs/>
                <w:color w:val="auto"/>
                <w:highlight w:val="none"/>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50CAE71B">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5</w:t>
            </w:r>
          </w:p>
        </w:tc>
        <w:tc>
          <w:tcPr>
            <w:tcW w:w="873" w:type="pct"/>
            <w:vAlign w:val="center"/>
          </w:tcPr>
          <w:p w14:paraId="3B5F1E0E">
            <w:pPr>
              <w:spacing w:line="260" w:lineRule="exact"/>
              <w:jc w:val="center"/>
              <w:rPr>
                <w:bCs/>
                <w:color w:val="auto"/>
                <w:highlight w:val="none"/>
              </w:rPr>
            </w:pPr>
            <w:r>
              <w:rPr>
                <w:rFonts w:hint="eastAsia"/>
                <w:bCs/>
                <w:color w:val="auto"/>
                <w:highlight w:val="none"/>
              </w:rPr>
              <w:t>防静电报警仪</w:t>
            </w:r>
          </w:p>
        </w:tc>
        <w:tc>
          <w:tcPr>
            <w:tcW w:w="1031" w:type="pct"/>
            <w:vAlign w:val="center"/>
          </w:tcPr>
          <w:p w14:paraId="685A10D4">
            <w:pPr>
              <w:spacing w:line="260" w:lineRule="exact"/>
              <w:jc w:val="center"/>
              <w:rPr>
                <w:bCs/>
                <w:color w:val="auto"/>
                <w:highlight w:val="none"/>
              </w:rPr>
            </w:pPr>
            <w:r>
              <w:rPr>
                <w:rFonts w:hint="eastAsia"/>
                <w:bCs/>
                <w:color w:val="auto"/>
                <w:highlight w:val="none"/>
              </w:rPr>
              <w:t>-</w:t>
            </w:r>
          </w:p>
        </w:tc>
        <w:tc>
          <w:tcPr>
            <w:tcW w:w="376" w:type="pct"/>
            <w:vAlign w:val="center"/>
          </w:tcPr>
          <w:p w14:paraId="13C81D46">
            <w:pPr>
              <w:spacing w:line="260" w:lineRule="exact"/>
              <w:jc w:val="center"/>
              <w:rPr>
                <w:bCs/>
                <w:color w:val="auto"/>
                <w:highlight w:val="none"/>
              </w:rPr>
            </w:pPr>
            <w:r>
              <w:rPr>
                <w:rFonts w:hint="eastAsia"/>
                <w:bCs/>
                <w:color w:val="auto"/>
                <w:highlight w:val="none"/>
              </w:rPr>
              <w:t>台</w:t>
            </w:r>
          </w:p>
        </w:tc>
        <w:tc>
          <w:tcPr>
            <w:tcW w:w="376" w:type="pct"/>
            <w:vAlign w:val="center"/>
          </w:tcPr>
          <w:p w14:paraId="7EC95CB2">
            <w:pPr>
              <w:spacing w:line="260" w:lineRule="exact"/>
              <w:jc w:val="center"/>
              <w:rPr>
                <w:bCs/>
                <w:color w:val="auto"/>
                <w:highlight w:val="none"/>
              </w:rPr>
            </w:pPr>
            <w:r>
              <w:rPr>
                <w:rFonts w:hint="eastAsia"/>
                <w:bCs/>
                <w:color w:val="auto"/>
                <w:highlight w:val="none"/>
              </w:rPr>
              <w:t>1</w:t>
            </w:r>
          </w:p>
        </w:tc>
        <w:tc>
          <w:tcPr>
            <w:tcW w:w="873" w:type="pct"/>
            <w:vAlign w:val="center"/>
          </w:tcPr>
          <w:p w14:paraId="409E3EA3">
            <w:pPr>
              <w:spacing w:line="260" w:lineRule="exact"/>
              <w:jc w:val="center"/>
              <w:rPr>
                <w:bCs/>
                <w:color w:val="auto"/>
                <w:highlight w:val="none"/>
              </w:rPr>
            </w:pPr>
            <w:r>
              <w:rPr>
                <w:rFonts w:hint="eastAsia"/>
                <w:bCs/>
                <w:color w:val="auto"/>
                <w:highlight w:val="none"/>
              </w:rPr>
              <w:t>-</w:t>
            </w:r>
          </w:p>
        </w:tc>
        <w:tc>
          <w:tcPr>
            <w:tcW w:w="1098" w:type="pct"/>
            <w:vAlign w:val="center"/>
          </w:tcPr>
          <w:p w14:paraId="2C7CA1E4">
            <w:pPr>
              <w:spacing w:line="260" w:lineRule="exact"/>
              <w:jc w:val="center"/>
              <w:rPr>
                <w:rFonts w:ascii="宋体" w:hAnsi="宋体" w:cs="宋体"/>
                <w:bCs/>
                <w:color w:val="auto"/>
                <w:highlight w:val="none"/>
              </w:rPr>
            </w:pPr>
            <w:r>
              <w:rPr>
                <w:rFonts w:hint="eastAsia"/>
                <w:bCs/>
                <w:color w:val="auto"/>
                <w:highlight w:val="none"/>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DE83CC0">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6</w:t>
            </w:r>
          </w:p>
        </w:tc>
        <w:tc>
          <w:tcPr>
            <w:tcW w:w="873" w:type="pct"/>
            <w:vAlign w:val="center"/>
          </w:tcPr>
          <w:p w14:paraId="56279505">
            <w:pPr>
              <w:spacing w:line="260" w:lineRule="exact"/>
              <w:jc w:val="center"/>
              <w:rPr>
                <w:bCs/>
                <w:color w:val="auto"/>
                <w:highlight w:val="none"/>
              </w:rPr>
            </w:pPr>
            <w:r>
              <w:rPr>
                <w:rFonts w:hint="eastAsia"/>
                <w:bCs/>
                <w:color w:val="auto"/>
                <w:highlight w:val="none"/>
              </w:rPr>
              <w:t>液位仪</w:t>
            </w:r>
          </w:p>
        </w:tc>
        <w:tc>
          <w:tcPr>
            <w:tcW w:w="1031" w:type="pct"/>
            <w:vAlign w:val="center"/>
          </w:tcPr>
          <w:p w14:paraId="17113ADF">
            <w:pPr>
              <w:spacing w:line="260" w:lineRule="exact"/>
              <w:jc w:val="center"/>
              <w:rPr>
                <w:bCs/>
                <w:color w:val="auto"/>
                <w:highlight w:val="none"/>
              </w:rPr>
            </w:pPr>
            <w:r>
              <w:rPr>
                <w:rFonts w:hint="eastAsia"/>
                <w:bCs/>
                <w:color w:val="auto"/>
                <w:highlight w:val="none"/>
              </w:rPr>
              <w:t>-</w:t>
            </w:r>
          </w:p>
        </w:tc>
        <w:tc>
          <w:tcPr>
            <w:tcW w:w="376" w:type="pct"/>
            <w:vAlign w:val="center"/>
          </w:tcPr>
          <w:p w14:paraId="0FEAEC55">
            <w:pPr>
              <w:spacing w:line="260" w:lineRule="exact"/>
              <w:jc w:val="center"/>
              <w:rPr>
                <w:bCs/>
                <w:color w:val="auto"/>
                <w:highlight w:val="none"/>
              </w:rPr>
            </w:pPr>
            <w:r>
              <w:rPr>
                <w:rFonts w:hint="eastAsia"/>
                <w:bCs/>
                <w:color w:val="auto"/>
                <w:highlight w:val="none"/>
              </w:rPr>
              <w:t>台</w:t>
            </w:r>
          </w:p>
        </w:tc>
        <w:tc>
          <w:tcPr>
            <w:tcW w:w="376" w:type="pct"/>
            <w:vAlign w:val="center"/>
          </w:tcPr>
          <w:p w14:paraId="0DBD6027">
            <w:pPr>
              <w:spacing w:line="260" w:lineRule="exact"/>
              <w:jc w:val="center"/>
              <w:rPr>
                <w:bCs/>
                <w:color w:val="auto"/>
                <w:highlight w:val="none"/>
              </w:rPr>
            </w:pPr>
            <w:r>
              <w:rPr>
                <w:rFonts w:hint="eastAsia"/>
                <w:bCs/>
                <w:color w:val="auto"/>
                <w:highlight w:val="none"/>
              </w:rPr>
              <w:t>1</w:t>
            </w:r>
          </w:p>
        </w:tc>
        <w:tc>
          <w:tcPr>
            <w:tcW w:w="873" w:type="pct"/>
            <w:vAlign w:val="center"/>
          </w:tcPr>
          <w:p w14:paraId="35B6FDB2">
            <w:pPr>
              <w:spacing w:line="260" w:lineRule="exact"/>
              <w:jc w:val="center"/>
              <w:rPr>
                <w:bCs/>
                <w:color w:val="auto"/>
                <w:highlight w:val="none"/>
              </w:rPr>
            </w:pPr>
            <w:r>
              <w:rPr>
                <w:rFonts w:hint="eastAsia"/>
                <w:bCs/>
                <w:color w:val="auto"/>
                <w:highlight w:val="none"/>
              </w:rPr>
              <w:t>-</w:t>
            </w:r>
          </w:p>
        </w:tc>
        <w:tc>
          <w:tcPr>
            <w:tcW w:w="1098" w:type="pct"/>
            <w:vAlign w:val="center"/>
          </w:tcPr>
          <w:p w14:paraId="6030DE3A">
            <w:pPr>
              <w:spacing w:line="260" w:lineRule="exact"/>
              <w:jc w:val="center"/>
              <w:rPr>
                <w:bCs/>
                <w:color w:val="auto"/>
                <w:highlight w:val="none"/>
              </w:rPr>
            </w:pPr>
            <w:r>
              <w:rPr>
                <w:rFonts w:hint="eastAsia"/>
                <w:bCs/>
                <w:color w:val="auto"/>
                <w:highlight w:val="none"/>
                <w:lang w:val="en-US" w:eastAsia="zh-CN"/>
              </w:rPr>
              <w:t>5</w:t>
            </w:r>
            <w:r>
              <w:rPr>
                <w:bCs/>
                <w:color w:val="auto"/>
                <w:highlight w:val="none"/>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7</w:t>
            </w:r>
          </w:p>
        </w:tc>
        <w:tc>
          <w:tcPr>
            <w:tcW w:w="873" w:type="pct"/>
            <w:vAlign w:val="center"/>
          </w:tcPr>
          <w:p w14:paraId="6FBAB2BD">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8"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1</w:t>
            </w:r>
            <w:r>
              <w:rPr>
                <w:bCs/>
                <w:color w:val="auto"/>
                <w:highlight w:val="none"/>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8</w:t>
            </w:r>
          </w:p>
        </w:tc>
        <w:tc>
          <w:tcPr>
            <w:tcW w:w="873" w:type="pct"/>
            <w:vAlign w:val="center"/>
          </w:tcPr>
          <w:p w14:paraId="686B8C77">
            <w:pPr>
              <w:spacing w:line="260" w:lineRule="exact"/>
              <w:jc w:val="center"/>
              <w:rPr>
                <w:bCs/>
                <w:color w:val="auto"/>
                <w:highlight w:val="none"/>
              </w:rPr>
            </w:pPr>
            <w:r>
              <w:rPr>
                <w:rFonts w:hint="eastAsia"/>
                <w:bCs/>
                <w:color w:val="auto"/>
                <w:highlight w:val="none"/>
              </w:rPr>
              <w:t>视频监控系统</w:t>
            </w:r>
          </w:p>
        </w:tc>
        <w:tc>
          <w:tcPr>
            <w:tcW w:w="1031" w:type="pct"/>
            <w:vAlign w:val="center"/>
          </w:tcPr>
          <w:p w14:paraId="27FDFD1D">
            <w:pPr>
              <w:spacing w:line="260" w:lineRule="exact"/>
              <w:jc w:val="center"/>
              <w:rPr>
                <w:bCs/>
                <w:color w:val="auto"/>
                <w:highlight w:val="none"/>
              </w:rPr>
            </w:pPr>
            <w:r>
              <w:rPr>
                <w:rFonts w:hint="eastAsia"/>
                <w:bCs/>
                <w:color w:val="auto"/>
                <w:highlight w:val="none"/>
              </w:rPr>
              <w:t>-</w:t>
            </w:r>
          </w:p>
        </w:tc>
        <w:tc>
          <w:tcPr>
            <w:tcW w:w="376" w:type="pct"/>
            <w:vAlign w:val="center"/>
          </w:tcPr>
          <w:p w14:paraId="73F64BB6">
            <w:pPr>
              <w:spacing w:line="260" w:lineRule="exact"/>
              <w:jc w:val="center"/>
              <w:rPr>
                <w:bCs/>
                <w:color w:val="auto"/>
                <w:highlight w:val="none"/>
              </w:rPr>
            </w:pPr>
            <w:r>
              <w:rPr>
                <w:rFonts w:hint="eastAsia"/>
                <w:bCs/>
                <w:color w:val="auto"/>
                <w:highlight w:val="none"/>
              </w:rPr>
              <w:t>套</w:t>
            </w:r>
          </w:p>
        </w:tc>
        <w:tc>
          <w:tcPr>
            <w:tcW w:w="376" w:type="pct"/>
            <w:vAlign w:val="center"/>
          </w:tcPr>
          <w:p w14:paraId="6BAD6ECD">
            <w:pPr>
              <w:spacing w:line="260" w:lineRule="exact"/>
              <w:jc w:val="center"/>
              <w:rPr>
                <w:bCs/>
                <w:color w:val="auto"/>
                <w:highlight w:val="none"/>
              </w:rPr>
            </w:pPr>
            <w:r>
              <w:rPr>
                <w:rFonts w:hint="eastAsia"/>
                <w:bCs/>
                <w:color w:val="auto"/>
                <w:highlight w:val="none"/>
              </w:rPr>
              <w:t>1</w:t>
            </w:r>
          </w:p>
        </w:tc>
        <w:tc>
          <w:tcPr>
            <w:tcW w:w="873" w:type="pct"/>
            <w:vAlign w:val="center"/>
          </w:tcPr>
          <w:p w14:paraId="199BBCD5">
            <w:pPr>
              <w:spacing w:line="260" w:lineRule="exact"/>
              <w:jc w:val="center"/>
              <w:rPr>
                <w:bCs/>
                <w:color w:val="auto"/>
                <w:highlight w:val="none"/>
              </w:rPr>
            </w:pPr>
            <w:r>
              <w:rPr>
                <w:rFonts w:hint="eastAsia"/>
                <w:bCs/>
                <w:color w:val="auto"/>
                <w:highlight w:val="none"/>
              </w:rPr>
              <w:t>-</w:t>
            </w:r>
          </w:p>
        </w:tc>
        <w:tc>
          <w:tcPr>
            <w:tcW w:w="1098" w:type="pct"/>
            <w:vAlign w:val="center"/>
          </w:tcPr>
          <w:p w14:paraId="46442572">
            <w:pPr>
              <w:spacing w:line="260" w:lineRule="exact"/>
              <w:jc w:val="center"/>
              <w:rPr>
                <w:bCs/>
                <w:color w:val="auto"/>
                <w:highlight w:val="none"/>
              </w:rPr>
            </w:pPr>
            <w:r>
              <w:rPr>
                <w:rFonts w:hint="eastAsia"/>
                <w:bCs/>
                <w:color w:val="auto"/>
                <w:highlight w:val="none"/>
              </w:rPr>
              <w:t>-</w:t>
            </w:r>
          </w:p>
        </w:tc>
      </w:tr>
    </w:tbl>
    <w:p w14:paraId="49097DC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2.3-2</w:t>
      </w:r>
      <w:r>
        <w:rPr>
          <w:rFonts w:hint="eastAsia" w:ascii="Times New Roman" w:hAnsi="Times New Roman" w:cs="宋体"/>
          <w:color w:val="auto"/>
          <w:sz w:val="24"/>
          <w:szCs w:val="24"/>
          <w:highlight w:val="none"/>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958"/>
        <w:gridCol w:w="1719"/>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highlight w:val="none"/>
              </w:rPr>
            </w:pPr>
            <w:r>
              <w:rPr>
                <w:rFonts w:hint="eastAsia"/>
                <w:b/>
                <w:color w:val="auto"/>
                <w:highlight w:val="none"/>
              </w:rPr>
              <w:t>序号</w:t>
            </w:r>
          </w:p>
        </w:tc>
        <w:tc>
          <w:tcPr>
            <w:tcW w:w="1621" w:type="dxa"/>
            <w:vAlign w:val="center"/>
          </w:tcPr>
          <w:p w14:paraId="6A0D1A1E">
            <w:pPr>
              <w:jc w:val="center"/>
              <w:rPr>
                <w:b/>
                <w:color w:val="auto"/>
                <w:highlight w:val="none"/>
              </w:rPr>
            </w:pPr>
            <w:r>
              <w:rPr>
                <w:rFonts w:hint="eastAsia"/>
                <w:b/>
                <w:color w:val="auto"/>
                <w:highlight w:val="none"/>
              </w:rPr>
              <w:t>名称</w:t>
            </w:r>
          </w:p>
        </w:tc>
        <w:tc>
          <w:tcPr>
            <w:tcW w:w="717" w:type="dxa"/>
            <w:vAlign w:val="center"/>
          </w:tcPr>
          <w:p w14:paraId="083D95C5">
            <w:pPr>
              <w:jc w:val="center"/>
              <w:rPr>
                <w:b/>
                <w:color w:val="auto"/>
                <w:highlight w:val="none"/>
              </w:rPr>
            </w:pPr>
            <w:r>
              <w:rPr>
                <w:rFonts w:hint="eastAsia"/>
                <w:b/>
                <w:color w:val="auto"/>
                <w:highlight w:val="none"/>
              </w:rPr>
              <w:t>数量</w:t>
            </w:r>
          </w:p>
        </w:tc>
        <w:tc>
          <w:tcPr>
            <w:tcW w:w="1102" w:type="dxa"/>
            <w:vAlign w:val="center"/>
          </w:tcPr>
          <w:p w14:paraId="175DD9A4">
            <w:pPr>
              <w:jc w:val="center"/>
              <w:rPr>
                <w:b/>
                <w:color w:val="auto"/>
                <w:highlight w:val="none"/>
              </w:rPr>
            </w:pPr>
            <w:r>
              <w:rPr>
                <w:rFonts w:hint="eastAsia"/>
                <w:b/>
                <w:color w:val="auto"/>
                <w:highlight w:val="none"/>
              </w:rPr>
              <w:t>面积</w:t>
            </w:r>
          </w:p>
        </w:tc>
        <w:tc>
          <w:tcPr>
            <w:tcW w:w="1251" w:type="dxa"/>
            <w:vAlign w:val="center"/>
          </w:tcPr>
          <w:p w14:paraId="428F297A">
            <w:pPr>
              <w:jc w:val="center"/>
              <w:rPr>
                <w:b/>
                <w:color w:val="auto"/>
                <w:highlight w:val="none"/>
              </w:rPr>
            </w:pPr>
            <w:r>
              <w:rPr>
                <w:rFonts w:hint="eastAsia"/>
                <w:b/>
                <w:color w:val="auto"/>
                <w:highlight w:val="none"/>
              </w:rPr>
              <w:t>耐火等级</w:t>
            </w:r>
          </w:p>
        </w:tc>
        <w:tc>
          <w:tcPr>
            <w:tcW w:w="1958" w:type="dxa"/>
            <w:vAlign w:val="center"/>
          </w:tcPr>
          <w:p w14:paraId="2EC47E2E">
            <w:pPr>
              <w:jc w:val="center"/>
              <w:rPr>
                <w:b/>
                <w:color w:val="auto"/>
                <w:highlight w:val="none"/>
              </w:rPr>
            </w:pPr>
            <w:r>
              <w:rPr>
                <w:rFonts w:hint="eastAsia"/>
                <w:b/>
                <w:color w:val="auto"/>
                <w:highlight w:val="none"/>
              </w:rPr>
              <w:t>结构类型</w:t>
            </w:r>
          </w:p>
        </w:tc>
        <w:tc>
          <w:tcPr>
            <w:tcW w:w="1719" w:type="dxa"/>
            <w:vAlign w:val="center"/>
          </w:tcPr>
          <w:p w14:paraId="170DECE4">
            <w:pPr>
              <w:jc w:val="center"/>
              <w:rPr>
                <w:b/>
                <w:color w:val="auto"/>
                <w:highlight w:val="none"/>
              </w:rPr>
            </w:pPr>
            <w:r>
              <w:rPr>
                <w:rFonts w:hint="eastAsia"/>
                <w:b/>
                <w:color w:val="auto"/>
                <w:highlight w:val="none"/>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highlight w:val="none"/>
              </w:rPr>
            </w:pPr>
            <w:r>
              <w:rPr>
                <w:bCs/>
                <w:color w:val="auto"/>
                <w:highlight w:val="none"/>
              </w:rPr>
              <w:t>1</w:t>
            </w:r>
          </w:p>
        </w:tc>
        <w:tc>
          <w:tcPr>
            <w:tcW w:w="1621" w:type="dxa"/>
            <w:vAlign w:val="center"/>
          </w:tcPr>
          <w:p w14:paraId="2F344382">
            <w:pPr>
              <w:jc w:val="center"/>
              <w:rPr>
                <w:bCs/>
                <w:color w:val="auto"/>
                <w:highlight w:val="none"/>
              </w:rPr>
            </w:pPr>
            <w:r>
              <w:rPr>
                <w:rFonts w:hint="eastAsia"/>
                <w:bCs/>
                <w:color w:val="auto"/>
                <w:highlight w:val="none"/>
              </w:rPr>
              <w:t>罩棚</w:t>
            </w:r>
          </w:p>
        </w:tc>
        <w:tc>
          <w:tcPr>
            <w:tcW w:w="717" w:type="dxa"/>
            <w:vAlign w:val="center"/>
          </w:tcPr>
          <w:p w14:paraId="5CAE8C9E">
            <w:pPr>
              <w:jc w:val="center"/>
              <w:rPr>
                <w:color w:val="auto"/>
                <w:highlight w:val="none"/>
              </w:rPr>
            </w:pPr>
            <w:r>
              <w:rPr>
                <w:rFonts w:hint="eastAsia"/>
                <w:color w:val="auto"/>
                <w:highlight w:val="none"/>
              </w:rPr>
              <w:t>1座</w:t>
            </w:r>
          </w:p>
        </w:tc>
        <w:tc>
          <w:tcPr>
            <w:tcW w:w="1102" w:type="dxa"/>
            <w:vAlign w:val="center"/>
          </w:tcPr>
          <w:p w14:paraId="1C62B322">
            <w:pPr>
              <w:jc w:val="center"/>
              <w:rPr>
                <w:bCs/>
                <w:color w:val="auto"/>
                <w:highlight w:val="none"/>
              </w:rPr>
            </w:pPr>
            <w:r>
              <w:rPr>
                <w:rFonts w:hint="eastAsia"/>
                <w:bCs/>
                <w:color w:val="auto"/>
                <w:highlight w:val="none"/>
                <w:lang w:val="en-US" w:eastAsia="zh-CN"/>
              </w:rPr>
              <w:t>1123.5</w:t>
            </w:r>
            <w:r>
              <w:rPr>
                <w:bCs/>
                <w:color w:val="auto"/>
                <w:highlight w:val="none"/>
              </w:rPr>
              <w:t>m</w:t>
            </w:r>
            <w:r>
              <w:rPr>
                <w:bCs/>
                <w:color w:val="auto"/>
                <w:highlight w:val="none"/>
                <w:vertAlign w:val="superscript"/>
              </w:rPr>
              <w:t>2</w:t>
            </w:r>
          </w:p>
        </w:tc>
        <w:tc>
          <w:tcPr>
            <w:tcW w:w="1251" w:type="dxa"/>
            <w:vAlign w:val="center"/>
          </w:tcPr>
          <w:p w14:paraId="059C6B94">
            <w:pPr>
              <w:jc w:val="center"/>
              <w:rPr>
                <w:bCs/>
                <w:color w:val="auto"/>
                <w:highlight w:val="none"/>
              </w:rPr>
            </w:pPr>
            <w:r>
              <w:rPr>
                <w:rFonts w:hint="eastAsia"/>
                <w:bCs/>
                <w:color w:val="auto"/>
                <w:highlight w:val="none"/>
              </w:rPr>
              <w:t>/</w:t>
            </w:r>
          </w:p>
        </w:tc>
        <w:tc>
          <w:tcPr>
            <w:tcW w:w="1958" w:type="dxa"/>
            <w:vAlign w:val="center"/>
          </w:tcPr>
          <w:p w14:paraId="2D4B0A76">
            <w:pPr>
              <w:jc w:val="center"/>
              <w:rPr>
                <w:bCs/>
                <w:color w:val="auto"/>
                <w:highlight w:val="none"/>
              </w:rPr>
            </w:pPr>
            <w:r>
              <w:rPr>
                <w:rFonts w:hint="eastAsia"/>
                <w:bCs/>
                <w:color w:val="auto"/>
                <w:highlight w:val="none"/>
              </w:rPr>
              <w:t>轻钢结构彩钢瓦顶</w:t>
            </w:r>
          </w:p>
        </w:tc>
        <w:tc>
          <w:tcPr>
            <w:tcW w:w="1719" w:type="dxa"/>
            <w:vAlign w:val="center"/>
          </w:tcPr>
          <w:p w14:paraId="380E1B33">
            <w:pPr>
              <w:jc w:val="center"/>
              <w:rPr>
                <w:bCs/>
                <w:color w:val="auto"/>
                <w:highlight w:val="none"/>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highlight w:val="none"/>
              </w:rPr>
            </w:pPr>
            <w:r>
              <w:rPr>
                <w:rFonts w:hint="eastAsia"/>
                <w:bCs/>
                <w:color w:val="auto"/>
                <w:highlight w:val="none"/>
              </w:rPr>
              <w:t>2</w:t>
            </w:r>
          </w:p>
        </w:tc>
        <w:tc>
          <w:tcPr>
            <w:tcW w:w="1621" w:type="dxa"/>
            <w:vAlign w:val="center"/>
          </w:tcPr>
          <w:p w14:paraId="506AC7DB">
            <w:pPr>
              <w:jc w:val="center"/>
              <w:rPr>
                <w:bCs/>
                <w:color w:val="auto"/>
                <w:highlight w:val="none"/>
              </w:rPr>
            </w:pPr>
            <w:r>
              <w:rPr>
                <w:rFonts w:hint="eastAsia"/>
                <w:bCs/>
                <w:color w:val="auto"/>
                <w:highlight w:val="none"/>
              </w:rPr>
              <w:t>站房</w:t>
            </w:r>
          </w:p>
        </w:tc>
        <w:tc>
          <w:tcPr>
            <w:tcW w:w="717" w:type="dxa"/>
            <w:vAlign w:val="center"/>
          </w:tcPr>
          <w:p w14:paraId="1FD7E647">
            <w:pPr>
              <w:jc w:val="center"/>
              <w:rPr>
                <w:bCs/>
                <w:color w:val="auto"/>
                <w:highlight w:val="none"/>
              </w:rPr>
            </w:pPr>
            <w:r>
              <w:rPr>
                <w:bCs/>
                <w:color w:val="auto"/>
                <w:highlight w:val="none"/>
              </w:rPr>
              <w:t>1</w:t>
            </w:r>
            <w:r>
              <w:rPr>
                <w:rFonts w:hint="eastAsia"/>
                <w:bCs/>
                <w:color w:val="auto"/>
                <w:highlight w:val="none"/>
              </w:rPr>
              <w:t>座</w:t>
            </w:r>
          </w:p>
        </w:tc>
        <w:tc>
          <w:tcPr>
            <w:tcW w:w="1102" w:type="dxa"/>
            <w:vAlign w:val="center"/>
          </w:tcPr>
          <w:p w14:paraId="6D7524ED">
            <w:pPr>
              <w:jc w:val="center"/>
              <w:rPr>
                <w:bCs/>
                <w:color w:val="auto"/>
                <w:highlight w:val="none"/>
              </w:rPr>
            </w:pPr>
            <w:r>
              <w:rPr>
                <w:rFonts w:hint="eastAsia"/>
                <w:bCs/>
                <w:color w:val="auto"/>
                <w:highlight w:val="none"/>
                <w:lang w:val="en-US" w:eastAsia="zh-CN"/>
              </w:rPr>
              <w:t>234</w:t>
            </w:r>
            <w:r>
              <w:rPr>
                <w:bCs/>
                <w:color w:val="auto"/>
                <w:highlight w:val="none"/>
              </w:rPr>
              <w:t>m</w:t>
            </w:r>
            <w:r>
              <w:rPr>
                <w:bCs/>
                <w:color w:val="auto"/>
                <w:highlight w:val="none"/>
                <w:vertAlign w:val="superscript"/>
              </w:rPr>
              <w:t>2</w:t>
            </w:r>
          </w:p>
        </w:tc>
        <w:tc>
          <w:tcPr>
            <w:tcW w:w="1251" w:type="dxa"/>
            <w:vAlign w:val="center"/>
          </w:tcPr>
          <w:p w14:paraId="7F8CB4BD">
            <w:pPr>
              <w:jc w:val="center"/>
              <w:rPr>
                <w:bCs/>
                <w:color w:val="auto"/>
                <w:highlight w:val="none"/>
              </w:rPr>
            </w:pPr>
            <w:r>
              <w:rPr>
                <w:rFonts w:hint="eastAsia"/>
                <w:bCs/>
                <w:color w:val="auto"/>
                <w:highlight w:val="none"/>
              </w:rPr>
              <w:t>二级</w:t>
            </w:r>
          </w:p>
        </w:tc>
        <w:tc>
          <w:tcPr>
            <w:tcW w:w="1958" w:type="dxa"/>
            <w:vAlign w:val="center"/>
          </w:tcPr>
          <w:p w14:paraId="18777D8D">
            <w:pPr>
              <w:jc w:val="center"/>
              <w:rPr>
                <w:bCs/>
                <w:color w:val="auto"/>
                <w:highlight w:val="none"/>
              </w:rPr>
            </w:pPr>
            <w:r>
              <w:rPr>
                <w:rFonts w:hint="eastAsia"/>
                <w:bCs/>
                <w:color w:val="auto"/>
                <w:highlight w:val="none"/>
              </w:rPr>
              <w:t>砖混</w:t>
            </w:r>
          </w:p>
        </w:tc>
        <w:tc>
          <w:tcPr>
            <w:tcW w:w="1719" w:type="dxa"/>
            <w:vAlign w:val="center"/>
          </w:tcPr>
          <w:p w14:paraId="2DD227D4">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highlight w:val="none"/>
              </w:rPr>
            </w:pPr>
            <w:r>
              <w:rPr>
                <w:rFonts w:hint="eastAsia"/>
                <w:bCs/>
                <w:color w:val="auto"/>
                <w:highlight w:val="none"/>
              </w:rPr>
              <w:t>3</w:t>
            </w:r>
          </w:p>
        </w:tc>
        <w:tc>
          <w:tcPr>
            <w:tcW w:w="1621" w:type="dxa"/>
            <w:vAlign w:val="center"/>
          </w:tcPr>
          <w:p w14:paraId="009EA450">
            <w:pPr>
              <w:jc w:val="center"/>
              <w:rPr>
                <w:bCs/>
                <w:color w:val="auto"/>
                <w:highlight w:val="none"/>
              </w:rPr>
            </w:pPr>
            <w:r>
              <w:rPr>
                <w:rFonts w:hint="eastAsia"/>
                <w:bCs/>
                <w:color w:val="auto"/>
                <w:highlight w:val="none"/>
              </w:rPr>
              <w:t>油罐区</w:t>
            </w:r>
          </w:p>
        </w:tc>
        <w:tc>
          <w:tcPr>
            <w:tcW w:w="717" w:type="dxa"/>
            <w:vAlign w:val="center"/>
          </w:tcPr>
          <w:p w14:paraId="19C95E2B">
            <w:pPr>
              <w:jc w:val="center"/>
              <w:rPr>
                <w:bCs/>
                <w:color w:val="auto"/>
                <w:highlight w:val="none"/>
              </w:rPr>
            </w:pPr>
            <w:r>
              <w:rPr>
                <w:rFonts w:hint="eastAsia"/>
                <w:bCs/>
                <w:color w:val="auto"/>
                <w:highlight w:val="none"/>
              </w:rPr>
              <w:t>1座</w:t>
            </w:r>
          </w:p>
        </w:tc>
        <w:tc>
          <w:tcPr>
            <w:tcW w:w="1102" w:type="dxa"/>
            <w:vAlign w:val="center"/>
          </w:tcPr>
          <w:p w14:paraId="261D4DD4">
            <w:pPr>
              <w:jc w:val="center"/>
              <w:rPr>
                <w:rFonts w:hint="eastAsia" w:eastAsia="宋体"/>
                <w:bCs/>
                <w:color w:val="auto"/>
                <w:highlight w:val="none"/>
                <w:lang w:eastAsia="zh-CN"/>
              </w:rPr>
            </w:pPr>
            <w:r>
              <w:rPr>
                <w:rFonts w:hint="eastAsia"/>
                <w:bCs/>
                <w:color w:val="auto"/>
                <w:highlight w:val="none"/>
                <w:lang w:val="en-US" w:eastAsia="zh-CN"/>
              </w:rPr>
              <w:t>/</w:t>
            </w:r>
          </w:p>
        </w:tc>
        <w:tc>
          <w:tcPr>
            <w:tcW w:w="1251" w:type="dxa"/>
            <w:vAlign w:val="center"/>
          </w:tcPr>
          <w:p w14:paraId="634FB456">
            <w:pPr>
              <w:jc w:val="center"/>
              <w:rPr>
                <w:bCs/>
                <w:color w:val="auto"/>
                <w:highlight w:val="none"/>
              </w:rPr>
            </w:pPr>
            <w:r>
              <w:rPr>
                <w:rFonts w:hint="eastAsia"/>
                <w:bCs/>
                <w:color w:val="auto"/>
                <w:highlight w:val="none"/>
              </w:rPr>
              <w:t>/</w:t>
            </w:r>
          </w:p>
        </w:tc>
        <w:tc>
          <w:tcPr>
            <w:tcW w:w="1958" w:type="dxa"/>
            <w:vAlign w:val="center"/>
          </w:tcPr>
          <w:p w14:paraId="4E89FCD2">
            <w:pPr>
              <w:jc w:val="center"/>
              <w:rPr>
                <w:bCs/>
                <w:color w:val="auto"/>
                <w:highlight w:val="none"/>
              </w:rPr>
            </w:pPr>
            <w:r>
              <w:rPr>
                <w:rFonts w:hint="eastAsia"/>
                <w:bCs/>
                <w:color w:val="auto"/>
                <w:highlight w:val="none"/>
              </w:rPr>
              <w:t>砼</w:t>
            </w:r>
          </w:p>
        </w:tc>
        <w:tc>
          <w:tcPr>
            <w:tcW w:w="1719" w:type="dxa"/>
            <w:vAlign w:val="center"/>
          </w:tcPr>
          <w:p w14:paraId="4ADF93F0">
            <w:pPr>
              <w:jc w:val="center"/>
              <w:rPr>
                <w:bCs/>
                <w:color w:val="auto"/>
                <w:highlight w:val="none"/>
              </w:rPr>
            </w:pPr>
            <w:r>
              <w:rPr>
                <w:rFonts w:hint="eastAsia"/>
                <w:bCs/>
                <w:color w:val="auto"/>
                <w:highlight w:val="none"/>
                <w:lang w:val="en-US" w:eastAsia="zh-CN"/>
              </w:rPr>
              <w:t>非</w:t>
            </w:r>
            <w:r>
              <w:rPr>
                <w:rFonts w:hint="eastAsia"/>
                <w:bCs/>
                <w:color w:val="auto"/>
                <w:highlight w:val="none"/>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highlight w:val="none"/>
              </w:rPr>
            </w:pPr>
            <w:r>
              <w:rPr>
                <w:rFonts w:hint="eastAsia"/>
                <w:bCs/>
                <w:color w:val="auto"/>
                <w:highlight w:val="none"/>
              </w:rPr>
              <w:t>4</w:t>
            </w:r>
          </w:p>
        </w:tc>
        <w:tc>
          <w:tcPr>
            <w:tcW w:w="1621" w:type="dxa"/>
            <w:vAlign w:val="center"/>
          </w:tcPr>
          <w:p w14:paraId="33D54701">
            <w:pPr>
              <w:jc w:val="center"/>
              <w:rPr>
                <w:bCs/>
                <w:color w:val="auto"/>
                <w:highlight w:val="none"/>
              </w:rPr>
            </w:pPr>
            <w:r>
              <w:rPr>
                <w:rFonts w:hint="eastAsia"/>
                <w:bCs/>
                <w:color w:val="auto"/>
                <w:highlight w:val="none"/>
              </w:rPr>
              <w:t>隔油池</w:t>
            </w:r>
          </w:p>
        </w:tc>
        <w:tc>
          <w:tcPr>
            <w:tcW w:w="717" w:type="dxa"/>
            <w:vAlign w:val="center"/>
          </w:tcPr>
          <w:p w14:paraId="5EAD8CB8">
            <w:pPr>
              <w:jc w:val="center"/>
              <w:rPr>
                <w:bCs/>
                <w:color w:val="auto"/>
                <w:highlight w:val="none"/>
              </w:rPr>
            </w:pPr>
            <w:r>
              <w:rPr>
                <w:rFonts w:hint="eastAsia"/>
                <w:bCs/>
                <w:color w:val="auto"/>
                <w:highlight w:val="none"/>
              </w:rPr>
              <w:t>1座</w:t>
            </w:r>
          </w:p>
        </w:tc>
        <w:tc>
          <w:tcPr>
            <w:tcW w:w="1102" w:type="dxa"/>
            <w:vAlign w:val="center"/>
          </w:tcPr>
          <w:p w14:paraId="6519AF4B">
            <w:pPr>
              <w:jc w:val="center"/>
              <w:rPr>
                <w:rFonts w:hint="default" w:eastAsia="宋体"/>
                <w:bCs/>
                <w:color w:val="auto"/>
                <w:highlight w:val="none"/>
                <w:lang w:val="en-US" w:eastAsia="zh-CN"/>
              </w:rPr>
            </w:pPr>
            <w:r>
              <w:rPr>
                <w:rFonts w:hint="eastAsia"/>
                <w:bCs/>
                <w:color w:val="auto"/>
                <w:highlight w:val="none"/>
                <w:lang w:val="en-US" w:eastAsia="zh-CN"/>
              </w:rPr>
              <w:t>5m</w:t>
            </w:r>
            <w:r>
              <w:rPr>
                <w:rFonts w:hint="eastAsia"/>
                <w:bCs/>
                <w:color w:val="auto"/>
                <w:highlight w:val="none"/>
                <w:vertAlign w:val="superscript"/>
                <w:lang w:val="en-US" w:eastAsia="zh-CN"/>
              </w:rPr>
              <w:t>3</w:t>
            </w:r>
          </w:p>
        </w:tc>
        <w:tc>
          <w:tcPr>
            <w:tcW w:w="1251" w:type="dxa"/>
            <w:vAlign w:val="center"/>
          </w:tcPr>
          <w:p w14:paraId="6E7590C8">
            <w:pPr>
              <w:jc w:val="center"/>
              <w:rPr>
                <w:bCs/>
                <w:color w:val="auto"/>
                <w:highlight w:val="none"/>
              </w:rPr>
            </w:pPr>
            <w:r>
              <w:rPr>
                <w:rFonts w:hint="eastAsia"/>
                <w:bCs/>
                <w:color w:val="auto"/>
                <w:highlight w:val="none"/>
              </w:rPr>
              <w:t>/</w:t>
            </w:r>
          </w:p>
        </w:tc>
        <w:tc>
          <w:tcPr>
            <w:tcW w:w="1958" w:type="dxa"/>
            <w:vAlign w:val="center"/>
          </w:tcPr>
          <w:p w14:paraId="64A96C9F">
            <w:pPr>
              <w:jc w:val="center"/>
              <w:rPr>
                <w:bCs/>
                <w:color w:val="auto"/>
                <w:highlight w:val="none"/>
              </w:rPr>
            </w:pPr>
            <w:r>
              <w:rPr>
                <w:rFonts w:hint="eastAsia"/>
                <w:bCs/>
                <w:color w:val="auto"/>
                <w:highlight w:val="none"/>
              </w:rPr>
              <w:t>砼</w:t>
            </w:r>
          </w:p>
        </w:tc>
        <w:tc>
          <w:tcPr>
            <w:tcW w:w="1719" w:type="dxa"/>
            <w:vAlign w:val="center"/>
          </w:tcPr>
          <w:p w14:paraId="5A0D8739">
            <w:pPr>
              <w:jc w:val="center"/>
              <w:rPr>
                <w:bCs/>
                <w:color w:val="auto"/>
                <w:highlight w:val="none"/>
              </w:rPr>
            </w:pPr>
          </w:p>
        </w:tc>
      </w:tr>
    </w:tbl>
    <w:p w14:paraId="7185E348">
      <w:pPr>
        <w:keepNext/>
        <w:keepLines/>
        <w:spacing w:line="580" w:lineRule="exact"/>
        <w:outlineLvl w:val="2"/>
        <w:rPr>
          <w:rFonts w:ascii="Times New Roman" w:hAnsi="Times New Roman" w:cs="Times New Roman"/>
          <w:b/>
          <w:bCs/>
          <w:color w:val="auto"/>
          <w:sz w:val="28"/>
          <w:szCs w:val="28"/>
          <w:highlight w:val="none"/>
        </w:rPr>
      </w:pPr>
      <w:bookmarkStart w:id="34" w:name="_Toc24392"/>
      <w:r>
        <w:rPr>
          <w:rFonts w:ascii="Times New Roman" w:hAnsi="Times New Roman" w:cs="Times New Roman"/>
          <w:b/>
          <w:bCs/>
          <w:color w:val="auto"/>
          <w:sz w:val="28"/>
          <w:szCs w:val="28"/>
          <w:highlight w:val="none"/>
        </w:rPr>
        <w:t>2.3.2</w:t>
      </w:r>
      <w:r>
        <w:rPr>
          <w:rFonts w:hint="eastAsia" w:ascii="Times New Roman" w:hAnsi="Times New Roman" w:cs="宋体"/>
          <w:b/>
          <w:bCs/>
          <w:color w:val="auto"/>
          <w:sz w:val="28"/>
          <w:szCs w:val="28"/>
          <w:highlight w:val="none"/>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5" w:name="_Toc22611"/>
      <w:bookmarkStart w:id="36" w:name="_Toc30405"/>
      <w:bookmarkStart w:id="37" w:name="_Toc1188"/>
      <w:r>
        <w:rPr>
          <w:rFonts w:hint="eastAsia" w:ascii="Times New Roman" w:hAnsi="Times New Roman" w:eastAsia="黑体" w:cs="Times New Roman"/>
          <w:b/>
          <w:bCs/>
          <w:color w:val="auto"/>
          <w:sz w:val="28"/>
          <w:szCs w:val="28"/>
          <w:highlight w:val="none"/>
        </w:rPr>
        <w:t>1）卸油工艺流程</w:t>
      </w:r>
      <w:bookmarkEnd w:id="35"/>
      <w:r>
        <w:rPr>
          <w:rFonts w:ascii="Times New Roman" w:hAnsi="Times New Roman" w:eastAsia="黑体" w:cs="Times New Roman"/>
          <w:b/>
          <w:bCs/>
          <w:color w:val="auto"/>
          <w:sz w:val="28"/>
          <w:szCs w:val="28"/>
          <w:highlight w:val="none"/>
        </w:rPr>
        <w:t xml:space="preserve"> </w:t>
      </w:r>
    </w:p>
    <w:p w14:paraId="30231D5F">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宋体"/>
          <w:color w:val="auto"/>
          <w:kern w:val="0"/>
          <w:sz w:val="28"/>
          <w:szCs w:val="28"/>
          <w:highlight w:val="none"/>
        </w:rPr>
        <w:t>①</w:t>
      </w:r>
      <w:r>
        <w:rPr>
          <w:rFonts w:hint="eastAsia" w:ascii="宋体" w:hAnsi="宋体" w:cs="Times New Roman"/>
          <w:color w:val="auto"/>
          <w:kern w:val="0"/>
          <w:sz w:val="28"/>
          <w:szCs w:val="28"/>
          <w:highlight w:val="none"/>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highlight w:val="none"/>
          <w:lang w:val="zh-CN"/>
        </w:rPr>
      </w:pPr>
      <w:r>
        <w:rPr>
          <w:rFonts w:ascii="宋体" w:hAnsi="宋体" w:cs="Times New Roman"/>
          <w:color w:val="auto"/>
          <w:kern w:val="0"/>
          <w:sz w:val="24"/>
          <w:szCs w:val="24"/>
          <w:highlight w:val="none"/>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highlight w:val="none"/>
        </w:rPr>
      </w:pPr>
    </w:p>
    <w:p w14:paraId="145D1F4D">
      <w:pPr>
        <w:spacing w:line="600" w:lineRule="exact"/>
        <w:ind w:firstLine="422" w:firstLineChars="200"/>
        <w:rPr>
          <w:rFonts w:ascii="Times New Roman" w:hAnsi="Times New Roman" w:cs="Times New Roman"/>
          <w:b/>
          <w:bCs/>
          <w:color w:val="auto"/>
          <w:highlight w:val="none"/>
        </w:rPr>
      </w:pPr>
    </w:p>
    <w:p w14:paraId="785DFF37">
      <w:pPr>
        <w:spacing w:line="600" w:lineRule="exact"/>
        <w:ind w:firstLine="422" w:firstLineChars="200"/>
        <w:rPr>
          <w:rFonts w:ascii="Times New Roman" w:hAnsi="Times New Roman" w:cs="Times New Roman"/>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0D349490">
      <w:pPr>
        <w:spacing w:line="600" w:lineRule="exact"/>
        <w:ind w:firstLine="560" w:firstLineChars="200"/>
        <w:rPr>
          <w:rFonts w:ascii="Times New Roman" w:hAnsi="Times New Roman" w:cs="Times New Roman"/>
          <w:color w:val="auto"/>
          <w:sz w:val="24"/>
          <w:szCs w:val="24"/>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柴油卸油工艺，流程图如下</w:t>
      </w:r>
      <w:r>
        <w:rPr>
          <w:rFonts w:hint="eastAsia" w:ascii="Times New Roman" w:hAnsi="Times New Roman" w:cs="Times New Roman"/>
          <w:color w:val="auto"/>
          <w:sz w:val="24"/>
          <w:szCs w:val="24"/>
          <w:highlight w:val="none"/>
        </w:rPr>
        <w:t>：</w:t>
      </w:r>
    </w:p>
    <w:p w14:paraId="5797F939">
      <w:pPr>
        <w:spacing w:line="600" w:lineRule="exact"/>
        <w:rPr>
          <w:rFonts w:ascii="Times New Roman" w:hAnsi="Times New Roman" w:eastAsia="Times New Roman" w:cs="Times New Roman"/>
          <w:color w:val="auto"/>
          <w:sz w:val="28"/>
          <w:szCs w:val="28"/>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8" w:name="_Toc20461"/>
      <w:bookmarkStart w:id="39" w:name="_Toc27343"/>
      <w:r>
        <w:rPr>
          <w:rFonts w:hint="eastAsia" w:ascii="Times New Roman" w:hAnsi="Times New Roman" w:eastAsia="黑体" w:cs="Times New Roman"/>
          <w:b/>
          <w:bCs/>
          <w:color w:val="auto"/>
          <w:sz w:val="28"/>
          <w:szCs w:val="28"/>
          <w:highlight w:val="none"/>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①</w:t>
      </w:r>
      <w:r>
        <w:rPr>
          <w:rFonts w:hint="eastAsia" w:ascii="Times New Roman" w:hAnsi="Times New Roman" w:cs="Times New Roman"/>
          <w:color w:val="auto"/>
          <w:sz w:val="28"/>
          <w:szCs w:val="28"/>
          <w:highlight w:val="none"/>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highlight w:val="none"/>
        </w:rPr>
      </w:pPr>
      <w:r>
        <w:rPr>
          <w:rFonts w:hint="eastAsia" w:ascii="Times New Roman" w:hAnsi="Times New Roman" w:cs="Times New Roman"/>
          <w:bCs/>
          <w:color w:val="auto"/>
          <w:sz w:val="28"/>
          <w:szCs w:val="28"/>
          <w:highlight w:val="none"/>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highlight w:val="none"/>
        </w:rPr>
      </w:pPr>
      <w:r>
        <w:rPr>
          <w:rFonts w:ascii="Arial" w:hAnsi="Arial" w:eastAsia="楷体" w:cs="宋体"/>
          <w:b/>
          <w:color w:val="auto"/>
          <w:sz w:val="32"/>
          <w:szCs w:val="28"/>
          <w:highlight w:val="none"/>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highlight w:val="none"/>
        </w:rPr>
      </w:pPr>
    </w:p>
    <w:p w14:paraId="634115D2">
      <w:pPr>
        <w:spacing w:line="600" w:lineRule="exact"/>
        <w:ind w:firstLine="560" w:firstLineChars="200"/>
        <w:rPr>
          <w:rFonts w:ascii="Times New Roman" w:hAnsi="Times New Roman" w:cs="Times New Roman"/>
          <w:bCs/>
          <w:color w:val="auto"/>
          <w:sz w:val="28"/>
          <w:szCs w:val="28"/>
          <w:highlight w:val="none"/>
        </w:rPr>
      </w:pPr>
    </w:p>
    <w:p w14:paraId="6747451A">
      <w:pPr>
        <w:spacing w:line="600" w:lineRule="exact"/>
        <w:ind w:firstLine="560" w:firstLineChars="200"/>
        <w:rPr>
          <w:rFonts w:ascii="Times New Roman" w:hAnsi="Times New Roman" w:cs="Times New Roman"/>
          <w:bCs/>
          <w:color w:val="auto"/>
          <w:sz w:val="28"/>
          <w:szCs w:val="28"/>
          <w:highlight w:val="none"/>
        </w:rPr>
      </w:pPr>
    </w:p>
    <w:p w14:paraId="5371E1B7">
      <w:pPr>
        <w:spacing w:line="360" w:lineRule="auto"/>
        <w:ind w:firstLine="843" w:firstLineChars="400"/>
        <w:rPr>
          <w:rFonts w:ascii="Times New Roman" w:hAnsi="Times New Roman" w:cs="Times New Roman"/>
          <w:b/>
          <w:bCs/>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70E652B6">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柴油加油机加油工艺，流程图如下：</w:t>
      </w:r>
    </w:p>
    <w:p w14:paraId="48010384">
      <w:pPr>
        <w:spacing w:line="360" w:lineRule="auto"/>
        <w:ind w:firstLine="420" w:firstLineChars="200"/>
        <w:rPr>
          <w:rFonts w:ascii="Times New Roman" w:hAnsi="Times New Roman" w:cs="Times New Roman"/>
          <w:color w:val="auto"/>
          <w:sz w:val="24"/>
          <w:szCs w:val="24"/>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highlight w:val="none"/>
        </w:rPr>
      </w:pPr>
    </w:p>
    <w:p w14:paraId="1DDBE2E1">
      <w:pPr>
        <w:spacing w:line="240" w:lineRule="atLeast"/>
        <w:ind w:firstLine="480" w:firstLineChars="200"/>
        <w:rPr>
          <w:rFonts w:ascii="Times New Roman" w:hAnsi="Times New Roman" w:cs="Times New Roman"/>
          <w:color w:val="auto"/>
          <w:sz w:val="24"/>
          <w:szCs w:val="24"/>
          <w:highlight w:val="none"/>
        </w:rPr>
      </w:pPr>
    </w:p>
    <w:p w14:paraId="2AD95958">
      <w:pPr>
        <w:spacing w:line="240" w:lineRule="atLeast"/>
        <w:ind w:firstLine="480" w:firstLineChars="200"/>
        <w:rPr>
          <w:rFonts w:ascii="Times New Roman" w:hAnsi="Times New Roman" w:cs="Times New Roman"/>
          <w:color w:val="auto"/>
          <w:sz w:val="24"/>
          <w:szCs w:val="24"/>
          <w:highlight w:val="none"/>
        </w:rPr>
      </w:pPr>
    </w:p>
    <w:bookmarkEnd w:id="36"/>
    <w:p w14:paraId="1F5B38E2">
      <w:pPr>
        <w:keepNext/>
        <w:keepLines/>
        <w:spacing w:line="580" w:lineRule="exact"/>
        <w:outlineLvl w:val="1"/>
        <w:rPr>
          <w:rFonts w:ascii="Times New Roman" w:hAnsi="Times New Roman" w:cs="Times New Roman"/>
          <w:b/>
          <w:bCs/>
          <w:color w:val="auto"/>
          <w:sz w:val="28"/>
          <w:szCs w:val="28"/>
          <w:highlight w:val="none"/>
        </w:rPr>
      </w:pPr>
      <w:bookmarkStart w:id="40" w:name="_Toc26174"/>
      <w:r>
        <w:rPr>
          <w:rFonts w:ascii="Times New Roman" w:hAnsi="Times New Roman" w:cs="Times New Roman"/>
          <w:b/>
          <w:bCs/>
          <w:color w:val="auto"/>
          <w:sz w:val="28"/>
          <w:szCs w:val="28"/>
          <w:highlight w:val="none"/>
        </w:rPr>
        <w:t xml:space="preserve">2.4 </w:t>
      </w:r>
      <w:r>
        <w:rPr>
          <w:rFonts w:hint="eastAsia" w:ascii="Times New Roman" w:hAnsi="Times New Roman" w:cs="宋体"/>
          <w:b/>
          <w:bCs/>
          <w:color w:val="auto"/>
          <w:sz w:val="28"/>
          <w:szCs w:val="28"/>
          <w:highlight w:val="none"/>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、供配电</w:t>
      </w:r>
    </w:p>
    <w:p w14:paraId="5AD38C24">
      <w:pPr>
        <w:tabs>
          <w:tab w:val="left" w:pos="3465"/>
        </w:tabs>
        <w:spacing w:line="60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8"/>
          <w:highlight w:val="none"/>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4"/>
          <w:highlight w:val="none"/>
        </w:rPr>
        <w:t>通过直埋电缆敷设至站区内各电气设备。罩棚、营业室、配电间等处均设应急照明。</w:t>
      </w:r>
    </w:p>
    <w:p w14:paraId="2D73081B">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rPr>
        <w:t>站房</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lang w:eastAsia="zh-CN"/>
        </w:rPr>
        <w:t>接闪带沿站房屋面明敷，</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lang w:eastAsia="zh-CN"/>
        </w:rPr>
        <w:t>接闪带沿罩棚屋面明敷</w:t>
      </w:r>
      <w:r>
        <w:rPr>
          <w:rFonts w:hint="eastAsia" w:ascii="Times New Roman" w:hAnsi="Times New Roman"/>
          <w:color w:val="auto"/>
          <w:sz w:val="28"/>
          <w:szCs w:val="28"/>
          <w:highlight w:val="none"/>
          <w:lang w:val="en-US" w:eastAsia="zh-CN"/>
        </w:rPr>
        <w:t>。站房引下线采用自然、暗敷，罩棚引下线采用专设、暗敷罩棚6根、站房6根，平均间距＜18m。</w:t>
      </w:r>
    </w:p>
    <w:p w14:paraId="27BDC26D">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该站防雷设施经江西省瑞天防雷检测有限公司赣州分公司进行检测，检测结论为合格，有效期至2026年</w:t>
      </w:r>
      <w:r>
        <w:rPr>
          <w:rFonts w:hint="eastAsia" w:ascii="Times New Roman" w:hAnsi="Times New Roman" w:cs="Times New Roman"/>
          <w:color w:val="auto"/>
          <w:sz w:val="28"/>
          <w:szCs w:val="28"/>
          <w:highlight w:val="none"/>
          <w:lang w:val="en-US" w:eastAsia="zh-CN"/>
        </w:rPr>
        <w:t>10</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27</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1134BC9A">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该站防静电接地经湖北雷特防雷检测有限公司进行检测，检测结论为合格，有效期至2026年</w:t>
      </w:r>
      <w:r>
        <w:rPr>
          <w:rFonts w:hint="eastAsia" w:ascii="Times New Roman" w:hAnsi="Times New Roman" w:cs="Times New Roman"/>
          <w:color w:val="auto"/>
          <w:sz w:val="28"/>
          <w:szCs w:val="28"/>
          <w:highlight w:val="none"/>
          <w:lang w:val="en-US" w:eastAsia="zh-CN"/>
        </w:rPr>
        <w:t>9</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、给排水</w:t>
      </w:r>
    </w:p>
    <w:p w14:paraId="006E8CBF">
      <w:pPr>
        <w:tabs>
          <w:tab w:val="left" w:pos="3465"/>
        </w:tabs>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highlight w:val="none"/>
        </w:rPr>
      </w:pPr>
      <w:r>
        <w:rPr>
          <w:rFonts w:hint="eastAsia" w:ascii="Times New Roman" w:hAnsi="Times New Roman" w:cs="宋体"/>
          <w:color w:val="auto"/>
          <w:sz w:val="28"/>
          <w:szCs w:val="28"/>
          <w:highlight w:val="none"/>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、通讯</w:t>
      </w:r>
    </w:p>
    <w:p w14:paraId="1A135933">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、视频监控系统</w:t>
      </w:r>
    </w:p>
    <w:p w14:paraId="6AC044FC">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加油站设置了视频监控系统，视频监控系统配UPS电源，容量为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kVA。系统中 硬盘录像机储存时间大于30天。油罐液位仪等信息系统均设置在站房内，</w:t>
      </w:r>
      <w:r>
        <w:rPr>
          <w:rFonts w:hint="eastAsia" w:ascii="Times New Roman" w:hAnsi="Times New Roman" w:cs="Times New Roman"/>
          <w:color w:val="auto"/>
          <w:sz w:val="28"/>
          <w:szCs w:val="24"/>
          <w:highlight w:val="none"/>
          <w:lang w:eastAsia="zh-CN"/>
        </w:rPr>
        <w:t>配备</w:t>
      </w:r>
      <w:r>
        <w:rPr>
          <w:rFonts w:hint="eastAsia" w:ascii="Times New Roman" w:hAnsi="Times New Roman" w:cs="Times New Roman"/>
          <w:color w:val="auto"/>
          <w:sz w:val="28"/>
          <w:szCs w:val="24"/>
          <w:highlight w:val="none"/>
        </w:rPr>
        <w:t>UPS电源，UPS电源可供系统正常工作不小于60min，UPS容量为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kVA。现场</w:t>
      </w:r>
      <w:r>
        <w:rPr>
          <w:rFonts w:hint="eastAsia" w:ascii="Times New Roman" w:hAnsi="Times New Roman" w:cs="Times New Roman"/>
          <w:color w:val="auto"/>
          <w:sz w:val="28"/>
          <w:szCs w:val="24"/>
          <w:highlight w:val="none"/>
          <w:lang w:val="en-US" w:eastAsia="zh-CN"/>
        </w:rPr>
        <w:t>检查</w:t>
      </w:r>
      <w:r>
        <w:rPr>
          <w:rFonts w:hint="eastAsia" w:ascii="Times New Roman" w:hAnsi="Times New Roman" w:cs="Times New Roman"/>
          <w:color w:val="auto"/>
          <w:sz w:val="28"/>
          <w:szCs w:val="24"/>
          <w:highlight w:val="none"/>
        </w:rPr>
        <w:t>时</w:t>
      </w:r>
      <w:r>
        <w:rPr>
          <w:rFonts w:hint="eastAsia" w:ascii="Times New Roman" w:hAnsi="Times New Roman" w:cs="Times New Roman"/>
          <w:color w:val="auto"/>
          <w:sz w:val="28"/>
          <w:szCs w:val="24"/>
          <w:highlight w:val="none"/>
          <w:lang w:eastAsia="zh-CN"/>
        </w:rPr>
        <w:t>，安全系统（液位仪、泄漏检测仪）</w:t>
      </w:r>
      <w:r>
        <w:rPr>
          <w:rFonts w:hint="eastAsia" w:ascii="Times New Roman" w:hAnsi="Times New Roman" w:cs="Times New Roman"/>
          <w:color w:val="auto"/>
          <w:sz w:val="28"/>
          <w:szCs w:val="24"/>
          <w:highlight w:val="none"/>
        </w:rPr>
        <w:t>未连接不间断电源，整改后连接不间断电源。</w:t>
      </w:r>
    </w:p>
    <w:p w14:paraId="5D634C39">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摄像机处于爆炸危险区域之外。</w:t>
      </w:r>
    </w:p>
    <w:p w14:paraId="4BBFBA86">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highlight w:val="none"/>
        </w:rPr>
      </w:pPr>
      <w:r>
        <w:rPr>
          <w:rFonts w:ascii="Times New Roman" w:cs="Times New Roman"/>
          <w:color w:val="auto"/>
          <w:kern w:val="2"/>
          <w:sz w:val="28"/>
          <w:szCs w:val="28"/>
          <w:highlight w:val="none"/>
        </w:rPr>
        <w:t>5</w:t>
      </w:r>
      <w:r>
        <w:rPr>
          <w:rFonts w:hint="eastAsia" w:ascii="Times New Roman"/>
          <w:color w:val="auto"/>
          <w:kern w:val="2"/>
          <w:sz w:val="28"/>
          <w:szCs w:val="28"/>
          <w:highlight w:val="none"/>
        </w:rPr>
        <w:t>、</w:t>
      </w:r>
      <w:r>
        <w:rPr>
          <w:rFonts w:hint="eastAsia" w:ascii="Times New Roman"/>
          <w:color w:val="auto"/>
          <w:sz w:val="28"/>
          <w:szCs w:val="28"/>
          <w:highlight w:val="none"/>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highlight w:val="none"/>
        </w:rPr>
      </w:pPr>
      <w:r>
        <w:rPr>
          <w:rFonts w:ascii="Times New Roman" w:cs="Times New Roman"/>
          <w:color w:val="auto"/>
          <w:kern w:val="2"/>
          <w:sz w:val="28"/>
          <w:szCs w:val="28"/>
          <w:highlight w:val="none"/>
        </w:rPr>
        <w:t>6</w:t>
      </w:r>
      <w:r>
        <w:rPr>
          <w:rFonts w:hint="eastAsia" w:ascii="Times New Roman"/>
          <w:color w:val="auto"/>
          <w:kern w:val="2"/>
          <w:sz w:val="28"/>
          <w:szCs w:val="28"/>
          <w:highlight w:val="none"/>
        </w:rPr>
        <w:t>、仪表自动控制</w:t>
      </w:r>
    </w:p>
    <w:p w14:paraId="1F54B1EC">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加油站设置了</w:t>
      </w:r>
      <w:r>
        <w:rPr>
          <w:rFonts w:hint="eastAsia" w:ascii="Times New Roman"/>
          <w:color w:val="auto"/>
          <w:kern w:val="2"/>
          <w:sz w:val="28"/>
          <w:szCs w:val="28"/>
          <w:highlight w:val="none"/>
          <w:lang w:val="en-US" w:eastAsia="zh-CN"/>
        </w:rPr>
        <w:t>3</w:t>
      </w:r>
      <w:r>
        <w:rPr>
          <w:rFonts w:hint="eastAsia" w:ascii="Times New Roman"/>
          <w:color w:val="auto"/>
          <w:kern w:val="2"/>
          <w:sz w:val="28"/>
          <w:szCs w:val="28"/>
          <w:highlight w:val="none"/>
        </w:rPr>
        <w:t>个紧急停车按钮（加油区</w:t>
      </w:r>
      <w:r>
        <w:rPr>
          <w:rFonts w:hint="eastAsia" w:ascii="Times New Roman"/>
          <w:color w:val="auto"/>
          <w:kern w:val="2"/>
          <w:sz w:val="28"/>
          <w:szCs w:val="28"/>
          <w:highlight w:val="none"/>
          <w:lang w:val="en-US" w:eastAsia="zh-CN"/>
        </w:rPr>
        <w:t>2</w:t>
      </w:r>
      <w:r>
        <w:rPr>
          <w:rFonts w:hint="eastAsia" w:ascii="Times New Roman"/>
          <w:color w:val="auto"/>
          <w:kern w:val="2"/>
          <w:sz w:val="28"/>
          <w:szCs w:val="28"/>
          <w:highlight w:val="none"/>
        </w:rPr>
        <w:t>个，收银台</w:t>
      </w:r>
      <w:r>
        <w:rPr>
          <w:rFonts w:hint="eastAsia" w:ascii="Times New Roman"/>
          <w:color w:val="auto"/>
          <w:kern w:val="2"/>
          <w:sz w:val="28"/>
          <w:szCs w:val="28"/>
          <w:highlight w:val="none"/>
          <w:lang w:val="en-US" w:eastAsia="zh-CN"/>
        </w:rPr>
        <w:t>1</w:t>
      </w:r>
      <w:r>
        <w:rPr>
          <w:rFonts w:hint="eastAsia" w:ascii="Times New Roman"/>
          <w:color w:val="auto"/>
          <w:kern w:val="2"/>
          <w:sz w:val="28"/>
          <w:szCs w:val="28"/>
          <w:highlight w:val="none"/>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highlight w:val="none"/>
        </w:rPr>
      </w:pPr>
      <w:r>
        <w:rPr>
          <w:rFonts w:ascii="Times New Roman"/>
          <w:color w:val="auto"/>
          <w:kern w:val="2"/>
          <w:sz w:val="28"/>
          <w:szCs w:val="28"/>
          <w:highlight w:val="none"/>
        </w:rPr>
        <w:t>加油机采用自封式加油枪，枪身设计的自封装置能够确保在容器加满时自动关闭油枪，防止</w:t>
      </w:r>
      <w:r>
        <w:rPr>
          <w:rFonts w:hint="eastAsia" w:ascii="Times New Roman"/>
          <w:color w:val="auto"/>
          <w:kern w:val="2"/>
          <w:sz w:val="28"/>
          <w:szCs w:val="28"/>
          <w:highlight w:val="none"/>
        </w:rPr>
        <w:t>油品</w:t>
      </w:r>
      <w:r>
        <w:rPr>
          <w:rFonts w:ascii="Times New Roman"/>
          <w:color w:val="auto"/>
          <w:kern w:val="2"/>
          <w:sz w:val="28"/>
          <w:szCs w:val="28"/>
          <w:highlight w:val="none"/>
        </w:rPr>
        <w:t>外溢。铝合金枪身具有良好的导电性可及时安全地消除静电。</w:t>
      </w:r>
      <w:r>
        <w:rPr>
          <w:rFonts w:hint="eastAsia" w:ascii="Times New Roman"/>
          <w:color w:val="auto"/>
          <w:kern w:val="2"/>
          <w:sz w:val="28"/>
          <w:szCs w:val="28"/>
          <w:highlight w:val="none"/>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43692248"/>
      <w:bookmarkStart w:id="42" w:name="_Toc30410"/>
      <w:bookmarkStart w:id="43" w:name="_Toc17194"/>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该站于20</w:t>
      </w:r>
      <w:r>
        <w:rPr>
          <w:rFonts w:hint="eastAsia" w:ascii="Times New Roman" w:hAnsi="Times New Roman" w:cs="Times New Roman"/>
          <w:color w:val="auto"/>
          <w:sz w:val="28"/>
          <w:szCs w:val="28"/>
          <w:highlight w:val="none"/>
          <w:lang w:val="en-US" w:eastAsia="zh-CN"/>
        </w:rPr>
        <w:t>16</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日取得龙南县公安消防大队出具的建筑工程消防验收意见书。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该站主要消防设施配置及分布见下表</w:t>
      </w:r>
      <w:r>
        <w:rPr>
          <w:rFonts w:hint="eastAsia" w:ascii="Times New Roman" w:hAnsi="Times New Roman" w:cs="宋体"/>
          <w:color w:val="auto"/>
          <w:sz w:val="28"/>
          <w:szCs w:val="28"/>
          <w:highlight w:val="none"/>
        </w:rPr>
        <w:t>。</w:t>
      </w:r>
    </w:p>
    <w:p w14:paraId="365054B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.5-1</w:t>
      </w:r>
      <w:r>
        <w:rPr>
          <w:rFonts w:hint="eastAsia" w:ascii="Times New Roman" w:hAnsi="Times New Roman" w:cs="宋体"/>
          <w:color w:val="auto"/>
          <w:sz w:val="24"/>
          <w:szCs w:val="24"/>
          <w:highlight w:val="none"/>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26" w:type="dxa"/>
            <w:vAlign w:val="center"/>
          </w:tcPr>
          <w:p w14:paraId="646029B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名称</w:t>
            </w:r>
          </w:p>
        </w:tc>
        <w:tc>
          <w:tcPr>
            <w:tcW w:w="2053" w:type="dxa"/>
            <w:vAlign w:val="center"/>
          </w:tcPr>
          <w:p w14:paraId="3011853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型号、规格</w:t>
            </w:r>
          </w:p>
        </w:tc>
        <w:tc>
          <w:tcPr>
            <w:tcW w:w="892" w:type="dxa"/>
            <w:vAlign w:val="center"/>
          </w:tcPr>
          <w:p w14:paraId="06D42B0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数量</w:t>
            </w:r>
          </w:p>
        </w:tc>
        <w:tc>
          <w:tcPr>
            <w:tcW w:w="1285" w:type="dxa"/>
            <w:vAlign w:val="center"/>
          </w:tcPr>
          <w:p w14:paraId="504C2F3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状况</w:t>
            </w:r>
          </w:p>
        </w:tc>
        <w:tc>
          <w:tcPr>
            <w:tcW w:w="3322" w:type="dxa"/>
            <w:vAlign w:val="center"/>
          </w:tcPr>
          <w:p w14:paraId="5566B887">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76AC794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干粉推车</w:t>
            </w:r>
          </w:p>
        </w:tc>
        <w:tc>
          <w:tcPr>
            <w:tcW w:w="2053" w:type="dxa"/>
            <w:vAlign w:val="center"/>
          </w:tcPr>
          <w:p w14:paraId="169BF00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MFTZ35</w:t>
            </w:r>
          </w:p>
        </w:tc>
        <w:tc>
          <w:tcPr>
            <w:tcW w:w="892" w:type="dxa"/>
            <w:vAlign w:val="center"/>
          </w:tcPr>
          <w:p w14:paraId="46933D4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具</w:t>
            </w:r>
          </w:p>
        </w:tc>
        <w:tc>
          <w:tcPr>
            <w:tcW w:w="1285" w:type="dxa"/>
            <w:vAlign w:val="center"/>
          </w:tcPr>
          <w:p w14:paraId="564DF1E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3E35088">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AB72B2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干粉灭火器</w:t>
            </w:r>
          </w:p>
        </w:tc>
        <w:tc>
          <w:tcPr>
            <w:tcW w:w="2053" w:type="dxa"/>
            <w:vAlign w:val="center"/>
          </w:tcPr>
          <w:p w14:paraId="7F7B884D">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MFZ5型</w:t>
            </w:r>
          </w:p>
        </w:tc>
        <w:tc>
          <w:tcPr>
            <w:tcW w:w="892" w:type="dxa"/>
            <w:vAlign w:val="center"/>
          </w:tcPr>
          <w:p w14:paraId="5CC3B2F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24</w:t>
            </w:r>
            <w:r>
              <w:rPr>
                <w:rFonts w:hint="eastAsia" w:ascii="Times New Roman" w:hAnsi="Times New Roman" w:cs="宋体"/>
                <w:color w:val="auto"/>
                <w:highlight w:val="none"/>
              </w:rPr>
              <w:t>具</w:t>
            </w:r>
          </w:p>
        </w:tc>
        <w:tc>
          <w:tcPr>
            <w:tcW w:w="1285" w:type="dxa"/>
            <w:vAlign w:val="center"/>
          </w:tcPr>
          <w:p w14:paraId="198B7DB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C397C28">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布置于加油</w:t>
            </w:r>
            <w:r>
              <w:rPr>
                <w:rFonts w:ascii="Times New Roman" w:hAnsi="Times New Roman" w:cs="宋体"/>
                <w:color w:val="auto"/>
                <w:highlight w:val="none"/>
              </w:rPr>
              <w:t>区</w:t>
            </w:r>
            <w:r>
              <w:rPr>
                <w:rFonts w:hint="eastAsia" w:ascii="Times New Roman" w:hAnsi="Times New Roman" w:cs="宋体"/>
                <w:color w:val="auto"/>
                <w:highlight w:val="none"/>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23A458B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MTZ/</w:t>
            </w:r>
            <w:r>
              <w:rPr>
                <w:rFonts w:hint="eastAsia" w:ascii="Times New Roman" w:hAnsi="Times New Roman" w:cs="宋体"/>
                <w:color w:val="auto"/>
                <w:highlight w:val="none"/>
                <w:lang w:val="en-US" w:eastAsia="zh-CN"/>
              </w:rPr>
              <w:t>2</w:t>
            </w:r>
          </w:p>
        </w:tc>
        <w:tc>
          <w:tcPr>
            <w:tcW w:w="892" w:type="dxa"/>
            <w:vAlign w:val="center"/>
          </w:tcPr>
          <w:p w14:paraId="4C11FCB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具</w:t>
            </w:r>
          </w:p>
        </w:tc>
        <w:tc>
          <w:tcPr>
            <w:tcW w:w="1285" w:type="dxa"/>
            <w:vAlign w:val="center"/>
          </w:tcPr>
          <w:p w14:paraId="679629D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0D3E5D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13893E53">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灭火毯</w:t>
            </w:r>
          </w:p>
        </w:tc>
        <w:tc>
          <w:tcPr>
            <w:tcW w:w="2053" w:type="dxa"/>
            <w:vAlign w:val="center"/>
          </w:tcPr>
          <w:p w14:paraId="20320680">
            <w:pPr>
              <w:spacing w:line="280" w:lineRule="exact"/>
              <w:jc w:val="center"/>
              <w:rPr>
                <w:rFonts w:ascii="Times New Roman" w:hAnsi="Times New Roman" w:cs="宋体"/>
                <w:color w:val="auto"/>
                <w:highlight w:val="none"/>
              </w:rPr>
            </w:pPr>
          </w:p>
        </w:tc>
        <w:tc>
          <w:tcPr>
            <w:tcW w:w="892" w:type="dxa"/>
            <w:vAlign w:val="center"/>
          </w:tcPr>
          <w:p w14:paraId="4A21801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11</w:t>
            </w:r>
            <w:r>
              <w:rPr>
                <w:rFonts w:hint="eastAsia" w:ascii="Times New Roman" w:hAnsi="Times New Roman" w:cs="宋体"/>
                <w:color w:val="auto"/>
                <w:highlight w:val="none"/>
              </w:rPr>
              <w:t>块</w:t>
            </w:r>
          </w:p>
        </w:tc>
        <w:tc>
          <w:tcPr>
            <w:tcW w:w="1285" w:type="dxa"/>
            <w:vAlign w:val="center"/>
          </w:tcPr>
          <w:p w14:paraId="543D47A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E8B77E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6108D8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消防沙池</w:t>
            </w:r>
          </w:p>
        </w:tc>
        <w:tc>
          <w:tcPr>
            <w:tcW w:w="2053" w:type="dxa"/>
            <w:vAlign w:val="center"/>
          </w:tcPr>
          <w:p w14:paraId="5979DD8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2m</w:t>
            </w:r>
            <w:r>
              <w:rPr>
                <w:rFonts w:hint="eastAsia" w:ascii="Times New Roman" w:hAnsi="Times New Roman" w:cs="宋体"/>
                <w:color w:val="auto"/>
                <w:highlight w:val="none"/>
                <w:vertAlign w:val="superscript"/>
              </w:rPr>
              <w:t>3</w:t>
            </w:r>
          </w:p>
        </w:tc>
        <w:tc>
          <w:tcPr>
            <w:tcW w:w="892" w:type="dxa"/>
            <w:vAlign w:val="center"/>
          </w:tcPr>
          <w:p w14:paraId="2AA9C34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1个</w:t>
            </w:r>
          </w:p>
        </w:tc>
        <w:tc>
          <w:tcPr>
            <w:tcW w:w="1285" w:type="dxa"/>
            <w:vAlign w:val="center"/>
          </w:tcPr>
          <w:p w14:paraId="77C0C34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D481D1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826" w:type="dxa"/>
            <w:vAlign w:val="center"/>
          </w:tcPr>
          <w:p w14:paraId="41DF72C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消防铲、桶</w:t>
            </w:r>
          </w:p>
        </w:tc>
        <w:tc>
          <w:tcPr>
            <w:tcW w:w="2053" w:type="dxa"/>
            <w:vAlign w:val="center"/>
          </w:tcPr>
          <w:p w14:paraId="4AAA628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手提式</w:t>
            </w:r>
          </w:p>
        </w:tc>
        <w:tc>
          <w:tcPr>
            <w:tcW w:w="892" w:type="dxa"/>
            <w:vAlign w:val="center"/>
          </w:tcPr>
          <w:p w14:paraId="5BBB5F3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4套</w:t>
            </w:r>
          </w:p>
        </w:tc>
        <w:tc>
          <w:tcPr>
            <w:tcW w:w="1285" w:type="dxa"/>
            <w:vAlign w:val="center"/>
          </w:tcPr>
          <w:p w14:paraId="04092DB4">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1A89A86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bl>
    <w:p w14:paraId="357E137E">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2、安全设施：</w:t>
      </w:r>
    </w:p>
    <w:p w14:paraId="1F06488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该加油站</w:t>
      </w:r>
      <w:r>
        <w:rPr>
          <w:rFonts w:hint="eastAsia" w:ascii="Times New Roman" w:hAnsi="Times New Roman" w:cs="宋体"/>
          <w:color w:val="auto"/>
          <w:sz w:val="28"/>
          <w:szCs w:val="28"/>
          <w:highlight w:val="none"/>
          <w:lang w:val="zh-CN"/>
        </w:rPr>
        <w:t>柴油通气管、汽油通气管设置于</w:t>
      </w:r>
      <w:r>
        <w:rPr>
          <w:rFonts w:hint="eastAsia" w:ascii="Times New Roman" w:hAnsi="Times New Roman" w:cs="宋体"/>
          <w:color w:val="auto"/>
          <w:sz w:val="28"/>
          <w:szCs w:val="28"/>
          <w:highlight w:val="none"/>
        </w:rPr>
        <w:t>罐区</w:t>
      </w:r>
      <w:r>
        <w:rPr>
          <w:rFonts w:hint="eastAsia" w:ascii="Times New Roman" w:hAnsi="Times New Roman" w:cs="宋体"/>
          <w:color w:val="auto"/>
          <w:sz w:val="28"/>
          <w:szCs w:val="28"/>
          <w:highlight w:val="none"/>
          <w:lang w:val="en-US" w:eastAsia="zh-CN"/>
        </w:rPr>
        <w:t>中部</w:t>
      </w:r>
      <w:r>
        <w:rPr>
          <w:rFonts w:hint="eastAsia" w:ascii="Times New Roman" w:hAnsi="Times New Roman" w:cs="宋体"/>
          <w:color w:val="auto"/>
          <w:sz w:val="28"/>
          <w:szCs w:val="28"/>
          <w:highlight w:val="none"/>
          <w:lang w:val="zh-CN"/>
        </w:rPr>
        <w:t>，为DN50的无缝钢管，通气管高</w:t>
      </w:r>
      <w:r>
        <w:rPr>
          <w:rFonts w:hint="eastAsia" w:ascii="Times New Roman" w:hAnsi="Times New Roman" w:cs="宋体"/>
          <w:color w:val="auto"/>
          <w:sz w:val="28"/>
          <w:szCs w:val="28"/>
          <w:highlight w:val="none"/>
        </w:rPr>
        <w:t>4</w:t>
      </w:r>
      <w:r>
        <w:rPr>
          <w:rFonts w:hint="eastAsia" w:ascii="Times New Roman" w:hAnsi="Times New Roman" w:cs="宋体"/>
          <w:color w:val="auto"/>
          <w:sz w:val="28"/>
          <w:szCs w:val="28"/>
          <w:highlight w:val="none"/>
          <w:lang w:val="zh-CN"/>
        </w:rPr>
        <w:t>m。</w:t>
      </w:r>
      <w:r>
        <w:rPr>
          <w:rFonts w:hint="eastAsia" w:ascii="Times New Roman" w:hAnsi="Times New Roman" w:cs="宋体"/>
          <w:color w:val="auto"/>
          <w:sz w:val="28"/>
          <w:szCs w:val="28"/>
          <w:highlight w:val="none"/>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输油管线采用直埋式。</w:t>
      </w:r>
    </w:p>
    <w:p w14:paraId="1E489AD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加油机采用防爆型自动计量加油机。</w:t>
      </w:r>
    </w:p>
    <w:p w14:paraId="74951DC5">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站内电缆采用直埋敷设到用电设备。</w:t>
      </w:r>
    </w:p>
    <w:p w14:paraId="549BC22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加油站在加油区等位置设置了“严禁烟火</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站内采用地沟式电缆敷设到用电设备。</w:t>
      </w:r>
    </w:p>
    <w:p w14:paraId="6180553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3、安全管理</w:t>
      </w:r>
    </w:p>
    <w:p w14:paraId="49CBB602">
      <w:pPr>
        <w:spacing w:line="360" w:lineRule="auto"/>
        <w:ind w:firstLine="560" w:firstLineChars="200"/>
        <w:rPr>
          <w:rFonts w:ascii="Times New Roman" w:hAnsi="Times New Roman" w:cs="宋体"/>
          <w:b/>
          <w:bCs/>
          <w:color w:val="auto"/>
          <w:sz w:val="24"/>
          <w:szCs w:val="24"/>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龙南石油分公司大广高速渡江服务区西加油站</w:t>
      </w:r>
      <w:r>
        <w:rPr>
          <w:rFonts w:hint="eastAsia" w:ascii="Times New Roman" w:hAnsi="Times New Roman" w:cs="宋体"/>
          <w:color w:val="auto"/>
          <w:sz w:val="28"/>
          <w:szCs w:val="28"/>
          <w:highlight w:val="none"/>
        </w:rPr>
        <w:t>已成立了安全生产领导小组。该加油站</w:t>
      </w:r>
      <w:r>
        <w:rPr>
          <w:rFonts w:hint="eastAsia" w:ascii="Times New Roman" w:hAnsi="Times New Roman" w:cs="宋体"/>
          <w:color w:val="auto"/>
          <w:sz w:val="28"/>
          <w:szCs w:val="28"/>
          <w:highlight w:val="none"/>
          <w:lang w:eastAsia="zh-CN"/>
        </w:rPr>
        <w:t>刘丽娟、廖毅</w:t>
      </w:r>
      <w:r>
        <w:rPr>
          <w:rFonts w:hint="eastAsia" w:ascii="Times New Roman" w:hAnsi="Times New Roman" w:cs="宋体"/>
          <w:color w:val="auto"/>
          <w:sz w:val="28"/>
          <w:szCs w:val="28"/>
          <w:highlight w:val="none"/>
        </w:rPr>
        <w:t>取得危险化学品经营单位主要负责人</w:t>
      </w:r>
      <w:r>
        <w:rPr>
          <w:rFonts w:hint="eastAsia" w:ascii="Times New Roman" w:hAnsi="Times New Roman" w:cs="宋体"/>
          <w:color w:val="auto"/>
          <w:sz w:val="28"/>
          <w:szCs w:val="28"/>
          <w:highlight w:val="none"/>
          <w:lang w:eastAsia="zh-CN"/>
        </w:rPr>
        <w:t>，徐龙华</w:t>
      </w:r>
      <w:r>
        <w:rPr>
          <w:rFonts w:hint="eastAsia" w:ascii="Times New Roman" w:hAnsi="Times New Roman" w:cs="宋体"/>
          <w:color w:val="auto"/>
          <w:sz w:val="28"/>
          <w:szCs w:val="28"/>
          <w:highlight w:val="none"/>
          <w:lang w:val="en-US" w:eastAsia="zh-CN"/>
        </w:rPr>
        <w:t>取得了</w:t>
      </w:r>
      <w:r>
        <w:rPr>
          <w:rFonts w:hint="eastAsia" w:ascii="Times New Roman" w:hAnsi="Times New Roman" w:cs="宋体"/>
          <w:color w:val="auto"/>
          <w:sz w:val="28"/>
          <w:szCs w:val="28"/>
          <w:highlight w:val="none"/>
        </w:rPr>
        <w:t>安全生产管理人员考核合格证，详见附件。</w:t>
      </w:r>
    </w:p>
    <w:p w14:paraId="3EA6B969">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.5-2</w:t>
      </w:r>
      <w:r>
        <w:rPr>
          <w:rFonts w:hint="eastAsia" w:ascii="Times New Roman" w:hAnsi="Times New Roman" w:cs="宋体"/>
          <w:color w:val="auto"/>
          <w:sz w:val="24"/>
          <w:szCs w:val="24"/>
          <w:highlight w:val="none"/>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012" w:type="dxa"/>
            <w:vAlign w:val="center"/>
          </w:tcPr>
          <w:p w14:paraId="6A1BDC9B">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姓名</w:t>
            </w:r>
          </w:p>
        </w:tc>
        <w:tc>
          <w:tcPr>
            <w:tcW w:w="1293" w:type="dxa"/>
            <w:vAlign w:val="center"/>
          </w:tcPr>
          <w:p w14:paraId="4219D88C">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人员</w:t>
            </w:r>
            <w:r>
              <w:rPr>
                <w:rFonts w:ascii="Times New Roman" w:hAnsi="Times New Roman" w:cs="Times New Roman"/>
                <w:b/>
                <w:bCs/>
                <w:color w:val="auto"/>
                <w:highlight w:val="none"/>
              </w:rPr>
              <w:t>类</w:t>
            </w:r>
            <w:r>
              <w:rPr>
                <w:rFonts w:hint="eastAsia" w:ascii="Times New Roman" w:hAnsi="Times New Roman" w:cs="Times New Roman"/>
                <w:b/>
                <w:bCs/>
                <w:color w:val="auto"/>
                <w:highlight w:val="none"/>
              </w:rPr>
              <w:t>型</w:t>
            </w:r>
          </w:p>
        </w:tc>
        <w:tc>
          <w:tcPr>
            <w:tcW w:w="2138" w:type="dxa"/>
            <w:vAlign w:val="center"/>
          </w:tcPr>
          <w:p w14:paraId="53904A9A">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行业类别</w:t>
            </w:r>
          </w:p>
        </w:tc>
        <w:tc>
          <w:tcPr>
            <w:tcW w:w="2205" w:type="dxa"/>
            <w:vAlign w:val="center"/>
          </w:tcPr>
          <w:p w14:paraId="59645299">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有效期</w:t>
            </w:r>
          </w:p>
        </w:tc>
        <w:tc>
          <w:tcPr>
            <w:tcW w:w="2163" w:type="dxa"/>
            <w:vAlign w:val="center"/>
          </w:tcPr>
          <w:p w14:paraId="51288C1E">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012" w:type="dxa"/>
            <w:vAlign w:val="center"/>
          </w:tcPr>
          <w:p w14:paraId="613E2222">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刘丽娟</w:t>
            </w:r>
          </w:p>
        </w:tc>
        <w:tc>
          <w:tcPr>
            <w:tcW w:w="1293" w:type="dxa"/>
            <w:vAlign w:val="center"/>
          </w:tcPr>
          <w:p w14:paraId="16BE0585">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主要负责人</w:t>
            </w:r>
          </w:p>
        </w:tc>
        <w:tc>
          <w:tcPr>
            <w:tcW w:w="2138" w:type="dxa"/>
            <w:vAlign w:val="center"/>
          </w:tcPr>
          <w:p w14:paraId="55C2EA6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650F6E01">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2025-09-16至2028-09-15</w:t>
            </w:r>
          </w:p>
        </w:tc>
        <w:tc>
          <w:tcPr>
            <w:tcW w:w="2163" w:type="dxa"/>
            <w:vAlign w:val="center"/>
          </w:tcPr>
          <w:p w14:paraId="35D6008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529CBB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16A9673D">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w:t>
            </w:r>
          </w:p>
        </w:tc>
        <w:tc>
          <w:tcPr>
            <w:tcW w:w="1012" w:type="dxa"/>
            <w:vAlign w:val="center"/>
          </w:tcPr>
          <w:p w14:paraId="5087D5B2">
            <w:pPr>
              <w:spacing w:line="240" w:lineRule="exact"/>
              <w:jc w:val="center"/>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廖毅</w:t>
            </w:r>
          </w:p>
        </w:tc>
        <w:tc>
          <w:tcPr>
            <w:tcW w:w="1293" w:type="dxa"/>
            <w:shd w:val="clear" w:color="auto" w:fill="auto"/>
            <w:vAlign w:val="center"/>
          </w:tcPr>
          <w:p w14:paraId="15EDD0B8">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主要负责人</w:t>
            </w:r>
          </w:p>
        </w:tc>
        <w:tc>
          <w:tcPr>
            <w:tcW w:w="2138" w:type="dxa"/>
            <w:shd w:val="clear" w:color="auto" w:fill="auto"/>
            <w:vAlign w:val="center"/>
          </w:tcPr>
          <w:p w14:paraId="0EB6792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危险化学品经营单位</w:t>
            </w:r>
          </w:p>
        </w:tc>
        <w:tc>
          <w:tcPr>
            <w:tcW w:w="2205" w:type="dxa"/>
            <w:shd w:val="clear" w:color="auto" w:fill="auto"/>
            <w:vAlign w:val="center"/>
          </w:tcPr>
          <w:p w14:paraId="494C6870">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2025-05-09至2028-05-08</w:t>
            </w:r>
          </w:p>
        </w:tc>
        <w:tc>
          <w:tcPr>
            <w:tcW w:w="2163" w:type="dxa"/>
            <w:shd w:val="clear" w:color="auto" w:fill="auto"/>
            <w:vAlign w:val="center"/>
          </w:tcPr>
          <w:p w14:paraId="2DA4D4B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w:t>
            </w:r>
          </w:p>
        </w:tc>
        <w:tc>
          <w:tcPr>
            <w:tcW w:w="1012" w:type="dxa"/>
            <w:vAlign w:val="center"/>
          </w:tcPr>
          <w:p w14:paraId="0DF335F9">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徐龙华</w:t>
            </w:r>
          </w:p>
        </w:tc>
        <w:tc>
          <w:tcPr>
            <w:tcW w:w="1293" w:type="dxa"/>
            <w:vAlign w:val="center"/>
          </w:tcPr>
          <w:p w14:paraId="74F4141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6EE6D12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7BA1306C">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2025-05-28至2028-05-27</w:t>
            </w:r>
          </w:p>
        </w:tc>
        <w:tc>
          <w:tcPr>
            <w:tcW w:w="2163" w:type="dxa"/>
            <w:vAlign w:val="center"/>
          </w:tcPr>
          <w:p w14:paraId="2D86F01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bl>
    <w:p w14:paraId="599C1EA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11"/>
          <w:sz w:val="28"/>
          <w:szCs w:val="28"/>
          <w:highlight w:val="none"/>
        </w:rPr>
        <w:t>该站制定了各种安全管理制度，包括：全员安全生产责任制度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企业法人(负责人)的安全职责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站经理安全职责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计量员安全职责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核算员安全职责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加油员安全职责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安全禁令</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安全投入保障制度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安全检查制度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安全风险管理制度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安全生产教育培训制度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设备管理制度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安全生产奖惩制度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危险化学品购销管理制度</w:t>
      </w:r>
      <w:r>
        <w:rPr>
          <w:rFonts w:hint="eastAsia" w:ascii="Times New Roman" w:hAnsi="Times New Roman" w:cs="Times New Roman"/>
          <w:color w:val="auto"/>
          <w:spacing w:val="-11"/>
          <w:sz w:val="28"/>
          <w:szCs w:val="28"/>
          <w:highlight w:val="none"/>
          <w:lang w:eastAsia="zh-CN"/>
        </w:rPr>
        <w:t>、危险化学品安全管理制度(防火、防爆、防中毒、防泄漏管理)、隐患排查治理制度、安全生产事故报告和处理制度、劳动保护用品发放管理制度、应急管理制度、事故管理制度、职业卫生管理制度、消防安全条例、特种作业人员安全管理制度、动火安全管理制度、用电安全管理制度、油罐区安全管理制度、装卸油安全管理制度、重大危险源安全管理制度、加油操作规程、卸油操作规程、加油站进出车辆、人员安全管理规定、油品储存保管养护管理制度、加油站废弃物处理制度、危险化学品购销管理制度、化学危险品安全技术说明书和安全标签的管理办法、经营手续交接环节管理制度、进站须知</w:t>
      </w:r>
      <w:r>
        <w:rPr>
          <w:rFonts w:hint="eastAsia" w:ascii="Times New Roman" w:hAnsi="Times New Roman" w:cs="Times New Roman"/>
          <w:color w:val="auto"/>
          <w:spacing w:val="-11"/>
          <w:sz w:val="28"/>
          <w:szCs w:val="28"/>
          <w:highlight w:val="none"/>
        </w:rPr>
        <w:t>等。</w:t>
      </w:r>
    </w:p>
    <w:p w14:paraId="40B71734">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龙南石油分公司武当</w:t>
      </w:r>
      <w:r>
        <w:rPr>
          <w:rFonts w:hint="eastAsia" w:ascii="Times New Roman" w:hAnsi="Times New Roman" w:cs="Times New Roman"/>
          <w:color w:val="auto"/>
          <w:spacing w:val="-6"/>
          <w:sz w:val="28"/>
          <w:szCs w:val="28"/>
          <w:highlight w:val="none"/>
          <w:lang w:val="en-US" w:eastAsia="zh-CN"/>
        </w:rPr>
        <w:t>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8</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龙南市</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该公司已为从业人员定期缴纳社保</w:t>
      </w:r>
      <w:r>
        <w:rPr>
          <w:rFonts w:hint="eastAsia" w:ascii="Times New Roman" w:hAnsi="Times New Roman" w:cs="Times New Roman"/>
          <w:color w:val="auto"/>
          <w:spacing w:val="-6"/>
          <w:sz w:val="28"/>
          <w:szCs w:val="28"/>
          <w:highlight w:val="none"/>
          <w:lang w:eastAsia="zh-CN"/>
        </w:rPr>
        <w:t>，对</w:t>
      </w:r>
      <w:r>
        <w:rPr>
          <w:rFonts w:hint="eastAsia" w:ascii="宋体" w:hAnsi="宋体" w:cs="Times New Roman"/>
          <w:color w:val="auto"/>
          <w:sz w:val="28"/>
          <w:szCs w:val="24"/>
          <w:highlight w:val="none"/>
        </w:rPr>
        <w:t>岗位操作人员进行了专门的安全知识和技术培训，培训经考核合格后上岗</w:t>
      </w:r>
      <w:r>
        <w:rPr>
          <w:rFonts w:hint="eastAsia" w:ascii="Times New Roman" w:hAnsi="Times New Roman" w:cs="宋体"/>
          <w:color w:val="auto"/>
          <w:sz w:val="28"/>
          <w:szCs w:val="28"/>
          <w:highlight w:val="none"/>
        </w:rPr>
        <w:t>。</w:t>
      </w:r>
    </w:p>
    <w:p w14:paraId="331F22B1">
      <w:pPr>
        <w:spacing w:line="600" w:lineRule="exact"/>
        <w:outlineLvl w:val="0"/>
        <w:rPr>
          <w:rFonts w:ascii="Times New Roman" w:hAnsi="Times New Roman" w:cs="Times New Roman"/>
          <w:b/>
          <w:bCs/>
          <w:color w:val="auto"/>
          <w:kern w:val="36"/>
          <w:sz w:val="32"/>
          <w:szCs w:val="32"/>
          <w:highlight w:val="none"/>
        </w:rPr>
      </w:pPr>
      <w:bookmarkStart w:id="44" w:name="_Toc17098"/>
      <w:r>
        <w:rPr>
          <w:rFonts w:ascii="Times New Roman" w:hAnsi="Times New Roman" w:cs="Times New Roman"/>
          <w:b/>
          <w:bCs/>
          <w:color w:val="auto"/>
          <w:kern w:val="36"/>
          <w:sz w:val="28"/>
          <w:szCs w:val="28"/>
          <w:highlight w:val="none"/>
        </w:rPr>
        <w:br w:type="page"/>
      </w:r>
      <w:bookmarkStart w:id="45" w:name="_Toc32319"/>
      <w:r>
        <w:rPr>
          <w:rFonts w:ascii="Times New Roman" w:hAnsi="Times New Roman" w:cs="Times New Roman"/>
          <w:b/>
          <w:bCs/>
          <w:color w:val="auto"/>
          <w:kern w:val="36"/>
          <w:sz w:val="32"/>
          <w:szCs w:val="32"/>
          <w:highlight w:val="none"/>
        </w:rPr>
        <w:t xml:space="preserve">3 </w:t>
      </w:r>
      <w:r>
        <w:rPr>
          <w:rFonts w:hint="eastAsia" w:ascii="Times New Roman" w:hAnsi="Times New Roman" w:cs="宋体"/>
          <w:b/>
          <w:bCs/>
          <w:color w:val="auto"/>
          <w:kern w:val="36"/>
          <w:sz w:val="32"/>
          <w:szCs w:val="32"/>
          <w:highlight w:val="none"/>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highlight w:val="none"/>
        </w:rPr>
      </w:pPr>
      <w:bookmarkStart w:id="46" w:name="_Toc343692251"/>
      <w:bookmarkStart w:id="47" w:name="_Toc2209"/>
      <w:bookmarkStart w:id="48" w:name="_Toc6183"/>
      <w:r>
        <w:rPr>
          <w:rFonts w:ascii="Times New Roman" w:hAnsi="Times New Roman" w:cs="Times New Roman"/>
          <w:b/>
          <w:bCs/>
          <w:color w:val="auto"/>
          <w:sz w:val="28"/>
          <w:szCs w:val="28"/>
          <w:highlight w:val="none"/>
        </w:rPr>
        <w:t xml:space="preserve">3.1 </w:t>
      </w:r>
      <w:r>
        <w:rPr>
          <w:rFonts w:hint="eastAsia" w:ascii="Times New Roman" w:hAnsi="Times New Roman" w:cs="宋体"/>
          <w:b/>
          <w:bCs/>
          <w:color w:val="auto"/>
          <w:sz w:val="28"/>
          <w:szCs w:val="28"/>
          <w:highlight w:val="none"/>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根据《危险化学品目录》（</w:t>
      </w:r>
      <w:r>
        <w:rPr>
          <w:rFonts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rPr>
        <w:t>15</w:t>
      </w:r>
      <w:r>
        <w:rPr>
          <w:rFonts w:hint="eastAsia" w:ascii="Times New Roman" w:hAnsi="Times New Roman" w:cs="宋体"/>
          <w:color w:val="auto"/>
          <w:sz w:val="28"/>
          <w:szCs w:val="28"/>
          <w:highlight w:val="none"/>
        </w:rPr>
        <w:t>年版，202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年调整），该站涉及的危险化学品物质是汽油和柴油，汽油和柴油危险特性见下表所示。</w:t>
      </w:r>
    </w:p>
    <w:p w14:paraId="3205ABE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火灾</w:t>
            </w:r>
          </w:p>
          <w:p w14:paraId="66819466">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爆炸极限（</w:t>
            </w:r>
            <w:r>
              <w:rPr>
                <w:rFonts w:ascii="Times New Roman" w:hAnsi="Times New Roman" w:cs="Times New Roman"/>
                <w:b/>
                <w:bCs/>
                <w:color w:val="auto"/>
                <w:kern w:val="0"/>
                <w:sz w:val="18"/>
                <w:szCs w:val="18"/>
                <w:highlight w:val="none"/>
              </w:rPr>
              <w:t>%</w:t>
            </w:r>
            <w:r>
              <w:rPr>
                <w:rFonts w:hint="eastAsia" w:ascii="Times New Roman" w:hAnsi="Times New Roman" w:cs="宋体"/>
                <w:b/>
                <w:bCs/>
                <w:color w:val="auto"/>
                <w:kern w:val="0"/>
                <w:sz w:val="18"/>
                <w:szCs w:val="18"/>
                <w:highlight w:val="none"/>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highlight w:val="none"/>
              </w:rPr>
            </w:pPr>
            <w:r>
              <w:rPr>
                <w:rFonts w:ascii="Times New Roman" w:hAnsi="Times New Roman" w:cs="Times New Roman"/>
                <w:b/>
                <w:bCs/>
                <w:color w:val="auto"/>
                <w:kern w:val="0"/>
                <w:sz w:val="18"/>
                <w:szCs w:val="18"/>
                <w:highlight w:val="none"/>
              </w:rPr>
              <w:t>CAS</w:t>
            </w:r>
            <w:r>
              <w:rPr>
                <w:rFonts w:hint="eastAsia" w:ascii="Times New Roman" w:hAnsi="Times New Roman" w:cs="宋体"/>
                <w:b/>
                <w:bCs/>
                <w:color w:val="auto"/>
                <w:kern w:val="0"/>
                <w:sz w:val="18"/>
                <w:szCs w:val="18"/>
                <w:highlight w:val="none"/>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highlight w:val="none"/>
              </w:rPr>
            </w:pPr>
            <w:r>
              <w:rPr>
                <w:rFonts w:hint="eastAsia" w:ascii="Times New Roman" w:hAnsi="Times New Roman" w:cs="宋体"/>
                <w:b/>
                <w:bCs/>
                <w:color w:val="auto"/>
                <w:sz w:val="18"/>
                <w:szCs w:val="18"/>
                <w:highlight w:val="none"/>
              </w:rPr>
              <w:t>危险性类别</w:t>
            </w:r>
          </w:p>
          <w:p w14:paraId="4ADECE55">
            <w:pPr>
              <w:pStyle w:val="47"/>
              <w:spacing w:line="240" w:lineRule="atLeast"/>
              <w:jc w:val="center"/>
              <w:rPr>
                <w:color w:val="auto"/>
                <w:sz w:val="18"/>
                <w:szCs w:val="18"/>
                <w:highlight w:val="none"/>
              </w:rPr>
            </w:pPr>
            <w:r>
              <w:rPr>
                <w:rFonts w:hint="eastAsia" w:cs="宋体"/>
                <w:b/>
                <w:bCs/>
                <w:color w:val="auto"/>
                <w:sz w:val="18"/>
                <w:szCs w:val="18"/>
                <w:highlight w:val="none"/>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1630</w:t>
            </w:r>
          </w:p>
        </w:tc>
        <w:tc>
          <w:tcPr>
            <w:tcW w:w="760" w:type="dxa"/>
            <w:vAlign w:val="center"/>
          </w:tcPr>
          <w:p w14:paraId="12657818">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汽油</w:t>
            </w:r>
          </w:p>
        </w:tc>
        <w:tc>
          <w:tcPr>
            <w:tcW w:w="670" w:type="dxa"/>
            <w:vAlign w:val="center"/>
          </w:tcPr>
          <w:p w14:paraId="18D5B87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甲</w:t>
            </w:r>
            <w:r>
              <w:rPr>
                <w:rFonts w:ascii="Times New Roman" w:hAnsi="Times New Roman" w:cs="Times New Roman"/>
                <w:color w:val="auto"/>
                <w:sz w:val="18"/>
                <w:szCs w:val="18"/>
                <w:highlight w:val="none"/>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10</w:t>
            </w:r>
          </w:p>
        </w:tc>
        <w:tc>
          <w:tcPr>
            <w:tcW w:w="936" w:type="dxa"/>
            <w:vAlign w:val="center"/>
          </w:tcPr>
          <w:p w14:paraId="136C1CDB">
            <w:pPr>
              <w:spacing w:line="240" w:lineRule="atLeast"/>
              <w:jc w:val="center"/>
              <w:rPr>
                <w:color w:val="auto"/>
                <w:sz w:val="18"/>
                <w:szCs w:val="18"/>
                <w:highlight w:val="none"/>
              </w:rPr>
            </w:pPr>
            <w:r>
              <w:rPr>
                <w:rFonts w:ascii="Times New Roman" w:hAnsi="Times New Roman" w:cs="Times New Roman"/>
                <w:color w:val="auto"/>
                <w:sz w:val="18"/>
                <w:szCs w:val="18"/>
                <w:highlight w:val="none"/>
              </w:rPr>
              <w:t>40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1.3</w:t>
            </w:r>
            <w:r>
              <w:rPr>
                <w:rFonts w:hint="eastAsia" w:ascii="Times New Roman" w:hAnsi="Times New Roman" w:cs="Times New Roman"/>
                <w:color w:val="auto"/>
                <w:kern w:val="0"/>
                <w:sz w:val="18"/>
                <w:szCs w:val="18"/>
                <w:highlight w:val="none"/>
                <w:lang w:eastAsia="zh-CN"/>
              </w:rPr>
              <w:t>~</w:t>
            </w:r>
            <w:r>
              <w:rPr>
                <w:rFonts w:ascii="Times New Roman" w:hAnsi="Times New Roman" w:cs="Times New Roman"/>
                <w:color w:val="auto"/>
                <w:sz w:val="18"/>
                <w:szCs w:val="18"/>
                <w:highlight w:val="none"/>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color w:val="auto"/>
                <w:sz w:val="18"/>
                <w:szCs w:val="18"/>
                <w:highlight w:val="none"/>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7ACF244">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生殖细胞致突变性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1B</w:t>
            </w:r>
          </w:p>
          <w:p w14:paraId="72DDF436">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致癌性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23EE4C0">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吸入危害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w:t>
            </w:r>
          </w:p>
          <w:p w14:paraId="564BCE68">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急性危害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1E138444">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长期危害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1674</w:t>
            </w:r>
          </w:p>
        </w:tc>
        <w:tc>
          <w:tcPr>
            <w:tcW w:w="760" w:type="dxa"/>
            <w:vAlign w:val="center"/>
          </w:tcPr>
          <w:p w14:paraId="12ACA6DD">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柴油</w:t>
            </w:r>
          </w:p>
        </w:tc>
        <w:tc>
          <w:tcPr>
            <w:tcW w:w="670" w:type="dxa"/>
            <w:vAlign w:val="center"/>
          </w:tcPr>
          <w:p w14:paraId="233F9116">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丙</w:t>
            </w:r>
            <w:r>
              <w:rPr>
                <w:rFonts w:ascii="Times New Roman" w:hAnsi="Times New Roman" w:cs="Times New Roman"/>
                <w:color w:val="auto"/>
                <w:sz w:val="18"/>
                <w:szCs w:val="18"/>
                <w:highlight w:val="none"/>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highlight w:val="none"/>
              </w:rPr>
            </w:pPr>
            <w:r>
              <w:rPr>
                <w:rFonts w:ascii="Times New Roman" w:hAnsi="Times New Roman" w:cs="Times New Roman"/>
                <w:color w:val="auto"/>
                <w:sz w:val="18"/>
                <w:szCs w:val="18"/>
                <w:highlight w:val="none"/>
              </w:rPr>
              <w:t>282</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b/>
                <w:bCs/>
                <w:color w:val="auto"/>
                <w:sz w:val="18"/>
                <w:szCs w:val="18"/>
                <w:highlight w:val="none"/>
              </w:rPr>
              <w:t>-</w:t>
            </w:r>
          </w:p>
        </w:tc>
        <w:tc>
          <w:tcPr>
            <w:tcW w:w="3034" w:type="dxa"/>
            <w:vAlign w:val="center"/>
          </w:tcPr>
          <w:p w14:paraId="64B08516">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3</w:t>
            </w:r>
          </w:p>
        </w:tc>
      </w:tr>
    </w:tbl>
    <w:p w14:paraId="54CDFFA5">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汽油和柴油物料理化性质详见下表所示。</w:t>
      </w:r>
    </w:p>
    <w:p w14:paraId="14F36ACC">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.1-2</w:t>
      </w:r>
      <w:r>
        <w:rPr>
          <w:rFonts w:hint="eastAsia" w:ascii="Times New Roman" w:hAnsi="Times New Roman" w:cs="宋体"/>
          <w:color w:val="auto"/>
          <w:sz w:val="24"/>
          <w:szCs w:val="24"/>
          <w:highlight w:val="none"/>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48" w:type="dxa"/>
            <w:vAlign w:val="center"/>
          </w:tcPr>
          <w:p w14:paraId="1EF913E6">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汽油</w:t>
            </w:r>
          </w:p>
        </w:tc>
        <w:tc>
          <w:tcPr>
            <w:tcW w:w="1428" w:type="dxa"/>
            <w:vAlign w:val="center"/>
          </w:tcPr>
          <w:p w14:paraId="4127D38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28" w:type="dxa"/>
            <w:vAlign w:val="center"/>
          </w:tcPr>
          <w:p w14:paraId="0AC1E75E">
            <w:pPr>
              <w:spacing w:line="360" w:lineRule="exact"/>
              <w:jc w:val="center"/>
              <w:rPr>
                <w:rFonts w:ascii="Times New Roman" w:hAnsi="Times New Roman" w:cs="宋体"/>
                <w:color w:val="auto"/>
                <w:highlight w:val="none"/>
              </w:rPr>
            </w:pPr>
          </w:p>
        </w:tc>
        <w:tc>
          <w:tcPr>
            <w:tcW w:w="1573" w:type="dxa"/>
            <w:vAlign w:val="center"/>
          </w:tcPr>
          <w:p w14:paraId="3617A358">
            <w:pPr>
              <w:spacing w:line="360" w:lineRule="exact"/>
              <w:ind w:right="-288"/>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48" w:type="dxa"/>
            <w:vAlign w:val="center"/>
          </w:tcPr>
          <w:p w14:paraId="709FFD8A">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Gasoline</w:t>
            </w:r>
            <w:r>
              <w:rPr>
                <w:rFonts w:hint="eastAsia" w:ascii="Times New Roman" w:hAnsi="Times New Roman" w:cs="宋体"/>
                <w:color w:val="auto"/>
                <w:highlight w:val="none"/>
                <w:lang w:eastAsia="zh-CN"/>
              </w:rPr>
              <w:t xml:space="preserve">; </w:t>
            </w:r>
            <w:r>
              <w:rPr>
                <w:rFonts w:hint="eastAsia" w:ascii="Times New Roman" w:hAnsi="Times New Roman" w:cs="宋体"/>
                <w:color w:val="auto"/>
                <w:highlight w:val="none"/>
              </w:rPr>
              <w:t>Petrol</w:t>
            </w:r>
          </w:p>
        </w:tc>
        <w:tc>
          <w:tcPr>
            <w:tcW w:w="1428" w:type="dxa"/>
            <w:vAlign w:val="center"/>
          </w:tcPr>
          <w:p w14:paraId="0DBE79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28" w:type="dxa"/>
            <w:vAlign w:val="center"/>
          </w:tcPr>
          <w:p w14:paraId="1518DC73">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C4-C12（烃）</w:t>
            </w:r>
          </w:p>
        </w:tc>
        <w:tc>
          <w:tcPr>
            <w:tcW w:w="1573" w:type="dxa"/>
            <w:vAlign w:val="center"/>
          </w:tcPr>
          <w:p w14:paraId="107E53AF">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08" w:type="dxa"/>
            <w:vAlign w:val="center"/>
          </w:tcPr>
          <w:p w14:paraId="744F4B80">
            <w:pPr>
              <w:spacing w:line="360" w:lineRule="exact"/>
              <w:ind w:left="-195" w:hanging="2"/>
              <w:jc w:val="center"/>
              <w:rPr>
                <w:rFonts w:ascii="Times New Roman" w:hAnsi="Times New Roman" w:cs="宋体"/>
                <w:color w:val="auto"/>
                <w:highlight w:val="none"/>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理</w:t>
            </w:r>
          </w:p>
          <w:p w14:paraId="2DDAE89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化</w:t>
            </w:r>
          </w:p>
          <w:p w14:paraId="04DCFC7B">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p w14:paraId="65803E44">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质</w:t>
            </w:r>
          </w:p>
        </w:tc>
        <w:tc>
          <w:tcPr>
            <w:tcW w:w="7985" w:type="dxa"/>
            <w:gridSpan w:val="5"/>
            <w:vAlign w:val="center"/>
          </w:tcPr>
          <w:p w14:paraId="4D2D1A39">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外观与性状：无色或淡黄色易挥发液体，具有特殊臭味。</w:t>
            </w:r>
          </w:p>
          <w:p w14:paraId="4139235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熔点（℃）：　&lt;-60　        </w:t>
            </w:r>
          </w:p>
          <w:p w14:paraId="26817DA5">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沸点（℃）：　40～200</w:t>
            </w:r>
          </w:p>
          <w:p w14:paraId="0697C4AE">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相对密度（水＝1）：　0.70-0.79   </w:t>
            </w:r>
          </w:p>
          <w:p w14:paraId="79943F74">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相对密度（空气＝1）：　3.5</w:t>
            </w:r>
          </w:p>
          <w:p w14:paraId="0CA20B72">
            <w:pPr>
              <w:spacing w:line="300" w:lineRule="exac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2B84388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p w14:paraId="2B8A150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w:t>
            </w:r>
          </w:p>
          <w:p w14:paraId="19BAF6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烧</w:t>
            </w:r>
          </w:p>
          <w:p w14:paraId="320B0F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w:t>
            </w:r>
          </w:p>
          <w:p w14:paraId="59F0C0CE">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炸</w:t>
            </w:r>
          </w:p>
          <w:p w14:paraId="25B8AF2C">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w:t>
            </w:r>
          </w:p>
          <w:p w14:paraId="4B96FC45">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险</w:t>
            </w:r>
          </w:p>
          <w:p w14:paraId="43C3D1B8">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tcPr>
          <w:p w14:paraId="501C741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5AF1123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建规火险等级：甲类</w:t>
            </w:r>
          </w:p>
          <w:p w14:paraId="30AA6ED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闪点：-50℃-10℃   </w:t>
            </w:r>
          </w:p>
          <w:p w14:paraId="04A0B651">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爆炸极限（V%）：1.3-6.0   </w:t>
            </w:r>
          </w:p>
          <w:p w14:paraId="3CE3D8A8">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自燃温度：210℃</w:t>
            </w:r>
          </w:p>
          <w:p w14:paraId="12D86C0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燃烧分解产物：一氧化碳、二氧化碳。</w:t>
            </w:r>
          </w:p>
          <w:p w14:paraId="348CF0D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6B9572B6">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聚合危害：无</w:t>
            </w:r>
          </w:p>
          <w:p w14:paraId="4BE93EC2">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禁忌物：强氧化剂。</w:t>
            </w:r>
          </w:p>
          <w:p w14:paraId="6A78481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包</w:t>
            </w:r>
          </w:p>
          <w:p w14:paraId="0524F4A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装</w:t>
            </w:r>
          </w:p>
          <w:p w14:paraId="484AA97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与</w:t>
            </w:r>
          </w:p>
          <w:p w14:paraId="73321249">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储</w:t>
            </w:r>
          </w:p>
          <w:p w14:paraId="7181C0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运</w:t>
            </w:r>
          </w:p>
        </w:tc>
        <w:tc>
          <w:tcPr>
            <w:tcW w:w="7985" w:type="dxa"/>
            <w:gridSpan w:val="5"/>
            <w:vAlign w:val="center"/>
          </w:tcPr>
          <w:p w14:paraId="3591ED6C">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危险货物包装标志：7    包装类别：Ⅰ</w:t>
            </w:r>
          </w:p>
          <w:p w14:paraId="7D808FE3">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highlight w:val="none"/>
                <w:lang w:eastAsia="zh-CN"/>
              </w:rPr>
              <w:t>通道</w:t>
            </w:r>
            <w:r>
              <w:rPr>
                <w:rFonts w:hint="eastAsia" w:ascii="Times New Roman" w:hAnsi="Times New Roman" w:cs="宋体"/>
                <w:color w:val="auto"/>
                <w:highlight w:val="none"/>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0ACDAD2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62F508F4">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2D8E19B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1B30B558">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vAlign w:val="center"/>
          </w:tcPr>
          <w:p w14:paraId="2F00FCA2">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接触限值：中国MAC：300mg/m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 xml:space="preserve">（溶剂汽油）。    </w:t>
            </w:r>
          </w:p>
          <w:p w14:paraId="7D2655C6">
            <w:pPr>
              <w:spacing w:line="36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43880FFE">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7985" w:type="dxa"/>
            <w:gridSpan w:val="5"/>
            <w:vAlign w:val="center"/>
          </w:tcPr>
          <w:p w14:paraId="0E238090">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吸入：迅速脱离污染区，注意保暖，保持呼吸道通畅，呼吸困难时给氧，必要时进行人工呼吸，就医。</w:t>
            </w:r>
          </w:p>
          <w:p w14:paraId="2D1D5954">
            <w:pPr>
              <w:spacing w:line="360" w:lineRule="exact"/>
              <w:rPr>
                <w:rFonts w:ascii="Times New Roman" w:hAnsi="Times New Roman" w:cs="宋体"/>
                <w:color w:val="auto"/>
                <w:highlight w:val="none"/>
              </w:rPr>
            </w:pPr>
            <w:r>
              <w:rPr>
                <w:rFonts w:hint="eastAsia" w:ascii="Times New Roman" w:hAnsi="Times New Roman" w:cs="宋体"/>
                <w:color w:val="auto"/>
                <w:highlight w:val="none"/>
              </w:rPr>
              <w:t>食入：给牛奶、蛋清、植物油等口服，洗胃，就医。</w:t>
            </w:r>
            <w:r>
              <w:rPr>
                <w:rFonts w:hint="eastAsia" w:ascii="Times New Roman" w:hAnsi="Times New Roman" w:cs="宋体"/>
                <w:color w:val="auto"/>
                <w:highlight w:val="none"/>
              </w:rPr>
              <w:tab/>
            </w:r>
            <w:r>
              <w:rPr>
                <w:rFonts w:hint="eastAsia" w:ascii="Times New Roman" w:hAnsi="Times New Roman" w:cs="宋体"/>
                <w:color w:val="auto"/>
                <w:highlight w:val="none"/>
              </w:rPr>
              <w:tab/>
            </w:r>
          </w:p>
          <w:p w14:paraId="60FCA75B">
            <w:pPr>
              <w:spacing w:line="360" w:lineRule="exact"/>
              <w:rPr>
                <w:rFonts w:ascii="Times New Roman" w:hAnsi="Times New Roman" w:cs="宋体"/>
                <w:color w:val="auto"/>
                <w:highlight w:val="none"/>
              </w:rPr>
            </w:pPr>
            <w:r>
              <w:rPr>
                <w:rFonts w:hint="eastAsia" w:ascii="Times New Roman" w:hAnsi="Times New Roman" w:cs="宋体"/>
                <w:color w:val="auto"/>
                <w:highlight w:val="none"/>
              </w:rPr>
              <w:t>眼睛接触：立即提起眼睑，用流动清水或生理盐水冲洗至少15分钟，就医。</w:t>
            </w:r>
            <w:r>
              <w:rPr>
                <w:rFonts w:hint="eastAsia" w:ascii="Times New Roman" w:hAnsi="Times New Roman" w:cs="宋体"/>
                <w:color w:val="auto"/>
                <w:highlight w:val="none"/>
              </w:rPr>
              <w:tab/>
            </w:r>
            <w:r>
              <w:rPr>
                <w:rFonts w:hint="eastAsia" w:ascii="Times New Roman" w:hAnsi="Times New Roman" w:cs="宋体"/>
                <w:color w:val="auto"/>
                <w:highlight w:val="none"/>
              </w:rPr>
              <w:t>皮肤接触：脱去污染的衣着，立即用流动清水彻底冲洗。</w:t>
            </w:r>
            <w:r>
              <w:rPr>
                <w:rFonts w:hint="eastAsia" w:ascii="Times New Roman" w:hAnsi="Times New Roman" w:cs="宋体"/>
                <w:color w:val="auto"/>
                <w:highlight w:val="none"/>
              </w:rPr>
              <w:tab/>
            </w:r>
          </w:p>
          <w:p w14:paraId="3F253058">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浓度超标时，戴防毒面具</w:t>
            </w:r>
            <w:r>
              <w:rPr>
                <w:rFonts w:hint="eastAsia" w:ascii="Times New Roman" w:hAnsi="Times New Roman" w:cs="宋体"/>
                <w:color w:val="auto"/>
                <w:highlight w:val="none"/>
              </w:rPr>
              <w:tab/>
            </w:r>
            <w:r>
              <w:rPr>
                <w:rFonts w:hint="eastAsia" w:ascii="Times New Roman" w:hAnsi="Times New Roman" w:cs="宋体"/>
                <w:color w:val="auto"/>
                <w:highlight w:val="none"/>
              </w:rPr>
              <w:t>生产过程密闭，全面通风，工作场所禁止吸烟，高浓度时戴化学防护眼镜</w:t>
            </w:r>
            <w:r>
              <w:rPr>
                <w:rFonts w:hint="eastAsia" w:ascii="Times New Roman" w:hAnsi="Times New Roman" w:cs="宋体"/>
                <w:color w:val="auto"/>
                <w:highlight w:val="none"/>
              </w:rPr>
              <w:tab/>
            </w:r>
            <w:r>
              <w:rPr>
                <w:rFonts w:hint="eastAsia" w:ascii="Times New Roman" w:hAnsi="Times New Roman" w:cs="宋体"/>
                <w:color w:val="auto"/>
                <w:highlight w:val="none"/>
              </w:rPr>
              <w:t>，穿防静电工作服，戴防护手套。</w:t>
            </w:r>
            <w:r>
              <w:rPr>
                <w:rFonts w:hint="eastAsia" w:ascii="Times New Roman" w:hAnsi="Times New Roman" w:cs="宋体"/>
                <w:color w:val="auto"/>
                <w:highlight w:val="none"/>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271453B1">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燃性吸附剂吸收，然后收集至废物处理场所处置。</w:t>
            </w:r>
          </w:p>
        </w:tc>
      </w:tr>
    </w:tbl>
    <w:p w14:paraId="38A80D42">
      <w:pPr>
        <w:jc w:val="center"/>
        <w:rPr>
          <w:rFonts w:ascii="Times New Roman" w:hAnsi="Times New Roman" w:cs="宋体"/>
          <w:color w:val="auto"/>
          <w:sz w:val="24"/>
          <w:szCs w:val="24"/>
          <w:highlight w:val="none"/>
          <w:lang w:val="zh-CN"/>
        </w:rPr>
      </w:pPr>
    </w:p>
    <w:p w14:paraId="748937E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3</w:t>
      </w:r>
      <w:r>
        <w:rPr>
          <w:rFonts w:hint="eastAsia" w:ascii="Times New Roman" w:hAnsi="Times New Roman" w:cs="宋体"/>
          <w:color w:val="auto"/>
          <w:sz w:val="24"/>
          <w:szCs w:val="24"/>
          <w:highlight w:val="none"/>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53" w:type="dxa"/>
            <w:vAlign w:val="center"/>
          </w:tcPr>
          <w:p w14:paraId="55841660">
            <w:pPr>
              <w:spacing w:line="240" w:lineRule="atLeast"/>
              <w:jc w:val="center"/>
              <w:rPr>
                <w:rFonts w:ascii="Times New Roman" w:hAnsi="Times New Roman" w:cs="宋体"/>
                <w:color w:val="auto"/>
                <w:highlight w:val="none"/>
              </w:rPr>
            </w:pPr>
            <w:r>
              <w:rPr>
                <w:rFonts w:hint="eastAsia" w:ascii="Times New Roman" w:hAnsi="Times New Roman" w:cs="宋体"/>
                <w:color w:val="auto"/>
                <w:highlight w:val="none"/>
              </w:rPr>
              <w:t>柴油</w:t>
            </w:r>
          </w:p>
        </w:tc>
        <w:tc>
          <w:tcPr>
            <w:tcW w:w="1431" w:type="dxa"/>
            <w:vAlign w:val="center"/>
          </w:tcPr>
          <w:p w14:paraId="22AB6A4C">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31" w:type="dxa"/>
            <w:vAlign w:val="center"/>
          </w:tcPr>
          <w:p w14:paraId="0ACA79DD">
            <w:pPr>
              <w:spacing w:line="240" w:lineRule="atLeast"/>
              <w:jc w:val="center"/>
              <w:rPr>
                <w:rFonts w:ascii="Times New Roman" w:hAnsi="Times New Roman" w:cs="宋体"/>
                <w:color w:val="auto"/>
                <w:highlight w:val="none"/>
              </w:rPr>
            </w:pPr>
          </w:p>
        </w:tc>
        <w:tc>
          <w:tcPr>
            <w:tcW w:w="1576" w:type="dxa"/>
            <w:vAlign w:val="center"/>
          </w:tcPr>
          <w:p w14:paraId="0EE7CC70">
            <w:pPr>
              <w:spacing w:line="240" w:lineRule="atLeast"/>
              <w:ind w:right="-288" w:rightChars="-137"/>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highlight w:val="none"/>
              </w:rPr>
            </w:pPr>
            <w:r>
              <w:rPr>
                <w:rFonts w:hint="eastAsia" w:ascii="Times New Roman" w:hAnsi="Times New Roman" w:cs="宋体"/>
                <w:color w:val="auto"/>
                <w:highlight w:val="none"/>
              </w:rPr>
              <w:t>Diesel  oil</w:t>
            </w:r>
          </w:p>
        </w:tc>
        <w:tc>
          <w:tcPr>
            <w:tcW w:w="1431" w:type="dxa"/>
            <w:vAlign w:val="center"/>
          </w:tcPr>
          <w:p w14:paraId="5F53892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31" w:type="dxa"/>
            <w:vAlign w:val="center"/>
          </w:tcPr>
          <w:p w14:paraId="0A8CE622">
            <w:pPr>
              <w:spacing w:line="240" w:lineRule="atLeast"/>
              <w:jc w:val="center"/>
              <w:rPr>
                <w:rFonts w:ascii="Times New Roman" w:hAnsi="Times New Roman" w:cs="宋体"/>
                <w:color w:val="auto"/>
                <w:highlight w:val="none"/>
              </w:rPr>
            </w:pPr>
          </w:p>
        </w:tc>
        <w:tc>
          <w:tcPr>
            <w:tcW w:w="1576" w:type="dxa"/>
            <w:vAlign w:val="center"/>
          </w:tcPr>
          <w:p w14:paraId="2E4FF6C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highlight w:val="none"/>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理化</w:t>
            </w:r>
          </w:p>
          <w:p w14:paraId="511D765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性质</w:t>
            </w:r>
          </w:p>
        </w:tc>
        <w:tc>
          <w:tcPr>
            <w:tcW w:w="8002" w:type="dxa"/>
            <w:gridSpan w:val="5"/>
            <w:vAlign w:val="center"/>
          </w:tcPr>
          <w:p w14:paraId="012450A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外观与性状：稍有粘性的棕色液体。     </w:t>
            </w:r>
          </w:p>
          <w:p w14:paraId="129B05D5">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熔点（℃）：　&lt;-18　              </w:t>
            </w:r>
          </w:p>
          <w:p w14:paraId="04CB61C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沸点（℃）：　282-338               </w:t>
            </w:r>
          </w:p>
          <w:p w14:paraId="01612E7E">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相对密度（水＝1）：　0.8-0.9     </w:t>
            </w:r>
          </w:p>
          <w:p w14:paraId="114396CB">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相对密度（空气＝1）：　            </w:t>
            </w:r>
          </w:p>
          <w:p w14:paraId="3478BC79">
            <w:pPr>
              <w:spacing w:line="240" w:lineRule="atLeas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65E6CD68">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燃烧</w:t>
            </w:r>
          </w:p>
          <w:p w14:paraId="7C146F10">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爆炸</w:t>
            </w:r>
          </w:p>
          <w:p w14:paraId="128F579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危险</w:t>
            </w:r>
          </w:p>
          <w:p w14:paraId="777DFAA4">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tcPr>
          <w:p w14:paraId="02EC9D9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30AD737A">
            <w:pPr>
              <w:spacing w:line="240" w:lineRule="exact"/>
              <w:rPr>
                <w:rFonts w:ascii="Times New Roman" w:hAnsi="Times New Roman" w:cs="宋体"/>
                <w:color w:val="auto"/>
                <w:highlight w:val="none"/>
              </w:rPr>
            </w:pPr>
            <w:r>
              <w:rPr>
                <w:rFonts w:hint="eastAsia" w:ascii="Times New Roman" w:hAnsi="Times New Roman" w:cs="宋体"/>
                <w:color w:val="auto"/>
                <w:highlight w:val="none"/>
                <w:lang w:eastAsia="zh-CN"/>
              </w:rPr>
              <w:t>建筑</w:t>
            </w:r>
            <w:r>
              <w:rPr>
                <w:rFonts w:hint="eastAsia" w:ascii="Times New Roman" w:hAnsi="Times New Roman" w:cs="宋体"/>
                <w:color w:val="auto"/>
                <w:highlight w:val="none"/>
              </w:rPr>
              <w:t>火险等级：丙</w:t>
            </w:r>
            <w:r>
              <w:rPr>
                <w:rFonts w:hint="eastAsia" w:ascii="Times New Roman" w:hAnsi="Times New Roman" w:cs="宋体"/>
                <w:color w:val="auto"/>
                <w:highlight w:val="none"/>
                <w:vertAlign w:val="subscript"/>
              </w:rPr>
              <w:t>A</w:t>
            </w:r>
            <w:r>
              <w:rPr>
                <w:rFonts w:hint="eastAsia" w:ascii="Times New Roman" w:hAnsi="Times New Roman" w:cs="宋体"/>
                <w:color w:val="auto"/>
                <w:highlight w:val="none"/>
              </w:rPr>
              <w:t>类</w:t>
            </w:r>
          </w:p>
          <w:p w14:paraId="22C1704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闪点：≥6</w:t>
            </w:r>
            <w:r>
              <w:rPr>
                <w:rFonts w:ascii="Times New Roman" w:hAnsi="Times New Roman" w:cs="宋体"/>
                <w:color w:val="auto"/>
                <w:highlight w:val="none"/>
              </w:rPr>
              <w:t>0</w:t>
            </w:r>
            <w:r>
              <w:rPr>
                <w:rFonts w:hint="eastAsia" w:ascii="Times New Roman" w:hAnsi="Times New Roman" w:cs="宋体"/>
                <w:color w:val="auto"/>
                <w:highlight w:val="none"/>
              </w:rPr>
              <w:t>℃</w:t>
            </w:r>
          </w:p>
          <w:p w14:paraId="448AEB4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引燃温度：</w:t>
            </w:r>
            <w:r>
              <w:rPr>
                <w:rFonts w:ascii="Times New Roman" w:hAnsi="Times New Roman" w:cs="宋体"/>
                <w:color w:val="auto"/>
                <w:highlight w:val="none"/>
              </w:rPr>
              <w:t>120</w:t>
            </w:r>
            <w:r>
              <w:rPr>
                <w:rFonts w:hint="eastAsia" w:ascii="Times New Roman" w:hAnsi="Times New Roman" w:cs="宋体"/>
                <w:color w:val="auto"/>
                <w:highlight w:val="none"/>
              </w:rPr>
              <w:t>℃</w:t>
            </w:r>
          </w:p>
          <w:p w14:paraId="390DA1D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爆炸极限（V%）：0.6%-7.5%      </w:t>
            </w:r>
          </w:p>
          <w:p w14:paraId="13F8828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最小点火能（mj）：无资料</w:t>
            </w:r>
          </w:p>
          <w:p w14:paraId="08D11DA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最大爆炸压力（MPa）：无资料</w:t>
            </w:r>
          </w:p>
          <w:p w14:paraId="66A75A8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危险特性：</w:t>
            </w:r>
            <w:r>
              <w:rPr>
                <w:rFonts w:ascii="Times New Roman" w:hAnsi="Times New Roman" w:cs="宋体"/>
                <w:color w:val="auto"/>
                <w:highlight w:val="none"/>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35B39D1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聚合危害：无        </w:t>
            </w:r>
          </w:p>
          <w:p w14:paraId="7669797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禁忌物：强氧化剂、卤素。</w:t>
            </w:r>
          </w:p>
          <w:p w14:paraId="07BC4AA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7B92713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0865AA12">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1082EA23">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6F41333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vAlign w:val="center"/>
          </w:tcPr>
          <w:p w14:paraId="3272EE64">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接触限值：中国MAC：未制定标准。    </w:t>
            </w:r>
          </w:p>
          <w:p w14:paraId="1B0A3BE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6D2830F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慢性影响：神经衰弱综合征为主要表现，还有眼及呼吸道刺激症状，接触性皮炎，皮肤干燥等。</w:t>
            </w:r>
          </w:p>
          <w:p w14:paraId="5DDB81E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8002" w:type="dxa"/>
            <w:gridSpan w:val="5"/>
            <w:vAlign w:val="center"/>
          </w:tcPr>
          <w:p w14:paraId="1CF6B57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134A0F6D">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8002" w:type="dxa"/>
            <w:gridSpan w:val="5"/>
            <w:vAlign w:val="center"/>
          </w:tcPr>
          <w:p w14:paraId="2B45C8FD">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切断一切火源，迅速撤离污染区人员至上风处。使用防毒面具，穿防静电工作服。在确保安全的前提下堵漏。用沙土或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燃性吸附剂混合吸收，然后收集至废物处理。</w:t>
            </w:r>
          </w:p>
        </w:tc>
      </w:tr>
    </w:tbl>
    <w:p w14:paraId="1CCF05B0">
      <w:pPr>
        <w:pStyle w:val="3"/>
        <w:rPr>
          <w:color w:val="auto"/>
          <w:highlight w:val="none"/>
        </w:rPr>
      </w:pPr>
      <w:bookmarkStart w:id="49" w:name="_Toc10889"/>
      <w:bookmarkStart w:id="50" w:name="_Toc15326"/>
      <w:bookmarkStart w:id="51" w:name="_Toc26345"/>
      <w:bookmarkStart w:id="52" w:name="_Toc17924"/>
      <w:bookmarkStart w:id="53" w:name="_Toc343692252"/>
      <w:r>
        <w:rPr>
          <w:color w:val="auto"/>
          <w:highlight w:val="none"/>
        </w:rPr>
        <w:t>3.2</w:t>
      </w:r>
      <w:r>
        <w:rPr>
          <w:rFonts w:hint="eastAsia" w:cs="宋体"/>
          <w:color w:val="auto"/>
          <w:highlight w:val="none"/>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1、剧毒化学品辨识</w:t>
      </w:r>
    </w:p>
    <w:p w14:paraId="1E83694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根据《危险化学品目录》（2015年版、202</w:t>
      </w:r>
      <w:r>
        <w:rPr>
          <w:rFonts w:hint="eastAsia" w:ascii="Times New Roman" w:hAnsi="Times New Roman" w:cs="Times New Roman"/>
          <w:color w:val="auto"/>
          <w:kern w:val="0"/>
          <w:sz w:val="28"/>
          <w:szCs w:val="28"/>
          <w:highlight w:val="none"/>
          <w:lang w:val="en-US" w:eastAsia="zh-CN"/>
        </w:rPr>
        <w:t>6</w:t>
      </w:r>
      <w:r>
        <w:rPr>
          <w:rFonts w:hint="eastAsia" w:ascii="Times New Roman" w:hAnsi="Times New Roman" w:cs="Times New Roman"/>
          <w:color w:val="auto"/>
          <w:kern w:val="0"/>
          <w:sz w:val="28"/>
          <w:szCs w:val="28"/>
          <w:highlight w:val="none"/>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2、易制毒化学品辩识</w:t>
      </w:r>
    </w:p>
    <w:p w14:paraId="4FC7BC9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3、易制爆危险化学品辩识</w:t>
      </w:r>
    </w:p>
    <w:p w14:paraId="6C5F976E">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4、监控化学品辩识</w:t>
      </w:r>
    </w:p>
    <w:p w14:paraId="54D0FADC">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5、高毒物品辨识</w:t>
      </w:r>
    </w:p>
    <w:p w14:paraId="6CC23601">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7、特别管控危险化学品</w:t>
      </w:r>
    </w:p>
    <w:p w14:paraId="7D6737E5">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8、重点监管的危险化工工艺的辨识</w:t>
      </w:r>
    </w:p>
    <w:p w14:paraId="76471055">
      <w:pPr>
        <w:spacing w:line="60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highlight w:val="none"/>
        </w:rPr>
      </w:pPr>
      <w:bookmarkStart w:id="54" w:name="_Toc27487"/>
      <w:r>
        <w:rPr>
          <w:rFonts w:ascii="Times New Roman" w:hAnsi="Times New Roman" w:cs="Times New Roman"/>
          <w:b/>
          <w:bCs/>
          <w:color w:val="auto"/>
          <w:sz w:val="28"/>
          <w:szCs w:val="28"/>
          <w:highlight w:val="none"/>
        </w:rPr>
        <w:t xml:space="preserve">3.3 </w:t>
      </w:r>
      <w:r>
        <w:rPr>
          <w:rFonts w:hint="eastAsia" w:ascii="Times New Roman" w:hAnsi="Times New Roman" w:cs="宋体"/>
          <w:b/>
          <w:bCs/>
          <w:color w:val="auto"/>
          <w:sz w:val="28"/>
          <w:szCs w:val="28"/>
          <w:highlight w:val="none"/>
        </w:rPr>
        <w:t>重大危险源辨识</w:t>
      </w:r>
      <w:bookmarkEnd w:id="52"/>
      <w:bookmarkEnd w:id="53"/>
      <w:bookmarkEnd w:id="54"/>
      <w:bookmarkStart w:id="55" w:name="_Toc9706"/>
      <w:bookmarkStart w:id="56" w:name="_Toc32342"/>
      <w:bookmarkStart w:id="57" w:name="_Toc28936"/>
      <w:bookmarkStart w:id="58" w:name="_Toc343692253"/>
    </w:p>
    <w:p w14:paraId="0ECA344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公式：</w:t>
      </w:r>
      <w:r>
        <w:rPr>
          <w:rFonts w:ascii="Times New Roman" w:hAnsi="Times New Roman" w:cs="宋体"/>
          <w:color w:val="auto"/>
          <w:sz w:val="28"/>
          <w:szCs w:val="28"/>
          <w:highlight w:val="none"/>
          <w:lang w:val="zh-CN"/>
        </w:rPr>
        <w:t>S</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q1/Q1</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q2/Q2</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qn/Qn</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1</w:t>
      </w:r>
    </w:p>
    <w:p w14:paraId="47ED0F78">
      <w:pPr>
        <w:spacing w:line="560" w:lineRule="exact"/>
        <w:ind w:left="1679" w:leftChars="266" w:hanging="1120" w:hangingChars="4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式中：</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n</w:t>
      </w:r>
      <w:r>
        <w:rPr>
          <w:rFonts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lang w:val="zh-CN"/>
        </w:rPr>
        <w:t>每种危险物质实际存在量，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3FD6137C">
      <w:pPr>
        <w:spacing w:line="560" w:lineRule="exact"/>
        <w:ind w:left="1676" w:leftChars="665" w:hanging="280" w:hangingChars="100"/>
        <w:rPr>
          <w:rFonts w:ascii="Times New Roman" w:hAnsi="Times New Roman" w:cs="宋体"/>
          <w:color w:val="auto"/>
          <w:sz w:val="28"/>
          <w:szCs w:val="28"/>
          <w:highlight w:val="none"/>
          <w:lang w:val="zh-CN"/>
        </w:rPr>
      </w:pP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...Qn——</w:t>
      </w:r>
      <w:r>
        <w:rPr>
          <w:rFonts w:hint="eastAsia" w:ascii="Times New Roman" w:hAnsi="Times New Roman" w:cs="宋体"/>
          <w:color w:val="auto"/>
          <w:sz w:val="28"/>
          <w:szCs w:val="28"/>
          <w:highlight w:val="none"/>
          <w:lang w:val="zh-CN"/>
        </w:rPr>
        <w:t>与各危险物质相对应的生产场所或储存区的临界量，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2F42BD6D">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1、重大危险源辨识物质范畴</w:t>
      </w:r>
    </w:p>
    <w:p w14:paraId="112114C0">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.3-1</w:t>
      </w:r>
      <w:r>
        <w:rPr>
          <w:rFonts w:hint="eastAsia" w:ascii="Times New Roman" w:hAnsi="Times New Roman" w:cs="宋体"/>
          <w:color w:val="auto"/>
          <w:sz w:val="24"/>
          <w:szCs w:val="24"/>
          <w:highlight w:val="none"/>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462" w:type="dxa"/>
            <w:vAlign w:val="center"/>
          </w:tcPr>
          <w:p w14:paraId="79D0CF6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1148" w:type="dxa"/>
            <w:vAlign w:val="center"/>
          </w:tcPr>
          <w:p w14:paraId="471AB290">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目录序号</w:t>
            </w:r>
          </w:p>
        </w:tc>
        <w:tc>
          <w:tcPr>
            <w:tcW w:w="1372" w:type="dxa"/>
            <w:vAlign w:val="center"/>
          </w:tcPr>
          <w:p w14:paraId="0846358F">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CAS号</w:t>
            </w:r>
          </w:p>
        </w:tc>
        <w:tc>
          <w:tcPr>
            <w:tcW w:w="3250" w:type="dxa"/>
            <w:vAlign w:val="center"/>
          </w:tcPr>
          <w:p w14:paraId="4F88BF5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危险危害</w:t>
            </w:r>
          </w:p>
        </w:tc>
        <w:tc>
          <w:tcPr>
            <w:tcW w:w="1512" w:type="dxa"/>
            <w:vAlign w:val="center"/>
          </w:tcPr>
          <w:p w14:paraId="05588F4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highlight w:val="none"/>
              </w:rPr>
            </w:pPr>
            <w:r>
              <w:rPr>
                <w:color w:val="auto"/>
                <w:szCs w:val="21"/>
                <w:highlight w:val="none"/>
              </w:rPr>
              <w:t>1</w:t>
            </w:r>
          </w:p>
        </w:tc>
        <w:tc>
          <w:tcPr>
            <w:tcW w:w="1462" w:type="dxa"/>
            <w:vAlign w:val="center"/>
          </w:tcPr>
          <w:p w14:paraId="16F870A4">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汽油</w:t>
            </w:r>
          </w:p>
        </w:tc>
        <w:tc>
          <w:tcPr>
            <w:tcW w:w="1148" w:type="dxa"/>
            <w:vAlign w:val="center"/>
          </w:tcPr>
          <w:p w14:paraId="380D852B">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1630</w:t>
            </w:r>
          </w:p>
        </w:tc>
        <w:tc>
          <w:tcPr>
            <w:tcW w:w="1372" w:type="dxa"/>
            <w:vAlign w:val="center"/>
          </w:tcPr>
          <w:p w14:paraId="4E494E3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86290-81-5</w:t>
            </w:r>
          </w:p>
        </w:tc>
        <w:tc>
          <w:tcPr>
            <w:tcW w:w="3250" w:type="dxa"/>
            <w:vAlign w:val="center"/>
          </w:tcPr>
          <w:p w14:paraId="2F1D06E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14D569C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生殖细胞致突变性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类别1B</w:t>
            </w:r>
          </w:p>
          <w:p w14:paraId="67C96DB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致癌性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FFC3A42">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吸入危害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w:t>
            </w:r>
          </w:p>
          <w:p w14:paraId="6D1E4754">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急性危害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77D4B9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长期危害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tc>
        <w:tc>
          <w:tcPr>
            <w:tcW w:w="1512" w:type="dxa"/>
            <w:vAlign w:val="center"/>
          </w:tcPr>
          <w:p w14:paraId="44DF1F63">
            <w:pPr>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highlight w:val="none"/>
              </w:rPr>
            </w:pPr>
            <w:r>
              <w:rPr>
                <w:color w:val="auto"/>
                <w:szCs w:val="21"/>
                <w:highlight w:val="none"/>
              </w:rPr>
              <w:t>2</w:t>
            </w:r>
          </w:p>
        </w:tc>
        <w:tc>
          <w:tcPr>
            <w:tcW w:w="1462" w:type="dxa"/>
            <w:vAlign w:val="center"/>
          </w:tcPr>
          <w:p w14:paraId="0F6D7ECD">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柴油</w:t>
            </w:r>
          </w:p>
        </w:tc>
        <w:tc>
          <w:tcPr>
            <w:tcW w:w="1148" w:type="dxa"/>
            <w:vAlign w:val="center"/>
          </w:tcPr>
          <w:p w14:paraId="4E5910D2">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1674</w:t>
            </w:r>
          </w:p>
        </w:tc>
        <w:tc>
          <w:tcPr>
            <w:tcW w:w="1372" w:type="dxa"/>
            <w:vAlign w:val="center"/>
          </w:tcPr>
          <w:p w14:paraId="0160E322">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w:t>
            </w:r>
          </w:p>
        </w:tc>
        <w:tc>
          <w:tcPr>
            <w:tcW w:w="3250" w:type="dxa"/>
            <w:vAlign w:val="center"/>
          </w:tcPr>
          <w:p w14:paraId="450C999D">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类别3</w:t>
            </w:r>
          </w:p>
        </w:tc>
        <w:tc>
          <w:tcPr>
            <w:tcW w:w="1512" w:type="dxa"/>
            <w:vAlign w:val="center"/>
          </w:tcPr>
          <w:p w14:paraId="49B45512">
            <w:pPr>
              <w:widowControl/>
              <w:spacing w:line="36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bl>
    <w:p w14:paraId="44C09F3D">
      <w:pPr>
        <w:spacing w:line="560" w:lineRule="exact"/>
        <w:ind w:firstLine="560" w:firstLineChars="200"/>
        <w:rPr>
          <w:rFonts w:ascii="Times New Roman" w:hAnsi="Times New Roman" w:cs="Times New Roman"/>
          <w:color w:val="auto"/>
          <w:sz w:val="28"/>
          <w:szCs w:val="36"/>
          <w:highlight w:val="none"/>
          <w:lang w:val="zh-CN"/>
        </w:rPr>
      </w:pPr>
      <w:bookmarkStart w:id="59" w:name="_Toc23823"/>
      <w:bookmarkStart w:id="60" w:name="_Toc15806"/>
      <w:bookmarkStart w:id="61" w:name="_Toc1761"/>
      <w:bookmarkStart w:id="62" w:name="_Toc19249"/>
      <w:r>
        <w:rPr>
          <w:rFonts w:hint="eastAsia" w:ascii="Times New Roman" w:hAnsi="Times New Roman" w:cs="Times New Roman"/>
          <w:color w:val="auto"/>
          <w:sz w:val="28"/>
          <w:szCs w:val="36"/>
          <w:highlight w:val="none"/>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2、临界量</w:t>
      </w:r>
    </w:p>
    <w:p w14:paraId="6FA0721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143" w:type="dxa"/>
            <w:vAlign w:val="center"/>
          </w:tcPr>
          <w:p w14:paraId="185E0F8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顺序号</w:t>
            </w:r>
          </w:p>
        </w:tc>
        <w:tc>
          <w:tcPr>
            <w:tcW w:w="2935" w:type="dxa"/>
            <w:vAlign w:val="center"/>
          </w:tcPr>
          <w:p w14:paraId="4B7A080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3082" w:type="dxa"/>
            <w:vAlign w:val="center"/>
          </w:tcPr>
          <w:p w14:paraId="0CFDA05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CAS号</w:t>
            </w:r>
          </w:p>
        </w:tc>
        <w:tc>
          <w:tcPr>
            <w:tcW w:w="1685" w:type="dxa"/>
            <w:vAlign w:val="center"/>
          </w:tcPr>
          <w:p w14:paraId="7DB257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1143" w:type="dxa"/>
            <w:vAlign w:val="center"/>
          </w:tcPr>
          <w:p w14:paraId="1752D92A">
            <w:pPr>
              <w:jc w:val="center"/>
              <w:rPr>
                <w:rFonts w:ascii="Times New Roman" w:hAnsi="Times New Roman" w:cs="Times New Roman"/>
                <w:color w:val="auto"/>
                <w:highlight w:val="none"/>
              </w:rPr>
            </w:pPr>
            <w:r>
              <w:rPr>
                <w:rFonts w:hint="eastAsia" w:ascii="Times New Roman" w:hAnsi="Times New Roman" w:cs="Times New Roman"/>
                <w:color w:val="auto"/>
                <w:highlight w:val="none"/>
              </w:rPr>
              <w:t>66</w:t>
            </w:r>
          </w:p>
        </w:tc>
        <w:tc>
          <w:tcPr>
            <w:tcW w:w="2935" w:type="dxa"/>
            <w:vAlign w:val="center"/>
          </w:tcPr>
          <w:p w14:paraId="3E84A4CE">
            <w:pPr>
              <w:jc w:val="center"/>
              <w:rPr>
                <w:rFonts w:ascii="Times New Roman" w:hAnsi="Times New Roman" w:cs="Times New Roman"/>
                <w:color w:val="auto"/>
                <w:highlight w:val="none"/>
              </w:rPr>
            </w:pPr>
            <w:r>
              <w:rPr>
                <w:rFonts w:hint="eastAsia" w:ascii="Times New Roman" w:hAnsi="Times New Roman" w:cs="Times New Roman"/>
                <w:color w:val="auto"/>
                <w:highlight w:val="none"/>
              </w:rPr>
              <w:t>汽油</w:t>
            </w:r>
          </w:p>
        </w:tc>
        <w:tc>
          <w:tcPr>
            <w:tcW w:w="3082" w:type="dxa"/>
            <w:vAlign w:val="center"/>
          </w:tcPr>
          <w:p w14:paraId="6EC10859">
            <w:pPr>
              <w:jc w:val="center"/>
              <w:rPr>
                <w:rFonts w:ascii="Times New Roman" w:hAnsi="Times New Roman" w:cs="Times New Roman"/>
                <w:color w:val="auto"/>
                <w:highlight w:val="none"/>
              </w:rPr>
            </w:pPr>
            <w:r>
              <w:rPr>
                <w:rFonts w:ascii="Times New Roman" w:hAnsi="Times New Roman" w:cs="宋体"/>
                <w:color w:val="auto"/>
                <w:kern w:val="0"/>
                <w:highlight w:val="none"/>
              </w:rPr>
              <w:t>86290-81-5</w:t>
            </w:r>
          </w:p>
        </w:tc>
        <w:tc>
          <w:tcPr>
            <w:tcW w:w="1685" w:type="dxa"/>
            <w:vAlign w:val="center"/>
          </w:tcPr>
          <w:p w14:paraId="49541D70">
            <w:pPr>
              <w:jc w:val="center"/>
              <w:rPr>
                <w:rFonts w:ascii="Times New Roman" w:hAnsi="Times New Roman" w:cs="Times New Roman"/>
                <w:color w:val="auto"/>
                <w:highlight w:val="none"/>
              </w:rPr>
            </w:pPr>
            <w:r>
              <w:rPr>
                <w:rFonts w:hint="eastAsia" w:ascii="Times New Roman" w:hAnsi="Times New Roman" w:cs="Times New Roman"/>
                <w:color w:val="auto"/>
                <w:highlight w:val="none"/>
              </w:rPr>
              <w:t>200</w:t>
            </w:r>
          </w:p>
        </w:tc>
      </w:tr>
    </w:tbl>
    <w:p w14:paraId="6A5EF85A">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柴油</w:t>
            </w:r>
          </w:p>
        </w:tc>
        <w:tc>
          <w:tcPr>
            <w:tcW w:w="1248" w:type="dxa"/>
            <w:vAlign w:val="center"/>
          </w:tcPr>
          <w:p w14:paraId="14B2DD3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宋体"/>
                <w:color w:val="auto"/>
                <w:kern w:val="0"/>
                <w:highlight w:val="none"/>
              </w:rPr>
              <w:t>68334-30-5</w:t>
            </w:r>
          </w:p>
        </w:tc>
        <w:tc>
          <w:tcPr>
            <w:tcW w:w="2063" w:type="dxa"/>
            <w:vAlign w:val="center"/>
          </w:tcPr>
          <w:p w14:paraId="2CCF9F21">
            <w:pPr>
              <w:widowControl/>
              <w:spacing w:line="340" w:lineRule="exact"/>
              <w:jc w:val="center"/>
              <w:rPr>
                <w:rFonts w:ascii="Times New Roman" w:hAnsi="Times New Roman" w:cs="宋体"/>
                <w:color w:val="auto"/>
                <w:kern w:val="0"/>
                <w:highlight w:val="none"/>
              </w:rPr>
            </w:pPr>
            <w:r>
              <w:rPr>
                <w:rFonts w:ascii="Times New Roman" w:hAnsi="Times New Roman" w:cs="宋体"/>
                <w:color w:val="auto"/>
                <w:kern w:val="0"/>
                <w:highlight w:val="none"/>
              </w:rPr>
              <w:t>易燃液体</w:t>
            </w:r>
            <w:r>
              <w:rPr>
                <w:rFonts w:hint="eastAsia" w:ascii="Times New Roman" w:hAnsi="Times New Roman" w:cs="宋体"/>
                <w:color w:val="auto"/>
                <w:kern w:val="0"/>
                <w:highlight w:val="none"/>
                <w:lang w:eastAsia="zh-CN"/>
              </w:rPr>
              <w:t>，</w:t>
            </w:r>
            <w:r>
              <w:rPr>
                <w:rFonts w:ascii="Times New Roman" w:hAnsi="Times New Roman" w:cs="宋体"/>
                <w:color w:val="auto"/>
                <w:kern w:val="0"/>
                <w:highlight w:val="none"/>
              </w:rPr>
              <w:t>类别</w:t>
            </w:r>
            <w:r>
              <w:rPr>
                <w:rFonts w:hint="eastAsia" w:ascii="Times New Roman" w:hAnsi="Times New Roman" w:cs="宋体"/>
                <w:color w:val="auto"/>
                <w:kern w:val="0"/>
                <w:highlight w:val="none"/>
              </w:rPr>
              <w:t>3</w:t>
            </w:r>
          </w:p>
        </w:tc>
        <w:tc>
          <w:tcPr>
            <w:tcW w:w="1148" w:type="dxa"/>
            <w:vAlign w:val="center"/>
          </w:tcPr>
          <w:p w14:paraId="4B440FB1">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highlight w:val="none"/>
                <w:lang w:val="zh-CN"/>
              </w:rPr>
            </w:pPr>
          </w:p>
        </w:tc>
      </w:tr>
    </w:tbl>
    <w:p w14:paraId="7C333A02">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3、单元划分</w:t>
      </w:r>
    </w:p>
    <w:p w14:paraId="536E0944">
      <w:pPr>
        <w:spacing w:line="56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该站单元划</w:t>
      </w:r>
      <w:r>
        <w:rPr>
          <w:rFonts w:hint="eastAsia" w:ascii="Times New Roman" w:hAnsi="Times New Roman" w:cs="宋体"/>
          <w:color w:val="auto"/>
          <w:sz w:val="28"/>
          <w:szCs w:val="28"/>
          <w:highlight w:val="none"/>
          <w:lang w:eastAsia="zh-CN"/>
        </w:rPr>
        <w:t>分</w:t>
      </w:r>
      <w:r>
        <w:rPr>
          <w:rFonts w:hint="eastAsia" w:ascii="Times New Roman" w:hAnsi="Times New Roman" w:cs="宋体"/>
          <w:color w:val="auto"/>
          <w:sz w:val="28"/>
          <w:szCs w:val="28"/>
          <w:highlight w:val="none"/>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（1）储存单元</w:t>
      </w:r>
    </w:p>
    <w:p w14:paraId="4ED9C6A2">
      <w:pPr>
        <w:spacing w:line="240" w:lineRule="atLeast"/>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624" w:type="dxa"/>
            <w:vAlign w:val="center"/>
          </w:tcPr>
          <w:p w14:paraId="45603056">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单元名称</w:t>
            </w:r>
          </w:p>
        </w:tc>
        <w:tc>
          <w:tcPr>
            <w:tcW w:w="4908" w:type="dxa"/>
            <w:vAlign w:val="center"/>
          </w:tcPr>
          <w:p w14:paraId="1DEE7B6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基本情况</w:t>
            </w:r>
          </w:p>
        </w:tc>
        <w:tc>
          <w:tcPr>
            <w:tcW w:w="1262" w:type="dxa"/>
            <w:vAlign w:val="center"/>
          </w:tcPr>
          <w:p w14:paraId="198DBB1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24" w:type="dxa"/>
            <w:vAlign w:val="center"/>
          </w:tcPr>
          <w:p w14:paraId="03C22C81">
            <w:pPr>
              <w:jc w:val="center"/>
              <w:rPr>
                <w:rFonts w:ascii="Times New Roman" w:hAnsi="Times New Roman" w:cs="Times New Roman"/>
                <w:color w:val="auto"/>
                <w:highlight w:val="none"/>
              </w:rPr>
            </w:pPr>
            <w:r>
              <w:rPr>
                <w:rFonts w:ascii="Times New Roman" w:hAnsi="Times New Roman" w:cs="Times New Roman"/>
                <w:color w:val="auto"/>
                <w:highlight w:val="none"/>
              </w:rPr>
              <w:t>油储罐区</w:t>
            </w:r>
          </w:p>
        </w:tc>
        <w:tc>
          <w:tcPr>
            <w:tcW w:w="4908" w:type="dxa"/>
            <w:vAlign w:val="center"/>
          </w:tcPr>
          <w:p w14:paraId="7E386C89">
            <w:pPr>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的柴油储罐</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个</w:t>
            </w:r>
          </w:p>
        </w:tc>
        <w:tc>
          <w:tcPr>
            <w:tcW w:w="1262" w:type="dxa"/>
            <w:vAlign w:val="center"/>
          </w:tcPr>
          <w:p w14:paraId="1C0922BE">
            <w:pPr>
              <w:jc w:val="center"/>
              <w:rPr>
                <w:rFonts w:ascii="Times New Roman" w:hAnsi="Times New Roman" w:cs="Times New Roman"/>
                <w:color w:val="auto"/>
                <w:highlight w:val="none"/>
              </w:rPr>
            </w:pPr>
          </w:p>
        </w:tc>
      </w:tr>
    </w:tbl>
    <w:p w14:paraId="1DAD3271">
      <w:pPr>
        <w:spacing w:line="560" w:lineRule="exact"/>
        <w:ind w:firstLine="536" w:firstLineChars="200"/>
        <w:rPr>
          <w:rFonts w:ascii="Times New Roman" w:hAnsi="Times New Roman" w:cs="Times New Roman"/>
          <w:color w:val="auto"/>
          <w:sz w:val="28"/>
          <w:szCs w:val="28"/>
          <w:highlight w:val="none"/>
          <w:lang w:val="zh-CN"/>
        </w:rPr>
      </w:pPr>
      <w:r>
        <w:rPr>
          <w:rFonts w:ascii="Times New Roman" w:hAnsi="Times New Roman" w:cs="Times New Roman"/>
          <w:color w:val="auto"/>
          <w:spacing w:val="-6"/>
          <w:sz w:val="28"/>
          <w:szCs w:val="28"/>
          <w:highlight w:val="none"/>
        </w:rPr>
        <w:t>该</w:t>
      </w:r>
      <w:r>
        <w:rPr>
          <w:rFonts w:ascii="Times New Roman" w:hAnsi="Times New Roman" w:cs="Times New Roman"/>
          <w:color w:val="auto"/>
          <w:spacing w:val="-6"/>
          <w:sz w:val="28"/>
          <w:szCs w:val="28"/>
          <w:highlight w:val="none"/>
          <w:lang w:val="zh-CN"/>
        </w:rPr>
        <w:t>加油站设</w:t>
      </w:r>
      <w:r>
        <w:rPr>
          <w:rFonts w:hint="eastAsia" w:ascii="Times New Roman" w:hAnsi="Times New Roman" w:cs="Times New Roman"/>
          <w:color w:val="auto"/>
          <w:spacing w:val="-6"/>
          <w:sz w:val="28"/>
          <w:szCs w:val="28"/>
          <w:highlight w:val="none"/>
          <w:lang w:val="en-US" w:eastAsia="zh-CN"/>
        </w:rPr>
        <w:t>2</w:t>
      </w:r>
      <w:r>
        <w:rPr>
          <w:rFonts w:ascii="Times New Roman" w:hAnsi="Times New Roman" w:cs="Times New Roman"/>
          <w:color w:val="auto"/>
          <w:spacing w:val="-6"/>
          <w:sz w:val="28"/>
          <w:szCs w:val="28"/>
          <w:highlight w:val="none"/>
          <w:lang w:val="zh-CN"/>
        </w:rPr>
        <w:t>个汽油储罐，汽油最大储存量为</w:t>
      </w:r>
      <w:r>
        <w:rPr>
          <w:rFonts w:hint="eastAsia" w:ascii="Times New Roman" w:hAnsi="Times New Roman" w:cs="Times New Roman"/>
          <w:color w:val="auto"/>
          <w:spacing w:val="-6"/>
          <w:sz w:val="28"/>
          <w:szCs w:val="28"/>
          <w:highlight w:val="none"/>
          <w:lang w:val="en-US" w:eastAsia="zh-CN"/>
        </w:rPr>
        <w:t>10</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，汽油的相对密度（水＝1）：0.70-0.79，以0.75算，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75</w:t>
      </w:r>
      <w:r>
        <w:rPr>
          <w:rFonts w:ascii="Times New Roman" w:hAnsi="Times New Roman" w:cs="Times New Roman"/>
          <w:color w:val="auto"/>
          <w:spacing w:val="-6"/>
          <w:sz w:val="28"/>
          <w:szCs w:val="28"/>
          <w:highlight w:val="none"/>
        </w:rPr>
        <w:t>t</w:t>
      </w:r>
      <w:r>
        <w:rPr>
          <w:rFonts w:ascii="Times New Roman" w:hAnsi="Times New Roman" w:cs="Times New Roman"/>
          <w:color w:val="auto"/>
          <w:spacing w:val="-6"/>
          <w:sz w:val="28"/>
          <w:szCs w:val="28"/>
          <w:highlight w:val="none"/>
          <w:lang w:val="zh-CN"/>
        </w:rPr>
        <w:t>；</w:t>
      </w:r>
      <w:r>
        <w:rPr>
          <w:rFonts w:hint="eastAsia" w:ascii="Times New Roman" w:hAnsi="Times New Roman" w:cs="Times New Roman"/>
          <w:color w:val="auto"/>
          <w:spacing w:val="-6"/>
          <w:sz w:val="28"/>
          <w:szCs w:val="28"/>
          <w:highlight w:val="none"/>
          <w:lang w:val="en-US" w:eastAsia="zh-CN"/>
        </w:rPr>
        <w:t>3</w:t>
      </w:r>
      <w:r>
        <w:rPr>
          <w:rFonts w:ascii="Times New Roman" w:hAnsi="Times New Roman" w:cs="Times New Roman"/>
          <w:color w:val="auto"/>
          <w:spacing w:val="-6"/>
          <w:sz w:val="28"/>
          <w:szCs w:val="28"/>
          <w:highlight w:val="none"/>
          <w:lang w:val="zh-CN"/>
        </w:rPr>
        <w:t>个柴油储罐，柴油最大储存量为</w:t>
      </w:r>
      <w:r>
        <w:rPr>
          <w:rFonts w:hint="eastAsia" w:ascii="Times New Roman" w:hAnsi="Times New Roman" w:cs="Times New Roman"/>
          <w:color w:val="auto"/>
          <w:spacing w:val="-6"/>
          <w:sz w:val="28"/>
          <w:szCs w:val="28"/>
          <w:highlight w:val="none"/>
          <w:lang w:val="en-US" w:eastAsia="zh-CN"/>
        </w:rPr>
        <w:t>15</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，柴油的相对密度（水＝1）：0.8-0.9，以0.8</w:t>
      </w:r>
      <w:r>
        <w:rPr>
          <w:rFonts w:ascii="Times New Roman" w:hAnsi="Times New Roman" w:cs="Times New Roman"/>
          <w:color w:val="auto"/>
          <w:spacing w:val="-6"/>
          <w:sz w:val="28"/>
          <w:szCs w:val="28"/>
          <w:highlight w:val="none"/>
        </w:rPr>
        <w:t>5</w:t>
      </w:r>
      <w:r>
        <w:rPr>
          <w:rFonts w:ascii="Times New Roman" w:hAnsi="Times New Roman" w:cs="Times New Roman"/>
          <w:color w:val="auto"/>
          <w:spacing w:val="-6"/>
          <w:sz w:val="28"/>
          <w:szCs w:val="28"/>
          <w:highlight w:val="none"/>
          <w:lang w:val="zh-CN"/>
        </w:rPr>
        <w:t>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127.5</w:t>
      </w:r>
      <w:r>
        <w:rPr>
          <w:rFonts w:ascii="Times New Roman" w:hAnsi="Times New Roman" w:cs="Times New Roman"/>
          <w:color w:val="auto"/>
          <w:spacing w:val="-6"/>
          <w:sz w:val="28"/>
          <w:szCs w:val="28"/>
          <w:highlight w:val="none"/>
        </w:rPr>
        <w:t>t</w:t>
      </w:r>
      <w:r>
        <w:rPr>
          <w:rFonts w:ascii="Times New Roman" w:hAnsi="Times New Roman" w:cs="Times New Roman"/>
          <w:color w:val="auto"/>
          <w:sz w:val="28"/>
          <w:szCs w:val="28"/>
          <w:highlight w:val="none"/>
          <w:lang w:val="zh-CN"/>
        </w:rPr>
        <w:t>。</w:t>
      </w:r>
    </w:p>
    <w:p w14:paraId="7D1044E5">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（2）生产单元</w:t>
      </w:r>
      <w:r>
        <w:rPr>
          <w:rFonts w:hint="eastAsia" w:ascii="Times New Roman" w:hAnsi="Times New Roman" w:cs="宋体"/>
          <w:color w:val="auto"/>
          <w:sz w:val="28"/>
          <w:szCs w:val="28"/>
          <w:highlight w:val="none"/>
          <w:lang w:val="zh-CN"/>
        </w:rPr>
        <w:t>：</w:t>
      </w:r>
    </w:p>
    <w:p w14:paraId="3C425864">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序号</w:t>
            </w:r>
          </w:p>
        </w:tc>
        <w:tc>
          <w:tcPr>
            <w:tcW w:w="2089" w:type="dxa"/>
            <w:vAlign w:val="center"/>
          </w:tcPr>
          <w:p w14:paraId="5392B8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单元名称</w:t>
            </w:r>
          </w:p>
        </w:tc>
        <w:tc>
          <w:tcPr>
            <w:tcW w:w="2620" w:type="dxa"/>
            <w:vAlign w:val="center"/>
          </w:tcPr>
          <w:p w14:paraId="2695DDBF">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基本情况</w:t>
            </w:r>
          </w:p>
        </w:tc>
        <w:tc>
          <w:tcPr>
            <w:tcW w:w="3157" w:type="dxa"/>
            <w:vAlign w:val="center"/>
          </w:tcPr>
          <w:p w14:paraId="19AD49E8">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2089" w:type="dxa"/>
            <w:vAlign w:val="center"/>
          </w:tcPr>
          <w:p w14:paraId="585EE412">
            <w:pPr>
              <w:jc w:val="center"/>
              <w:rPr>
                <w:rFonts w:ascii="Times New Roman" w:hAnsi="Times New Roman" w:cs="Times New Roman"/>
                <w:color w:val="auto"/>
                <w:highlight w:val="none"/>
              </w:rPr>
            </w:pPr>
            <w:r>
              <w:rPr>
                <w:rFonts w:hint="eastAsia" w:ascii="Times New Roman" w:hAnsi="Times New Roman" w:cs="Times New Roman"/>
                <w:color w:val="auto"/>
                <w:highlight w:val="none"/>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1</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双</w:t>
            </w:r>
            <w:r>
              <w:rPr>
                <w:rFonts w:ascii="Times New Roman" w:hAnsi="Times New Roman" w:cs="Times New Roman"/>
                <w:color w:val="auto"/>
                <w:highlight w:val="none"/>
              </w:rPr>
              <w:t>枪加油机</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1</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六</w:t>
            </w:r>
            <w:r>
              <w:rPr>
                <w:rFonts w:ascii="Times New Roman" w:hAnsi="Times New Roman" w:cs="Times New Roman"/>
                <w:color w:val="auto"/>
                <w:highlight w:val="none"/>
              </w:rPr>
              <w:t>枪加油机</w:t>
            </w: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四</w:t>
            </w:r>
            <w:r>
              <w:rPr>
                <w:rFonts w:ascii="Times New Roman" w:hAnsi="Times New Roman" w:cs="Times New Roman"/>
                <w:color w:val="auto"/>
                <w:highlight w:val="none"/>
              </w:rPr>
              <w:t>枪加油机</w:t>
            </w:r>
          </w:p>
        </w:tc>
        <w:tc>
          <w:tcPr>
            <w:tcW w:w="3157" w:type="dxa"/>
            <w:vAlign w:val="center"/>
          </w:tcPr>
          <w:p w14:paraId="7741A48B">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汽油枪</w:t>
            </w:r>
            <w:r>
              <w:rPr>
                <w:rFonts w:hint="eastAsia" w:ascii="Times New Roman" w:hAnsi="Times New Roman" w:cs="Times New Roman"/>
                <w:color w:val="auto"/>
                <w:szCs w:val="24"/>
                <w:highlight w:val="none"/>
                <w:lang w:val="en-US" w:eastAsia="zh-CN"/>
              </w:rPr>
              <w:t>20</w:t>
            </w:r>
            <w:r>
              <w:rPr>
                <w:rFonts w:hint="eastAsia" w:ascii="Times New Roman" w:hAnsi="Times New Roman" w:cs="Times New Roman"/>
                <w:color w:val="auto"/>
                <w:szCs w:val="24"/>
                <w:highlight w:val="none"/>
              </w:rPr>
              <w:t>把</w:t>
            </w:r>
          </w:p>
          <w:p w14:paraId="2A0C6C3D">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柴油枪</w:t>
            </w:r>
            <w:r>
              <w:rPr>
                <w:rFonts w:hint="eastAsia" w:ascii="Times New Roman" w:hAnsi="Times New Roman" w:cs="Times New Roman"/>
                <w:color w:val="auto"/>
                <w:szCs w:val="24"/>
                <w:highlight w:val="none"/>
                <w:lang w:val="en-US" w:eastAsia="zh-CN"/>
              </w:rPr>
              <w:t>12</w:t>
            </w:r>
            <w:r>
              <w:rPr>
                <w:rFonts w:hint="eastAsia" w:ascii="Times New Roman" w:hAnsi="Times New Roman" w:cs="Times New Roman"/>
                <w:color w:val="auto"/>
                <w:szCs w:val="24"/>
                <w:highlight w:val="none"/>
              </w:rPr>
              <w:t>把</w:t>
            </w:r>
          </w:p>
        </w:tc>
      </w:tr>
    </w:tbl>
    <w:p w14:paraId="572187C1">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该站</w:t>
      </w:r>
      <w:r>
        <w:rPr>
          <w:rFonts w:hint="eastAsia" w:ascii="Times New Roman" w:hAnsi="Times New Roman" w:cs="宋体"/>
          <w:color w:val="auto"/>
          <w:sz w:val="28"/>
          <w:szCs w:val="28"/>
          <w:highlight w:val="none"/>
          <w:lang w:val="zh-CN"/>
        </w:rPr>
        <w:t>设汽油加油机最大加油量为</w:t>
      </w:r>
      <w:r>
        <w:rPr>
          <w:rFonts w:hint="eastAsia" w:ascii="Times New Roman" w:hAnsi="Times New Roman" w:cs="宋体"/>
          <w:color w:val="auto"/>
          <w:sz w:val="28"/>
          <w:szCs w:val="28"/>
          <w:highlight w:val="none"/>
          <w:lang w:val="en-US" w:eastAsia="zh-CN"/>
        </w:rPr>
        <w:t>1.2</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按60L/枪计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9</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，柴油加油机最大加油量为</w:t>
      </w:r>
      <w:r>
        <w:rPr>
          <w:rFonts w:hint="eastAsia" w:ascii="Times New Roman" w:hAnsi="Times New Roman" w:cs="宋体"/>
          <w:color w:val="auto"/>
          <w:sz w:val="28"/>
          <w:szCs w:val="28"/>
          <w:highlight w:val="none"/>
          <w:lang w:val="en-US" w:eastAsia="zh-CN"/>
        </w:rPr>
        <w:t>1.2</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按100L/枪计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lang w:val="en-US" w:eastAsia="zh-CN"/>
        </w:rPr>
        <w:t>1.02</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w:t>
      </w:r>
    </w:p>
    <w:p w14:paraId="73D85157">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4、重大危险源辨识过程</w:t>
      </w:r>
    </w:p>
    <w:p w14:paraId="0A882D0E">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highlight w:val="none"/>
              </w:rPr>
            </w:pPr>
            <w:r>
              <w:rPr>
                <w:rFonts w:ascii="Times New Roman" w:hAnsi="Times New Roman" w:cs="Times New Roman"/>
                <w:b/>
                <w:bCs/>
                <w:color w:val="auto"/>
                <w:highlight w:val="none"/>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临界量（</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204" w:type="dxa"/>
            <w:vAlign w:val="center"/>
          </w:tcPr>
          <w:p w14:paraId="1CD4196F">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存在量</w:t>
            </w:r>
            <w:r>
              <w:rPr>
                <w:rFonts w:ascii="Times New Roman" w:hAnsi="Times New Roman" w:cs="Times New Roman"/>
                <w:b/>
                <w:bCs/>
                <w:color w:val="auto"/>
                <w:highlight w:val="none"/>
              </w:rPr>
              <w:t>（</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024" w:type="dxa"/>
            <w:vAlign w:val="center"/>
          </w:tcPr>
          <w:p w14:paraId="7ACE02C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kern w:val="0"/>
                <w:highlight w:val="none"/>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rPr>
              <w:t>表1（66）</w:t>
            </w:r>
          </w:p>
        </w:tc>
        <w:tc>
          <w:tcPr>
            <w:tcW w:w="1074" w:type="dxa"/>
            <w:vAlign w:val="center"/>
          </w:tcPr>
          <w:p w14:paraId="510FAF31">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65E88EA8">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75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375</w:t>
            </w:r>
          </w:p>
        </w:tc>
        <w:tc>
          <w:tcPr>
            <w:tcW w:w="957" w:type="dxa"/>
            <w:vAlign w:val="center"/>
          </w:tcPr>
          <w:p w14:paraId="65367821">
            <w:pPr>
              <w:autoSpaceDE w:val="0"/>
              <w:autoSpaceDN w:val="0"/>
              <w:adjustRightInd w:val="0"/>
              <w:jc w:val="center"/>
              <w:rPr>
                <w:rFonts w:ascii="Times New Roman" w:hAnsi="Times New Roman" w:cs="Times New Roman"/>
                <w:color w:val="auto"/>
                <w:highlight w:val="none"/>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74" w:type="dxa"/>
            <w:vAlign w:val="center"/>
          </w:tcPr>
          <w:p w14:paraId="20B9C6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4678225D">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127.5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w:t>
            </w:r>
            <w:r>
              <w:rPr>
                <w:rFonts w:hint="eastAsia" w:ascii="Times New Roman" w:hAnsi="Times New Roman" w:cs="Times New Roman"/>
                <w:b/>
                <w:bCs/>
                <w:color w:val="auto"/>
                <w:highlight w:val="none"/>
                <w:lang w:val="en-US" w:eastAsia="zh-CN"/>
              </w:rPr>
              <w:t>255</w:t>
            </w:r>
          </w:p>
        </w:tc>
        <w:tc>
          <w:tcPr>
            <w:tcW w:w="957" w:type="dxa"/>
            <w:vAlign w:val="center"/>
          </w:tcPr>
          <w:p w14:paraId="699306E4">
            <w:pPr>
              <w:autoSpaceDE w:val="0"/>
              <w:autoSpaceDN w:val="0"/>
              <w:adjustRightInd w:val="0"/>
              <w:jc w:val="center"/>
              <w:rPr>
                <w:rFonts w:ascii="Times New Roman" w:hAnsi="Times New Roman" w:cs="Times New Roman"/>
                <w:color w:val="auto"/>
                <w:highlight w:val="none"/>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highlight w:val="none"/>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4005</w:t>
            </w:r>
            <w:r>
              <w:rPr>
                <w:rFonts w:hint="eastAsia" w:ascii="Times New Roman" w:hAnsi="Times New Roman" w:cs="Times New Roman"/>
                <w:b/>
                <w:bCs/>
                <w:color w:val="auto"/>
                <w:highlight w:val="none"/>
              </w:rPr>
              <w:t>＜1</w:t>
            </w:r>
          </w:p>
        </w:tc>
      </w:tr>
    </w:tbl>
    <w:p w14:paraId="78003D59">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2DD6E444">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highlight w:val="none"/>
              </w:rPr>
            </w:pPr>
            <w:r>
              <w:rPr>
                <w:rFonts w:ascii="Times New Roman" w:hAnsi="Times New Roman" w:cs="Times New Roman"/>
                <w:b/>
                <w:color w:val="auto"/>
                <w:highlight w:val="none"/>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rPr>
              <w:t>临界量（</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299" w:type="dxa"/>
            <w:vAlign w:val="center"/>
          </w:tcPr>
          <w:p w14:paraId="04A3C95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存在量</w:t>
            </w:r>
            <w:r>
              <w:rPr>
                <w:rFonts w:ascii="Times New Roman" w:hAnsi="Times New Roman" w:cs="Times New Roman"/>
                <w:b/>
                <w:color w:val="auto"/>
                <w:highlight w:val="none"/>
              </w:rPr>
              <w:t>（</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188" w:type="dxa"/>
            <w:vAlign w:val="center"/>
          </w:tcPr>
          <w:p w14:paraId="53DAF666">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kern w:val="0"/>
                <w:highlight w:val="none"/>
              </w:rPr>
              <w:t>qn/Qn</w:t>
            </w:r>
          </w:p>
        </w:tc>
        <w:tc>
          <w:tcPr>
            <w:tcW w:w="1073" w:type="dxa"/>
            <w:vAlign w:val="center"/>
          </w:tcPr>
          <w:p w14:paraId="2738E098">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表1（66）</w:t>
            </w:r>
          </w:p>
        </w:tc>
        <w:tc>
          <w:tcPr>
            <w:tcW w:w="1097" w:type="dxa"/>
            <w:vAlign w:val="center"/>
          </w:tcPr>
          <w:p w14:paraId="23B2D7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2624669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45</w:t>
            </w:r>
          </w:p>
        </w:tc>
        <w:tc>
          <w:tcPr>
            <w:tcW w:w="1073" w:type="dxa"/>
            <w:vAlign w:val="center"/>
          </w:tcPr>
          <w:p w14:paraId="2DDE2523">
            <w:pPr>
              <w:autoSpaceDE w:val="0"/>
              <w:autoSpaceDN w:val="0"/>
              <w:adjustRightInd w:val="0"/>
              <w:jc w:val="center"/>
              <w:rPr>
                <w:rFonts w:ascii="Times New Roman" w:hAnsi="Times New Roman" w:cs="Times New Roman"/>
                <w:color w:val="auto"/>
                <w:highlight w:val="none"/>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667" w:type="dxa"/>
            <w:vAlign w:val="center"/>
          </w:tcPr>
          <w:p w14:paraId="45BB47D0">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97" w:type="dxa"/>
            <w:vAlign w:val="center"/>
          </w:tcPr>
          <w:p w14:paraId="3237434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458D699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1.02</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0.000</w:t>
            </w:r>
            <w:r>
              <w:rPr>
                <w:rFonts w:hint="eastAsia" w:ascii="Times New Roman" w:hAnsi="Times New Roman" w:cs="Times New Roman"/>
                <w:b/>
                <w:bCs/>
                <w:color w:val="auto"/>
                <w:highlight w:val="none"/>
                <w:lang w:val="en-US" w:eastAsia="zh-CN"/>
              </w:rPr>
              <w:t>204</w:t>
            </w:r>
          </w:p>
        </w:tc>
        <w:tc>
          <w:tcPr>
            <w:tcW w:w="1073" w:type="dxa"/>
            <w:vAlign w:val="center"/>
          </w:tcPr>
          <w:p w14:paraId="15CFCB92">
            <w:pPr>
              <w:autoSpaceDE w:val="0"/>
              <w:autoSpaceDN w:val="0"/>
              <w:adjustRightInd w:val="0"/>
              <w:jc w:val="center"/>
              <w:rPr>
                <w:rFonts w:ascii="Times New Roman" w:hAnsi="Times New Roman" w:cs="Times New Roman"/>
                <w:color w:val="auto"/>
                <w:highlight w:val="none"/>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highlight w:val="none"/>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04704</w:t>
            </w:r>
            <w:r>
              <w:rPr>
                <w:rFonts w:ascii="Times New Roman" w:hAnsi="Times New Roman" w:cs="Times New Roman"/>
                <w:b/>
                <w:bCs/>
                <w:color w:val="auto"/>
                <w:highlight w:val="none"/>
              </w:rPr>
              <w:t>＜1</w:t>
            </w:r>
          </w:p>
        </w:tc>
      </w:tr>
    </w:tbl>
    <w:p w14:paraId="5F319625">
      <w:pPr>
        <w:spacing w:line="240" w:lineRule="atLeast"/>
        <w:ind w:firstLine="560" w:firstLineChars="200"/>
        <w:jc w:val="left"/>
        <w:rPr>
          <w:rFonts w:ascii="Times New Roman" w:hAnsi="Times New Roman" w:eastAsia="黑体" w:cs="黑体"/>
          <w:bCs/>
          <w:color w:val="auto"/>
          <w:highlight w:val="none"/>
        </w:rPr>
      </w:pPr>
      <w:r>
        <w:rPr>
          <w:rFonts w:hint="eastAsia" w:ascii="Times New Roman" w:hAnsi="Times New Roman" w:cs="Times New Roman"/>
          <w:color w:val="auto"/>
          <w:sz w:val="28"/>
          <w:szCs w:val="28"/>
          <w:highlight w:val="none"/>
        </w:rPr>
        <w:t>从上述重大危险源辨识过程得知</w:t>
      </w:r>
      <w:r>
        <w:rPr>
          <w:rFonts w:hint="eastAsia" w:ascii="Times New Roman" w:hAnsi="Times New Roman" w:cs="Times New Roman"/>
          <w:bCs/>
          <w:color w:val="auto"/>
          <w:kern w:val="24"/>
          <w:sz w:val="28"/>
          <w:szCs w:val="28"/>
          <w:highlight w:val="none"/>
        </w:rPr>
        <w:t>：</w:t>
      </w:r>
      <w:r>
        <w:rPr>
          <w:rFonts w:hint="eastAsia" w:ascii="Times New Roman" w:hAnsi="Times New Roman" w:cs="Times New Roman"/>
          <w:b/>
          <w:color w:val="auto"/>
          <w:kern w:val="24"/>
          <w:sz w:val="28"/>
          <w:szCs w:val="28"/>
          <w:highlight w:val="none"/>
        </w:rPr>
        <w:t>该加油站</w:t>
      </w:r>
      <w:r>
        <w:rPr>
          <w:rFonts w:hint="eastAsia" w:ascii="Times New Roman" w:hAnsi="Times New Roman" w:cs="宋体"/>
          <w:b/>
          <w:color w:val="auto"/>
          <w:sz w:val="28"/>
          <w:szCs w:val="28"/>
          <w:highlight w:val="none"/>
        </w:rPr>
        <w:t>生产单元和储存单元</w:t>
      </w:r>
      <w:r>
        <w:rPr>
          <w:rFonts w:hint="eastAsia" w:ascii="Times New Roman" w:hAnsi="Times New Roman" w:cs="宋体"/>
          <w:b/>
          <w:color w:val="auto"/>
          <w:sz w:val="28"/>
          <w:szCs w:val="28"/>
          <w:highlight w:val="none"/>
          <w:lang w:val="zh-CN"/>
        </w:rPr>
        <w:t>均未</w:t>
      </w:r>
      <w:r>
        <w:rPr>
          <w:rFonts w:hint="eastAsia" w:ascii="Times New Roman" w:hAnsi="Times New Roman" w:cs="宋体"/>
          <w:b/>
          <w:bCs/>
          <w:color w:val="auto"/>
          <w:sz w:val="28"/>
          <w:szCs w:val="28"/>
          <w:highlight w:val="none"/>
          <w:lang w:val="zh-CN"/>
        </w:rPr>
        <w:t>构成重大危险源</w:t>
      </w:r>
      <w:r>
        <w:rPr>
          <w:rFonts w:hint="eastAsia" w:ascii="Times New Roman" w:hAnsi="Times New Roman" w:cs="宋体"/>
          <w:b/>
          <w:color w:val="auto"/>
          <w:sz w:val="28"/>
          <w:szCs w:val="28"/>
          <w:highlight w:val="none"/>
          <w:lang w:val="zh-CN"/>
        </w:rPr>
        <w:t>。</w:t>
      </w:r>
    </w:p>
    <w:p w14:paraId="2D01C5E7">
      <w:pPr>
        <w:keepNext/>
        <w:keepLines/>
        <w:spacing w:line="600" w:lineRule="exact"/>
        <w:outlineLvl w:val="1"/>
        <w:rPr>
          <w:rFonts w:ascii="Times New Roman" w:hAnsi="Times New Roman" w:cs="Times New Roman"/>
          <w:b/>
          <w:bCs/>
          <w:color w:val="auto"/>
          <w:sz w:val="28"/>
          <w:szCs w:val="28"/>
          <w:highlight w:val="none"/>
        </w:rPr>
      </w:pPr>
      <w:bookmarkStart w:id="63" w:name="_Toc31033"/>
      <w:r>
        <w:rPr>
          <w:rFonts w:ascii="Times New Roman" w:hAnsi="Times New Roman" w:cs="Times New Roman"/>
          <w:b/>
          <w:bCs/>
          <w:color w:val="auto"/>
          <w:sz w:val="28"/>
          <w:szCs w:val="28"/>
          <w:highlight w:val="none"/>
        </w:rPr>
        <w:t>3.4</w:t>
      </w:r>
      <w:r>
        <w:rPr>
          <w:rFonts w:hint="eastAsia" w:ascii="Times New Roman" w:hAnsi="Times New Roman" w:cs="宋体"/>
          <w:b/>
          <w:bCs/>
          <w:color w:val="auto"/>
          <w:sz w:val="28"/>
          <w:szCs w:val="28"/>
          <w:highlight w:val="none"/>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highlight w:val="none"/>
          <w:lang w:eastAsia="zh-CN"/>
        </w:rPr>
        <w:t>种类</w:t>
      </w:r>
      <w:r>
        <w:rPr>
          <w:rFonts w:hint="eastAsia" w:ascii="Times New Roman" w:hAnsi="Times New Roman" w:cs="宋体"/>
          <w:color w:val="auto"/>
          <w:sz w:val="28"/>
          <w:szCs w:val="28"/>
          <w:highlight w:val="none"/>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按导致事故的直接原因进行分析，根据《生产过程危险和有害因素分类与代码》（</w:t>
      </w:r>
      <w:r>
        <w:rPr>
          <w:rFonts w:hint="eastAsia" w:ascii="Times New Roman" w:hAnsi="Times New Roman" w:cs="Times New Roman"/>
          <w:color w:val="auto"/>
          <w:spacing w:val="-4"/>
          <w:sz w:val="28"/>
          <w:szCs w:val="28"/>
          <w:highlight w:val="none"/>
        </w:rPr>
        <w:t>GB/T13861-2022</w:t>
      </w:r>
      <w:r>
        <w:rPr>
          <w:rFonts w:hint="eastAsia" w:ascii="Times New Roman" w:hAnsi="Times New Roman" w:cs="宋体"/>
          <w:color w:val="auto"/>
          <w:spacing w:val="-4"/>
          <w:sz w:val="28"/>
          <w:szCs w:val="28"/>
          <w:highlight w:val="none"/>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人的因素</w:t>
      </w:r>
    </w:p>
    <w:p w14:paraId="39E88E4B">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、心理、生理性危险、有害因素</w:t>
      </w:r>
    </w:p>
    <w:p w14:paraId="25F523E8">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、行为性危险、有害因素</w:t>
      </w:r>
    </w:p>
    <w:p w14:paraId="3280462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highlight w:val="none"/>
          <w:lang w:eastAsia="zh-CN"/>
        </w:rPr>
        <w:t>地</w:t>
      </w:r>
      <w:r>
        <w:rPr>
          <w:rFonts w:hint="eastAsia" w:ascii="Times New Roman" w:hAnsi="Times New Roman" w:cs="宋体"/>
          <w:color w:val="auto"/>
          <w:sz w:val="28"/>
          <w:szCs w:val="28"/>
          <w:highlight w:val="none"/>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二、物的因素</w:t>
      </w:r>
    </w:p>
    <w:p w14:paraId="742643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、物理性危险和有害因素</w:t>
      </w:r>
    </w:p>
    <w:p w14:paraId="1B891C9D">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）设备、设施缺陷</w:t>
      </w:r>
    </w:p>
    <w:p w14:paraId="14B64E19">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）电气危害</w:t>
      </w:r>
    </w:p>
    <w:p w14:paraId="1E5FE68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）运动物危害</w:t>
      </w:r>
    </w:p>
    <w:p w14:paraId="7ED6B24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）明火</w:t>
      </w:r>
    </w:p>
    <w:p w14:paraId="6076DA7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）标志缺陷</w:t>
      </w:r>
    </w:p>
    <w:p w14:paraId="70A93CD3">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（6）受限空间</w:t>
      </w:r>
    </w:p>
    <w:p w14:paraId="71FCC992">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highlight w:val="none"/>
          <w:lang w:eastAsia="zh-CN"/>
        </w:rPr>
        <w:t>以至于</w:t>
      </w:r>
      <w:r>
        <w:rPr>
          <w:rFonts w:hint="eastAsia" w:ascii="Times New Roman" w:hAnsi="Times New Roman" w:cs="宋体"/>
          <w:color w:val="auto"/>
          <w:sz w:val="28"/>
          <w:szCs w:val="28"/>
          <w:highlight w:val="none"/>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宋体"/>
          <w:color w:val="auto"/>
          <w:spacing w:val="-6"/>
          <w:sz w:val="28"/>
          <w:szCs w:val="28"/>
          <w:highlight w:val="none"/>
        </w:rPr>
        <w:t>汽油危险性类别：生殖细胞致突变性，类别</w:t>
      </w:r>
      <w:r>
        <w:rPr>
          <w:rFonts w:ascii="Times New Roman" w:hAnsi="Times New Roman" w:cs="Times New Roman"/>
          <w:color w:val="auto"/>
          <w:spacing w:val="-6"/>
          <w:sz w:val="28"/>
          <w:szCs w:val="28"/>
          <w:highlight w:val="none"/>
        </w:rPr>
        <w:t>1B</w:t>
      </w:r>
      <w:r>
        <w:rPr>
          <w:rFonts w:hint="eastAsia" w:ascii="Times New Roman" w:hAnsi="Times New Roman" w:cs="宋体"/>
          <w:color w:val="auto"/>
          <w:spacing w:val="-6"/>
          <w:sz w:val="28"/>
          <w:szCs w:val="28"/>
          <w:highlight w:val="none"/>
        </w:rPr>
        <w:t>；致癌性，类别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；吸入危害，类别</w:t>
      </w:r>
      <w:r>
        <w:rPr>
          <w:rFonts w:ascii="Times New Roman" w:hAnsi="Times New Roman" w:cs="Times New Roman"/>
          <w:color w:val="auto"/>
          <w:spacing w:val="-6"/>
          <w:sz w:val="28"/>
          <w:szCs w:val="28"/>
          <w:highlight w:val="none"/>
        </w:rPr>
        <w:t>1</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急性危害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长期危害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w:t>
      </w:r>
    </w:p>
    <w:p w14:paraId="6103B80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）易燃易爆性物质</w:t>
      </w:r>
    </w:p>
    <w:p w14:paraId="60E8C4D1">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本项目中汽油和柴油均是化学品液体。汽油为易燃液体（类别</w:t>
      </w:r>
      <w:r>
        <w:rPr>
          <w:rFonts w:ascii="Times New Roman" w:hAnsi="Times New Roman" w:cs="Times New Roman"/>
          <w:color w:val="auto"/>
          <w:sz w:val="28"/>
          <w:szCs w:val="28"/>
          <w:highlight w:val="none"/>
        </w:rPr>
        <w:t xml:space="preserve">2* </w:t>
      </w:r>
      <w:r>
        <w:rPr>
          <w:rFonts w:hint="eastAsia" w:ascii="Times New Roman" w:hAnsi="Times New Roman" w:cs="宋体"/>
          <w:color w:val="auto"/>
          <w:sz w:val="28"/>
          <w:szCs w:val="28"/>
          <w:highlight w:val="none"/>
        </w:rPr>
        <w:t>），其蒸汽与空气形成爆炸性气体，遇明火、高热易燃烧爆炸；柴油为易燃液体（类别</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）有毒物质</w:t>
      </w:r>
    </w:p>
    <w:p w14:paraId="794E30E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汽油及柴油经口、鼻进入人体的呼吸系统，能使人体器官损害而产生急性或慢性中毒。当空气中油气含量为</w:t>
      </w:r>
      <w:r>
        <w:rPr>
          <w:rFonts w:ascii="Times New Roman" w:hAnsi="Times New Roman" w:cs="Times New Roman"/>
          <w:color w:val="auto"/>
          <w:sz w:val="28"/>
          <w:szCs w:val="28"/>
          <w:highlight w:val="none"/>
        </w:rPr>
        <w:t>0.28%</w:t>
      </w:r>
      <w:r>
        <w:rPr>
          <w:rFonts w:hint="eastAsia" w:ascii="Times New Roman" w:hAnsi="Times New Roman" w:cs="宋体"/>
          <w:color w:val="auto"/>
          <w:sz w:val="28"/>
          <w:szCs w:val="28"/>
          <w:highlight w:val="none"/>
        </w:rPr>
        <w:t>，人在该环境中经过</w:t>
      </w:r>
      <w:r>
        <w:rPr>
          <w:rFonts w:ascii="Times New Roman" w:hAnsi="Times New Roman" w:cs="Times New Roman"/>
          <w:color w:val="auto"/>
          <w:sz w:val="28"/>
          <w:szCs w:val="28"/>
          <w:highlight w:val="none"/>
        </w:rPr>
        <w:t>12</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14min</w:t>
      </w:r>
      <w:r>
        <w:rPr>
          <w:rFonts w:hint="eastAsia" w:ascii="Times New Roman" w:hAnsi="Times New Roman" w:cs="宋体"/>
          <w:color w:val="auto"/>
          <w:sz w:val="28"/>
          <w:szCs w:val="28"/>
          <w:highlight w:val="none"/>
        </w:rPr>
        <w:t>便会有头晕感；如含量达到</w:t>
      </w:r>
      <w:r>
        <w:rPr>
          <w:rFonts w:ascii="Times New Roman" w:hAnsi="Times New Roman" w:cs="Times New Roman"/>
          <w:color w:val="auto"/>
          <w:sz w:val="28"/>
          <w:szCs w:val="28"/>
          <w:highlight w:val="none"/>
        </w:rPr>
        <w:t>1.13%</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2.22%</w:t>
      </w:r>
      <w:r>
        <w:rPr>
          <w:rFonts w:hint="eastAsia" w:ascii="Times New Roman" w:hAnsi="Times New Roman" w:cs="宋体"/>
          <w:color w:val="auto"/>
          <w:sz w:val="28"/>
          <w:szCs w:val="28"/>
          <w:highlight w:val="none"/>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三、环境因素</w:t>
      </w:r>
    </w:p>
    <w:p w14:paraId="2870F75C">
      <w:pPr>
        <w:spacing w:line="600" w:lineRule="exact"/>
        <w:ind w:firstLine="560" w:firstLineChars="200"/>
        <w:rPr>
          <w:rFonts w:ascii="Times New Roman" w:hAnsi="Times New Roman" w:cs="Times New Roman"/>
          <w:color w:val="auto"/>
          <w:highlight w:val="none"/>
        </w:rPr>
      </w:pPr>
      <w:r>
        <w:rPr>
          <w:rFonts w:hint="eastAsia" w:ascii="Times New Roman" w:hAnsi="Times New Roman" w:cs="宋体"/>
          <w:color w:val="auto"/>
          <w:sz w:val="28"/>
          <w:szCs w:val="28"/>
          <w:highlight w:val="none"/>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四、管理因素</w:t>
      </w:r>
    </w:p>
    <w:p w14:paraId="0C0DEB9E">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highlight w:val="none"/>
        </w:rPr>
      </w:pPr>
      <w:bookmarkStart w:id="64" w:name="_Toc30124"/>
      <w:bookmarkStart w:id="65" w:name="_Toc17404"/>
      <w:bookmarkStart w:id="66" w:name="_Toc20706"/>
      <w:bookmarkStart w:id="67" w:name="_Toc16859"/>
      <w:r>
        <w:rPr>
          <w:rFonts w:ascii="Times New Roman" w:hAnsi="Times New Roman" w:cs="Times New Roman"/>
          <w:b/>
          <w:bCs/>
          <w:color w:val="auto"/>
          <w:sz w:val="28"/>
          <w:szCs w:val="28"/>
          <w:highlight w:val="none"/>
        </w:rPr>
        <w:t>3.5</w:t>
      </w:r>
      <w:r>
        <w:rPr>
          <w:rFonts w:hint="eastAsia" w:ascii="Times New Roman" w:hAnsi="Times New Roman" w:cs="宋体"/>
          <w:b/>
          <w:bCs/>
          <w:color w:val="auto"/>
          <w:sz w:val="28"/>
          <w:szCs w:val="28"/>
          <w:highlight w:val="none"/>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highlight w:val="none"/>
        </w:rPr>
      </w:pPr>
      <w:r>
        <w:rPr>
          <w:rFonts w:hint="eastAsia" w:ascii="Times New Roman" w:hAnsi="Times New Roman" w:cs="宋体"/>
          <w:color w:val="auto"/>
          <w:spacing w:val="-8"/>
          <w:sz w:val="28"/>
          <w:szCs w:val="28"/>
          <w:highlight w:val="none"/>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highlight w:val="none"/>
        </w:rPr>
        <w:t>GB6441-</w:t>
      </w:r>
      <w:r>
        <w:rPr>
          <w:rFonts w:hint="eastAsia" w:ascii="Times New Roman" w:hAnsi="Times New Roman" w:cs="Times New Roman"/>
          <w:color w:val="auto"/>
          <w:spacing w:val="-8"/>
          <w:sz w:val="28"/>
          <w:szCs w:val="28"/>
          <w:highlight w:val="none"/>
          <w:lang w:val="en-US" w:eastAsia="zh-CN"/>
        </w:rPr>
        <w:t>2025</w:t>
      </w:r>
      <w:r>
        <w:rPr>
          <w:rFonts w:hint="eastAsia" w:ascii="Times New Roman" w:hAnsi="Times New Roman" w:cs="宋体"/>
          <w:color w:val="auto"/>
          <w:spacing w:val="-8"/>
          <w:sz w:val="28"/>
          <w:szCs w:val="28"/>
          <w:highlight w:val="none"/>
        </w:rPr>
        <w:t>的规定，对本项目存在危险因素归纳汇总。各单元危险性具体分析见危险性分析评价。</w:t>
      </w:r>
    </w:p>
    <w:p w14:paraId="575FAEB9">
      <w:pPr>
        <w:widowControl/>
        <w:spacing w:line="600" w:lineRule="exact"/>
        <w:outlineLvl w:val="2"/>
        <w:rPr>
          <w:rFonts w:ascii="Times New Roman" w:hAnsi="Times New Roman" w:cs="Times New Roman"/>
          <w:b/>
          <w:bCs/>
          <w:color w:val="auto"/>
          <w:kern w:val="0"/>
          <w:sz w:val="28"/>
          <w:szCs w:val="28"/>
          <w:highlight w:val="none"/>
        </w:rPr>
      </w:pPr>
      <w:bookmarkStart w:id="68" w:name="_Toc9570"/>
      <w:bookmarkStart w:id="69" w:name="_Toc16083"/>
      <w:bookmarkStart w:id="70" w:name="_Toc12873"/>
      <w:r>
        <w:rPr>
          <w:rFonts w:ascii="Times New Roman" w:hAnsi="Times New Roman" w:cs="Times New Roman"/>
          <w:b/>
          <w:bCs/>
          <w:color w:val="auto"/>
          <w:kern w:val="0"/>
          <w:sz w:val="28"/>
          <w:szCs w:val="28"/>
          <w:highlight w:val="none"/>
        </w:rPr>
        <w:t>3.5.1</w:t>
      </w:r>
      <w:bookmarkEnd w:id="68"/>
      <w:bookmarkEnd w:id="69"/>
      <w:bookmarkEnd w:id="70"/>
      <w:r>
        <w:rPr>
          <w:rFonts w:hint="eastAsia" w:ascii="Times New Roman" w:hAnsi="Times New Roman" w:cs="宋体"/>
          <w:b/>
          <w:bCs/>
          <w:color w:val="auto"/>
          <w:kern w:val="0"/>
          <w:sz w:val="28"/>
          <w:szCs w:val="28"/>
          <w:highlight w:val="none"/>
        </w:rPr>
        <w:t>火灾、可燃液体蒸汽爆炸、容器爆</w:t>
      </w:r>
    </w:p>
    <w:p w14:paraId="1FE77B9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highlight w:val="none"/>
        </w:rPr>
      </w:pPr>
      <w:r>
        <w:rPr>
          <w:rFonts w:hint="eastAsia" w:ascii="Times New Roman" w:hAnsi="Times New Roman" w:cs="Times New Roman"/>
          <w:b/>
          <w:bCs/>
          <w:color w:val="auto"/>
          <w:kern w:val="0"/>
          <w:sz w:val="28"/>
          <w:szCs w:val="28"/>
          <w:highlight w:val="none"/>
          <w:lang w:val="en-US" w:eastAsia="zh-CN"/>
        </w:rPr>
        <w:t>3.5.</w:t>
      </w:r>
      <w:r>
        <w:rPr>
          <w:rFonts w:hint="eastAsia" w:ascii="Times New Roman" w:hAnsi="Times New Roman" w:cs="Times New Roman"/>
          <w:b/>
          <w:bCs/>
          <w:color w:val="auto"/>
          <w:kern w:val="0"/>
          <w:sz w:val="28"/>
          <w:szCs w:val="28"/>
          <w:highlight w:val="none"/>
        </w:rPr>
        <w:t>2中毒窒息</w:t>
      </w:r>
    </w:p>
    <w:p w14:paraId="4D0D275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rPr>
        <w:t>(10)站房发生火灾，可燃物质燃烧的烟气可能会导致工作人员窒息死</w:t>
      </w:r>
      <w:r>
        <w:rPr>
          <w:rFonts w:hint="eastAsia" w:ascii="Times New Roman" w:hAnsi="Times New Roman" w:cs="宋体"/>
          <w:color w:val="auto"/>
          <w:sz w:val="28"/>
          <w:szCs w:val="28"/>
          <w:highlight w:val="none"/>
          <w:lang w:val="en-US" w:eastAsia="zh-CN"/>
        </w:rPr>
        <w:t>。</w:t>
      </w:r>
    </w:p>
    <w:p w14:paraId="473D623C">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3.5.3泄漏</w:t>
      </w:r>
    </w:p>
    <w:p w14:paraId="6F2238DA">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(2)储罐泄漏</w:t>
      </w:r>
    </w:p>
    <w:p w14:paraId="3B1DC1A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6油罐池</w:t>
      </w:r>
    </w:p>
    <w:p w14:paraId="54D5CF2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(7)油罐车</w:t>
      </w:r>
    </w:p>
    <w:p w14:paraId="5A857DC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(8)卸油软管</w:t>
      </w:r>
    </w:p>
    <w:p w14:paraId="07022BB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3.5.4触电</w:t>
      </w:r>
    </w:p>
    <w:p w14:paraId="0EAC8B1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3.5.7噪声</w:t>
      </w:r>
    </w:p>
    <w:p w14:paraId="7696F56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3.5.8物体打击</w:t>
      </w:r>
    </w:p>
    <w:p w14:paraId="4A4278B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3.5.9跌落</w:t>
      </w:r>
    </w:p>
    <w:p w14:paraId="1F7013F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r>
        <w:rPr>
          <w:rFonts w:hint="eastAsia" w:ascii="Times New Roman" w:hAnsi="Times New Roman" w:eastAsia="宋体" w:cs="Times New Roman"/>
          <w:b/>
          <w:bCs/>
          <w:color w:val="auto"/>
          <w:kern w:val="0"/>
          <w:sz w:val="28"/>
          <w:szCs w:val="28"/>
          <w:highlight w:val="none"/>
          <w:lang w:val="en-US" w:eastAsia="zh-CN"/>
        </w:rPr>
        <w:t>3.5.11 坍塌</w:t>
      </w:r>
    </w:p>
    <w:p w14:paraId="5DD1F7F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highlight w:val="none"/>
        </w:rPr>
      </w:pPr>
      <w:bookmarkStart w:id="71" w:name="_Toc258"/>
      <w:bookmarkStart w:id="72" w:name="_Toc3570"/>
      <w:bookmarkStart w:id="73" w:name="_Toc24976"/>
      <w:bookmarkStart w:id="74" w:name="_Toc26431"/>
      <w:r>
        <w:rPr>
          <w:rFonts w:ascii="Times New Roman" w:hAnsi="Times New Roman" w:cs="Times New Roman"/>
          <w:b/>
          <w:bCs/>
          <w:color w:val="auto"/>
          <w:sz w:val="28"/>
          <w:szCs w:val="28"/>
          <w:highlight w:val="none"/>
        </w:rPr>
        <w:t>3.6</w:t>
      </w:r>
      <w:r>
        <w:rPr>
          <w:rFonts w:hint="eastAsia" w:ascii="Times New Roman" w:hAnsi="Times New Roman" w:cs="宋体"/>
          <w:b/>
          <w:bCs/>
          <w:color w:val="auto"/>
          <w:sz w:val="28"/>
          <w:szCs w:val="28"/>
          <w:highlight w:val="none"/>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highlight w:val="none"/>
        </w:rPr>
      </w:pPr>
      <w:bookmarkStart w:id="75" w:name="_Toc10194"/>
      <w:bookmarkStart w:id="76" w:name="_Toc31394"/>
      <w:r>
        <w:rPr>
          <w:rFonts w:ascii="Times New Roman" w:hAnsi="Times New Roman" w:cs="Times New Roman"/>
          <w:color w:val="auto"/>
          <w:sz w:val="28"/>
          <w:szCs w:val="28"/>
          <w:highlight w:val="none"/>
        </w:rPr>
        <w:t>1、地震</w:t>
      </w:r>
    </w:p>
    <w:p w14:paraId="5BC74571">
      <w:pPr>
        <w:tabs>
          <w:tab w:val="left" w:pos="1050"/>
        </w:tabs>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lang w:val="zh-CN"/>
        </w:rPr>
        <w:t>地震可能造成建（构）筑物、设备设施、电力设施等的破坏，严重时</w:t>
      </w:r>
      <w:r>
        <w:rPr>
          <w:rFonts w:hint="eastAsia" w:ascii="Times New Roman" w:hAnsi="Times New Roman" w:cs="Times New Roman"/>
          <w:color w:val="auto"/>
          <w:sz w:val="28"/>
          <w:szCs w:val="28"/>
          <w:highlight w:val="none"/>
          <w:lang w:val="zh-CN"/>
        </w:rPr>
        <w:t>可能</w:t>
      </w:r>
      <w:r>
        <w:rPr>
          <w:rFonts w:ascii="Times New Roman" w:hAnsi="Times New Roman" w:cs="Times New Roman"/>
          <w:color w:val="auto"/>
          <w:sz w:val="28"/>
          <w:szCs w:val="28"/>
          <w:highlight w:val="none"/>
          <w:lang w:val="zh-CN"/>
        </w:rPr>
        <w:t>导致次生灾害</w:t>
      </w: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rPr>
        <w:t>位于雷击多发区，</w:t>
      </w:r>
      <w:r>
        <w:rPr>
          <w:rFonts w:ascii="Times New Roman" w:hAnsi="Times New Roman" w:cs="Times New Roman"/>
          <w:color w:val="auto"/>
          <w:sz w:val="28"/>
          <w:szCs w:val="28"/>
          <w:highlight w:val="none"/>
          <w:lang w:val="zh-CN"/>
        </w:rPr>
        <w:t>建（构）筑物容易遭受雷击，造成建（构）筑物、设备等</w:t>
      </w:r>
      <w:r>
        <w:rPr>
          <w:rFonts w:hint="eastAsia" w:ascii="Times New Roman" w:hAnsi="Times New Roman" w:cs="Times New Roman"/>
          <w:color w:val="auto"/>
          <w:sz w:val="28"/>
          <w:szCs w:val="28"/>
          <w:highlight w:val="none"/>
          <w:lang w:val="zh-CN"/>
        </w:rPr>
        <w:t>的</w:t>
      </w:r>
      <w:r>
        <w:rPr>
          <w:rFonts w:ascii="Times New Roman" w:hAnsi="Times New Roman" w:cs="Times New Roman"/>
          <w:color w:val="auto"/>
          <w:sz w:val="28"/>
          <w:szCs w:val="28"/>
          <w:highlight w:val="none"/>
          <w:lang w:val="zh-CN"/>
        </w:rPr>
        <w:t>损坏。</w:t>
      </w:r>
    </w:p>
    <w:p w14:paraId="2180898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4、高</w:t>
      </w:r>
      <w:r>
        <w:rPr>
          <w:rFonts w:hint="eastAsia" w:ascii="Times New Roman" w:hAnsi="Times New Roman" w:cs="Times New Roman"/>
          <w:color w:val="auto"/>
          <w:sz w:val="28"/>
          <w:szCs w:val="28"/>
          <w:highlight w:val="none"/>
        </w:rPr>
        <w:t>气</w:t>
      </w:r>
      <w:r>
        <w:rPr>
          <w:rFonts w:ascii="Times New Roman" w:hAnsi="Times New Roman" w:cs="Times New Roman"/>
          <w:color w:val="auto"/>
          <w:sz w:val="28"/>
          <w:szCs w:val="28"/>
          <w:highlight w:val="none"/>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所在区域极端最高气温</w:t>
      </w:r>
      <w:r>
        <w:rPr>
          <w:rFonts w:hint="eastAsia" w:ascii="Times New Roman" w:hAnsi="Times New Roman" w:cs="Times New Roman"/>
          <w:color w:val="auto"/>
          <w:sz w:val="28"/>
          <w:szCs w:val="28"/>
          <w:highlight w:val="none"/>
        </w:rPr>
        <w:t>高于40℃</w:t>
      </w:r>
      <w:r>
        <w:rPr>
          <w:rFonts w:hint="eastAsia" w:ascii="Times New Roman" w:hAnsi="Times New Roman" w:cs="Times New Roman"/>
          <w:color w:val="auto"/>
          <w:sz w:val="28"/>
          <w:szCs w:val="28"/>
          <w:highlight w:val="none"/>
          <w:lang w:val="zh-CN"/>
        </w:rPr>
        <w:t>，</w:t>
      </w:r>
      <w:r>
        <w:rPr>
          <w:rFonts w:ascii="Times New Roman" w:hAnsi="Times New Roman" w:cs="Times New Roman"/>
          <w:color w:val="auto"/>
          <w:sz w:val="28"/>
          <w:szCs w:val="28"/>
          <w:highlight w:val="none"/>
          <w:lang w:val="zh-CN"/>
        </w:rPr>
        <w:t>高</w:t>
      </w:r>
      <w:r>
        <w:rPr>
          <w:rFonts w:hint="eastAsia" w:ascii="Times New Roman" w:hAnsi="Times New Roman" w:cs="Times New Roman"/>
          <w:color w:val="auto"/>
          <w:sz w:val="28"/>
          <w:szCs w:val="28"/>
          <w:highlight w:val="none"/>
          <w:lang w:val="zh-CN"/>
        </w:rPr>
        <w:t>气</w:t>
      </w:r>
      <w:r>
        <w:rPr>
          <w:rFonts w:ascii="Times New Roman" w:hAnsi="Times New Roman" w:cs="Times New Roman"/>
          <w:color w:val="auto"/>
          <w:sz w:val="28"/>
          <w:szCs w:val="28"/>
          <w:highlight w:val="none"/>
          <w:lang w:val="zh-CN"/>
        </w:rPr>
        <w:t>温可能导致人员中暑。</w:t>
      </w:r>
    </w:p>
    <w:p w14:paraId="427B81BC">
      <w:pPr>
        <w:spacing w:line="600" w:lineRule="exact"/>
        <w:ind w:firstLine="560" w:firstLineChars="200"/>
        <w:rPr>
          <w:rFonts w:ascii="Times New Roman" w:hAnsi="Times New Roman" w:cs="Times New Roman"/>
          <w:color w:val="auto"/>
          <w:sz w:val="28"/>
          <w:szCs w:val="24"/>
          <w:highlight w:val="none"/>
        </w:rPr>
      </w:pPr>
      <w:r>
        <w:rPr>
          <w:rFonts w:ascii="Times New Roman" w:hAnsi="Times New Roman" w:cs="Times New Roman"/>
          <w:color w:val="auto"/>
          <w:sz w:val="28"/>
          <w:szCs w:val="28"/>
          <w:highlight w:val="none"/>
        </w:rPr>
        <w:t>5、低气温</w:t>
      </w:r>
    </w:p>
    <w:p w14:paraId="1C072918">
      <w:pPr>
        <w:spacing w:line="600" w:lineRule="exact"/>
        <w:ind w:firstLine="560" w:firstLineChars="200"/>
        <w:rPr>
          <w:rFonts w:hint="eastAsia" w:ascii="Times New Roman" w:hAnsi="Times New Roman" w:cs="宋体"/>
          <w:color w:val="auto"/>
          <w:spacing w:val="-11"/>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所在区域极端最低气温</w:t>
      </w:r>
      <w:r>
        <w:rPr>
          <w:rFonts w:hint="eastAsia" w:ascii="Times New Roman" w:hAnsi="Times New Roman" w:cs="Times New Roman"/>
          <w:color w:val="auto"/>
          <w:sz w:val="28"/>
          <w:szCs w:val="28"/>
          <w:highlight w:val="none"/>
          <w:lang w:val="zh-CN"/>
        </w:rPr>
        <w:t>低于</w:t>
      </w:r>
      <w:r>
        <w:rPr>
          <w:rFonts w:hint="eastAsia" w:ascii="Times New Roman" w:hAnsi="Times New Roman" w:cs="Times New Roman"/>
          <w:color w:val="auto"/>
          <w:sz w:val="28"/>
          <w:szCs w:val="28"/>
          <w:highlight w:val="none"/>
        </w:rPr>
        <w:t>0</w:t>
      </w:r>
      <w:r>
        <w:rPr>
          <w:rFonts w:ascii="Times New Roman" w:hAnsi="Times New Roman" w:cs="Times New Roman"/>
          <w:color w:val="auto"/>
          <w:sz w:val="28"/>
          <w:szCs w:val="28"/>
          <w:highlight w:val="none"/>
          <w:lang w:val="zh-CN"/>
        </w:rPr>
        <w:t>℃。低气温和潮湿空气可能造成</w:t>
      </w:r>
      <w:r>
        <w:rPr>
          <w:rFonts w:hint="eastAsia" w:ascii="Times New Roman" w:hAnsi="Times New Roman" w:cs="Times New Roman"/>
          <w:color w:val="auto"/>
          <w:sz w:val="28"/>
          <w:szCs w:val="28"/>
          <w:highlight w:val="none"/>
        </w:rPr>
        <w:t>罩棚</w:t>
      </w:r>
      <w:r>
        <w:rPr>
          <w:rFonts w:hint="eastAsia" w:ascii="Times New Roman" w:hAnsi="Times New Roman" w:cs="Times New Roman"/>
          <w:color w:val="auto"/>
          <w:spacing w:val="-11"/>
          <w:sz w:val="28"/>
          <w:szCs w:val="28"/>
          <w:highlight w:val="none"/>
        </w:rPr>
        <w:t>、</w:t>
      </w:r>
      <w:r>
        <w:rPr>
          <w:rFonts w:ascii="Times New Roman" w:hAnsi="Times New Roman" w:cs="Times New Roman"/>
          <w:color w:val="auto"/>
          <w:spacing w:val="-11"/>
          <w:sz w:val="28"/>
          <w:szCs w:val="28"/>
          <w:highlight w:val="none"/>
          <w:lang w:val="zh-CN"/>
        </w:rPr>
        <w:t>屋顶结冰压塌建筑，造成事故；同时，地面结冰，容易造成人员滑倒跌伤等</w:t>
      </w:r>
      <w:r>
        <w:rPr>
          <w:rFonts w:hint="eastAsia" w:ascii="Times New Roman" w:hAnsi="Times New Roman" w:cs="宋体"/>
          <w:color w:val="auto"/>
          <w:spacing w:val="-11"/>
          <w:sz w:val="28"/>
          <w:szCs w:val="28"/>
          <w:highlight w:val="none"/>
          <w:lang w:val="zh-CN"/>
        </w:rPr>
        <w:t>。、</w:t>
      </w:r>
    </w:p>
    <w:p w14:paraId="32FAD4AC">
      <w:pPr>
        <w:spacing w:line="600" w:lineRule="exact"/>
        <w:ind w:firstLine="560" w:firstLineChars="200"/>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6、大风</w:t>
      </w:r>
    </w:p>
    <w:p w14:paraId="5FB89A4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highlight w:val="none"/>
        </w:rPr>
      </w:pPr>
      <w:bookmarkStart w:id="77" w:name="_Toc4851"/>
      <w:bookmarkStart w:id="78" w:name="_Toc5009"/>
      <w:r>
        <w:rPr>
          <w:rFonts w:ascii="Times New Roman" w:hAnsi="Times New Roman" w:cs="Times New Roman"/>
          <w:b/>
          <w:bCs/>
          <w:color w:val="auto"/>
          <w:sz w:val="28"/>
          <w:szCs w:val="28"/>
          <w:highlight w:val="none"/>
        </w:rPr>
        <w:t>3.7</w:t>
      </w:r>
      <w:r>
        <w:rPr>
          <w:rFonts w:hint="eastAsia" w:ascii="Times New Roman" w:hAnsi="Times New Roman" w:cs="宋体"/>
          <w:b/>
          <w:bCs/>
          <w:color w:val="auto"/>
          <w:sz w:val="28"/>
          <w:szCs w:val="28"/>
          <w:highlight w:val="none"/>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highlight w:val="none"/>
        </w:rPr>
      </w:pPr>
      <w:bookmarkStart w:id="79" w:name="_Toc28615"/>
      <w:bookmarkStart w:id="80" w:name="_Toc14090"/>
      <w:bookmarkStart w:id="81" w:name="_Toc14200"/>
      <w:r>
        <w:rPr>
          <w:rFonts w:ascii="Times New Roman" w:hAnsi="Times New Roman" w:cs="Times New Roman"/>
          <w:b/>
          <w:bCs/>
          <w:color w:val="auto"/>
          <w:sz w:val="28"/>
          <w:szCs w:val="28"/>
          <w:highlight w:val="none"/>
        </w:rPr>
        <w:t>3.7.1</w:t>
      </w:r>
      <w:r>
        <w:rPr>
          <w:rFonts w:hint="eastAsia" w:ascii="Times New Roman" w:hAnsi="Times New Roman" w:cs="宋体"/>
          <w:b/>
          <w:bCs/>
          <w:color w:val="auto"/>
          <w:sz w:val="28"/>
          <w:szCs w:val="28"/>
          <w:highlight w:val="none"/>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经营、储存的汽油、柴油等物质即使在正常的生产过程中也会有微量的泄漏</w:t>
      </w:r>
      <w:r>
        <w:rPr>
          <w:rFonts w:hint="eastAsia" w:ascii="Times New Roman" w:hAnsi="Times New Roman" w:cs="宋体"/>
          <w:color w:val="auto"/>
          <w:sz w:val="28"/>
          <w:szCs w:val="28"/>
          <w:highlight w:val="none"/>
          <w:lang w:val="zh-CN"/>
        </w:rPr>
        <w:t>，汽车尾气中有燃烧不充分的一氧化碳等</w:t>
      </w:r>
      <w:r>
        <w:rPr>
          <w:rFonts w:hint="eastAsia" w:ascii="Times New Roman" w:hAnsi="Times New Roman" w:cs="宋体"/>
          <w:color w:val="auto"/>
          <w:sz w:val="28"/>
          <w:szCs w:val="28"/>
          <w:highlight w:val="none"/>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highlight w:val="none"/>
        </w:rPr>
      </w:pPr>
      <w:bookmarkStart w:id="82" w:name="_Toc19293"/>
      <w:bookmarkStart w:id="83" w:name="_Toc5946"/>
      <w:bookmarkStart w:id="84" w:name="_Toc13751"/>
      <w:bookmarkStart w:id="85" w:name="_Toc20651"/>
      <w:r>
        <w:rPr>
          <w:rFonts w:ascii="Times New Roman" w:hAnsi="Times New Roman" w:cs="Times New Roman"/>
          <w:b/>
          <w:bCs/>
          <w:color w:val="auto"/>
          <w:sz w:val="28"/>
          <w:szCs w:val="28"/>
          <w:highlight w:val="none"/>
        </w:rPr>
        <w:t>3.7.2</w:t>
      </w:r>
      <w:r>
        <w:rPr>
          <w:rFonts w:hint="eastAsia" w:ascii="Times New Roman" w:hAnsi="Times New Roman" w:cs="宋体"/>
          <w:b/>
          <w:bCs/>
          <w:color w:val="auto"/>
          <w:sz w:val="28"/>
          <w:szCs w:val="28"/>
          <w:highlight w:val="none"/>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加油站经营中的噪声一般</w:t>
      </w:r>
      <w:r>
        <w:rPr>
          <w:rFonts w:hint="eastAsia" w:ascii="Times New Roman" w:hAnsi="Times New Roman" w:cs="宋体"/>
          <w:color w:val="auto"/>
          <w:sz w:val="28"/>
          <w:szCs w:val="28"/>
          <w:highlight w:val="none"/>
          <w:lang w:eastAsia="zh-CN"/>
        </w:rPr>
        <w:t>来自</w:t>
      </w:r>
      <w:r>
        <w:rPr>
          <w:rFonts w:hint="eastAsia" w:ascii="Times New Roman" w:hAnsi="Times New Roman" w:cs="宋体"/>
          <w:color w:val="auto"/>
          <w:sz w:val="28"/>
          <w:szCs w:val="28"/>
          <w:highlight w:val="none"/>
        </w:rPr>
        <w:t>大型车辆的启动、运行的噪声。</w:t>
      </w:r>
    </w:p>
    <w:p w14:paraId="6458AD9B">
      <w:pPr>
        <w:spacing w:line="600" w:lineRule="exact"/>
        <w:ind w:firstLine="570"/>
        <w:rPr>
          <w:rFonts w:ascii="Times New Roman" w:hAnsi="Times New Roman" w:cs="Times New Roman"/>
          <w:color w:val="auto"/>
          <w:highlight w:val="none"/>
        </w:rPr>
      </w:pPr>
      <w:r>
        <w:rPr>
          <w:rFonts w:hint="eastAsia" w:ascii="Times New Roman" w:hAnsi="Times New Roman" w:cs="宋体"/>
          <w:color w:val="auto"/>
          <w:sz w:val="28"/>
          <w:szCs w:val="28"/>
          <w:highlight w:val="none"/>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highlight w:val="none"/>
        </w:rPr>
      </w:pPr>
      <w:bookmarkStart w:id="86" w:name="_Toc18812"/>
      <w:bookmarkStart w:id="87" w:name="_Toc8607"/>
      <w:bookmarkStart w:id="88" w:name="_Toc12031"/>
      <w:bookmarkStart w:id="89" w:name="_Toc31633"/>
      <w:bookmarkStart w:id="90" w:name="_Toc22089"/>
      <w:bookmarkStart w:id="91" w:name="_Toc343692256"/>
      <w:r>
        <w:rPr>
          <w:rFonts w:ascii="Times New Roman" w:hAnsi="Times New Roman" w:cs="Times New Roman"/>
          <w:b/>
          <w:bCs/>
          <w:color w:val="auto"/>
          <w:sz w:val="28"/>
          <w:szCs w:val="28"/>
          <w:highlight w:val="none"/>
        </w:rPr>
        <w:t>3.8</w:t>
      </w:r>
      <w:r>
        <w:rPr>
          <w:rFonts w:hint="eastAsia" w:ascii="Times New Roman" w:hAnsi="Times New Roman" w:cs="宋体"/>
          <w:b/>
          <w:bCs/>
          <w:color w:val="auto"/>
          <w:sz w:val="28"/>
          <w:szCs w:val="28"/>
          <w:highlight w:val="none"/>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通过上述危险、有害因素的分析以及案例分析，项目的主要危险和有害因素列表见表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.8-1</w:t>
      </w:r>
      <w:r>
        <w:rPr>
          <w:rFonts w:hint="eastAsia" w:ascii="Times New Roman" w:hAnsi="Times New Roman" w:cs="宋体"/>
          <w:color w:val="auto"/>
          <w:sz w:val="28"/>
          <w:szCs w:val="28"/>
          <w:highlight w:val="none"/>
        </w:rPr>
        <w:t>。</w:t>
      </w:r>
    </w:p>
    <w:p w14:paraId="28992B0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序号</w:t>
            </w:r>
          </w:p>
        </w:tc>
        <w:tc>
          <w:tcPr>
            <w:tcW w:w="1882" w:type="dxa"/>
            <w:vAlign w:val="center"/>
          </w:tcPr>
          <w:p w14:paraId="25509D2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危险危害因素</w:t>
            </w:r>
          </w:p>
        </w:tc>
        <w:tc>
          <w:tcPr>
            <w:tcW w:w="2502" w:type="dxa"/>
            <w:vAlign w:val="center"/>
          </w:tcPr>
          <w:p w14:paraId="6F9EAC1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造成后果</w:t>
            </w:r>
          </w:p>
        </w:tc>
        <w:tc>
          <w:tcPr>
            <w:tcW w:w="3916" w:type="dxa"/>
            <w:vAlign w:val="center"/>
          </w:tcPr>
          <w:p w14:paraId="7E67D28D">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882" w:type="dxa"/>
            <w:vAlign w:val="center"/>
          </w:tcPr>
          <w:p w14:paraId="3B049B9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火灾</w:t>
            </w:r>
          </w:p>
        </w:tc>
        <w:tc>
          <w:tcPr>
            <w:tcW w:w="2502" w:type="dxa"/>
            <w:vAlign w:val="center"/>
          </w:tcPr>
          <w:p w14:paraId="39C6EEF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25727ED0">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加油罩棚区、油罐区、卸油区、</w:t>
            </w:r>
            <w:r>
              <w:rPr>
                <w:rFonts w:hint="eastAsia" w:ascii="Times New Roman" w:hAnsi="Times New Roman" w:cs="宋体"/>
                <w:color w:val="auto"/>
                <w:highlight w:val="none"/>
                <w:lang w:val="en-US" w:eastAsia="zh-CN"/>
              </w:rPr>
              <w:t>站房、</w:t>
            </w:r>
            <w:r>
              <w:rPr>
                <w:rFonts w:hint="eastAsia" w:ascii="Times New Roman" w:hAnsi="Times New Roman" w:cs="宋体"/>
                <w:color w:val="auto"/>
                <w:highlight w:val="none"/>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882" w:type="dxa"/>
            <w:vAlign w:val="center"/>
          </w:tcPr>
          <w:p w14:paraId="253E85E2">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3</w:t>
            </w:r>
          </w:p>
        </w:tc>
        <w:tc>
          <w:tcPr>
            <w:tcW w:w="1882" w:type="dxa"/>
            <w:vAlign w:val="center"/>
          </w:tcPr>
          <w:p w14:paraId="7E362E1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5CEDC814">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1882" w:type="dxa"/>
            <w:vAlign w:val="center"/>
          </w:tcPr>
          <w:p w14:paraId="3D5DA509">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70965A0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1882" w:type="dxa"/>
            <w:vAlign w:val="center"/>
          </w:tcPr>
          <w:p w14:paraId="2CDCAC8B">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vAlign w:val="center"/>
          </w:tcPr>
          <w:p w14:paraId="61304B7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6</w:t>
            </w:r>
          </w:p>
        </w:tc>
        <w:tc>
          <w:tcPr>
            <w:tcW w:w="1882" w:type="dxa"/>
            <w:vAlign w:val="center"/>
          </w:tcPr>
          <w:p w14:paraId="2D8D2B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882" w:type="dxa"/>
            <w:vAlign w:val="center"/>
          </w:tcPr>
          <w:p w14:paraId="7A7D748B">
            <w:pPr>
              <w:spacing w:line="32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厂(场)内车辆致害</w:t>
            </w:r>
          </w:p>
        </w:tc>
        <w:tc>
          <w:tcPr>
            <w:tcW w:w="2502" w:type="dxa"/>
            <w:vAlign w:val="center"/>
          </w:tcPr>
          <w:p w14:paraId="2A09723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加油作业区</w:t>
            </w:r>
            <w:r>
              <w:rPr>
                <w:rFonts w:hint="eastAsia" w:ascii="Times New Roman" w:hAnsi="Times New Roman" w:cs="宋体"/>
                <w:color w:val="auto"/>
                <w:highlight w:val="none"/>
              </w:rPr>
              <w:t>、卸</w:t>
            </w:r>
            <w:r>
              <w:rPr>
                <w:rFonts w:hint="eastAsia" w:ascii="Times New Roman" w:hAnsi="Times New Roman" w:cs="宋体"/>
                <w:color w:val="auto"/>
                <w:highlight w:val="none"/>
                <w:lang w:val="en-US" w:eastAsia="zh-CN"/>
              </w:rPr>
              <w:t>作业区</w:t>
            </w:r>
            <w:r>
              <w:rPr>
                <w:rFonts w:hint="eastAsia" w:ascii="Times New Roman" w:hAnsi="Times New Roman" w:cs="宋体"/>
                <w:color w:val="auto"/>
                <w:highlight w:val="none"/>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中毒</w:t>
            </w:r>
          </w:p>
        </w:tc>
        <w:tc>
          <w:tcPr>
            <w:tcW w:w="2502" w:type="dxa"/>
            <w:vAlign w:val="center"/>
          </w:tcPr>
          <w:p w14:paraId="1D108ADB">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宋体"/>
                <w:color w:val="auto"/>
                <w:highlight w:val="none"/>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highlight w:val="none"/>
                <w:lang w:val="en-US" w:eastAsia="zh-CN"/>
              </w:rPr>
            </w:pPr>
            <w:bookmarkStart w:id="92" w:name="_Toc1204"/>
            <w:bookmarkStart w:id="93" w:name="_Toc30502"/>
            <w:bookmarkStart w:id="94" w:name="_Toc28553"/>
            <w:bookmarkStart w:id="95" w:name="_Toc7354"/>
            <w:bookmarkStart w:id="96" w:name="_Toc30431"/>
            <w:r>
              <w:rPr>
                <w:rFonts w:hint="eastAsia" w:ascii="Times New Roman" w:hAnsi="Times New Roman" w:cs="Times New Roman"/>
                <w:color w:val="auto"/>
                <w:highlight w:val="none"/>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经营作业场所</w:t>
            </w:r>
          </w:p>
        </w:tc>
      </w:tr>
    </w:tbl>
    <w:p w14:paraId="5B83E1AE">
      <w:pPr>
        <w:keepNext/>
        <w:keepLines/>
        <w:spacing w:line="600" w:lineRule="exact"/>
        <w:outlineLvl w:val="1"/>
        <w:rPr>
          <w:rFonts w:ascii="Times New Roman" w:hAnsi="Times New Roman" w:cs="Times New Roman"/>
          <w:b/>
          <w:bCs/>
          <w:color w:val="auto"/>
          <w:sz w:val="28"/>
          <w:szCs w:val="28"/>
          <w:highlight w:val="none"/>
        </w:rPr>
      </w:pPr>
      <w:bookmarkStart w:id="97" w:name="_Toc23571"/>
      <w:r>
        <w:rPr>
          <w:rFonts w:ascii="Times New Roman" w:hAnsi="Times New Roman" w:cs="Times New Roman"/>
          <w:b/>
          <w:bCs/>
          <w:color w:val="auto"/>
          <w:sz w:val="28"/>
          <w:szCs w:val="28"/>
          <w:highlight w:val="none"/>
        </w:rPr>
        <w:t>3.9</w:t>
      </w:r>
      <w:r>
        <w:rPr>
          <w:rFonts w:hint="eastAsia" w:ascii="Times New Roman" w:hAnsi="Times New Roman" w:cs="宋体"/>
          <w:b/>
          <w:bCs/>
          <w:color w:val="auto"/>
          <w:sz w:val="28"/>
          <w:szCs w:val="28"/>
          <w:highlight w:val="none"/>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本项目采用油气回收系统，根据《汽车加油加气加氢站技术标准》</w:t>
      </w:r>
      <w:r>
        <w:rPr>
          <w:rFonts w:ascii="Times New Roman" w:hAnsi="Times New Roman" w:cs="Times New Roman"/>
          <w:color w:val="auto"/>
          <w:sz w:val="28"/>
          <w:szCs w:val="28"/>
          <w:highlight w:val="none"/>
        </w:rPr>
        <w:t>GB50156-2021</w:t>
      </w:r>
      <w:r>
        <w:rPr>
          <w:rFonts w:hint="eastAsia" w:ascii="Times New Roman" w:hAnsi="Times New Roman" w:cs="宋体"/>
          <w:color w:val="auto"/>
          <w:sz w:val="28"/>
          <w:szCs w:val="28"/>
          <w:highlight w:val="none"/>
        </w:rPr>
        <w:t>附录</w:t>
      </w:r>
      <w:r>
        <w:rPr>
          <w:rFonts w:ascii="Times New Roman" w:hAnsi="Times New Roman" w:cs="Times New Roman"/>
          <w:color w:val="auto"/>
          <w:sz w:val="28"/>
          <w:szCs w:val="28"/>
          <w:highlight w:val="none"/>
        </w:rPr>
        <w:t>C</w:t>
      </w:r>
      <w:r>
        <w:rPr>
          <w:rFonts w:hint="eastAsia" w:ascii="Times New Roman" w:hAnsi="Times New Roman" w:cs="宋体"/>
          <w:color w:val="auto"/>
          <w:sz w:val="28"/>
          <w:szCs w:val="28"/>
          <w:highlight w:val="none"/>
        </w:rPr>
        <w:t>，其爆炸危险区域划分见表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.9-1</w:t>
      </w:r>
      <w:r>
        <w:rPr>
          <w:rFonts w:hint="eastAsia" w:ascii="Times New Roman" w:hAnsi="Times New Roman" w:cs="宋体"/>
          <w:color w:val="auto"/>
          <w:sz w:val="28"/>
          <w:szCs w:val="28"/>
          <w:highlight w:val="none"/>
        </w:rPr>
        <w:t>：</w:t>
      </w:r>
    </w:p>
    <w:p w14:paraId="0A160671">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446DA1BC">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highlight w:val="none"/>
              </w:rPr>
            </w:pPr>
            <w:r>
              <w:rPr>
                <w:rFonts w:hint="eastAsia" w:ascii="Times New Roman" w:hAnsi="Times New Roman" w:cs="宋体"/>
                <w:color w:val="auto"/>
                <w:highlight w:val="none"/>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highlight w:val="none"/>
              </w:rPr>
            </w:pPr>
            <w:r>
              <w:rPr>
                <w:rFonts w:ascii="Times New Roman" w:hAnsi="Times New Roman" w:cs="Times New Roman"/>
                <w:b/>
                <w:bCs/>
                <w:color w:val="auto"/>
                <w:highlight w:val="none"/>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highlight w:val="none"/>
              </w:rPr>
            </w:pPr>
            <w:r>
              <w:rPr>
                <w:rFonts w:hint="eastAsia" w:ascii="Times New Roman" w:hAnsi="Times New Roman" w:cs="宋体"/>
                <w:color w:val="auto"/>
                <w:highlight w:val="none"/>
              </w:rPr>
              <w:t>汽油设施爆炸危险区域内地坪以下的坑或沟应划分为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highlight w:val="none"/>
              </w:rPr>
            </w:pPr>
          </w:p>
          <w:p w14:paraId="1F3624FD">
            <w:pPr>
              <w:adjustRightInd w:val="0"/>
              <w:snapToGrid w:val="0"/>
              <w:rPr>
                <w:rFonts w:ascii="Times New Roman" w:hAnsi="Times New Roman" w:cs="Times New Roman"/>
                <w:color w:val="auto"/>
                <w:highlight w:val="none"/>
              </w:rPr>
            </w:pPr>
          </w:p>
          <w:p w14:paraId="566071A7">
            <w:pPr>
              <w:adjustRightInd w:val="0"/>
              <w:snapToGrid w:val="0"/>
              <w:rPr>
                <w:rFonts w:ascii="Times New Roman" w:hAnsi="Times New Roman" w:cs="Times New Roman"/>
                <w:color w:val="auto"/>
                <w:highlight w:val="none"/>
              </w:rPr>
            </w:pPr>
            <w:r>
              <w:rPr>
                <w:color w:val="auto"/>
                <w:highlight w:val="none"/>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宋体"/>
                <w:color w:val="auto"/>
                <w:highlight w:val="none"/>
              </w:rPr>
              <w:t>、罐内部油品表面以上的空间应划分为</w:t>
            </w:r>
            <w:r>
              <w:rPr>
                <w:rFonts w:ascii="Times New Roman" w:hAnsi="Times New Roman" w:cs="Times New Roman"/>
                <w:color w:val="auto"/>
                <w:highlight w:val="none"/>
              </w:rPr>
              <w:t>0</w:t>
            </w:r>
            <w:r>
              <w:rPr>
                <w:rFonts w:hint="eastAsia" w:ascii="Times New Roman" w:hAnsi="Times New Roman" w:cs="宋体"/>
                <w:color w:val="auto"/>
                <w:highlight w:val="none"/>
              </w:rPr>
              <w:t>区。</w:t>
            </w:r>
          </w:p>
          <w:p w14:paraId="3315BDDA">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2</w:t>
            </w:r>
            <w:r>
              <w:rPr>
                <w:rFonts w:hint="eastAsia" w:ascii="Times New Roman" w:hAnsi="Times New Roman" w:cs="宋体"/>
                <w:color w:val="auto"/>
                <w:highlight w:val="none"/>
              </w:rPr>
              <w:t>、人孔（阀）井内部空间，以通气管管口为中心、半径为</w:t>
            </w:r>
            <w:r>
              <w:rPr>
                <w:rFonts w:ascii="Times New Roman" w:hAnsi="Times New Roman" w:cs="Times New Roman"/>
                <w:color w:val="auto"/>
                <w:highlight w:val="none"/>
              </w:rPr>
              <w:t>0.75m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0.5m</w:t>
            </w:r>
            <w:r>
              <w:rPr>
                <w:rFonts w:hint="eastAsia" w:ascii="Times New Roman" w:hAnsi="Times New Roman" w:cs="宋体"/>
                <w:color w:val="auto"/>
                <w:highlight w:val="none"/>
              </w:rPr>
              <w:t>的球形空间，应划分为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p w14:paraId="7EC07C55">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3</w:t>
            </w:r>
            <w:r>
              <w:rPr>
                <w:rFonts w:hint="eastAsia" w:ascii="Times New Roman" w:hAnsi="Times New Roman" w:cs="宋体"/>
                <w:color w:val="auto"/>
                <w:highlight w:val="none"/>
              </w:rPr>
              <w:t>、距人孔（阀）井外边缘</w:t>
            </w:r>
            <w:r>
              <w:rPr>
                <w:rFonts w:ascii="Times New Roman" w:hAnsi="Times New Roman" w:cs="Times New Roman"/>
                <w:color w:val="auto"/>
                <w:highlight w:val="none"/>
              </w:rPr>
              <w:t>1.5m</w:t>
            </w:r>
            <w:r>
              <w:rPr>
                <w:rFonts w:hint="eastAsia" w:ascii="Times New Roman" w:hAnsi="Times New Roman" w:cs="宋体"/>
                <w:color w:val="auto"/>
                <w:highlight w:val="none"/>
              </w:rPr>
              <w:t>以内，自地面算起</w:t>
            </w:r>
            <w:r>
              <w:rPr>
                <w:rFonts w:ascii="Times New Roman" w:hAnsi="Times New Roman" w:cs="Times New Roman"/>
                <w:color w:val="auto"/>
                <w:highlight w:val="none"/>
              </w:rPr>
              <w:t>1m</w:t>
            </w:r>
            <w:r>
              <w:rPr>
                <w:rFonts w:hint="eastAsia" w:ascii="Times New Roman" w:hAnsi="Times New Roman" w:cs="宋体"/>
                <w:color w:val="auto"/>
                <w:highlight w:val="none"/>
              </w:rPr>
              <w:t>高的圆柱形空间，以通气管管口为中心、半径为</w:t>
            </w:r>
            <w:r>
              <w:rPr>
                <w:rFonts w:ascii="Times New Roman" w:hAnsi="Times New Roman" w:cs="Times New Roman"/>
                <w:color w:val="auto"/>
                <w:highlight w:val="none"/>
              </w:rPr>
              <w:t>2m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1.5m</w:t>
            </w:r>
            <w:r>
              <w:rPr>
                <w:rFonts w:hint="eastAsia" w:ascii="Times New Roman" w:hAnsi="Times New Roman" w:cs="宋体"/>
                <w:color w:val="auto"/>
                <w:highlight w:val="none"/>
              </w:rPr>
              <w:t>的球形并延至地面的空间，应划分为</w:t>
            </w:r>
            <w:r>
              <w:rPr>
                <w:rFonts w:ascii="Times New Roman" w:hAnsi="Times New Roman" w:cs="Times New Roman"/>
                <w:color w:val="auto"/>
                <w:highlight w:val="none"/>
              </w:rPr>
              <w:t>2</w:t>
            </w:r>
            <w:r>
              <w:rPr>
                <w:rFonts w:hint="eastAsia" w:ascii="Times New Roman" w:hAnsi="Times New Roman" w:cs="宋体"/>
                <w:color w:val="auto"/>
                <w:highlight w:val="none"/>
              </w:rPr>
              <w:t>区。</w:t>
            </w:r>
          </w:p>
          <w:p w14:paraId="640424AB">
            <w:pPr>
              <w:rPr>
                <w:rFonts w:ascii="Times New Roman" w:hAnsi="Times New Roman" w:cs="Times New Roman"/>
                <w:color w:val="auto"/>
                <w:highlight w:val="none"/>
              </w:rPr>
            </w:pPr>
            <w:r>
              <w:rPr>
                <w:rFonts w:ascii="Times New Roman" w:hAnsi="Times New Roman" w:cs="Times New Roman"/>
                <w:color w:val="auto"/>
                <w:spacing w:val="10"/>
                <w:highlight w:val="none"/>
              </w:rPr>
              <w:t xml:space="preserve">  4</w:t>
            </w:r>
            <w:r>
              <w:rPr>
                <w:rFonts w:hint="eastAsia" w:ascii="Times New Roman" w:hAnsi="Times New Roman" w:cs="宋体"/>
                <w:color w:val="auto"/>
                <w:spacing w:val="10"/>
                <w:highlight w:val="none"/>
              </w:rPr>
              <w:t>、当地上密闭卸油口设在箱体内时，箱体内部的空间应划分为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区，箱体外部四周</w:t>
            </w:r>
            <w:r>
              <w:rPr>
                <w:rFonts w:ascii="Times New Roman" w:hAnsi="Times New Roman" w:cs="Times New Roman"/>
                <w:color w:val="auto"/>
                <w:spacing w:val="10"/>
                <w:highlight w:val="none"/>
              </w:rPr>
              <w:t>1m</w:t>
            </w:r>
            <w:r>
              <w:rPr>
                <w:rFonts w:hint="eastAsia" w:ascii="Times New Roman" w:hAnsi="Times New Roman" w:cs="宋体"/>
                <w:color w:val="auto"/>
                <w:spacing w:val="10"/>
                <w:highlight w:val="none"/>
              </w:rPr>
              <w:t>和箱体顶部以上</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区；当密闭卸油口设在卸油坑内时，坑内的空间应划分为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区，坑口外</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、油罐车内部的油品表面以上空间应划分为</w:t>
            </w:r>
            <w:r>
              <w:rPr>
                <w:rFonts w:ascii="Times New Roman" w:hAnsi="Times New Roman" w:cs="Times New Roman"/>
                <w:color w:val="auto"/>
                <w:spacing w:val="10"/>
                <w:highlight w:val="none"/>
              </w:rPr>
              <w:t>0</w:t>
            </w:r>
            <w:r>
              <w:rPr>
                <w:rFonts w:hint="eastAsia" w:ascii="Times New Roman" w:hAnsi="Times New Roman" w:cs="宋体"/>
                <w:color w:val="auto"/>
                <w:spacing w:val="10"/>
                <w:highlight w:val="none"/>
              </w:rPr>
              <w:t>区。</w:t>
            </w:r>
          </w:p>
          <w:p w14:paraId="1A99DEC0">
            <w:pPr>
              <w:adjustRightInd w:val="0"/>
              <w:snapToGrid w:val="0"/>
              <w:spacing w:line="340" w:lineRule="exact"/>
              <w:rPr>
                <w:rFonts w:ascii="Times New Roman" w:hAnsi="Times New Roman" w:cs="Times New Roman"/>
                <w:color w:val="auto"/>
                <w:spacing w:val="10"/>
                <w:highlight w:val="none"/>
              </w:rPr>
            </w:pPr>
            <w:r>
              <w:rPr>
                <w:rFonts w:ascii="Times New Roman" w:hAnsi="Times New Roman" w:cs="Times New Roman"/>
                <w:color w:val="auto"/>
                <w:spacing w:val="10"/>
                <w:highlight w:val="none"/>
              </w:rPr>
              <w:t xml:space="preserve">  2</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的球形空间和以罐车密闭卸油口为中心、半径为</w:t>
            </w:r>
            <w:r>
              <w:rPr>
                <w:rFonts w:ascii="Times New Roman" w:hAnsi="Times New Roman" w:cs="Times New Roman"/>
                <w:color w:val="auto"/>
                <w:spacing w:val="10"/>
                <w:highlight w:val="none"/>
              </w:rPr>
              <w:t>0.5m</w:t>
            </w:r>
            <w:r>
              <w:rPr>
                <w:rFonts w:hint="eastAsia" w:ascii="Times New Roman" w:hAnsi="Times New Roman" w:cs="宋体"/>
                <w:color w:val="auto"/>
                <w:spacing w:val="10"/>
                <w:highlight w:val="none"/>
              </w:rPr>
              <w:t>的球形空间，应划分为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B9E5E1">
            <w:pPr>
              <w:adjustRightInd w:val="0"/>
              <w:snapToGrid w:val="0"/>
              <w:spacing w:line="340" w:lineRule="exact"/>
              <w:rPr>
                <w:rFonts w:ascii="Times New Roman" w:hAnsi="Times New Roman" w:cs="Times New Roman"/>
                <w:color w:val="auto"/>
                <w:spacing w:val="20"/>
                <w:highlight w:val="none"/>
              </w:rPr>
            </w:pPr>
            <w:r>
              <w:rPr>
                <w:rFonts w:ascii="Times New Roman" w:hAnsi="Times New Roman" w:cs="Times New Roman"/>
                <w:color w:val="auto"/>
                <w:spacing w:val="10"/>
                <w:highlight w:val="none"/>
              </w:rPr>
              <w:t xml:space="preserve">  3</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的球形并延至地面的空间和以罐车密闭卸油口为中心、半径为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的球形并延至地面的空间，应划分为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、加油机下箱体内部空间应划分为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6C1F40">
            <w:pPr>
              <w:adjustRightInd w:val="0"/>
              <w:snapToGrid w:val="0"/>
              <w:spacing w:line="340" w:lineRule="exact"/>
              <w:ind w:firstLine="230" w:firstLineChars="100"/>
              <w:rPr>
                <w:rFonts w:ascii="Times New Roman" w:hAnsi="Times New Roman" w:cs="Times New Roman"/>
                <w:color w:val="auto"/>
                <w:spacing w:val="20"/>
                <w:highlight w:val="none"/>
              </w:rPr>
            </w:pP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、以加油机中心线为中心线、以半径为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的地面区域为底面和以加油机箱体顶部以上</w:t>
            </w:r>
            <w:r>
              <w:rPr>
                <w:rFonts w:ascii="Times New Roman" w:hAnsi="Times New Roman" w:cs="Times New Roman"/>
                <w:color w:val="auto"/>
                <w:spacing w:val="10"/>
                <w:highlight w:val="none"/>
              </w:rPr>
              <w:t>0.15m</w:t>
            </w:r>
            <w:r>
              <w:rPr>
                <w:rFonts w:hint="eastAsia" w:ascii="Times New Roman" w:hAnsi="Times New Roman" w:cs="宋体"/>
                <w:color w:val="auto"/>
                <w:spacing w:val="10"/>
                <w:highlight w:val="none"/>
              </w:rPr>
              <w:t>、半径为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的平面为顶面的圆台形空间，应划分为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bl>
    <w:p w14:paraId="25BB98CC">
      <w:pPr>
        <w:keepNext/>
        <w:keepLines/>
        <w:spacing w:line="600" w:lineRule="exact"/>
        <w:outlineLvl w:val="1"/>
        <w:rPr>
          <w:rFonts w:ascii="Times New Roman" w:hAnsi="Times New Roman" w:cs="Times New Roman"/>
          <w:b/>
          <w:bCs/>
          <w:color w:val="auto"/>
          <w:sz w:val="28"/>
          <w:szCs w:val="28"/>
          <w:highlight w:val="none"/>
        </w:rPr>
      </w:pPr>
      <w:bookmarkStart w:id="98" w:name="_Toc29982"/>
      <w:r>
        <w:rPr>
          <w:rFonts w:ascii="Times New Roman" w:hAnsi="Times New Roman" w:cs="Times New Roman"/>
          <w:b/>
          <w:bCs/>
          <w:color w:val="auto"/>
          <w:sz w:val="28"/>
          <w:szCs w:val="28"/>
          <w:highlight w:val="none"/>
        </w:rPr>
        <w:t xml:space="preserve">3.10 </w:t>
      </w:r>
      <w:r>
        <w:rPr>
          <w:rFonts w:hint="eastAsia" w:ascii="Times New Roman" w:hAnsi="Times New Roman" w:cs="宋体"/>
          <w:b/>
          <w:bCs/>
          <w:color w:val="auto"/>
          <w:sz w:val="28"/>
          <w:szCs w:val="28"/>
          <w:highlight w:val="none"/>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2008</w:t>
      </w:r>
      <w:r>
        <w:rPr>
          <w:rFonts w:hint="eastAsia" w:ascii="Times New Roman" w:hAnsi="Times New Roman" w:cs="宋体"/>
          <w:color w:val="auto"/>
          <w:spacing w:val="-2"/>
          <w:kern w:val="0"/>
          <w:sz w:val="28"/>
          <w:szCs w:val="28"/>
          <w:highlight w:val="none"/>
        </w:rPr>
        <w:t>年</w:t>
      </w:r>
      <w:r>
        <w:rPr>
          <w:rFonts w:ascii="Times New Roman" w:hAnsi="Times New Roman" w:cs="Times New Roman"/>
          <w:color w:val="auto"/>
          <w:spacing w:val="-2"/>
          <w:kern w:val="0"/>
          <w:sz w:val="28"/>
          <w:szCs w:val="28"/>
          <w:highlight w:val="none"/>
        </w:rPr>
        <w:t>9</w:t>
      </w:r>
      <w:r>
        <w:rPr>
          <w:rFonts w:hint="eastAsia" w:ascii="Times New Roman" w:hAnsi="Times New Roman" w:cs="宋体"/>
          <w:color w:val="auto"/>
          <w:spacing w:val="-2"/>
          <w:kern w:val="0"/>
          <w:sz w:val="28"/>
          <w:szCs w:val="28"/>
          <w:highlight w:val="none"/>
        </w:rPr>
        <w:t>月</w:t>
      </w:r>
      <w:r>
        <w:rPr>
          <w:rFonts w:ascii="Times New Roman" w:hAnsi="Times New Roman" w:cs="Times New Roman"/>
          <w:color w:val="auto"/>
          <w:spacing w:val="-2"/>
          <w:kern w:val="0"/>
          <w:sz w:val="28"/>
          <w:szCs w:val="28"/>
          <w:highlight w:val="none"/>
        </w:rPr>
        <w:t>8</w:t>
      </w:r>
      <w:r>
        <w:rPr>
          <w:rFonts w:hint="eastAsia" w:ascii="Times New Roman" w:hAnsi="Times New Roman" w:cs="宋体"/>
          <w:color w:val="auto"/>
          <w:spacing w:val="-2"/>
          <w:kern w:val="0"/>
          <w:sz w:val="28"/>
          <w:szCs w:val="28"/>
          <w:highlight w:val="none"/>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hint="eastAsia" w:ascii="Times New Roman" w:hAnsi="Times New Roman" w:cs="宋体"/>
          <w:color w:val="auto"/>
          <w:spacing w:val="-2"/>
          <w:kern w:val="0"/>
          <w:sz w:val="28"/>
          <w:szCs w:val="28"/>
          <w:highlight w:val="none"/>
        </w:rPr>
        <w:t>分析事故原因，施工单位施工人员严重违反施工安全规定</w:t>
      </w:r>
      <w:r>
        <w:rPr>
          <w:rFonts w:hint="eastAsia" w:ascii="Times New Roman" w:hAnsi="Times New Roman" w:cs="宋体"/>
          <w:color w:val="auto"/>
          <w:spacing w:val="-2"/>
          <w:kern w:val="0"/>
          <w:sz w:val="28"/>
          <w:szCs w:val="28"/>
          <w:highlight w:val="none"/>
          <w:lang w:eastAsia="zh-CN"/>
        </w:rPr>
        <w:t>，在</w:t>
      </w:r>
      <w:r>
        <w:rPr>
          <w:rFonts w:hint="eastAsia" w:ascii="Times New Roman" w:hAnsi="Times New Roman" w:cs="宋体"/>
          <w:color w:val="auto"/>
          <w:spacing w:val="-2"/>
          <w:kern w:val="0"/>
          <w:sz w:val="28"/>
          <w:szCs w:val="28"/>
          <w:highlight w:val="none"/>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ascii="Times New Roman" w:hAnsi="Times New Roman" w:cs="Times New Roman"/>
          <w:color w:val="auto"/>
          <w:spacing w:val="-2"/>
          <w:sz w:val="28"/>
          <w:szCs w:val="28"/>
          <w:highlight w:val="none"/>
        </w:rPr>
        <w:t>1999</w:t>
      </w:r>
      <w:r>
        <w:rPr>
          <w:rFonts w:hint="eastAsia" w:ascii="Times New Roman" w:hAnsi="Times New Roman" w:cs="宋体"/>
          <w:color w:val="auto"/>
          <w:spacing w:val="-2"/>
          <w:sz w:val="28"/>
          <w:szCs w:val="28"/>
          <w:highlight w:val="none"/>
        </w:rPr>
        <w:t>年</w:t>
      </w:r>
      <w:r>
        <w:rPr>
          <w:rFonts w:ascii="Times New Roman" w:hAnsi="Times New Roman" w:cs="Times New Roman"/>
          <w:color w:val="auto"/>
          <w:spacing w:val="-2"/>
          <w:sz w:val="28"/>
          <w:szCs w:val="28"/>
          <w:highlight w:val="none"/>
        </w:rPr>
        <w:t>5</w:t>
      </w:r>
      <w:r>
        <w:rPr>
          <w:rFonts w:hint="eastAsia" w:ascii="Times New Roman" w:hAnsi="Times New Roman" w:cs="宋体"/>
          <w:color w:val="auto"/>
          <w:spacing w:val="-2"/>
          <w:sz w:val="28"/>
          <w:szCs w:val="28"/>
          <w:highlight w:val="none"/>
        </w:rPr>
        <w:t>月</w:t>
      </w:r>
      <w:r>
        <w:rPr>
          <w:rFonts w:ascii="Times New Roman" w:hAnsi="Times New Roman" w:cs="Times New Roman"/>
          <w:color w:val="auto"/>
          <w:spacing w:val="-2"/>
          <w:sz w:val="28"/>
          <w:szCs w:val="28"/>
          <w:highlight w:val="none"/>
        </w:rPr>
        <w:t>19</w:t>
      </w:r>
      <w:r>
        <w:rPr>
          <w:rFonts w:hint="eastAsia" w:ascii="Times New Roman" w:hAnsi="Times New Roman" w:cs="宋体"/>
          <w:color w:val="auto"/>
          <w:spacing w:val="-2"/>
          <w:sz w:val="28"/>
          <w:szCs w:val="28"/>
          <w:highlight w:val="none"/>
        </w:rPr>
        <w:t>日，一辆客货车到加油站加油，当加油员给该车油箱加满后，车主为凑足</w:t>
      </w:r>
      <w:r>
        <w:rPr>
          <w:rFonts w:ascii="Times New Roman" w:hAnsi="Times New Roman" w:cs="Times New Roman"/>
          <w:color w:val="auto"/>
          <w:spacing w:val="-2"/>
          <w:sz w:val="28"/>
          <w:szCs w:val="28"/>
          <w:highlight w:val="none"/>
        </w:rPr>
        <w:t>100</w:t>
      </w:r>
      <w:r>
        <w:rPr>
          <w:rFonts w:hint="eastAsia" w:ascii="Times New Roman" w:hAnsi="Times New Roman" w:cs="宋体"/>
          <w:color w:val="auto"/>
          <w:spacing w:val="-2"/>
          <w:sz w:val="28"/>
          <w:szCs w:val="28"/>
          <w:highlight w:val="none"/>
        </w:rPr>
        <w:t>元的油款，要求将剩余的</w:t>
      </w:r>
      <w:r>
        <w:rPr>
          <w:rFonts w:ascii="Times New Roman" w:hAnsi="Times New Roman" w:cs="Times New Roman"/>
          <w:color w:val="auto"/>
          <w:spacing w:val="-2"/>
          <w:sz w:val="28"/>
          <w:szCs w:val="28"/>
          <w:highlight w:val="none"/>
        </w:rPr>
        <w:t>70</w:t>
      </w:r>
      <w:r>
        <w:rPr>
          <w:rFonts w:hint="eastAsia" w:ascii="Times New Roman" w:hAnsi="Times New Roman" w:cs="宋体"/>
          <w:color w:val="auto"/>
          <w:spacing w:val="-2"/>
          <w:sz w:val="28"/>
          <w:szCs w:val="28"/>
          <w:highlight w:val="none"/>
        </w:rPr>
        <w:t>号汽油用加油枪直接注入容量</w:t>
      </w:r>
      <w:r>
        <w:rPr>
          <w:rFonts w:ascii="Times New Roman" w:hAnsi="Times New Roman" w:cs="Times New Roman"/>
          <w:color w:val="auto"/>
          <w:spacing w:val="-2"/>
          <w:sz w:val="28"/>
          <w:szCs w:val="28"/>
          <w:highlight w:val="none"/>
        </w:rPr>
        <w:t>25kg</w:t>
      </w:r>
      <w:r>
        <w:rPr>
          <w:rFonts w:hint="eastAsia" w:ascii="Times New Roman" w:hAnsi="Times New Roman" w:cs="宋体"/>
          <w:color w:val="auto"/>
          <w:spacing w:val="-2"/>
          <w:sz w:val="28"/>
          <w:szCs w:val="28"/>
          <w:highlight w:val="none"/>
        </w:rPr>
        <w:t>的塑料桶内，塑料桶就在客货车旁边。当油品注到塑料桶</w:t>
      </w:r>
      <w:r>
        <w:rPr>
          <w:rFonts w:ascii="Times New Roman" w:hAnsi="Times New Roman" w:cs="Times New Roman"/>
          <w:color w:val="auto"/>
          <w:spacing w:val="-2"/>
          <w:sz w:val="28"/>
          <w:szCs w:val="28"/>
          <w:highlight w:val="none"/>
        </w:rPr>
        <w:t>2/3</w:t>
      </w:r>
      <w:r>
        <w:rPr>
          <w:rFonts w:hint="eastAsia" w:ascii="Times New Roman" w:hAnsi="Times New Roman" w:cs="宋体"/>
          <w:color w:val="auto"/>
          <w:spacing w:val="-2"/>
          <w:sz w:val="28"/>
          <w:szCs w:val="28"/>
          <w:highlight w:val="none"/>
        </w:rPr>
        <w:t>时，由于产生静电，</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砰</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的一声，燃起大火，大火将塑料桶烧毁，满地的火源，又把客货车燃着，此时一位加油员拨打</w:t>
      </w:r>
      <w:r>
        <w:rPr>
          <w:rFonts w:ascii="Times New Roman" w:hAnsi="Times New Roman" w:cs="Times New Roman"/>
          <w:color w:val="auto"/>
          <w:spacing w:val="-2"/>
          <w:sz w:val="28"/>
          <w:szCs w:val="28"/>
          <w:highlight w:val="none"/>
        </w:rPr>
        <w:t>110</w:t>
      </w:r>
      <w:r>
        <w:rPr>
          <w:rFonts w:hint="eastAsia" w:ascii="Times New Roman" w:hAnsi="Times New Roman" w:cs="宋体"/>
          <w:color w:val="auto"/>
          <w:spacing w:val="-2"/>
          <w:sz w:val="28"/>
          <w:szCs w:val="28"/>
          <w:highlight w:val="none"/>
        </w:rPr>
        <w:t>报警。同时，另一位加油员开始操纵</w:t>
      </w:r>
      <w:r>
        <w:rPr>
          <w:rFonts w:ascii="Times New Roman" w:hAnsi="Times New Roman" w:cs="Times New Roman"/>
          <w:color w:val="auto"/>
          <w:spacing w:val="-2"/>
          <w:sz w:val="28"/>
          <w:szCs w:val="28"/>
          <w:highlight w:val="none"/>
        </w:rPr>
        <w:t>35kg</w:t>
      </w:r>
      <w:r>
        <w:rPr>
          <w:rFonts w:hint="eastAsia" w:ascii="Times New Roman" w:hAnsi="Times New Roman" w:cs="Times New Roman"/>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灭火，但由于对灭火机性能掌握不熟练，未能灭火。当客货车被全部烧着后又把</w:t>
      </w:r>
      <w:r>
        <w:rPr>
          <w:rFonts w:ascii="Times New Roman" w:hAnsi="Times New Roman" w:cs="Times New Roman"/>
          <w:color w:val="auto"/>
          <w:spacing w:val="-2"/>
          <w:sz w:val="28"/>
          <w:szCs w:val="28"/>
          <w:highlight w:val="none"/>
        </w:rPr>
        <w:t>5m</w:t>
      </w:r>
      <w:r>
        <w:rPr>
          <w:rFonts w:hint="eastAsia" w:ascii="Times New Roman" w:hAnsi="Times New Roman" w:cs="宋体"/>
          <w:color w:val="auto"/>
          <w:spacing w:val="-2"/>
          <w:sz w:val="28"/>
          <w:szCs w:val="28"/>
          <w:highlight w:val="none"/>
        </w:rPr>
        <w:t>高的</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引燃，</w:t>
      </w:r>
      <w:r>
        <w:rPr>
          <w:rFonts w:ascii="Times New Roman" w:hAnsi="Times New Roman" w:cs="Times New Roman"/>
          <w:color w:val="auto"/>
          <w:spacing w:val="-2"/>
          <w:sz w:val="28"/>
          <w:szCs w:val="28"/>
          <w:highlight w:val="none"/>
        </w:rPr>
        <w:t>39.6m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铝塑封檐板，</w:t>
      </w:r>
      <w:r>
        <w:rPr>
          <w:rFonts w:ascii="Times New Roman" w:hAnsi="Times New Roman" w:cs="Times New Roman"/>
          <w:color w:val="auto"/>
          <w:spacing w:val="-2"/>
          <w:sz w:val="28"/>
          <w:szCs w:val="28"/>
          <w:highlight w:val="none"/>
        </w:rPr>
        <w:t>5.6m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的雨棚镀锌钢柱板、两台电脑加油机、</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内射灯和部分线路、</w:t>
      </w:r>
      <w:r>
        <w:rPr>
          <w:rFonts w:ascii="Times New Roman" w:hAnsi="Times New Roman" w:cs="Times New Roman"/>
          <w:color w:val="auto"/>
          <w:spacing w:val="-2"/>
          <w:sz w:val="28"/>
          <w:szCs w:val="28"/>
          <w:highlight w:val="none"/>
        </w:rPr>
        <w:t>12m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铝合金开票收款厅、</w:t>
      </w:r>
      <w:r>
        <w:rPr>
          <w:rFonts w:ascii="Times New Roman" w:hAnsi="Times New Roman" w:cs="Times New Roman"/>
          <w:color w:val="auto"/>
          <w:spacing w:val="-2"/>
          <w:sz w:val="28"/>
          <w:szCs w:val="28"/>
          <w:highlight w:val="none"/>
        </w:rPr>
        <w:t>1</w:t>
      </w:r>
      <w:r>
        <w:rPr>
          <w:rFonts w:hint="eastAsia" w:ascii="Times New Roman" w:hAnsi="Times New Roman" w:cs="宋体"/>
          <w:color w:val="auto"/>
          <w:spacing w:val="-2"/>
          <w:sz w:val="28"/>
          <w:szCs w:val="28"/>
          <w:highlight w:val="none"/>
        </w:rPr>
        <w:t>台</w:t>
      </w:r>
      <w:r>
        <w:rPr>
          <w:rFonts w:ascii="Times New Roman" w:hAnsi="Times New Roman" w:cs="Times New Roman"/>
          <w:color w:val="auto"/>
          <w:spacing w:val="-2"/>
          <w:sz w:val="28"/>
          <w:szCs w:val="28"/>
          <w:highlight w:val="none"/>
        </w:rPr>
        <w:t>35kg</w:t>
      </w:r>
      <w:r>
        <w:rPr>
          <w:rFonts w:hint="eastAsia" w:ascii="Times New Roman" w:hAnsi="Times New Roman" w:cs="宋体"/>
          <w:color w:val="auto"/>
          <w:spacing w:val="-2"/>
          <w:sz w:val="28"/>
          <w:szCs w:val="28"/>
          <w:highlight w:val="none"/>
        </w:rPr>
        <w:t>干粉灭火机全部烧毁，直接经济损失达</w:t>
      </w:r>
      <w:r>
        <w:rPr>
          <w:rFonts w:ascii="Times New Roman" w:hAnsi="Times New Roman" w:cs="Times New Roman"/>
          <w:color w:val="auto"/>
          <w:spacing w:val="-2"/>
          <w:sz w:val="28"/>
          <w:szCs w:val="28"/>
          <w:highlight w:val="none"/>
        </w:rPr>
        <w:t>2309</w:t>
      </w:r>
      <w:r>
        <w:rPr>
          <w:rFonts w:hint="eastAsia" w:ascii="Times New Roman" w:hAnsi="Times New Roman" w:cs="宋体"/>
          <w:color w:val="auto"/>
          <w:spacing w:val="-2"/>
          <w:sz w:val="28"/>
          <w:szCs w:val="28"/>
          <w:highlight w:val="none"/>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hint="eastAsia" w:ascii="Times New Roman" w:hAnsi="Times New Roman" w:cs="宋体"/>
          <w:color w:val="auto"/>
          <w:spacing w:val="-2"/>
          <w:sz w:val="28"/>
          <w:szCs w:val="28"/>
          <w:highlight w:val="none"/>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highlight w:val="none"/>
        </w:rPr>
      </w:pPr>
      <w:bookmarkStart w:id="99" w:name="_Toc19195"/>
      <w:bookmarkStart w:id="100" w:name="_Toc7510"/>
      <w:r>
        <w:rPr>
          <w:rFonts w:ascii="宋体" w:hAnsi="宋体"/>
          <w:color w:val="auto"/>
          <w:sz w:val="32"/>
          <w:szCs w:val="32"/>
          <w:highlight w:val="none"/>
        </w:rPr>
        <w:t xml:space="preserve">4 </w:t>
      </w:r>
      <w:r>
        <w:rPr>
          <w:rFonts w:hint="eastAsia" w:ascii="宋体" w:hAnsi="宋体"/>
          <w:color w:val="auto"/>
          <w:sz w:val="32"/>
          <w:szCs w:val="32"/>
          <w:highlight w:val="none"/>
        </w:rPr>
        <w:t>评价单元划分和评价方法选择</w:t>
      </w:r>
      <w:bookmarkEnd w:id="99"/>
      <w:bookmarkEnd w:id="100"/>
    </w:p>
    <w:p w14:paraId="16AFE590">
      <w:pPr>
        <w:pStyle w:val="3"/>
        <w:jc w:val="center"/>
        <w:rPr>
          <w:rFonts w:ascii="宋体" w:hAnsi="宋体"/>
          <w:color w:val="auto"/>
          <w:sz w:val="30"/>
          <w:szCs w:val="30"/>
          <w:highlight w:val="none"/>
        </w:rPr>
      </w:pPr>
      <w:bookmarkStart w:id="101" w:name="_Toc23345"/>
      <w:bookmarkStart w:id="102" w:name="_Toc1174"/>
      <w:bookmarkStart w:id="103" w:name="_Toc20468418"/>
      <w:bookmarkStart w:id="104" w:name="_Toc18672"/>
      <w:bookmarkStart w:id="105" w:name="_Toc90566109"/>
      <w:bookmarkStart w:id="106" w:name="_Toc3601"/>
      <w:bookmarkStart w:id="107" w:name="_Toc11638"/>
      <w:bookmarkStart w:id="108" w:name="_Toc92712580"/>
      <w:r>
        <w:rPr>
          <w:rFonts w:ascii="宋体" w:hAnsi="宋体"/>
          <w:color w:val="auto"/>
          <w:sz w:val="30"/>
          <w:szCs w:val="30"/>
          <w:highlight w:val="none"/>
        </w:rPr>
        <w:t xml:space="preserve">4.1 </w:t>
      </w:r>
      <w:r>
        <w:rPr>
          <w:rFonts w:hint="eastAsia" w:ascii="宋体" w:hAnsi="宋体"/>
          <w:color w:val="auto"/>
          <w:sz w:val="30"/>
          <w:szCs w:val="30"/>
          <w:highlight w:val="none"/>
        </w:rPr>
        <w:t>评价单元的</w:t>
      </w:r>
      <w:bookmarkEnd w:id="101"/>
      <w:bookmarkEnd w:id="102"/>
      <w:bookmarkEnd w:id="103"/>
      <w:bookmarkEnd w:id="104"/>
      <w:r>
        <w:rPr>
          <w:rFonts w:hint="eastAsia" w:ascii="宋体" w:hAnsi="宋体"/>
          <w:color w:val="auto"/>
          <w:sz w:val="30"/>
          <w:szCs w:val="30"/>
          <w:highlight w:val="none"/>
        </w:rPr>
        <w:t>划分</w:t>
      </w:r>
      <w:bookmarkEnd w:id="105"/>
      <w:r>
        <w:rPr>
          <w:rFonts w:hint="eastAsia" w:ascii="宋体" w:hAnsi="宋体"/>
          <w:color w:val="auto"/>
          <w:sz w:val="30"/>
          <w:szCs w:val="30"/>
          <w:highlight w:val="none"/>
        </w:rPr>
        <w:t>和评价方法选择</w:t>
      </w:r>
      <w:bookmarkEnd w:id="106"/>
      <w:bookmarkEnd w:id="107"/>
      <w:bookmarkEnd w:id="108"/>
    </w:p>
    <w:p w14:paraId="26555E2F">
      <w:pPr>
        <w:spacing w:line="600" w:lineRule="exact"/>
        <w:ind w:firstLine="570"/>
        <w:rPr>
          <w:rFonts w:ascii="宋体" w:hAnsi="宋体"/>
          <w:color w:val="auto"/>
          <w:sz w:val="28"/>
          <w:szCs w:val="28"/>
          <w:highlight w:val="none"/>
        </w:rPr>
      </w:pPr>
      <w:r>
        <w:rPr>
          <w:rFonts w:ascii="宋体" w:hAnsi="宋体"/>
          <w:color w:val="auto"/>
          <w:sz w:val="28"/>
          <w:szCs w:val="28"/>
          <w:highlight w:val="none"/>
        </w:rPr>
        <w:t>以装置功能为主划分评价单元。</w:t>
      </w:r>
    </w:p>
    <w:p w14:paraId="4FB40D24">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根据评价单元划分的原则，结合本项目装置自身的工艺特点，按照各工序的不同危险性，总体上划分为以下4个单元，见表4</w:t>
      </w:r>
      <w:r>
        <w:rPr>
          <w:rFonts w:hint="eastAsia" w:ascii="宋体" w:hAnsi="宋体"/>
          <w:color w:val="auto"/>
          <w:sz w:val="28"/>
          <w:szCs w:val="28"/>
          <w:highlight w:val="none"/>
        </w:rPr>
        <w:t>.1</w:t>
      </w:r>
      <w:r>
        <w:rPr>
          <w:rFonts w:ascii="宋体" w:hAnsi="宋体"/>
          <w:color w:val="auto"/>
          <w:sz w:val="28"/>
          <w:szCs w:val="28"/>
          <w:highlight w:val="none"/>
        </w:rPr>
        <w:t>-1。</w:t>
      </w:r>
    </w:p>
    <w:p w14:paraId="2AC717B4">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.1</w:t>
      </w:r>
      <w:r>
        <w:rPr>
          <w:rFonts w:ascii="宋体" w:hAnsi="宋体"/>
          <w:color w:val="auto"/>
          <w:sz w:val="28"/>
          <w:szCs w:val="28"/>
          <w:highlight w:val="none"/>
        </w:rPr>
        <w:t>-1  评价单元划分</w:t>
      </w:r>
      <w:r>
        <w:rPr>
          <w:rFonts w:hint="eastAsia" w:ascii="宋体" w:hAnsi="宋体"/>
          <w:color w:val="auto"/>
          <w:sz w:val="28"/>
          <w:szCs w:val="28"/>
          <w:highlight w:val="none"/>
        </w:rPr>
        <w:t>和评价方法选择</w:t>
      </w:r>
      <w:r>
        <w:rPr>
          <w:rFonts w:ascii="宋体" w:hAnsi="宋体"/>
          <w:color w:val="auto"/>
          <w:sz w:val="28"/>
          <w:szCs w:val="28"/>
          <w:highlight w:val="none"/>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highlight w:val="none"/>
              </w:rPr>
            </w:pPr>
            <w:r>
              <w:rPr>
                <w:rFonts w:ascii="宋体" w:hAnsi="宋体"/>
                <w:b/>
                <w:color w:val="auto"/>
                <w:highlight w:val="none"/>
              </w:rPr>
              <w:t>序号</w:t>
            </w:r>
          </w:p>
        </w:tc>
        <w:tc>
          <w:tcPr>
            <w:tcW w:w="1220" w:type="dxa"/>
            <w:vAlign w:val="center"/>
          </w:tcPr>
          <w:p w14:paraId="5E364E4B">
            <w:pPr>
              <w:jc w:val="center"/>
              <w:rPr>
                <w:rFonts w:ascii="宋体" w:hAnsi="宋体"/>
                <w:b/>
                <w:color w:val="auto"/>
                <w:highlight w:val="none"/>
              </w:rPr>
            </w:pPr>
            <w:r>
              <w:rPr>
                <w:rFonts w:ascii="宋体" w:hAnsi="宋体"/>
                <w:b/>
                <w:color w:val="auto"/>
                <w:highlight w:val="none"/>
              </w:rPr>
              <w:t>评价单元</w:t>
            </w:r>
          </w:p>
        </w:tc>
        <w:tc>
          <w:tcPr>
            <w:tcW w:w="5040" w:type="dxa"/>
            <w:vAlign w:val="center"/>
          </w:tcPr>
          <w:p w14:paraId="1DF6E949">
            <w:pPr>
              <w:jc w:val="center"/>
              <w:rPr>
                <w:rFonts w:ascii="宋体" w:hAnsi="宋体"/>
                <w:b/>
                <w:color w:val="auto"/>
                <w:highlight w:val="none"/>
              </w:rPr>
            </w:pPr>
            <w:r>
              <w:rPr>
                <w:rFonts w:ascii="宋体" w:hAnsi="宋体"/>
                <w:b/>
                <w:color w:val="auto"/>
                <w:highlight w:val="none"/>
              </w:rPr>
              <w:t>评价的主要对象</w:t>
            </w:r>
          </w:p>
        </w:tc>
        <w:tc>
          <w:tcPr>
            <w:tcW w:w="2434" w:type="dxa"/>
            <w:vAlign w:val="center"/>
          </w:tcPr>
          <w:p w14:paraId="07377A38">
            <w:pPr>
              <w:jc w:val="center"/>
              <w:rPr>
                <w:rFonts w:ascii="宋体" w:hAnsi="宋体"/>
                <w:b/>
                <w:color w:val="auto"/>
                <w:highlight w:val="none"/>
              </w:rPr>
            </w:pPr>
            <w:r>
              <w:rPr>
                <w:rFonts w:ascii="宋体" w:hAnsi="宋体"/>
                <w:b/>
                <w:color w:val="auto"/>
                <w:highlight w:val="none"/>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highlight w:val="none"/>
              </w:rPr>
            </w:pPr>
            <w:r>
              <w:rPr>
                <w:rFonts w:ascii="宋体" w:hAnsi="宋体"/>
                <w:color w:val="auto"/>
                <w:highlight w:val="none"/>
              </w:rPr>
              <w:t>1</w:t>
            </w:r>
          </w:p>
        </w:tc>
        <w:tc>
          <w:tcPr>
            <w:tcW w:w="1220" w:type="dxa"/>
            <w:vAlign w:val="center"/>
          </w:tcPr>
          <w:p w14:paraId="26B8061B">
            <w:pPr>
              <w:rPr>
                <w:rFonts w:ascii="宋体" w:hAnsi="宋体"/>
                <w:color w:val="auto"/>
                <w:highlight w:val="none"/>
              </w:rPr>
            </w:pPr>
            <w:r>
              <w:rPr>
                <w:rFonts w:ascii="宋体" w:hAnsi="宋体"/>
                <w:color w:val="auto"/>
                <w:highlight w:val="none"/>
              </w:rPr>
              <w:t>厂址及外部距离</w:t>
            </w:r>
          </w:p>
        </w:tc>
        <w:tc>
          <w:tcPr>
            <w:tcW w:w="5040" w:type="dxa"/>
            <w:vAlign w:val="center"/>
          </w:tcPr>
          <w:p w14:paraId="3E650D34">
            <w:pPr>
              <w:rPr>
                <w:rFonts w:ascii="宋体" w:hAnsi="宋体"/>
                <w:color w:val="auto"/>
                <w:highlight w:val="none"/>
              </w:rPr>
            </w:pPr>
            <w:r>
              <w:rPr>
                <w:rFonts w:ascii="宋体" w:hAnsi="宋体"/>
                <w:color w:val="auto"/>
                <w:highlight w:val="none"/>
              </w:rPr>
              <w:t>加油站区</w:t>
            </w:r>
            <w:r>
              <w:rPr>
                <w:rFonts w:hint="eastAsia" w:ascii="宋体" w:hAnsi="宋体"/>
                <w:color w:val="auto"/>
                <w:highlight w:val="none"/>
              </w:rPr>
              <w:t>（储油罐、通气管、卸油口、加油机等）</w:t>
            </w:r>
          </w:p>
        </w:tc>
        <w:tc>
          <w:tcPr>
            <w:tcW w:w="2434" w:type="dxa"/>
            <w:vAlign w:val="center"/>
          </w:tcPr>
          <w:p w14:paraId="29D502C7">
            <w:pPr>
              <w:rPr>
                <w:rFonts w:ascii="宋体" w:hAnsi="宋体"/>
                <w:color w:val="auto"/>
                <w:highlight w:val="none"/>
              </w:rPr>
            </w:pPr>
            <w:r>
              <w:rPr>
                <w:rFonts w:ascii="宋体" w:hAnsi="宋体"/>
                <w:color w:val="auto"/>
                <w:highlight w:val="none"/>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highlight w:val="none"/>
              </w:rPr>
            </w:pPr>
            <w:r>
              <w:rPr>
                <w:rFonts w:ascii="宋体" w:hAnsi="宋体"/>
                <w:color w:val="auto"/>
                <w:highlight w:val="none"/>
              </w:rPr>
              <w:t>2</w:t>
            </w:r>
          </w:p>
        </w:tc>
        <w:tc>
          <w:tcPr>
            <w:tcW w:w="1220" w:type="dxa"/>
            <w:vAlign w:val="center"/>
          </w:tcPr>
          <w:p w14:paraId="7DF1149F">
            <w:pPr>
              <w:rPr>
                <w:rFonts w:ascii="宋体" w:hAnsi="宋体"/>
                <w:color w:val="auto"/>
                <w:highlight w:val="none"/>
              </w:rPr>
            </w:pPr>
            <w:r>
              <w:rPr>
                <w:rFonts w:ascii="宋体" w:hAnsi="宋体"/>
                <w:color w:val="auto"/>
                <w:highlight w:val="none"/>
              </w:rPr>
              <w:t>平面布置</w:t>
            </w:r>
          </w:p>
        </w:tc>
        <w:tc>
          <w:tcPr>
            <w:tcW w:w="5040" w:type="dxa"/>
            <w:vAlign w:val="center"/>
          </w:tcPr>
          <w:p w14:paraId="1F57BAB5">
            <w:pPr>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w:t>
            </w:r>
            <w:r>
              <w:rPr>
                <w:rFonts w:ascii="宋体" w:hAnsi="宋体"/>
                <w:color w:val="auto"/>
                <w:highlight w:val="none"/>
              </w:rPr>
              <w:t>加油机、储油罐</w:t>
            </w:r>
            <w:r>
              <w:rPr>
                <w:rFonts w:hint="eastAsia" w:ascii="宋体" w:hAnsi="宋体"/>
                <w:color w:val="auto"/>
                <w:highlight w:val="none"/>
              </w:rPr>
              <w:t>、通气管、卸油口等</w:t>
            </w:r>
          </w:p>
        </w:tc>
        <w:tc>
          <w:tcPr>
            <w:tcW w:w="2434" w:type="dxa"/>
            <w:vAlign w:val="center"/>
          </w:tcPr>
          <w:p w14:paraId="72E600B6">
            <w:pPr>
              <w:rPr>
                <w:rFonts w:ascii="宋体" w:hAnsi="宋体"/>
                <w:color w:val="auto"/>
                <w:highlight w:val="none"/>
              </w:rPr>
            </w:pPr>
            <w:r>
              <w:rPr>
                <w:rFonts w:ascii="宋体" w:hAnsi="宋体"/>
                <w:color w:val="auto"/>
                <w:highlight w:val="none"/>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highlight w:val="none"/>
              </w:rPr>
            </w:pPr>
            <w:r>
              <w:rPr>
                <w:rFonts w:ascii="宋体" w:hAnsi="宋体"/>
                <w:color w:val="auto"/>
                <w:highlight w:val="none"/>
              </w:rPr>
              <w:t>3</w:t>
            </w:r>
          </w:p>
        </w:tc>
        <w:tc>
          <w:tcPr>
            <w:tcW w:w="1220" w:type="dxa"/>
            <w:vMerge w:val="restart"/>
            <w:vAlign w:val="center"/>
          </w:tcPr>
          <w:p w14:paraId="2BBD58D4">
            <w:pPr>
              <w:rPr>
                <w:rFonts w:ascii="宋体" w:hAnsi="宋体"/>
                <w:color w:val="auto"/>
                <w:highlight w:val="none"/>
              </w:rPr>
            </w:pPr>
            <w:r>
              <w:rPr>
                <w:rFonts w:ascii="宋体" w:hAnsi="宋体"/>
                <w:color w:val="auto"/>
                <w:highlight w:val="none"/>
              </w:rPr>
              <w:t>工艺设施、消防</w:t>
            </w:r>
          </w:p>
        </w:tc>
        <w:tc>
          <w:tcPr>
            <w:tcW w:w="5040" w:type="dxa"/>
            <w:vAlign w:val="center"/>
          </w:tcPr>
          <w:p w14:paraId="003D9B88">
            <w:pP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消防器材</w:t>
            </w:r>
          </w:p>
        </w:tc>
        <w:tc>
          <w:tcPr>
            <w:tcW w:w="2434" w:type="dxa"/>
            <w:vMerge w:val="restart"/>
            <w:vAlign w:val="center"/>
          </w:tcPr>
          <w:p w14:paraId="38FC46CC">
            <w:pPr>
              <w:rPr>
                <w:rFonts w:ascii="宋体" w:hAnsi="宋体"/>
                <w:color w:val="auto"/>
                <w:highlight w:val="none"/>
              </w:rPr>
            </w:pPr>
            <w:r>
              <w:rPr>
                <w:rFonts w:ascii="宋体" w:hAnsi="宋体"/>
                <w:color w:val="auto"/>
                <w:highlight w:val="none"/>
              </w:rPr>
              <w:t>安全检查表法</w:t>
            </w:r>
          </w:p>
          <w:p w14:paraId="09E43004">
            <w:pPr>
              <w:rPr>
                <w:rFonts w:ascii="宋体" w:hAnsi="宋体"/>
                <w:color w:val="auto"/>
                <w:highlight w:val="none"/>
              </w:rPr>
            </w:pPr>
            <w:r>
              <w:rPr>
                <w:rFonts w:ascii="宋体" w:hAnsi="宋体"/>
                <w:color w:val="auto"/>
                <w:highlight w:val="none"/>
              </w:rPr>
              <w:t>危险度评价</w:t>
            </w:r>
          </w:p>
          <w:p w14:paraId="18F0C602">
            <w:pPr>
              <w:rPr>
                <w:rFonts w:ascii="宋体" w:hAnsi="宋体"/>
                <w:color w:val="auto"/>
                <w:highlight w:val="none"/>
              </w:rPr>
            </w:pPr>
            <w:r>
              <w:rPr>
                <w:rFonts w:ascii="宋体" w:hAnsi="宋体"/>
                <w:color w:val="auto"/>
                <w:highlight w:val="none"/>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highlight w:val="none"/>
              </w:rPr>
            </w:pPr>
          </w:p>
        </w:tc>
        <w:tc>
          <w:tcPr>
            <w:tcW w:w="1220" w:type="dxa"/>
            <w:vMerge w:val="continue"/>
            <w:vAlign w:val="center"/>
          </w:tcPr>
          <w:p w14:paraId="553B2C74">
            <w:pPr>
              <w:rPr>
                <w:rFonts w:ascii="宋体" w:hAnsi="宋体"/>
                <w:color w:val="auto"/>
                <w:highlight w:val="none"/>
              </w:rPr>
            </w:pPr>
          </w:p>
        </w:tc>
        <w:tc>
          <w:tcPr>
            <w:tcW w:w="5040" w:type="dxa"/>
            <w:vAlign w:val="center"/>
          </w:tcPr>
          <w:p w14:paraId="1928ED2B">
            <w:pPr>
              <w:rPr>
                <w:rFonts w:ascii="宋体" w:hAnsi="宋体"/>
                <w:color w:val="auto"/>
                <w:highlight w:val="none"/>
              </w:rPr>
            </w:pPr>
            <w:r>
              <w:rPr>
                <w:rFonts w:ascii="宋体" w:hAnsi="宋体"/>
                <w:color w:val="auto"/>
                <w:highlight w:val="none"/>
              </w:rPr>
              <w:t>加油机、储油罐</w:t>
            </w:r>
          </w:p>
        </w:tc>
        <w:tc>
          <w:tcPr>
            <w:tcW w:w="2434" w:type="dxa"/>
            <w:vMerge w:val="continue"/>
            <w:vAlign w:val="center"/>
          </w:tcPr>
          <w:p w14:paraId="3E1A7589">
            <w:pPr>
              <w:rPr>
                <w:rFonts w:ascii="宋体" w:hAnsi="宋体"/>
                <w:color w:val="auto"/>
                <w:highlight w:val="none"/>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highlight w:val="none"/>
              </w:rPr>
            </w:pPr>
            <w:r>
              <w:rPr>
                <w:rFonts w:ascii="宋体" w:hAnsi="宋体"/>
                <w:color w:val="auto"/>
                <w:highlight w:val="none"/>
              </w:rPr>
              <w:t>4</w:t>
            </w:r>
          </w:p>
        </w:tc>
        <w:tc>
          <w:tcPr>
            <w:tcW w:w="1220" w:type="dxa"/>
            <w:vAlign w:val="center"/>
          </w:tcPr>
          <w:p w14:paraId="40526E61">
            <w:pPr>
              <w:rPr>
                <w:rFonts w:ascii="宋体" w:hAnsi="宋体"/>
                <w:color w:val="auto"/>
                <w:highlight w:val="none"/>
              </w:rPr>
            </w:pPr>
            <w:r>
              <w:rPr>
                <w:rFonts w:ascii="宋体" w:hAnsi="宋体"/>
                <w:color w:val="auto"/>
                <w:highlight w:val="none"/>
              </w:rPr>
              <w:t>安全管理单元</w:t>
            </w:r>
          </w:p>
        </w:tc>
        <w:tc>
          <w:tcPr>
            <w:tcW w:w="5040" w:type="dxa"/>
            <w:vAlign w:val="center"/>
          </w:tcPr>
          <w:p w14:paraId="79B04EA8">
            <w:pPr>
              <w:rPr>
                <w:rFonts w:ascii="宋体" w:hAnsi="宋体"/>
                <w:color w:val="auto"/>
                <w:highlight w:val="none"/>
              </w:rPr>
            </w:pPr>
            <w:r>
              <w:rPr>
                <w:rFonts w:ascii="宋体" w:hAnsi="宋体"/>
                <w:color w:val="auto"/>
                <w:highlight w:val="none"/>
              </w:rPr>
              <w:t>安全管理组织机构、安全</w:t>
            </w:r>
            <w:r>
              <w:rPr>
                <w:rFonts w:hint="eastAsia" w:ascii="宋体" w:hAnsi="宋体"/>
                <w:color w:val="auto"/>
                <w:highlight w:val="none"/>
              </w:rPr>
              <w:t>生产</w:t>
            </w:r>
            <w:r>
              <w:rPr>
                <w:rFonts w:ascii="宋体" w:hAnsi="宋体"/>
                <w:color w:val="auto"/>
                <w:highlight w:val="none"/>
              </w:rPr>
              <w:t>责任制</w:t>
            </w:r>
            <w:r>
              <w:rPr>
                <w:rFonts w:hint="eastAsia" w:ascii="宋体" w:hAnsi="宋体"/>
                <w:color w:val="auto"/>
                <w:highlight w:val="none"/>
              </w:rPr>
              <w:t>、</w:t>
            </w:r>
            <w:r>
              <w:rPr>
                <w:rFonts w:ascii="宋体" w:hAnsi="宋体"/>
                <w:color w:val="auto"/>
                <w:highlight w:val="none"/>
              </w:rPr>
              <w:t>安全操作规程</w:t>
            </w:r>
            <w:r>
              <w:rPr>
                <w:rFonts w:hint="eastAsia" w:ascii="宋体" w:hAnsi="宋体"/>
                <w:color w:val="auto"/>
                <w:highlight w:val="none"/>
              </w:rPr>
              <w:t>、其他安全管理</w:t>
            </w:r>
          </w:p>
        </w:tc>
        <w:tc>
          <w:tcPr>
            <w:tcW w:w="2434" w:type="dxa"/>
            <w:vAlign w:val="center"/>
          </w:tcPr>
          <w:p w14:paraId="751C20C6">
            <w:pPr>
              <w:rPr>
                <w:rFonts w:ascii="宋体" w:hAnsi="宋体"/>
                <w:color w:val="auto"/>
                <w:highlight w:val="none"/>
              </w:rPr>
            </w:pPr>
            <w:r>
              <w:rPr>
                <w:rFonts w:ascii="宋体" w:hAnsi="宋体"/>
                <w:color w:val="auto"/>
                <w:highlight w:val="none"/>
              </w:rPr>
              <w:t>安全检查表法</w:t>
            </w:r>
          </w:p>
        </w:tc>
      </w:tr>
    </w:tbl>
    <w:p w14:paraId="6CD97985">
      <w:pPr>
        <w:pStyle w:val="3"/>
        <w:jc w:val="center"/>
        <w:rPr>
          <w:rFonts w:ascii="宋体" w:hAnsi="宋体"/>
          <w:color w:val="auto"/>
          <w:sz w:val="30"/>
          <w:szCs w:val="30"/>
          <w:highlight w:val="none"/>
        </w:rPr>
      </w:pPr>
      <w:bookmarkStart w:id="109" w:name="_Toc90566110"/>
      <w:bookmarkStart w:id="110" w:name="_Toc92712581"/>
      <w:bookmarkStart w:id="111" w:name="_Toc24868"/>
      <w:bookmarkStart w:id="112" w:name="_Toc30060"/>
      <w:r>
        <w:rPr>
          <w:rFonts w:ascii="宋体" w:hAnsi="宋体"/>
          <w:color w:val="auto"/>
          <w:sz w:val="30"/>
          <w:szCs w:val="30"/>
          <w:highlight w:val="none"/>
        </w:rPr>
        <w:t>4.</w:t>
      </w:r>
      <w:r>
        <w:rPr>
          <w:rFonts w:hint="eastAsia" w:ascii="宋体" w:hAnsi="宋体"/>
          <w:color w:val="auto"/>
          <w:sz w:val="30"/>
          <w:szCs w:val="30"/>
          <w:highlight w:val="none"/>
        </w:rPr>
        <w:t>2</w:t>
      </w:r>
      <w:bookmarkEnd w:id="109"/>
      <w:bookmarkStart w:id="113" w:name="_Toc90566111"/>
      <w:r>
        <w:rPr>
          <w:rFonts w:hint="eastAsia" w:ascii="宋体" w:hAnsi="宋体"/>
          <w:color w:val="auto"/>
          <w:sz w:val="30"/>
          <w:szCs w:val="30"/>
          <w:highlight w:val="none"/>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highlight w:val="none"/>
        </w:rPr>
      </w:pPr>
      <w:bookmarkStart w:id="114" w:name="_Toc68180459"/>
      <w:bookmarkStart w:id="115" w:name="_Toc13417"/>
      <w:bookmarkStart w:id="116" w:name="_Toc92712582"/>
      <w:bookmarkStart w:id="117" w:name="_Toc25391"/>
      <w:bookmarkStart w:id="118" w:name="_Toc20468420"/>
      <w:bookmarkStart w:id="119" w:name="_Toc28161"/>
      <w:r>
        <w:rPr>
          <w:rFonts w:ascii="宋体" w:hAnsi="宋体"/>
          <w:b/>
          <w:bCs/>
          <w:color w:val="auto"/>
          <w:sz w:val="28"/>
          <w:szCs w:val="28"/>
          <w:highlight w:val="none"/>
        </w:rPr>
        <w:t>4.2.1</w:t>
      </w:r>
      <w:r>
        <w:rPr>
          <w:rFonts w:hint="eastAsia" w:ascii="宋体" w:hAnsi="宋体"/>
          <w:b/>
          <w:bCs/>
          <w:color w:val="auto"/>
          <w:sz w:val="28"/>
          <w:szCs w:val="28"/>
          <w:highlight w:val="none"/>
        </w:rPr>
        <w:t xml:space="preserve"> </w:t>
      </w:r>
      <w:r>
        <w:rPr>
          <w:rFonts w:ascii="宋体" w:hAnsi="宋体"/>
          <w:b/>
          <w:bCs/>
          <w:color w:val="auto"/>
          <w:sz w:val="28"/>
          <w:szCs w:val="28"/>
          <w:highlight w:val="none"/>
        </w:rPr>
        <w:t>安全检查表法</w:t>
      </w:r>
      <w:bookmarkEnd w:id="114"/>
      <w:bookmarkEnd w:id="115"/>
      <w:bookmarkEnd w:id="116"/>
    </w:p>
    <w:p w14:paraId="79DB68ED">
      <w:pPr>
        <w:spacing w:line="600" w:lineRule="exact"/>
        <w:ind w:firstLine="570"/>
        <w:rPr>
          <w:rFonts w:ascii="宋体" w:hAnsi="宋体"/>
          <w:color w:val="auto"/>
          <w:sz w:val="28"/>
          <w:szCs w:val="28"/>
          <w:highlight w:val="none"/>
        </w:rPr>
      </w:pPr>
      <w:r>
        <w:rPr>
          <w:rFonts w:ascii="宋体" w:hAnsi="宋体"/>
          <w:color w:val="auto"/>
          <w:spacing w:val="-6"/>
          <w:sz w:val="28"/>
          <w:szCs w:val="28"/>
          <w:highlight w:val="none"/>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highlight w:val="none"/>
        </w:rPr>
      </w:pPr>
      <w:r>
        <w:rPr>
          <w:rFonts w:ascii="宋体" w:hAnsi="宋体"/>
          <w:color w:val="auto"/>
          <w:sz w:val="28"/>
          <w:szCs w:val="28"/>
          <w:highlight w:val="none"/>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安全检查表分析包括三个步骤：</w:t>
      </w:r>
    </w:p>
    <w:p w14:paraId="182AB01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选择或拟定合适的安全检查表；</w:t>
      </w:r>
    </w:p>
    <w:p w14:paraId="701D7995">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完成分析；</w:t>
      </w:r>
    </w:p>
    <w:p w14:paraId="5742978D">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编制分析结果文件。</w:t>
      </w:r>
    </w:p>
    <w:p w14:paraId="164D0C93">
      <w:pPr>
        <w:spacing w:line="600" w:lineRule="exact"/>
        <w:rPr>
          <w:rFonts w:ascii="宋体" w:hAnsi="宋体"/>
          <w:b/>
          <w:bCs/>
          <w:color w:val="auto"/>
          <w:sz w:val="28"/>
          <w:szCs w:val="28"/>
          <w:highlight w:val="none"/>
        </w:rPr>
      </w:pPr>
      <w:bookmarkStart w:id="120" w:name="_Toc28176"/>
      <w:bookmarkStart w:id="121" w:name="_Toc92712583"/>
      <w:r>
        <w:rPr>
          <w:rFonts w:ascii="宋体" w:hAnsi="宋体"/>
          <w:b/>
          <w:bCs/>
          <w:color w:val="auto"/>
          <w:sz w:val="28"/>
          <w:szCs w:val="28"/>
          <w:highlight w:val="none"/>
        </w:rPr>
        <w:t>4.2.2</w:t>
      </w:r>
      <w:r>
        <w:rPr>
          <w:rFonts w:hint="eastAsia" w:ascii="宋体" w:hAnsi="宋体"/>
          <w:b/>
          <w:bCs/>
          <w:color w:val="auto"/>
          <w:sz w:val="28"/>
          <w:szCs w:val="28"/>
          <w:highlight w:val="none"/>
        </w:rPr>
        <w:t xml:space="preserve"> </w:t>
      </w:r>
      <w:r>
        <w:rPr>
          <w:rFonts w:ascii="宋体" w:hAnsi="宋体"/>
          <w:b/>
          <w:bCs/>
          <w:color w:val="auto"/>
          <w:sz w:val="28"/>
          <w:szCs w:val="28"/>
          <w:highlight w:val="none"/>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（1）</w:t>
      </w:r>
      <w:r>
        <w:rPr>
          <w:rFonts w:ascii="宋体" w:hAnsi="宋体"/>
          <w:color w:val="auto"/>
          <w:sz w:val="28"/>
          <w:szCs w:val="28"/>
          <w:highlight w:val="none"/>
        </w:rPr>
        <w:t>评价方法简介</w:t>
      </w:r>
    </w:p>
    <w:p w14:paraId="02C2E217">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作业条件危险性评价法用与系统风险有关的三种因素指标值之积来评价操作人员伤亡风险大小，这三种因素是：L</w:t>
      </w:r>
      <w:r>
        <w:rPr>
          <w:rFonts w:hint="eastAsia" w:ascii="宋体" w:hAnsi="宋体"/>
          <w:color w:val="auto"/>
          <w:sz w:val="28"/>
          <w:szCs w:val="28"/>
          <w:highlight w:val="none"/>
        </w:rPr>
        <w:t>——</w:t>
      </w:r>
      <w:r>
        <w:rPr>
          <w:rFonts w:ascii="宋体" w:hAnsi="宋体"/>
          <w:color w:val="auto"/>
          <w:sz w:val="28"/>
          <w:szCs w:val="28"/>
          <w:highlight w:val="none"/>
        </w:rPr>
        <w:t>事故发生的可能性；E</w:t>
      </w:r>
      <w:r>
        <w:rPr>
          <w:rFonts w:hint="eastAsia" w:ascii="宋体" w:hAnsi="宋体"/>
          <w:color w:val="auto"/>
          <w:sz w:val="28"/>
          <w:szCs w:val="28"/>
          <w:highlight w:val="none"/>
        </w:rPr>
        <w:t>——</w:t>
      </w:r>
      <w:r>
        <w:rPr>
          <w:rFonts w:ascii="宋体" w:hAnsi="宋体"/>
          <w:color w:val="auto"/>
          <w:sz w:val="28"/>
          <w:szCs w:val="28"/>
          <w:highlight w:val="none"/>
        </w:rPr>
        <w:t>人员暴露于危险环境中的频繁程度；C</w:t>
      </w:r>
      <w:r>
        <w:rPr>
          <w:rFonts w:hint="eastAsia" w:ascii="宋体" w:hAnsi="宋体"/>
          <w:color w:val="auto"/>
          <w:sz w:val="28"/>
          <w:szCs w:val="28"/>
          <w:highlight w:val="none"/>
        </w:rPr>
        <w:t>——</w:t>
      </w:r>
      <w:r>
        <w:rPr>
          <w:rFonts w:ascii="宋体" w:hAnsi="宋体"/>
          <w:color w:val="auto"/>
          <w:sz w:val="28"/>
          <w:szCs w:val="28"/>
          <w:highlight w:val="none"/>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（2）</w:t>
      </w:r>
      <w:r>
        <w:rPr>
          <w:rFonts w:ascii="宋体" w:hAnsi="宋体"/>
          <w:color w:val="auto"/>
          <w:sz w:val="28"/>
          <w:szCs w:val="28"/>
          <w:highlight w:val="none"/>
        </w:rPr>
        <w:t>评价步骤</w:t>
      </w:r>
    </w:p>
    <w:p w14:paraId="25C2B915">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评价步骤为：</w:t>
      </w:r>
    </w:p>
    <w:p w14:paraId="72DD0F6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以类比作业条件比较为基础，由熟悉作业条件的人员组成评价小组；</w:t>
      </w:r>
    </w:p>
    <w:p w14:paraId="5502B09C">
      <w:pPr>
        <w:spacing w:line="600" w:lineRule="exact"/>
        <w:ind w:firstLine="570"/>
        <w:rPr>
          <w:rFonts w:ascii="宋体" w:hAnsi="宋体"/>
          <w:color w:val="auto"/>
          <w:sz w:val="28"/>
          <w:szCs w:val="28"/>
          <w:highlight w:val="none"/>
        </w:rPr>
      </w:pPr>
      <w:r>
        <w:rPr>
          <w:rFonts w:hint="eastAsia" w:ascii="宋体" w:hAnsi="宋体"/>
          <w:color w:val="auto"/>
          <w:spacing w:val="-6"/>
          <w:sz w:val="28"/>
          <w:szCs w:val="28"/>
          <w:highlight w:val="none"/>
        </w:rPr>
        <w:t>②</w:t>
      </w:r>
      <w:r>
        <w:rPr>
          <w:rFonts w:ascii="宋体" w:hAnsi="宋体"/>
          <w:color w:val="auto"/>
          <w:spacing w:val="-6"/>
          <w:sz w:val="28"/>
          <w:szCs w:val="28"/>
          <w:highlight w:val="none"/>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（3）</w:t>
      </w:r>
      <w:r>
        <w:rPr>
          <w:rFonts w:ascii="宋体" w:hAnsi="宋体"/>
          <w:color w:val="auto"/>
          <w:sz w:val="28"/>
          <w:szCs w:val="28"/>
          <w:highlight w:val="none"/>
        </w:rPr>
        <w:t>赋分标准</w:t>
      </w:r>
    </w:p>
    <w:p w14:paraId="4FA9BC0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w:t>
      </w:r>
    </w:p>
    <w:p w14:paraId="50764157">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highlight w:val="none"/>
        </w:rPr>
        <w:t>.2-1</w:t>
      </w:r>
      <w:r>
        <w:rPr>
          <w:rFonts w:ascii="宋体" w:hAnsi="宋体"/>
          <w:color w:val="auto"/>
          <w:sz w:val="28"/>
          <w:szCs w:val="28"/>
          <w:highlight w:val="none"/>
        </w:rPr>
        <w:t>。</w:t>
      </w:r>
    </w:p>
    <w:p w14:paraId="5DD29656">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1</w:t>
      </w:r>
      <w:r>
        <w:rPr>
          <w:rFonts w:ascii="宋体" w:hAnsi="宋体"/>
          <w:color w:val="auto"/>
          <w:sz w:val="28"/>
          <w:szCs w:val="28"/>
          <w:highlight w:val="none"/>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highlight w:val="none"/>
              </w:rPr>
            </w:pPr>
            <w:r>
              <w:rPr>
                <w:rFonts w:hint="eastAsia" w:ascii="宋体" w:hAnsi="宋体"/>
                <w:b/>
                <w:color w:val="auto"/>
                <w:highlight w:val="none"/>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highlight w:val="none"/>
              </w:rPr>
            </w:pPr>
            <w:r>
              <w:rPr>
                <w:rFonts w:hint="eastAsia" w:ascii="宋体" w:hAnsi="宋体"/>
                <w:b/>
                <w:color w:val="auto"/>
                <w:highlight w:val="none"/>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highlight w:val="none"/>
              </w:rPr>
            </w:pPr>
            <w:r>
              <w:rPr>
                <w:rFonts w:hint="eastAsia" w:ascii="宋体" w:hAnsi="宋体"/>
                <w:b/>
                <w:color w:val="auto"/>
                <w:highlight w:val="none"/>
              </w:rPr>
              <w:t>分数值</w:t>
            </w:r>
          </w:p>
        </w:tc>
        <w:tc>
          <w:tcPr>
            <w:tcW w:w="1782" w:type="pct"/>
            <w:vAlign w:val="center"/>
          </w:tcPr>
          <w:p w14:paraId="55818C19">
            <w:pPr>
              <w:jc w:val="center"/>
              <w:rPr>
                <w:rFonts w:ascii="宋体" w:hAnsi="宋体"/>
                <w:b/>
                <w:color w:val="auto"/>
                <w:highlight w:val="none"/>
              </w:rPr>
            </w:pPr>
            <w:r>
              <w:rPr>
                <w:rFonts w:hint="eastAsia" w:ascii="宋体" w:hAnsi="宋体"/>
                <w:b/>
                <w:color w:val="auto"/>
                <w:highlight w:val="none"/>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highlight w:val="none"/>
              </w:rPr>
            </w:pPr>
            <w:r>
              <w:rPr>
                <w:rFonts w:ascii="宋体" w:hAnsi="宋体"/>
                <w:color w:val="auto"/>
                <w:highlight w:val="none"/>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highlight w:val="none"/>
              </w:rPr>
            </w:pPr>
            <w:r>
              <w:rPr>
                <w:rFonts w:hint="eastAsia" w:ascii="宋体" w:hAnsi="宋体"/>
                <w:color w:val="auto"/>
                <w:highlight w:val="none"/>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highlight w:val="none"/>
              </w:rPr>
            </w:pPr>
            <w:r>
              <w:rPr>
                <w:rFonts w:ascii="宋体" w:hAnsi="宋体"/>
                <w:color w:val="auto"/>
                <w:highlight w:val="none"/>
              </w:rPr>
              <w:t>0.5</w:t>
            </w:r>
          </w:p>
        </w:tc>
        <w:tc>
          <w:tcPr>
            <w:tcW w:w="1782" w:type="pct"/>
            <w:vAlign w:val="center"/>
          </w:tcPr>
          <w:p w14:paraId="3A6A686C">
            <w:pPr>
              <w:rPr>
                <w:rFonts w:ascii="宋体" w:hAnsi="宋体"/>
                <w:color w:val="auto"/>
                <w:highlight w:val="none"/>
              </w:rPr>
            </w:pPr>
            <w:r>
              <w:rPr>
                <w:rFonts w:hint="eastAsia" w:ascii="宋体" w:hAnsi="宋体"/>
                <w:color w:val="auto"/>
                <w:highlight w:val="none"/>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highlight w:val="none"/>
              </w:rPr>
            </w:pPr>
            <w:r>
              <w:rPr>
                <w:rFonts w:ascii="宋体" w:hAnsi="宋体"/>
                <w:color w:val="auto"/>
                <w:highlight w:val="none"/>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highlight w:val="none"/>
              </w:rPr>
            </w:pPr>
            <w:r>
              <w:rPr>
                <w:rFonts w:hint="eastAsia" w:ascii="宋体" w:hAnsi="宋体"/>
                <w:color w:val="auto"/>
                <w:highlight w:val="none"/>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highlight w:val="none"/>
              </w:rPr>
            </w:pPr>
            <w:r>
              <w:rPr>
                <w:rFonts w:ascii="宋体" w:hAnsi="宋体"/>
                <w:color w:val="auto"/>
                <w:highlight w:val="none"/>
              </w:rPr>
              <w:t>0.2</w:t>
            </w:r>
          </w:p>
        </w:tc>
        <w:tc>
          <w:tcPr>
            <w:tcW w:w="1782" w:type="pct"/>
            <w:vAlign w:val="center"/>
          </w:tcPr>
          <w:p w14:paraId="651499D4">
            <w:pPr>
              <w:rPr>
                <w:rFonts w:ascii="宋体" w:hAnsi="宋体"/>
                <w:color w:val="auto"/>
                <w:highlight w:val="none"/>
              </w:rPr>
            </w:pPr>
            <w:r>
              <w:rPr>
                <w:rFonts w:hint="eastAsia" w:ascii="宋体" w:hAnsi="宋体"/>
                <w:color w:val="auto"/>
                <w:highlight w:val="none"/>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highlight w:val="none"/>
              </w:rPr>
            </w:pPr>
            <w:r>
              <w:rPr>
                <w:rFonts w:ascii="宋体" w:hAnsi="宋体"/>
                <w:color w:val="auto"/>
                <w:highlight w:val="none"/>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highlight w:val="none"/>
              </w:rPr>
            </w:pPr>
            <w:r>
              <w:rPr>
                <w:rFonts w:hint="eastAsia" w:ascii="宋体" w:hAnsi="宋体"/>
                <w:color w:val="auto"/>
                <w:highlight w:val="none"/>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highlight w:val="none"/>
              </w:rPr>
            </w:pPr>
            <w:r>
              <w:rPr>
                <w:rFonts w:ascii="宋体" w:hAnsi="宋体"/>
                <w:color w:val="auto"/>
                <w:highlight w:val="none"/>
              </w:rPr>
              <w:t>0.1</w:t>
            </w:r>
          </w:p>
        </w:tc>
        <w:tc>
          <w:tcPr>
            <w:tcW w:w="1782" w:type="pct"/>
            <w:vAlign w:val="center"/>
          </w:tcPr>
          <w:p w14:paraId="538B99D5">
            <w:pPr>
              <w:rPr>
                <w:rFonts w:ascii="宋体" w:hAnsi="宋体"/>
                <w:color w:val="auto"/>
                <w:highlight w:val="none"/>
              </w:rPr>
            </w:pPr>
            <w:r>
              <w:rPr>
                <w:rFonts w:hint="eastAsia" w:ascii="宋体" w:hAnsi="宋体"/>
                <w:color w:val="auto"/>
                <w:highlight w:val="none"/>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highlight w:val="none"/>
              </w:rPr>
            </w:pPr>
            <w:r>
              <w:rPr>
                <w:rFonts w:ascii="宋体" w:hAnsi="宋体"/>
                <w:color w:val="auto"/>
                <w:highlight w:val="none"/>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highlight w:val="none"/>
              </w:rPr>
            </w:pPr>
            <w:r>
              <w:rPr>
                <w:rFonts w:hint="eastAsia" w:ascii="宋体" w:hAnsi="宋体"/>
                <w:color w:val="auto"/>
                <w:highlight w:val="none"/>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highlight w:val="none"/>
              </w:rPr>
            </w:pPr>
          </w:p>
        </w:tc>
        <w:tc>
          <w:tcPr>
            <w:tcW w:w="1782" w:type="pct"/>
            <w:vAlign w:val="center"/>
          </w:tcPr>
          <w:p w14:paraId="3A4E58B7">
            <w:pPr>
              <w:rPr>
                <w:rFonts w:ascii="宋体" w:hAnsi="宋体"/>
                <w:color w:val="auto"/>
                <w:highlight w:val="none"/>
              </w:rPr>
            </w:pPr>
          </w:p>
        </w:tc>
      </w:tr>
    </w:tbl>
    <w:p w14:paraId="20EABE7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人员暴露于危险环境的频繁程度（E）</w:t>
      </w:r>
    </w:p>
    <w:p w14:paraId="41EA4402">
      <w:pPr>
        <w:spacing w:line="600" w:lineRule="exact"/>
        <w:ind w:firstLine="570"/>
        <w:rPr>
          <w:rFonts w:ascii="宋体" w:hAnsi="宋体"/>
          <w:color w:val="auto"/>
          <w:sz w:val="28"/>
          <w:szCs w:val="28"/>
          <w:highlight w:val="none"/>
        </w:rPr>
      </w:pPr>
      <w:r>
        <w:rPr>
          <w:rFonts w:ascii="宋体" w:hAnsi="宋体"/>
          <w:color w:val="auto"/>
          <w:sz w:val="28"/>
          <w:szCs w:val="28"/>
          <w:highlight w:val="none"/>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highlight w:val="none"/>
        </w:rPr>
        <w:t>.2-2</w:t>
      </w:r>
      <w:r>
        <w:rPr>
          <w:rFonts w:ascii="宋体" w:hAnsi="宋体"/>
          <w:color w:val="auto"/>
          <w:sz w:val="28"/>
          <w:szCs w:val="28"/>
          <w:highlight w:val="none"/>
        </w:rPr>
        <w:t>。</w:t>
      </w:r>
    </w:p>
    <w:p w14:paraId="3B6EB7E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.2-2</w:t>
      </w:r>
      <w:r>
        <w:rPr>
          <w:rFonts w:ascii="宋体" w:hAnsi="宋体"/>
          <w:color w:val="auto"/>
          <w:sz w:val="28"/>
          <w:szCs w:val="28"/>
          <w:highlight w:val="none"/>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highlight w:val="none"/>
              </w:rPr>
            </w:pPr>
            <w:r>
              <w:rPr>
                <w:rFonts w:hint="eastAsia" w:ascii="宋体" w:hAnsi="宋体"/>
                <w:b/>
                <w:color w:val="auto"/>
                <w:highlight w:val="none"/>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highlight w:val="none"/>
              </w:rPr>
            </w:pPr>
            <w:r>
              <w:rPr>
                <w:rFonts w:hint="eastAsia" w:ascii="宋体" w:hAnsi="宋体"/>
                <w:b/>
                <w:color w:val="auto"/>
                <w:highlight w:val="none"/>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highlight w:val="none"/>
              </w:rPr>
            </w:pPr>
            <w:r>
              <w:rPr>
                <w:rFonts w:hint="eastAsia" w:ascii="宋体" w:hAnsi="宋体"/>
                <w:b/>
                <w:color w:val="auto"/>
                <w:highlight w:val="none"/>
              </w:rPr>
              <w:t>分数值</w:t>
            </w:r>
          </w:p>
        </w:tc>
        <w:tc>
          <w:tcPr>
            <w:tcW w:w="1972" w:type="pct"/>
            <w:vAlign w:val="center"/>
          </w:tcPr>
          <w:p w14:paraId="08348435">
            <w:pPr>
              <w:jc w:val="center"/>
              <w:rPr>
                <w:rFonts w:ascii="宋体" w:hAnsi="宋体"/>
                <w:b/>
                <w:color w:val="auto"/>
                <w:highlight w:val="none"/>
              </w:rPr>
            </w:pPr>
            <w:r>
              <w:rPr>
                <w:rFonts w:hint="eastAsia" w:ascii="宋体" w:hAnsi="宋体"/>
                <w:b/>
                <w:color w:val="auto"/>
                <w:highlight w:val="none"/>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highlight w:val="none"/>
              </w:rPr>
            </w:pPr>
            <w:r>
              <w:rPr>
                <w:rFonts w:ascii="宋体" w:hAnsi="宋体"/>
                <w:color w:val="auto"/>
                <w:highlight w:val="none"/>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highlight w:val="none"/>
              </w:rPr>
            </w:pPr>
            <w:r>
              <w:rPr>
                <w:rFonts w:hint="eastAsia" w:ascii="宋体" w:hAnsi="宋体"/>
                <w:color w:val="auto"/>
                <w:highlight w:val="none"/>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highlight w:val="none"/>
              </w:rPr>
            </w:pPr>
            <w:r>
              <w:rPr>
                <w:rFonts w:ascii="宋体" w:hAnsi="宋体"/>
                <w:color w:val="auto"/>
                <w:highlight w:val="none"/>
              </w:rPr>
              <w:t>2</w:t>
            </w:r>
          </w:p>
        </w:tc>
        <w:tc>
          <w:tcPr>
            <w:tcW w:w="1972" w:type="pct"/>
            <w:vAlign w:val="center"/>
          </w:tcPr>
          <w:p w14:paraId="3315D425">
            <w:pPr>
              <w:rPr>
                <w:rFonts w:ascii="宋体" w:hAnsi="宋体"/>
                <w:color w:val="auto"/>
                <w:highlight w:val="none"/>
              </w:rPr>
            </w:pPr>
            <w:r>
              <w:rPr>
                <w:rFonts w:hint="eastAsia" w:ascii="宋体" w:hAnsi="宋体"/>
                <w:color w:val="auto"/>
                <w:highlight w:val="none"/>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highlight w:val="none"/>
              </w:rPr>
            </w:pPr>
            <w:r>
              <w:rPr>
                <w:rFonts w:ascii="宋体" w:hAnsi="宋体"/>
                <w:color w:val="auto"/>
                <w:highlight w:val="none"/>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highlight w:val="none"/>
              </w:rPr>
            </w:pPr>
            <w:r>
              <w:rPr>
                <w:rFonts w:hint="eastAsia" w:ascii="宋体" w:hAnsi="宋体"/>
                <w:color w:val="auto"/>
                <w:highlight w:val="none"/>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highlight w:val="none"/>
              </w:rPr>
            </w:pPr>
            <w:r>
              <w:rPr>
                <w:rFonts w:ascii="宋体" w:hAnsi="宋体"/>
                <w:color w:val="auto"/>
                <w:highlight w:val="none"/>
              </w:rPr>
              <w:t>1</w:t>
            </w:r>
          </w:p>
        </w:tc>
        <w:tc>
          <w:tcPr>
            <w:tcW w:w="1972" w:type="pct"/>
            <w:vAlign w:val="center"/>
          </w:tcPr>
          <w:p w14:paraId="784F19ED">
            <w:pPr>
              <w:rPr>
                <w:rFonts w:ascii="宋体" w:hAnsi="宋体"/>
                <w:color w:val="auto"/>
                <w:highlight w:val="none"/>
              </w:rPr>
            </w:pPr>
            <w:r>
              <w:rPr>
                <w:rFonts w:hint="eastAsia" w:ascii="宋体" w:hAnsi="宋体"/>
                <w:color w:val="auto"/>
                <w:highlight w:val="none"/>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highlight w:val="none"/>
              </w:rPr>
            </w:pPr>
            <w:r>
              <w:rPr>
                <w:rFonts w:ascii="宋体" w:hAnsi="宋体"/>
                <w:color w:val="auto"/>
                <w:highlight w:val="none"/>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highlight w:val="none"/>
              </w:rPr>
            </w:pPr>
            <w:r>
              <w:rPr>
                <w:rFonts w:hint="eastAsia" w:ascii="宋体" w:hAnsi="宋体"/>
                <w:color w:val="auto"/>
                <w:highlight w:val="none"/>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highlight w:val="none"/>
              </w:rPr>
            </w:pPr>
            <w:r>
              <w:rPr>
                <w:rFonts w:ascii="宋体" w:hAnsi="宋体"/>
                <w:color w:val="auto"/>
                <w:highlight w:val="none"/>
              </w:rPr>
              <w:t>0.5</w:t>
            </w:r>
          </w:p>
        </w:tc>
        <w:tc>
          <w:tcPr>
            <w:tcW w:w="1972" w:type="pct"/>
            <w:vAlign w:val="center"/>
          </w:tcPr>
          <w:p w14:paraId="08F3BCB2">
            <w:pPr>
              <w:rPr>
                <w:rFonts w:ascii="宋体" w:hAnsi="宋体"/>
                <w:color w:val="auto"/>
                <w:highlight w:val="none"/>
              </w:rPr>
            </w:pPr>
            <w:r>
              <w:rPr>
                <w:rFonts w:hint="eastAsia" w:ascii="宋体" w:hAnsi="宋体"/>
                <w:color w:val="auto"/>
                <w:highlight w:val="none"/>
              </w:rPr>
              <w:t>非常罕见的暴露</w:t>
            </w:r>
          </w:p>
        </w:tc>
      </w:tr>
    </w:tbl>
    <w:p w14:paraId="6502B333">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发生事故可能造成的后果（C）</w:t>
      </w:r>
    </w:p>
    <w:p w14:paraId="5DAE1F4F">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事故造成的人员伤亡和财产损失的范围变化很大，所以规定分数值为1</w:t>
      </w:r>
      <w:r>
        <w:rPr>
          <w:rFonts w:hint="eastAsia" w:ascii="宋体" w:hAnsi="宋体"/>
          <w:color w:val="auto"/>
          <w:sz w:val="28"/>
          <w:szCs w:val="28"/>
          <w:highlight w:val="none"/>
        </w:rPr>
        <w:t>～</w:t>
      </w:r>
      <w:r>
        <w:rPr>
          <w:rFonts w:ascii="宋体" w:hAnsi="宋体"/>
          <w:color w:val="auto"/>
          <w:sz w:val="28"/>
          <w:szCs w:val="28"/>
          <w:highlight w:val="none"/>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highlight w:val="none"/>
        </w:rPr>
        <w:t>.2-3</w:t>
      </w:r>
      <w:r>
        <w:rPr>
          <w:rFonts w:ascii="宋体" w:hAnsi="宋体"/>
          <w:color w:val="auto"/>
          <w:sz w:val="28"/>
          <w:szCs w:val="28"/>
          <w:highlight w:val="none"/>
        </w:rPr>
        <w:t>。</w:t>
      </w:r>
    </w:p>
    <w:p w14:paraId="6356276A">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.2-3</w:t>
      </w:r>
      <w:r>
        <w:rPr>
          <w:rFonts w:ascii="宋体" w:hAnsi="宋体"/>
          <w:color w:val="auto"/>
          <w:sz w:val="28"/>
          <w:szCs w:val="28"/>
          <w:highlight w:val="none"/>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highlight w:val="none"/>
              </w:rPr>
            </w:pPr>
            <w:r>
              <w:rPr>
                <w:rFonts w:hint="eastAsia" w:ascii="宋体" w:hAnsi="宋体"/>
                <w:b/>
                <w:color w:val="auto"/>
                <w:highlight w:val="none"/>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highlight w:val="none"/>
              </w:rPr>
            </w:pPr>
            <w:r>
              <w:rPr>
                <w:rFonts w:hint="eastAsia" w:ascii="宋体" w:hAnsi="宋体"/>
                <w:b/>
                <w:color w:val="auto"/>
                <w:highlight w:val="none"/>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highlight w:val="none"/>
              </w:rPr>
            </w:pPr>
            <w:r>
              <w:rPr>
                <w:rFonts w:hint="eastAsia" w:ascii="宋体" w:hAnsi="宋体"/>
                <w:b/>
                <w:color w:val="auto"/>
                <w:highlight w:val="none"/>
              </w:rPr>
              <w:t>分数值</w:t>
            </w:r>
          </w:p>
        </w:tc>
        <w:tc>
          <w:tcPr>
            <w:tcW w:w="3646" w:type="dxa"/>
            <w:vAlign w:val="center"/>
          </w:tcPr>
          <w:p w14:paraId="7FA30817">
            <w:pPr>
              <w:jc w:val="center"/>
              <w:rPr>
                <w:rFonts w:ascii="宋体" w:hAnsi="宋体"/>
                <w:b/>
                <w:color w:val="auto"/>
                <w:highlight w:val="none"/>
              </w:rPr>
            </w:pPr>
            <w:r>
              <w:rPr>
                <w:rFonts w:hint="eastAsia" w:ascii="宋体" w:hAnsi="宋体"/>
                <w:b/>
                <w:color w:val="auto"/>
                <w:highlight w:val="none"/>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highlight w:val="none"/>
              </w:rPr>
            </w:pPr>
            <w:r>
              <w:rPr>
                <w:rFonts w:ascii="宋体" w:hAnsi="宋体"/>
                <w:color w:val="auto"/>
                <w:highlight w:val="none"/>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highlight w:val="none"/>
              </w:rPr>
            </w:pPr>
            <w:r>
              <w:rPr>
                <w:rFonts w:hint="eastAsia" w:ascii="宋体" w:hAnsi="宋体"/>
                <w:color w:val="auto"/>
                <w:highlight w:val="none"/>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highlight w:val="none"/>
              </w:rPr>
            </w:pPr>
            <w:r>
              <w:rPr>
                <w:rFonts w:ascii="宋体" w:hAnsi="宋体"/>
                <w:color w:val="auto"/>
                <w:highlight w:val="none"/>
              </w:rPr>
              <w:t>7</w:t>
            </w:r>
          </w:p>
        </w:tc>
        <w:tc>
          <w:tcPr>
            <w:tcW w:w="3646" w:type="dxa"/>
            <w:vAlign w:val="center"/>
          </w:tcPr>
          <w:p w14:paraId="6C4EB762">
            <w:pPr>
              <w:rPr>
                <w:rFonts w:ascii="宋体" w:hAnsi="宋体"/>
                <w:color w:val="auto"/>
                <w:highlight w:val="none"/>
              </w:rPr>
            </w:pPr>
            <w:r>
              <w:rPr>
                <w:rFonts w:hint="eastAsia" w:ascii="宋体" w:hAnsi="宋体"/>
                <w:color w:val="auto"/>
                <w:highlight w:val="none"/>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highlight w:val="none"/>
              </w:rPr>
            </w:pPr>
            <w:r>
              <w:rPr>
                <w:rFonts w:ascii="宋体" w:hAnsi="宋体"/>
                <w:color w:val="auto"/>
                <w:highlight w:val="none"/>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highlight w:val="none"/>
              </w:rPr>
            </w:pPr>
            <w:r>
              <w:rPr>
                <w:rFonts w:hint="eastAsia" w:ascii="宋体" w:hAnsi="宋体"/>
                <w:color w:val="auto"/>
                <w:highlight w:val="none"/>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highlight w:val="none"/>
              </w:rPr>
            </w:pPr>
            <w:r>
              <w:rPr>
                <w:rFonts w:ascii="宋体" w:hAnsi="宋体"/>
                <w:color w:val="auto"/>
                <w:highlight w:val="none"/>
              </w:rPr>
              <w:t>3</w:t>
            </w:r>
          </w:p>
        </w:tc>
        <w:tc>
          <w:tcPr>
            <w:tcW w:w="3646" w:type="dxa"/>
            <w:vAlign w:val="center"/>
          </w:tcPr>
          <w:p w14:paraId="22218CF3">
            <w:pPr>
              <w:rPr>
                <w:rFonts w:ascii="宋体" w:hAnsi="宋体"/>
                <w:color w:val="auto"/>
                <w:highlight w:val="none"/>
              </w:rPr>
            </w:pPr>
            <w:r>
              <w:rPr>
                <w:rFonts w:hint="eastAsia" w:ascii="宋体" w:hAnsi="宋体"/>
                <w:color w:val="auto"/>
                <w:highlight w:val="none"/>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highlight w:val="none"/>
              </w:rPr>
            </w:pPr>
            <w:r>
              <w:rPr>
                <w:rFonts w:ascii="宋体" w:hAnsi="宋体"/>
                <w:color w:val="auto"/>
                <w:highlight w:val="none"/>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highlight w:val="none"/>
              </w:rPr>
            </w:pPr>
            <w:r>
              <w:rPr>
                <w:rFonts w:hint="eastAsia" w:ascii="宋体" w:hAnsi="宋体"/>
                <w:color w:val="auto"/>
                <w:highlight w:val="none"/>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highlight w:val="none"/>
              </w:rPr>
            </w:pPr>
            <w:r>
              <w:rPr>
                <w:rFonts w:ascii="宋体" w:hAnsi="宋体"/>
                <w:color w:val="auto"/>
                <w:highlight w:val="none"/>
              </w:rPr>
              <w:t>1</w:t>
            </w:r>
          </w:p>
        </w:tc>
        <w:tc>
          <w:tcPr>
            <w:tcW w:w="3646" w:type="dxa"/>
            <w:vAlign w:val="center"/>
          </w:tcPr>
          <w:p w14:paraId="4F72527B">
            <w:pPr>
              <w:rPr>
                <w:rFonts w:ascii="宋体" w:hAnsi="宋体"/>
                <w:color w:val="auto"/>
                <w:highlight w:val="none"/>
              </w:rPr>
            </w:pPr>
            <w:r>
              <w:rPr>
                <w:rFonts w:hint="eastAsia" w:ascii="宋体" w:hAnsi="宋体"/>
                <w:color w:val="auto"/>
                <w:highlight w:val="none"/>
              </w:rPr>
              <w:t>引人注目，不利于基本的安全卫生要求</w:t>
            </w:r>
          </w:p>
        </w:tc>
      </w:tr>
    </w:tbl>
    <w:p w14:paraId="4B02EF7E">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（4）</w:t>
      </w:r>
      <w:r>
        <w:rPr>
          <w:rFonts w:ascii="宋体" w:hAnsi="宋体"/>
          <w:color w:val="auto"/>
          <w:sz w:val="28"/>
          <w:szCs w:val="28"/>
          <w:highlight w:val="none"/>
        </w:rPr>
        <w:t>危险等级划分标准</w:t>
      </w:r>
    </w:p>
    <w:p w14:paraId="4AC701E2">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根据经验，危险性分值在20分以下为低危险性，这样的危险比日常生活中骑自行车去上班还要安全些；如果危险性分值在20</w:t>
      </w:r>
      <w:r>
        <w:rPr>
          <w:rFonts w:hint="eastAsia" w:ascii="宋体" w:hAnsi="宋体"/>
          <w:color w:val="auto"/>
          <w:sz w:val="28"/>
          <w:szCs w:val="28"/>
          <w:highlight w:val="none"/>
        </w:rPr>
        <w:t>～</w:t>
      </w:r>
      <w:r>
        <w:rPr>
          <w:rFonts w:ascii="宋体" w:hAnsi="宋体"/>
          <w:color w:val="auto"/>
          <w:sz w:val="28"/>
          <w:szCs w:val="28"/>
          <w:highlight w:val="none"/>
        </w:rPr>
        <w:t>70之间，为</w:t>
      </w:r>
      <w:r>
        <w:rPr>
          <w:rFonts w:hint="eastAsia" w:ascii="宋体" w:hAnsi="宋体"/>
          <w:color w:val="auto"/>
          <w:sz w:val="28"/>
          <w:szCs w:val="28"/>
          <w:highlight w:val="none"/>
          <w:lang w:eastAsia="zh-CN"/>
        </w:rPr>
        <w:t>一般</w:t>
      </w:r>
      <w:r>
        <w:rPr>
          <w:rFonts w:ascii="宋体" w:hAnsi="宋体"/>
          <w:color w:val="auto"/>
          <w:sz w:val="28"/>
          <w:szCs w:val="28"/>
          <w:highlight w:val="none"/>
        </w:rPr>
        <w:t>危险，需要注意；如果危险性分值在70</w:t>
      </w:r>
      <w:r>
        <w:rPr>
          <w:rFonts w:hint="eastAsia" w:ascii="宋体" w:hAnsi="宋体"/>
          <w:color w:val="auto"/>
          <w:sz w:val="28"/>
          <w:szCs w:val="28"/>
          <w:highlight w:val="none"/>
        </w:rPr>
        <w:t>～</w:t>
      </w:r>
      <w:r>
        <w:rPr>
          <w:rFonts w:ascii="宋体" w:hAnsi="宋体"/>
          <w:color w:val="auto"/>
          <w:sz w:val="28"/>
          <w:szCs w:val="28"/>
          <w:highlight w:val="none"/>
        </w:rPr>
        <w:t>160之间，有显著的危险性，需要采取措施整改；如果危险性分值在160</w:t>
      </w:r>
      <w:r>
        <w:rPr>
          <w:rFonts w:hint="eastAsia" w:ascii="宋体" w:hAnsi="宋体"/>
          <w:color w:val="auto"/>
          <w:sz w:val="28"/>
          <w:szCs w:val="28"/>
          <w:highlight w:val="none"/>
        </w:rPr>
        <w:t>～</w:t>
      </w:r>
      <w:r>
        <w:rPr>
          <w:rFonts w:ascii="宋体" w:hAnsi="宋体"/>
          <w:color w:val="auto"/>
          <w:sz w:val="28"/>
          <w:szCs w:val="28"/>
          <w:highlight w:val="none"/>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highlight w:val="none"/>
        </w:rPr>
        <w:t>.2-4</w:t>
      </w:r>
      <w:r>
        <w:rPr>
          <w:rFonts w:ascii="宋体" w:hAnsi="宋体"/>
          <w:color w:val="auto"/>
          <w:sz w:val="28"/>
          <w:szCs w:val="28"/>
          <w:highlight w:val="none"/>
        </w:rPr>
        <w:t>。</w:t>
      </w:r>
    </w:p>
    <w:p w14:paraId="3280122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.2-4</w:t>
      </w:r>
      <w:r>
        <w:rPr>
          <w:rFonts w:ascii="宋体" w:hAnsi="宋体"/>
          <w:color w:val="auto"/>
          <w:sz w:val="28"/>
          <w:szCs w:val="28"/>
          <w:highlight w:val="none"/>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highlight w:val="none"/>
              </w:rPr>
            </w:pPr>
            <w:r>
              <w:rPr>
                <w:rFonts w:hint="eastAsia" w:ascii="宋体" w:hAnsi="宋体"/>
                <w:b/>
                <w:color w:val="auto"/>
                <w:highlight w:val="none"/>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577" w:type="pct"/>
            <w:vAlign w:val="center"/>
          </w:tcPr>
          <w:p w14:paraId="354CE328">
            <w:pPr>
              <w:jc w:val="center"/>
              <w:rPr>
                <w:rFonts w:ascii="宋体" w:hAnsi="宋体"/>
                <w:b/>
                <w:color w:val="auto"/>
                <w:highlight w:val="none"/>
              </w:rPr>
            </w:pPr>
            <w:r>
              <w:rPr>
                <w:rFonts w:hint="eastAsia" w:ascii="宋体" w:hAnsi="宋体"/>
                <w:b/>
                <w:color w:val="auto"/>
                <w:highlight w:val="none"/>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highlight w:val="none"/>
              </w:rPr>
            </w:pP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highlight w:val="none"/>
              </w:rPr>
            </w:pPr>
            <w:r>
              <w:rPr>
                <w:rFonts w:ascii="宋体" w:hAnsi="宋体"/>
                <w:color w:val="auto"/>
                <w:highlight w:val="none"/>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70</w:t>
            </w:r>
          </w:p>
        </w:tc>
        <w:tc>
          <w:tcPr>
            <w:tcW w:w="1577" w:type="pct"/>
            <w:vAlign w:val="center"/>
          </w:tcPr>
          <w:p w14:paraId="2BEAEDFA">
            <w:pPr>
              <w:rPr>
                <w:rFonts w:ascii="宋体" w:hAnsi="宋体"/>
                <w:color w:val="auto"/>
                <w:highlight w:val="none"/>
              </w:rPr>
            </w:pPr>
            <w:r>
              <w:rPr>
                <w:rFonts w:ascii="宋体" w:hAnsi="宋体"/>
                <w:color w:val="auto"/>
                <w:highlight w:val="none"/>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highlight w:val="none"/>
              </w:rPr>
            </w:pPr>
            <w:r>
              <w:rPr>
                <w:rFonts w:ascii="宋体" w:hAnsi="宋体"/>
                <w:color w:val="auto"/>
                <w:highlight w:val="none"/>
              </w:rPr>
              <w:t>160</w:t>
            </w:r>
            <w:r>
              <w:rPr>
                <w:rFonts w:hint="eastAsia" w:ascii="宋体" w:hAnsi="宋体"/>
                <w:color w:val="auto"/>
                <w:highlight w:val="none"/>
                <w:lang w:eastAsia="zh-CN"/>
              </w:rPr>
              <w:t>~</w:t>
            </w: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highlight w:val="none"/>
              </w:rPr>
            </w:pPr>
            <w:r>
              <w:rPr>
                <w:rFonts w:ascii="宋体" w:hAnsi="宋体"/>
                <w:color w:val="auto"/>
                <w:highlight w:val="none"/>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highlight w:val="none"/>
              </w:rPr>
            </w:pPr>
            <w:r>
              <w:rPr>
                <w:rFonts w:ascii="宋体" w:hAnsi="宋体"/>
                <w:color w:val="auto"/>
                <w:highlight w:val="none"/>
              </w:rPr>
              <w:t>＜20</w:t>
            </w:r>
          </w:p>
        </w:tc>
        <w:tc>
          <w:tcPr>
            <w:tcW w:w="1577" w:type="pct"/>
            <w:vAlign w:val="center"/>
          </w:tcPr>
          <w:p w14:paraId="2BF96613">
            <w:pPr>
              <w:rPr>
                <w:rFonts w:ascii="宋体" w:hAnsi="宋体"/>
                <w:color w:val="auto"/>
                <w:highlight w:val="none"/>
              </w:rPr>
            </w:pPr>
            <w:r>
              <w:rPr>
                <w:rFonts w:ascii="宋体" w:hAnsi="宋体"/>
                <w:color w:val="auto"/>
                <w:highlight w:val="none"/>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highlight w:val="none"/>
              </w:rPr>
            </w:pPr>
            <w:r>
              <w:rPr>
                <w:rFonts w:ascii="宋体" w:hAnsi="宋体"/>
                <w:color w:val="auto"/>
                <w:highlight w:val="none"/>
              </w:rPr>
              <w:t>70</w:t>
            </w:r>
            <w:r>
              <w:rPr>
                <w:rFonts w:hint="eastAsia" w:ascii="宋体" w:hAnsi="宋体"/>
                <w:color w:val="auto"/>
                <w:highlight w:val="none"/>
                <w:lang w:eastAsia="zh-CN"/>
              </w:rPr>
              <w:t>~</w:t>
            </w:r>
            <w:r>
              <w:rPr>
                <w:rFonts w:ascii="宋体" w:hAnsi="宋体"/>
                <w:color w:val="auto"/>
                <w:highlight w:val="none"/>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highlight w:val="none"/>
              </w:rPr>
            </w:pPr>
            <w:r>
              <w:rPr>
                <w:rFonts w:ascii="宋体" w:hAnsi="宋体"/>
                <w:color w:val="auto"/>
                <w:highlight w:val="none"/>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highlight w:val="none"/>
              </w:rPr>
            </w:pPr>
          </w:p>
        </w:tc>
        <w:tc>
          <w:tcPr>
            <w:tcW w:w="1577" w:type="pct"/>
            <w:vAlign w:val="center"/>
          </w:tcPr>
          <w:p w14:paraId="5C0C5C87">
            <w:pPr>
              <w:rPr>
                <w:rFonts w:ascii="宋体" w:hAnsi="宋体"/>
                <w:color w:val="auto"/>
                <w:highlight w:val="none"/>
              </w:rPr>
            </w:pPr>
          </w:p>
        </w:tc>
      </w:tr>
    </w:tbl>
    <w:p w14:paraId="54A2394F">
      <w:pPr>
        <w:spacing w:line="600" w:lineRule="exact"/>
        <w:rPr>
          <w:rFonts w:ascii="宋体" w:hAnsi="宋体"/>
          <w:b/>
          <w:bCs/>
          <w:color w:val="auto"/>
          <w:sz w:val="28"/>
          <w:szCs w:val="28"/>
          <w:highlight w:val="none"/>
        </w:rPr>
      </w:pPr>
      <w:bookmarkStart w:id="122" w:name="_Toc92712584"/>
      <w:bookmarkStart w:id="123" w:name="_Toc20468421"/>
      <w:bookmarkStart w:id="124" w:name="_Toc22797"/>
      <w:bookmarkStart w:id="125" w:name="_Toc5789"/>
      <w:bookmarkStart w:id="126" w:name="_Toc7145"/>
      <w:r>
        <w:rPr>
          <w:rFonts w:ascii="宋体" w:hAnsi="宋体"/>
          <w:b/>
          <w:bCs/>
          <w:color w:val="auto"/>
          <w:sz w:val="28"/>
          <w:szCs w:val="28"/>
          <w:highlight w:val="none"/>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危险度评价法是根据日本劳动省“六阶段法”的定量评价表，结合我国《石油化工企业设计防火规范</w:t>
      </w:r>
      <w:r>
        <w:rPr>
          <w:rFonts w:hint="eastAsia" w:ascii="宋体" w:hAnsi="宋体"/>
          <w:color w:val="auto"/>
          <w:sz w:val="28"/>
          <w:szCs w:val="28"/>
          <w:highlight w:val="none"/>
        </w:rPr>
        <w:t>（2018年版）</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highlight w:val="none"/>
        </w:rPr>
        <w:t>.2-5</w:t>
      </w:r>
      <w:r>
        <w:rPr>
          <w:rFonts w:ascii="宋体" w:hAnsi="宋体"/>
          <w:color w:val="auto"/>
          <w:sz w:val="28"/>
          <w:szCs w:val="28"/>
          <w:highlight w:val="none"/>
        </w:rPr>
        <w:t>。</w:t>
      </w:r>
    </w:p>
    <w:p w14:paraId="2980E5D3">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5</w:t>
      </w:r>
      <w:r>
        <w:rPr>
          <w:rFonts w:ascii="宋体" w:hAnsi="宋体"/>
          <w:color w:val="auto"/>
          <w:sz w:val="28"/>
          <w:szCs w:val="28"/>
          <w:highlight w:val="none"/>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highlight w:val="none"/>
              </w:rPr>
            </w:pPr>
            <w:r>
              <w:rPr>
                <w:rFonts w:hint="eastAsia" w:ascii="宋体" w:hAnsi="宋体"/>
                <w:b/>
                <w:color w:val="auto"/>
                <w:highlight w:val="none"/>
              </w:rPr>
              <w:t>分值</w:t>
            </w:r>
          </w:p>
          <w:p w14:paraId="5E10EE36">
            <w:pPr>
              <w:rPr>
                <w:rFonts w:ascii="宋体" w:hAnsi="宋体"/>
                <w:b/>
                <w:color w:val="auto"/>
                <w:highlight w:val="none"/>
              </w:rPr>
            </w:pPr>
            <w:r>
              <w:rPr>
                <w:rFonts w:hint="eastAsia" w:ascii="宋体" w:hAnsi="宋体"/>
                <w:b/>
                <w:color w:val="auto"/>
                <w:highlight w:val="none"/>
              </w:rPr>
              <w:t>项目</w:t>
            </w:r>
          </w:p>
        </w:tc>
        <w:tc>
          <w:tcPr>
            <w:tcW w:w="1267" w:type="pct"/>
            <w:vAlign w:val="center"/>
          </w:tcPr>
          <w:p w14:paraId="515B9C74">
            <w:pPr>
              <w:jc w:val="center"/>
              <w:rPr>
                <w:rFonts w:ascii="宋体" w:hAnsi="宋体"/>
                <w:b/>
                <w:color w:val="auto"/>
                <w:highlight w:val="none"/>
              </w:rPr>
            </w:pPr>
            <w:r>
              <w:rPr>
                <w:rFonts w:ascii="宋体" w:hAnsi="宋体"/>
                <w:b/>
                <w:color w:val="auto"/>
                <w:highlight w:val="none"/>
              </w:rPr>
              <w:t>A（10分）</w:t>
            </w:r>
          </w:p>
        </w:tc>
        <w:tc>
          <w:tcPr>
            <w:tcW w:w="1267" w:type="pct"/>
            <w:vAlign w:val="center"/>
          </w:tcPr>
          <w:p w14:paraId="70B0CC2D">
            <w:pPr>
              <w:jc w:val="center"/>
              <w:rPr>
                <w:rFonts w:ascii="宋体" w:hAnsi="宋体"/>
                <w:b/>
                <w:color w:val="auto"/>
                <w:highlight w:val="none"/>
              </w:rPr>
            </w:pPr>
            <w:r>
              <w:rPr>
                <w:rFonts w:ascii="宋体" w:hAnsi="宋体"/>
                <w:b/>
                <w:color w:val="auto"/>
                <w:highlight w:val="none"/>
              </w:rPr>
              <w:t>B（5分）</w:t>
            </w:r>
          </w:p>
        </w:tc>
        <w:tc>
          <w:tcPr>
            <w:tcW w:w="1055" w:type="pct"/>
            <w:vAlign w:val="center"/>
          </w:tcPr>
          <w:p w14:paraId="7B8987D5">
            <w:pPr>
              <w:jc w:val="center"/>
              <w:rPr>
                <w:rFonts w:ascii="宋体" w:hAnsi="宋体"/>
                <w:b/>
                <w:color w:val="auto"/>
                <w:highlight w:val="none"/>
              </w:rPr>
            </w:pPr>
            <w:r>
              <w:rPr>
                <w:rFonts w:ascii="宋体" w:hAnsi="宋体"/>
                <w:b/>
                <w:color w:val="auto"/>
                <w:highlight w:val="none"/>
              </w:rPr>
              <w:t>C（2分）</w:t>
            </w:r>
          </w:p>
        </w:tc>
        <w:tc>
          <w:tcPr>
            <w:tcW w:w="817" w:type="pct"/>
            <w:vAlign w:val="center"/>
          </w:tcPr>
          <w:p w14:paraId="5F8FC175">
            <w:pPr>
              <w:jc w:val="center"/>
              <w:rPr>
                <w:rFonts w:ascii="宋体" w:hAnsi="宋体"/>
                <w:b/>
                <w:color w:val="auto"/>
                <w:highlight w:val="none"/>
              </w:rPr>
            </w:pPr>
            <w:r>
              <w:rPr>
                <w:rFonts w:ascii="宋体" w:hAnsi="宋体"/>
                <w:b/>
                <w:color w:val="auto"/>
                <w:highlight w:val="none"/>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highlight w:val="none"/>
              </w:rPr>
            </w:pPr>
            <w:r>
              <w:rPr>
                <w:rFonts w:ascii="宋体" w:hAnsi="宋体"/>
                <w:color w:val="auto"/>
                <w:highlight w:val="none"/>
              </w:rPr>
              <w:t>物质</w:t>
            </w:r>
          </w:p>
        </w:tc>
        <w:tc>
          <w:tcPr>
            <w:tcW w:w="1267" w:type="pct"/>
            <w:vAlign w:val="center"/>
          </w:tcPr>
          <w:p w14:paraId="5838A262">
            <w:pPr>
              <w:rPr>
                <w:rFonts w:ascii="宋体" w:hAnsi="宋体"/>
                <w:color w:val="auto"/>
                <w:highlight w:val="none"/>
              </w:rPr>
            </w:pPr>
            <w:r>
              <w:rPr>
                <w:rFonts w:ascii="宋体" w:hAnsi="宋体"/>
                <w:color w:val="auto"/>
                <w:highlight w:val="none"/>
              </w:rPr>
              <w:t>甲类可燃气体；</w:t>
            </w:r>
          </w:p>
          <w:p w14:paraId="7FF047CE">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A</w:t>
            </w:r>
            <w:r>
              <w:rPr>
                <w:rFonts w:ascii="宋体" w:hAnsi="宋体"/>
                <w:color w:val="auto"/>
                <w:highlight w:val="none"/>
              </w:rPr>
              <w:t>类物质及液态烃类；</w:t>
            </w:r>
          </w:p>
          <w:p w14:paraId="2DCD6250">
            <w:pPr>
              <w:rPr>
                <w:rFonts w:ascii="宋体" w:hAnsi="宋体"/>
                <w:color w:val="auto"/>
                <w:highlight w:val="none"/>
              </w:rPr>
            </w:pPr>
            <w:r>
              <w:rPr>
                <w:rFonts w:ascii="宋体" w:hAnsi="宋体"/>
                <w:color w:val="auto"/>
                <w:highlight w:val="none"/>
              </w:rPr>
              <w:t>甲类固体；</w:t>
            </w:r>
          </w:p>
          <w:p w14:paraId="20750FEF">
            <w:pPr>
              <w:rPr>
                <w:rFonts w:ascii="宋体" w:hAnsi="宋体"/>
                <w:color w:val="auto"/>
                <w:highlight w:val="none"/>
              </w:rPr>
            </w:pPr>
            <w:r>
              <w:rPr>
                <w:rFonts w:ascii="宋体" w:hAnsi="宋体"/>
                <w:color w:val="auto"/>
                <w:highlight w:val="none"/>
              </w:rPr>
              <w:t>极度危害介质</w:t>
            </w:r>
          </w:p>
        </w:tc>
        <w:tc>
          <w:tcPr>
            <w:tcW w:w="1267" w:type="pct"/>
            <w:vAlign w:val="center"/>
          </w:tcPr>
          <w:p w14:paraId="29C75739">
            <w:pPr>
              <w:rPr>
                <w:rFonts w:ascii="宋体" w:hAnsi="宋体"/>
                <w:color w:val="auto"/>
                <w:highlight w:val="none"/>
              </w:rPr>
            </w:pPr>
            <w:r>
              <w:rPr>
                <w:rFonts w:ascii="宋体" w:hAnsi="宋体"/>
                <w:color w:val="auto"/>
                <w:highlight w:val="none"/>
              </w:rPr>
              <w:t>乙类气体；</w:t>
            </w:r>
          </w:p>
          <w:p w14:paraId="775C98A8">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B</w:t>
            </w:r>
            <w:r>
              <w:rPr>
                <w:rFonts w:ascii="宋体" w:hAnsi="宋体"/>
                <w:color w:val="auto"/>
                <w:highlight w:val="none"/>
              </w:rPr>
              <w:t>、乙</w:t>
            </w:r>
            <w:r>
              <w:rPr>
                <w:rFonts w:ascii="宋体" w:hAnsi="宋体"/>
                <w:color w:val="auto"/>
                <w:highlight w:val="none"/>
                <w:vertAlign w:val="subscript"/>
              </w:rPr>
              <w:t>A</w:t>
            </w:r>
            <w:r>
              <w:rPr>
                <w:rFonts w:ascii="宋体" w:hAnsi="宋体"/>
                <w:color w:val="auto"/>
                <w:highlight w:val="none"/>
              </w:rPr>
              <w:t>类可燃液体；</w:t>
            </w:r>
          </w:p>
          <w:p w14:paraId="6A7F6255">
            <w:pPr>
              <w:rPr>
                <w:rFonts w:ascii="宋体" w:hAnsi="宋体"/>
                <w:color w:val="auto"/>
                <w:highlight w:val="none"/>
              </w:rPr>
            </w:pPr>
            <w:r>
              <w:rPr>
                <w:rFonts w:ascii="宋体" w:hAnsi="宋体"/>
                <w:color w:val="auto"/>
                <w:highlight w:val="none"/>
              </w:rPr>
              <w:t>乙类固体</w:t>
            </w:r>
            <w:r>
              <w:rPr>
                <w:rFonts w:hint="eastAsia" w:ascii="宋体" w:hAnsi="宋体"/>
                <w:color w:val="auto"/>
                <w:highlight w:val="none"/>
                <w:lang w:eastAsia="zh-CN"/>
              </w:rPr>
              <w:t>；</w:t>
            </w:r>
          </w:p>
          <w:p w14:paraId="536F3095">
            <w:pPr>
              <w:rPr>
                <w:rFonts w:ascii="宋体" w:hAnsi="宋体"/>
                <w:color w:val="auto"/>
                <w:highlight w:val="none"/>
              </w:rPr>
            </w:pPr>
            <w:r>
              <w:rPr>
                <w:rFonts w:ascii="宋体" w:hAnsi="宋体"/>
                <w:color w:val="auto"/>
                <w:highlight w:val="none"/>
              </w:rPr>
              <w:t>高度危害介质</w:t>
            </w:r>
          </w:p>
        </w:tc>
        <w:tc>
          <w:tcPr>
            <w:tcW w:w="1055" w:type="pct"/>
            <w:vAlign w:val="center"/>
          </w:tcPr>
          <w:p w14:paraId="777D7BB4">
            <w:pPr>
              <w:rPr>
                <w:rFonts w:ascii="宋体" w:hAnsi="宋体"/>
                <w:color w:val="auto"/>
                <w:highlight w:val="none"/>
              </w:rPr>
            </w:pPr>
            <w:r>
              <w:rPr>
                <w:rFonts w:ascii="宋体" w:hAnsi="宋体"/>
                <w:color w:val="auto"/>
                <w:highlight w:val="none"/>
              </w:rPr>
              <w:t>乙</w:t>
            </w:r>
            <w:r>
              <w:rPr>
                <w:rFonts w:ascii="宋体" w:hAnsi="宋体"/>
                <w:color w:val="auto"/>
                <w:highlight w:val="none"/>
                <w:vertAlign w:val="subscript"/>
              </w:rPr>
              <w:t>B</w:t>
            </w:r>
            <w:r>
              <w:rPr>
                <w:rFonts w:ascii="宋体" w:hAnsi="宋体"/>
                <w:color w:val="auto"/>
                <w:highlight w:val="none"/>
              </w:rPr>
              <w:t>、丙</w:t>
            </w:r>
            <w:r>
              <w:rPr>
                <w:rFonts w:ascii="宋体" w:hAnsi="宋体"/>
                <w:color w:val="auto"/>
                <w:highlight w:val="none"/>
                <w:vertAlign w:val="subscript"/>
              </w:rPr>
              <w:t>A</w:t>
            </w:r>
            <w:r>
              <w:rPr>
                <w:rFonts w:ascii="宋体" w:hAnsi="宋体"/>
                <w:color w:val="auto"/>
                <w:highlight w:val="none"/>
              </w:rPr>
              <w:t>、丙</w:t>
            </w:r>
            <w:r>
              <w:rPr>
                <w:rFonts w:ascii="宋体" w:hAnsi="宋体"/>
                <w:color w:val="auto"/>
                <w:highlight w:val="none"/>
                <w:vertAlign w:val="subscript"/>
              </w:rPr>
              <w:t>B</w:t>
            </w:r>
            <w:r>
              <w:rPr>
                <w:rFonts w:ascii="宋体" w:hAnsi="宋体"/>
                <w:color w:val="auto"/>
                <w:highlight w:val="none"/>
              </w:rPr>
              <w:t>类可燃液体；</w:t>
            </w:r>
          </w:p>
          <w:p w14:paraId="4ED6D23A">
            <w:pPr>
              <w:rPr>
                <w:rFonts w:ascii="宋体" w:hAnsi="宋体"/>
                <w:color w:val="auto"/>
                <w:highlight w:val="none"/>
              </w:rPr>
            </w:pPr>
            <w:r>
              <w:rPr>
                <w:rFonts w:ascii="宋体" w:hAnsi="宋体"/>
                <w:color w:val="auto"/>
                <w:highlight w:val="none"/>
              </w:rPr>
              <w:t>丙类固体；</w:t>
            </w:r>
          </w:p>
          <w:p w14:paraId="647B4FC3">
            <w:pPr>
              <w:rPr>
                <w:rFonts w:ascii="宋体" w:hAnsi="宋体"/>
                <w:color w:val="auto"/>
                <w:highlight w:val="none"/>
              </w:rPr>
            </w:pPr>
            <w:r>
              <w:rPr>
                <w:rFonts w:ascii="宋体" w:hAnsi="宋体"/>
                <w:color w:val="auto"/>
                <w:highlight w:val="none"/>
              </w:rPr>
              <w:t>中、轻度危害介质</w:t>
            </w:r>
          </w:p>
        </w:tc>
        <w:tc>
          <w:tcPr>
            <w:tcW w:w="817" w:type="pct"/>
            <w:vAlign w:val="center"/>
          </w:tcPr>
          <w:p w14:paraId="3089920B">
            <w:pPr>
              <w:rPr>
                <w:rFonts w:ascii="宋体" w:hAnsi="宋体"/>
                <w:color w:val="auto"/>
                <w:highlight w:val="none"/>
              </w:rPr>
            </w:pPr>
            <w:r>
              <w:rPr>
                <w:rFonts w:ascii="宋体" w:hAnsi="宋体"/>
                <w:color w:val="auto"/>
                <w:highlight w:val="none"/>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highlight w:val="none"/>
              </w:rPr>
            </w:pPr>
            <w:r>
              <w:rPr>
                <w:rFonts w:ascii="宋体" w:hAnsi="宋体"/>
                <w:color w:val="auto"/>
                <w:highlight w:val="none"/>
              </w:rPr>
              <w:t>容量</w:t>
            </w:r>
          </w:p>
        </w:tc>
        <w:tc>
          <w:tcPr>
            <w:tcW w:w="1267" w:type="pct"/>
            <w:vAlign w:val="center"/>
          </w:tcPr>
          <w:p w14:paraId="60A0947B">
            <w:pPr>
              <w:rPr>
                <w:rFonts w:ascii="宋体" w:hAnsi="宋体"/>
                <w:color w:val="auto"/>
                <w:highlight w:val="none"/>
              </w:rPr>
            </w:pPr>
            <w:r>
              <w:rPr>
                <w:rFonts w:ascii="宋体" w:hAnsi="宋体"/>
                <w:color w:val="auto"/>
                <w:highlight w:val="none"/>
              </w:rPr>
              <w:t>气体1000m</w:t>
            </w:r>
            <w:r>
              <w:rPr>
                <w:rFonts w:ascii="宋体" w:hAnsi="宋体"/>
                <w:color w:val="auto"/>
                <w:highlight w:val="none"/>
                <w:vertAlign w:val="superscript"/>
              </w:rPr>
              <w:t>3</w:t>
            </w:r>
            <w:r>
              <w:rPr>
                <w:rFonts w:ascii="宋体" w:hAnsi="宋体"/>
                <w:color w:val="auto"/>
                <w:highlight w:val="none"/>
              </w:rPr>
              <w:t>以上</w:t>
            </w:r>
          </w:p>
          <w:p w14:paraId="3DCE545F">
            <w:pPr>
              <w:rPr>
                <w:rFonts w:ascii="宋体" w:hAnsi="宋体"/>
                <w:color w:val="auto"/>
                <w:highlight w:val="none"/>
              </w:rPr>
            </w:pPr>
            <w:r>
              <w:rPr>
                <w:rFonts w:ascii="宋体" w:hAnsi="宋体"/>
                <w:color w:val="auto"/>
                <w:highlight w:val="none"/>
              </w:rPr>
              <w:t>液体100m</w:t>
            </w:r>
            <w:r>
              <w:rPr>
                <w:rFonts w:ascii="宋体" w:hAnsi="宋体"/>
                <w:color w:val="auto"/>
                <w:highlight w:val="none"/>
                <w:vertAlign w:val="superscript"/>
              </w:rPr>
              <w:t>3</w:t>
            </w:r>
            <w:r>
              <w:rPr>
                <w:rFonts w:ascii="宋体" w:hAnsi="宋体"/>
                <w:color w:val="auto"/>
                <w:highlight w:val="none"/>
              </w:rPr>
              <w:t>以上</w:t>
            </w:r>
          </w:p>
        </w:tc>
        <w:tc>
          <w:tcPr>
            <w:tcW w:w="1267" w:type="pct"/>
            <w:vAlign w:val="center"/>
          </w:tcPr>
          <w:p w14:paraId="3EC06C9C">
            <w:pPr>
              <w:rPr>
                <w:rFonts w:ascii="宋体" w:hAnsi="宋体"/>
                <w:color w:val="auto"/>
                <w:highlight w:val="none"/>
              </w:rPr>
            </w:pPr>
            <w:r>
              <w:rPr>
                <w:rFonts w:ascii="宋体" w:hAnsi="宋体"/>
                <w:color w:val="auto"/>
                <w:highlight w:val="none"/>
              </w:rPr>
              <w:t>气体500</w:t>
            </w:r>
            <w:r>
              <w:rPr>
                <w:rFonts w:hint="eastAsia" w:ascii="宋体" w:hAnsi="宋体"/>
                <w:color w:val="auto"/>
                <w:highlight w:val="none"/>
              </w:rPr>
              <w:t>～</w:t>
            </w:r>
            <w:r>
              <w:rPr>
                <w:rFonts w:ascii="宋体" w:hAnsi="宋体"/>
                <w:color w:val="auto"/>
                <w:highlight w:val="none"/>
              </w:rPr>
              <w:t>1000m</w:t>
            </w:r>
            <w:r>
              <w:rPr>
                <w:rFonts w:ascii="宋体" w:hAnsi="宋体"/>
                <w:color w:val="auto"/>
                <w:highlight w:val="none"/>
                <w:vertAlign w:val="superscript"/>
              </w:rPr>
              <w:t>3</w:t>
            </w:r>
          </w:p>
          <w:p w14:paraId="03671E80">
            <w:pPr>
              <w:rPr>
                <w:rFonts w:ascii="宋体" w:hAnsi="宋体"/>
                <w:color w:val="auto"/>
                <w:highlight w:val="none"/>
              </w:rPr>
            </w:pPr>
            <w:r>
              <w:rPr>
                <w:rFonts w:ascii="宋体" w:hAnsi="宋体"/>
                <w:color w:val="auto"/>
                <w:highlight w:val="none"/>
              </w:rPr>
              <w:t>液体50</w:t>
            </w:r>
            <w:r>
              <w:rPr>
                <w:rFonts w:hint="eastAsia" w:ascii="宋体" w:hAnsi="宋体"/>
                <w:color w:val="auto"/>
                <w:highlight w:val="none"/>
              </w:rPr>
              <w:t>～</w:t>
            </w:r>
            <w:r>
              <w:rPr>
                <w:rFonts w:ascii="宋体" w:hAnsi="宋体"/>
                <w:color w:val="auto"/>
                <w:highlight w:val="none"/>
              </w:rPr>
              <w:t>100m</w:t>
            </w:r>
            <w:r>
              <w:rPr>
                <w:rFonts w:ascii="宋体" w:hAnsi="宋体"/>
                <w:color w:val="auto"/>
                <w:highlight w:val="none"/>
                <w:vertAlign w:val="superscript"/>
              </w:rPr>
              <w:t>3</w:t>
            </w:r>
          </w:p>
        </w:tc>
        <w:tc>
          <w:tcPr>
            <w:tcW w:w="1055" w:type="pct"/>
            <w:vAlign w:val="center"/>
          </w:tcPr>
          <w:p w14:paraId="609F8723">
            <w:pPr>
              <w:rPr>
                <w:rFonts w:ascii="宋体" w:hAnsi="宋体"/>
                <w:color w:val="auto"/>
                <w:highlight w:val="none"/>
              </w:rPr>
            </w:pPr>
            <w:r>
              <w:rPr>
                <w:rFonts w:ascii="宋体" w:hAnsi="宋体"/>
                <w:color w:val="auto"/>
                <w:highlight w:val="none"/>
              </w:rPr>
              <w:t>气体100</w:t>
            </w:r>
            <w:r>
              <w:rPr>
                <w:rFonts w:hint="eastAsia" w:ascii="宋体" w:hAnsi="宋体"/>
                <w:color w:val="auto"/>
                <w:highlight w:val="none"/>
              </w:rPr>
              <w:t>～</w:t>
            </w:r>
            <w:r>
              <w:rPr>
                <w:rFonts w:ascii="宋体" w:hAnsi="宋体"/>
                <w:color w:val="auto"/>
                <w:highlight w:val="none"/>
              </w:rPr>
              <w:t>500m</w:t>
            </w:r>
            <w:r>
              <w:rPr>
                <w:rFonts w:ascii="宋体" w:hAnsi="宋体"/>
                <w:color w:val="auto"/>
                <w:highlight w:val="none"/>
                <w:vertAlign w:val="superscript"/>
              </w:rPr>
              <w:t>3</w:t>
            </w:r>
          </w:p>
          <w:p w14:paraId="03960FD6">
            <w:pPr>
              <w:rPr>
                <w:rFonts w:ascii="宋体" w:hAnsi="宋体"/>
                <w:color w:val="auto"/>
                <w:highlight w:val="none"/>
              </w:rPr>
            </w:pPr>
            <w:r>
              <w:rPr>
                <w:rFonts w:ascii="宋体" w:hAnsi="宋体"/>
                <w:color w:val="auto"/>
                <w:highlight w:val="none"/>
              </w:rPr>
              <w:t>液体10</w:t>
            </w:r>
            <w:r>
              <w:rPr>
                <w:rFonts w:hint="eastAsia" w:ascii="宋体" w:hAnsi="宋体"/>
                <w:color w:val="auto"/>
                <w:highlight w:val="none"/>
              </w:rPr>
              <w:t>～</w:t>
            </w:r>
            <w:r>
              <w:rPr>
                <w:rFonts w:ascii="宋体" w:hAnsi="宋体"/>
                <w:color w:val="auto"/>
                <w:highlight w:val="none"/>
              </w:rPr>
              <w:t>50m</w:t>
            </w:r>
            <w:r>
              <w:rPr>
                <w:rFonts w:ascii="宋体" w:hAnsi="宋体"/>
                <w:color w:val="auto"/>
                <w:highlight w:val="none"/>
                <w:vertAlign w:val="superscript"/>
              </w:rPr>
              <w:t>3</w:t>
            </w:r>
          </w:p>
        </w:tc>
        <w:tc>
          <w:tcPr>
            <w:tcW w:w="817" w:type="pct"/>
            <w:vAlign w:val="center"/>
          </w:tcPr>
          <w:p w14:paraId="453AFF65">
            <w:pPr>
              <w:rPr>
                <w:rFonts w:ascii="宋体" w:hAnsi="宋体"/>
                <w:color w:val="auto"/>
                <w:highlight w:val="none"/>
              </w:rPr>
            </w:pPr>
            <w:r>
              <w:rPr>
                <w:rFonts w:ascii="宋体" w:hAnsi="宋体"/>
                <w:color w:val="auto"/>
                <w:highlight w:val="none"/>
              </w:rPr>
              <w:t>气体＜100m</w:t>
            </w:r>
            <w:r>
              <w:rPr>
                <w:rFonts w:ascii="宋体" w:hAnsi="宋体"/>
                <w:color w:val="auto"/>
                <w:highlight w:val="none"/>
                <w:vertAlign w:val="superscript"/>
              </w:rPr>
              <w:t>3</w:t>
            </w:r>
          </w:p>
          <w:p w14:paraId="155D5D3A">
            <w:pPr>
              <w:rPr>
                <w:rFonts w:ascii="宋体" w:hAnsi="宋体"/>
                <w:color w:val="auto"/>
                <w:highlight w:val="none"/>
              </w:rPr>
            </w:pPr>
            <w:r>
              <w:rPr>
                <w:rFonts w:ascii="宋体" w:hAnsi="宋体"/>
                <w:color w:val="auto"/>
                <w:highlight w:val="none"/>
              </w:rPr>
              <w:t>液体＜10m</w:t>
            </w:r>
            <w:r>
              <w:rPr>
                <w:rFonts w:ascii="宋体" w:hAnsi="宋体"/>
                <w:color w:val="auto"/>
                <w:highlight w:val="none"/>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highlight w:val="none"/>
              </w:rPr>
            </w:pPr>
            <w:r>
              <w:rPr>
                <w:rFonts w:ascii="宋体" w:hAnsi="宋体"/>
                <w:color w:val="auto"/>
                <w:highlight w:val="none"/>
              </w:rPr>
              <w:t>温度</w:t>
            </w:r>
          </w:p>
        </w:tc>
        <w:tc>
          <w:tcPr>
            <w:tcW w:w="1267" w:type="pct"/>
            <w:vAlign w:val="center"/>
          </w:tcPr>
          <w:p w14:paraId="074820EF">
            <w:pPr>
              <w:rPr>
                <w:rFonts w:ascii="宋体" w:hAnsi="宋体"/>
                <w:color w:val="auto"/>
                <w:highlight w:val="none"/>
              </w:rPr>
            </w:pPr>
            <w:r>
              <w:rPr>
                <w:rFonts w:ascii="宋体" w:hAnsi="宋体"/>
                <w:color w:val="auto"/>
                <w:highlight w:val="none"/>
              </w:rPr>
              <w:t>1000℃以上使用，其操作温度在燃点以上</w:t>
            </w:r>
          </w:p>
        </w:tc>
        <w:tc>
          <w:tcPr>
            <w:tcW w:w="1267" w:type="pct"/>
            <w:vAlign w:val="center"/>
          </w:tcPr>
          <w:p w14:paraId="02F60CCE">
            <w:pPr>
              <w:rPr>
                <w:rFonts w:ascii="宋体" w:hAnsi="宋体"/>
                <w:color w:val="auto"/>
                <w:highlight w:val="none"/>
              </w:rPr>
            </w:pPr>
            <w:r>
              <w:rPr>
                <w:rFonts w:ascii="宋体" w:hAnsi="宋体"/>
                <w:color w:val="auto"/>
                <w:highlight w:val="none"/>
              </w:rPr>
              <w:t>1000℃以上使用，但操作温度在燃点以下；</w:t>
            </w:r>
          </w:p>
          <w:p w14:paraId="172D6032">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1000℃使用，其操作温度在燃点以上</w:t>
            </w:r>
          </w:p>
        </w:tc>
        <w:tc>
          <w:tcPr>
            <w:tcW w:w="1055" w:type="pct"/>
            <w:vAlign w:val="center"/>
          </w:tcPr>
          <w:p w14:paraId="76F8950B">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1000℃使用，但操作温度在燃点以下；</w:t>
            </w:r>
          </w:p>
          <w:p w14:paraId="235A5B63">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250℃使用，其操作温度在燃点以上</w:t>
            </w:r>
          </w:p>
        </w:tc>
        <w:tc>
          <w:tcPr>
            <w:tcW w:w="817" w:type="pct"/>
            <w:vAlign w:val="center"/>
          </w:tcPr>
          <w:p w14:paraId="432222FF">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highlight w:val="none"/>
              </w:rPr>
            </w:pPr>
            <w:r>
              <w:rPr>
                <w:rFonts w:ascii="宋体" w:hAnsi="宋体"/>
                <w:color w:val="auto"/>
                <w:highlight w:val="none"/>
              </w:rPr>
              <w:t>压力</w:t>
            </w:r>
          </w:p>
        </w:tc>
        <w:tc>
          <w:tcPr>
            <w:tcW w:w="1267" w:type="pct"/>
            <w:vAlign w:val="center"/>
          </w:tcPr>
          <w:p w14:paraId="76CA8DAC">
            <w:pPr>
              <w:rPr>
                <w:rFonts w:ascii="宋体" w:hAnsi="宋体"/>
                <w:color w:val="auto"/>
                <w:highlight w:val="none"/>
              </w:rPr>
            </w:pPr>
            <w:r>
              <w:rPr>
                <w:rFonts w:ascii="宋体" w:hAnsi="宋体"/>
                <w:color w:val="auto"/>
                <w:highlight w:val="none"/>
              </w:rPr>
              <w:t>100MPa</w:t>
            </w:r>
          </w:p>
        </w:tc>
        <w:tc>
          <w:tcPr>
            <w:tcW w:w="1267" w:type="pct"/>
            <w:vAlign w:val="center"/>
          </w:tcPr>
          <w:p w14:paraId="5507D94E">
            <w:pP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100MPa</w:t>
            </w:r>
          </w:p>
        </w:tc>
        <w:tc>
          <w:tcPr>
            <w:tcW w:w="1055" w:type="pct"/>
            <w:vAlign w:val="center"/>
          </w:tcPr>
          <w:p w14:paraId="76CEFB1D">
            <w:pPr>
              <w:rPr>
                <w:rFonts w:ascii="宋体" w:hAnsi="宋体"/>
                <w:color w:val="auto"/>
                <w:highlight w:val="none"/>
              </w:rPr>
            </w:pPr>
            <w:r>
              <w:rPr>
                <w:rFonts w:ascii="宋体" w:hAnsi="宋体"/>
                <w:color w:val="auto"/>
                <w:highlight w:val="none"/>
              </w:rPr>
              <w:t>1</w:t>
            </w:r>
            <w:r>
              <w:rPr>
                <w:rFonts w:hint="eastAsia" w:ascii="宋体" w:hAnsi="宋体"/>
                <w:color w:val="auto"/>
                <w:highlight w:val="none"/>
                <w:lang w:eastAsia="zh-CN"/>
              </w:rPr>
              <w:t>~</w:t>
            </w:r>
            <w:r>
              <w:rPr>
                <w:rFonts w:ascii="宋体" w:hAnsi="宋体"/>
                <w:color w:val="auto"/>
                <w:highlight w:val="none"/>
              </w:rPr>
              <w:t>20MPa</w:t>
            </w:r>
          </w:p>
        </w:tc>
        <w:tc>
          <w:tcPr>
            <w:tcW w:w="817" w:type="pct"/>
            <w:vAlign w:val="center"/>
          </w:tcPr>
          <w:p w14:paraId="0C8BFF72">
            <w:pPr>
              <w:rPr>
                <w:rFonts w:ascii="宋体" w:hAnsi="宋体"/>
                <w:color w:val="auto"/>
                <w:highlight w:val="none"/>
              </w:rPr>
            </w:pPr>
            <w:r>
              <w:rPr>
                <w:rFonts w:ascii="宋体" w:hAnsi="宋体"/>
                <w:color w:val="auto"/>
                <w:highlight w:val="none"/>
              </w:rPr>
              <w:t>1M</w:t>
            </w:r>
            <w:r>
              <w:rPr>
                <w:rFonts w:hint="eastAsia" w:ascii="宋体" w:hAnsi="宋体"/>
                <w:color w:val="auto"/>
                <w:highlight w:val="none"/>
              </w:rPr>
              <w:t>P</w:t>
            </w:r>
            <w:r>
              <w:rPr>
                <w:rFonts w:ascii="宋体" w:hAnsi="宋体"/>
                <w:color w:val="auto"/>
                <w:highlight w:val="none"/>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highlight w:val="none"/>
              </w:rPr>
            </w:pPr>
            <w:r>
              <w:rPr>
                <w:rFonts w:ascii="宋体" w:hAnsi="宋体"/>
                <w:color w:val="auto"/>
                <w:highlight w:val="none"/>
              </w:rPr>
              <w:t>操作</w:t>
            </w:r>
          </w:p>
        </w:tc>
        <w:tc>
          <w:tcPr>
            <w:tcW w:w="1267" w:type="pct"/>
            <w:vAlign w:val="center"/>
          </w:tcPr>
          <w:p w14:paraId="552D0AA1">
            <w:pPr>
              <w:rPr>
                <w:rFonts w:ascii="宋体" w:hAnsi="宋体"/>
                <w:color w:val="auto"/>
                <w:highlight w:val="none"/>
              </w:rPr>
            </w:pPr>
            <w:r>
              <w:rPr>
                <w:rFonts w:ascii="宋体" w:hAnsi="宋体"/>
                <w:color w:val="auto"/>
                <w:highlight w:val="none"/>
              </w:rPr>
              <w:t>临界放热和特别剧烈的反应操作</w:t>
            </w:r>
          </w:p>
          <w:p w14:paraId="4751549B">
            <w:pPr>
              <w:rPr>
                <w:rFonts w:ascii="宋体" w:hAnsi="宋体"/>
                <w:color w:val="auto"/>
                <w:highlight w:val="none"/>
              </w:rPr>
            </w:pPr>
            <w:r>
              <w:rPr>
                <w:rFonts w:ascii="宋体" w:hAnsi="宋体"/>
                <w:color w:val="auto"/>
                <w:highlight w:val="none"/>
              </w:rPr>
              <w:t>在爆炸极限范围内或其附近操作</w:t>
            </w:r>
          </w:p>
        </w:tc>
        <w:tc>
          <w:tcPr>
            <w:tcW w:w="1267" w:type="pct"/>
            <w:vAlign w:val="center"/>
          </w:tcPr>
          <w:p w14:paraId="1434A3B6">
            <w:pPr>
              <w:rPr>
                <w:rFonts w:ascii="宋体" w:hAnsi="宋体"/>
                <w:color w:val="auto"/>
                <w:highlight w:val="none"/>
              </w:rPr>
            </w:pPr>
            <w:r>
              <w:rPr>
                <w:rFonts w:ascii="宋体" w:hAnsi="宋体"/>
                <w:color w:val="auto"/>
                <w:highlight w:val="none"/>
              </w:rPr>
              <w:t>中等放热反应；</w:t>
            </w:r>
          </w:p>
          <w:p w14:paraId="12284B46">
            <w:pPr>
              <w:rPr>
                <w:rFonts w:ascii="宋体" w:hAnsi="宋体"/>
                <w:color w:val="auto"/>
                <w:highlight w:val="none"/>
              </w:rPr>
            </w:pPr>
            <w:r>
              <w:rPr>
                <w:rFonts w:ascii="宋体" w:hAnsi="宋体"/>
                <w:color w:val="auto"/>
                <w:highlight w:val="none"/>
              </w:rPr>
              <w:t>系统进入空气或不纯物质，可能发生危险的操作；</w:t>
            </w:r>
          </w:p>
          <w:p w14:paraId="26B3DAB4">
            <w:pPr>
              <w:rPr>
                <w:rFonts w:ascii="宋体" w:hAnsi="宋体"/>
                <w:color w:val="auto"/>
                <w:highlight w:val="none"/>
              </w:rPr>
            </w:pPr>
            <w:r>
              <w:rPr>
                <w:rFonts w:ascii="宋体" w:hAnsi="宋体"/>
                <w:color w:val="auto"/>
                <w:highlight w:val="none"/>
              </w:rPr>
              <w:t>使用粉状或雾状物质，有可能发生粉尘爆炸的操作</w:t>
            </w:r>
          </w:p>
          <w:p w14:paraId="5DFA9F50">
            <w:pPr>
              <w:rPr>
                <w:rFonts w:ascii="宋体" w:hAnsi="宋体"/>
                <w:color w:val="auto"/>
                <w:highlight w:val="none"/>
              </w:rPr>
            </w:pPr>
            <w:r>
              <w:rPr>
                <w:rFonts w:ascii="宋体" w:hAnsi="宋体"/>
                <w:color w:val="auto"/>
                <w:highlight w:val="none"/>
              </w:rPr>
              <w:t>单批式操作</w:t>
            </w:r>
          </w:p>
        </w:tc>
        <w:tc>
          <w:tcPr>
            <w:tcW w:w="1055" w:type="pct"/>
            <w:vAlign w:val="center"/>
          </w:tcPr>
          <w:p w14:paraId="67F722ED">
            <w:pPr>
              <w:rPr>
                <w:rFonts w:ascii="宋体" w:hAnsi="宋体"/>
                <w:color w:val="auto"/>
                <w:highlight w:val="none"/>
              </w:rPr>
            </w:pPr>
            <w:r>
              <w:rPr>
                <w:rFonts w:ascii="宋体" w:hAnsi="宋体"/>
                <w:color w:val="auto"/>
                <w:highlight w:val="none"/>
              </w:rPr>
              <w:t>轻微放热反应；</w:t>
            </w:r>
          </w:p>
          <w:p w14:paraId="046F4DF4">
            <w:pPr>
              <w:rPr>
                <w:rFonts w:ascii="宋体" w:hAnsi="宋体"/>
                <w:color w:val="auto"/>
                <w:highlight w:val="none"/>
              </w:rPr>
            </w:pPr>
            <w:r>
              <w:rPr>
                <w:rFonts w:ascii="宋体" w:hAnsi="宋体"/>
                <w:color w:val="auto"/>
                <w:highlight w:val="none"/>
              </w:rPr>
              <w:t>在精制过程中伴有化学反应；</w:t>
            </w:r>
          </w:p>
          <w:p w14:paraId="3B40DF67">
            <w:pPr>
              <w:rPr>
                <w:rFonts w:ascii="宋体" w:hAnsi="宋体"/>
                <w:color w:val="auto"/>
                <w:highlight w:val="none"/>
              </w:rPr>
            </w:pPr>
            <w:r>
              <w:rPr>
                <w:rFonts w:ascii="宋体" w:hAnsi="宋体"/>
                <w:color w:val="auto"/>
                <w:highlight w:val="none"/>
              </w:rPr>
              <w:t>单批式操作，但开始使用机械进行程序操作；</w:t>
            </w:r>
          </w:p>
          <w:p w14:paraId="6DFBE3F2">
            <w:pPr>
              <w:rPr>
                <w:rFonts w:ascii="宋体" w:hAnsi="宋体"/>
                <w:color w:val="auto"/>
                <w:highlight w:val="none"/>
              </w:rPr>
            </w:pPr>
            <w:r>
              <w:rPr>
                <w:rFonts w:ascii="宋体" w:hAnsi="宋体"/>
                <w:color w:val="auto"/>
                <w:highlight w:val="none"/>
              </w:rPr>
              <w:t>有一定危险的操作</w:t>
            </w:r>
          </w:p>
        </w:tc>
        <w:tc>
          <w:tcPr>
            <w:tcW w:w="817" w:type="pct"/>
            <w:vAlign w:val="center"/>
          </w:tcPr>
          <w:p w14:paraId="08D8DCCC">
            <w:pPr>
              <w:rPr>
                <w:rFonts w:ascii="宋体" w:hAnsi="宋体"/>
                <w:color w:val="auto"/>
                <w:highlight w:val="none"/>
              </w:rPr>
            </w:pPr>
            <w:r>
              <w:rPr>
                <w:rFonts w:ascii="宋体" w:hAnsi="宋体"/>
                <w:color w:val="auto"/>
                <w:highlight w:val="none"/>
              </w:rPr>
              <w:t>无危险的操作</w:t>
            </w:r>
          </w:p>
        </w:tc>
      </w:tr>
    </w:tbl>
    <w:p w14:paraId="598762AF">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危险度分级见表</w:t>
      </w:r>
      <w:r>
        <w:rPr>
          <w:rFonts w:hint="eastAsia" w:ascii="宋体" w:hAnsi="宋体"/>
          <w:color w:val="auto"/>
          <w:sz w:val="28"/>
          <w:szCs w:val="28"/>
          <w:highlight w:val="none"/>
        </w:rPr>
        <w:t>4.2-6</w:t>
      </w:r>
      <w:r>
        <w:rPr>
          <w:rFonts w:ascii="宋体" w:hAnsi="宋体"/>
          <w:color w:val="auto"/>
          <w:sz w:val="28"/>
          <w:szCs w:val="28"/>
          <w:highlight w:val="none"/>
        </w:rPr>
        <w:t>。</w:t>
      </w:r>
    </w:p>
    <w:p w14:paraId="644E6571">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4.2-6</w:t>
      </w:r>
      <w:r>
        <w:rPr>
          <w:rFonts w:ascii="宋体" w:hAnsi="宋体"/>
          <w:color w:val="auto"/>
          <w:sz w:val="28"/>
          <w:szCs w:val="28"/>
          <w:highlight w:val="none"/>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highlight w:val="none"/>
              </w:rPr>
            </w:pPr>
            <w:r>
              <w:rPr>
                <w:rFonts w:ascii="宋体" w:hAnsi="宋体"/>
                <w:b/>
                <w:color w:val="auto"/>
                <w:highlight w:val="none"/>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highlight w:val="none"/>
              </w:rPr>
            </w:pPr>
            <w:r>
              <w:rPr>
                <w:rFonts w:ascii="宋体" w:hAnsi="宋体"/>
                <w:color w:val="auto"/>
                <w:highlight w:val="none"/>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highlight w:val="none"/>
              </w:rPr>
            </w:pPr>
            <w:r>
              <w:rPr>
                <w:rFonts w:ascii="宋体" w:hAnsi="宋体"/>
                <w:color w:val="auto"/>
                <w:highlight w:val="none"/>
              </w:rPr>
              <w:t>11</w:t>
            </w:r>
            <w:r>
              <w:rPr>
                <w:rFonts w:hint="eastAsia" w:ascii="宋体" w:hAnsi="宋体"/>
                <w:color w:val="auto"/>
                <w:highlight w:val="none"/>
              </w:rPr>
              <w:t>～</w:t>
            </w:r>
            <w:r>
              <w:rPr>
                <w:rFonts w:ascii="宋体" w:hAnsi="宋体"/>
                <w:color w:val="auto"/>
                <w:highlight w:val="none"/>
              </w:rPr>
              <w:t>15分</w:t>
            </w:r>
          </w:p>
        </w:tc>
        <w:tc>
          <w:tcPr>
            <w:tcW w:w="1233" w:type="pct"/>
            <w:vAlign w:val="center"/>
          </w:tcPr>
          <w:p w14:paraId="02D84777">
            <w:pPr>
              <w:jc w:val="center"/>
              <w:rPr>
                <w:rFonts w:ascii="宋体" w:hAnsi="宋体"/>
                <w:color w:val="auto"/>
                <w:highlight w:val="none"/>
              </w:rPr>
            </w:pPr>
            <w:r>
              <w:rPr>
                <w:rFonts w:ascii="宋体" w:hAnsi="宋体"/>
                <w:color w:val="auto"/>
                <w:highlight w:val="none"/>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highlight w:val="none"/>
              </w:rPr>
            </w:pPr>
            <w:r>
              <w:rPr>
                <w:rFonts w:ascii="宋体" w:hAnsi="宋体"/>
                <w:b/>
                <w:color w:val="auto"/>
                <w:highlight w:val="none"/>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highlight w:val="none"/>
              </w:rPr>
            </w:pPr>
            <w:r>
              <w:rPr>
                <w:rFonts w:ascii="宋体" w:hAnsi="宋体"/>
                <w:color w:val="auto"/>
                <w:highlight w:val="none"/>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highlight w:val="none"/>
              </w:rPr>
            </w:pPr>
            <w:r>
              <w:rPr>
                <w:rFonts w:ascii="宋体" w:hAnsi="宋体"/>
                <w:color w:val="auto"/>
                <w:highlight w:val="none"/>
              </w:rPr>
              <w:t>Ⅱ</w:t>
            </w:r>
          </w:p>
        </w:tc>
        <w:tc>
          <w:tcPr>
            <w:tcW w:w="1233" w:type="pct"/>
            <w:vAlign w:val="center"/>
          </w:tcPr>
          <w:p w14:paraId="496FD122">
            <w:pPr>
              <w:jc w:val="center"/>
              <w:rPr>
                <w:rFonts w:ascii="宋体" w:hAnsi="宋体"/>
                <w:color w:val="auto"/>
                <w:highlight w:val="none"/>
              </w:rPr>
            </w:pPr>
            <w:r>
              <w:rPr>
                <w:rFonts w:ascii="宋体" w:hAnsi="宋体"/>
                <w:color w:val="auto"/>
                <w:highlight w:val="none"/>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highlight w:val="none"/>
              </w:rPr>
            </w:pPr>
            <w:r>
              <w:rPr>
                <w:rFonts w:ascii="宋体" w:hAnsi="宋体"/>
                <w:b/>
                <w:color w:val="auto"/>
                <w:highlight w:val="none"/>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highlight w:val="none"/>
              </w:rPr>
            </w:pPr>
            <w:r>
              <w:rPr>
                <w:rFonts w:ascii="宋体" w:hAnsi="宋体"/>
                <w:color w:val="auto"/>
                <w:highlight w:val="none"/>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highlight w:val="none"/>
              </w:rPr>
            </w:pPr>
            <w:r>
              <w:rPr>
                <w:rFonts w:ascii="宋体" w:hAnsi="宋体"/>
                <w:color w:val="auto"/>
                <w:highlight w:val="none"/>
              </w:rPr>
              <w:t>中度危险</w:t>
            </w:r>
          </w:p>
        </w:tc>
        <w:tc>
          <w:tcPr>
            <w:tcW w:w="1233" w:type="pct"/>
            <w:vAlign w:val="center"/>
          </w:tcPr>
          <w:p w14:paraId="1B480469">
            <w:pPr>
              <w:jc w:val="center"/>
              <w:rPr>
                <w:rFonts w:ascii="宋体" w:hAnsi="宋体"/>
                <w:color w:val="auto"/>
                <w:highlight w:val="none"/>
              </w:rPr>
            </w:pPr>
            <w:r>
              <w:rPr>
                <w:rFonts w:ascii="宋体" w:hAnsi="宋体"/>
                <w:color w:val="auto"/>
                <w:highlight w:val="none"/>
              </w:rPr>
              <w:t>低度危险</w:t>
            </w:r>
          </w:p>
        </w:tc>
      </w:tr>
    </w:tbl>
    <w:p w14:paraId="63795E42">
      <w:pPr>
        <w:rPr>
          <w:color w:val="auto"/>
          <w:highlight w:val="none"/>
        </w:rPr>
      </w:pPr>
    </w:p>
    <w:p w14:paraId="6290BBF2">
      <w:pPr>
        <w:rPr>
          <w:color w:val="auto"/>
          <w:highlight w:val="none"/>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highlight w:val="none"/>
        </w:rPr>
      </w:pPr>
      <w:bookmarkStart w:id="127" w:name="_Toc92712585"/>
      <w:bookmarkStart w:id="128" w:name="_Toc20468422"/>
      <w:bookmarkStart w:id="129" w:name="_Toc90566112"/>
      <w:bookmarkStart w:id="130" w:name="_Toc2146"/>
      <w:bookmarkStart w:id="131" w:name="_Toc2095"/>
      <w:bookmarkStart w:id="132" w:name="_Toc29097"/>
      <w:r>
        <w:rPr>
          <w:rFonts w:ascii="宋体" w:hAnsi="宋体"/>
          <w:color w:val="auto"/>
          <w:sz w:val="32"/>
          <w:szCs w:val="32"/>
          <w:highlight w:val="none"/>
        </w:rPr>
        <w:t xml:space="preserve">5 </w:t>
      </w:r>
      <w:r>
        <w:rPr>
          <w:rFonts w:hint="eastAsia" w:ascii="宋体" w:hAnsi="宋体"/>
          <w:color w:val="auto"/>
          <w:sz w:val="32"/>
          <w:szCs w:val="32"/>
          <w:highlight w:val="none"/>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highlight w:val="none"/>
        </w:rPr>
      </w:pPr>
      <w:bookmarkStart w:id="133" w:name="_Toc4733"/>
      <w:bookmarkStart w:id="134" w:name="_Toc24115"/>
      <w:bookmarkStart w:id="135" w:name="_Toc21479"/>
      <w:bookmarkStart w:id="136" w:name="_Toc343692262"/>
      <w:bookmarkStart w:id="137" w:name="_Toc2357"/>
      <w:bookmarkStart w:id="138" w:name="_Toc20468423"/>
      <w:bookmarkStart w:id="139" w:name="_Toc92712586"/>
      <w:bookmarkStart w:id="140" w:name="_Toc3486"/>
      <w:r>
        <w:rPr>
          <w:rFonts w:ascii="宋体" w:hAnsi="宋体"/>
          <w:color w:val="auto"/>
          <w:sz w:val="30"/>
          <w:szCs w:val="30"/>
          <w:highlight w:val="none"/>
        </w:rPr>
        <w:t>5.1 作业条件危险性评价法（</w:t>
      </w:r>
      <w:r>
        <w:rPr>
          <w:rFonts w:hint="eastAsia" w:ascii="宋体" w:hAnsi="宋体"/>
          <w:color w:val="auto"/>
          <w:sz w:val="30"/>
          <w:szCs w:val="30"/>
          <w:highlight w:val="none"/>
        </w:rPr>
        <w:t>D＝</w:t>
      </w:r>
      <w:r>
        <w:rPr>
          <w:rFonts w:ascii="宋体" w:hAnsi="宋体"/>
          <w:color w:val="auto"/>
          <w:sz w:val="30"/>
          <w:szCs w:val="30"/>
          <w:highlight w:val="none"/>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highlight w:val="none"/>
        </w:rPr>
      </w:pPr>
      <w:bookmarkStart w:id="141" w:name="_Toc25880"/>
      <w:bookmarkStart w:id="142" w:name="_Toc4861"/>
      <w:bookmarkStart w:id="143" w:name="_Toc22504"/>
      <w:bookmarkStart w:id="144" w:name="_Toc92712587"/>
      <w:bookmarkStart w:id="145" w:name="_Toc20468424"/>
      <w:r>
        <w:rPr>
          <w:rFonts w:ascii="宋体" w:hAnsi="宋体"/>
          <w:b/>
          <w:bCs/>
          <w:color w:val="auto"/>
          <w:sz w:val="30"/>
          <w:szCs w:val="30"/>
          <w:highlight w:val="none"/>
        </w:rPr>
        <w:t>5.1.1</w:t>
      </w:r>
      <w:r>
        <w:rPr>
          <w:rFonts w:hint="eastAsia" w:ascii="宋体" w:hAnsi="宋体"/>
          <w:b/>
          <w:bCs/>
          <w:color w:val="auto"/>
          <w:sz w:val="30"/>
          <w:szCs w:val="30"/>
          <w:highlight w:val="none"/>
        </w:rPr>
        <w:t xml:space="preserve"> </w:t>
      </w:r>
      <w:r>
        <w:rPr>
          <w:rFonts w:ascii="宋体" w:hAnsi="宋体"/>
          <w:b/>
          <w:bCs/>
          <w:color w:val="auto"/>
          <w:sz w:val="30"/>
          <w:szCs w:val="30"/>
          <w:highlight w:val="none"/>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highlight w:val="none"/>
        </w:rPr>
      </w:pPr>
      <w:r>
        <w:rPr>
          <w:rFonts w:ascii="宋体" w:hAnsi="宋体"/>
          <w:color w:val="auto"/>
          <w:sz w:val="28"/>
          <w:szCs w:val="28"/>
          <w:highlight w:val="none"/>
        </w:rPr>
        <w:t>根据本项目经营过程及分析，确定评价单元为：油罐区卸油作业、加油区加油作业、加油站内车辆道路引导作业</w:t>
      </w:r>
      <w:r>
        <w:rPr>
          <w:rFonts w:hint="eastAsia" w:ascii="宋体" w:hAnsi="宋体"/>
          <w:color w:val="auto"/>
          <w:sz w:val="28"/>
          <w:szCs w:val="28"/>
          <w:highlight w:val="none"/>
        </w:rPr>
        <w:t>、配电间</w:t>
      </w:r>
      <w:r>
        <w:rPr>
          <w:rFonts w:ascii="宋体" w:hAnsi="宋体"/>
          <w:color w:val="auto"/>
          <w:sz w:val="28"/>
          <w:szCs w:val="28"/>
          <w:highlight w:val="none"/>
        </w:rPr>
        <w:t>作业等单元。</w:t>
      </w:r>
    </w:p>
    <w:p w14:paraId="068A3030">
      <w:pPr>
        <w:spacing w:line="560" w:lineRule="exact"/>
        <w:rPr>
          <w:rFonts w:ascii="宋体" w:hAnsi="宋体"/>
          <w:b/>
          <w:bCs/>
          <w:color w:val="auto"/>
          <w:sz w:val="30"/>
          <w:szCs w:val="30"/>
          <w:highlight w:val="none"/>
        </w:rPr>
      </w:pPr>
      <w:bookmarkStart w:id="146" w:name="_Toc32059"/>
      <w:bookmarkStart w:id="147" w:name="_Toc20468425"/>
      <w:bookmarkStart w:id="148" w:name="_Toc23097"/>
      <w:bookmarkStart w:id="149" w:name="_Toc92712588"/>
      <w:bookmarkStart w:id="150" w:name="_Toc9784"/>
      <w:r>
        <w:rPr>
          <w:rFonts w:ascii="宋体" w:hAnsi="宋体"/>
          <w:b/>
          <w:bCs/>
          <w:color w:val="auto"/>
          <w:sz w:val="30"/>
          <w:szCs w:val="30"/>
          <w:highlight w:val="none"/>
        </w:rPr>
        <w:t>5.1.2</w:t>
      </w:r>
      <w:r>
        <w:rPr>
          <w:rFonts w:hint="eastAsia" w:ascii="宋体" w:hAnsi="宋体"/>
          <w:b/>
          <w:bCs/>
          <w:color w:val="auto"/>
          <w:sz w:val="30"/>
          <w:szCs w:val="30"/>
          <w:highlight w:val="none"/>
        </w:rPr>
        <w:t xml:space="preserve"> </w:t>
      </w:r>
      <w:r>
        <w:rPr>
          <w:rFonts w:ascii="宋体" w:hAnsi="宋体"/>
          <w:b/>
          <w:bCs/>
          <w:color w:val="auto"/>
          <w:sz w:val="30"/>
          <w:szCs w:val="30"/>
          <w:highlight w:val="none"/>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highlight w:val="none"/>
        </w:rPr>
      </w:pPr>
      <w:r>
        <w:rPr>
          <w:rFonts w:ascii="宋体" w:hAnsi="宋体"/>
          <w:color w:val="auto"/>
          <w:sz w:val="28"/>
          <w:szCs w:val="28"/>
          <w:highlight w:val="none"/>
        </w:rPr>
        <w:t>各单元计算结果及等级划分见表5</w:t>
      </w:r>
      <w:r>
        <w:rPr>
          <w:rFonts w:hint="eastAsia" w:ascii="宋体" w:hAnsi="宋体"/>
          <w:color w:val="auto"/>
          <w:sz w:val="28"/>
          <w:szCs w:val="28"/>
          <w:highlight w:val="none"/>
        </w:rPr>
        <w:t>.1</w:t>
      </w:r>
      <w:r>
        <w:rPr>
          <w:rFonts w:ascii="宋体" w:hAnsi="宋体"/>
          <w:color w:val="auto"/>
          <w:sz w:val="28"/>
          <w:szCs w:val="28"/>
          <w:highlight w:val="none"/>
        </w:rPr>
        <w:t>-1。</w:t>
      </w:r>
    </w:p>
    <w:p w14:paraId="3C18F20A">
      <w:pPr>
        <w:spacing w:line="560" w:lineRule="exact"/>
        <w:ind w:firstLine="570"/>
        <w:rPr>
          <w:rFonts w:ascii="宋体" w:hAnsi="宋体"/>
          <w:color w:val="auto"/>
          <w:sz w:val="28"/>
          <w:szCs w:val="28"/>
          <w:highlight w:val="none"/>
        </w:rPr>
      </w:pPr>
      <w:r>
        <w:rPr>
          <w:rFonts w:ascii="宋体" w:hAnsi="宋体"/>
          <w:color w:val="auto"/>
          <w:sz w:val="28"/>
          <w:szCs w:val="28"/>
          <w:highlight w:val="none"/>
        </w:rPr>
        <w:t>以</w:t>
      </w:r>
      <w:r>
        <w:rPr>
          <w:rFonts w:hint="eastAsia" w:ascii="宋体" w:hAnsi="宋体"/>
          <w:color w:val="auto"/>
          <w:sz w:val="28"/>
          <w:szCs w:val="28"/>
          <w:highlight w:val="none"/>
        </w:rPr>
        <w:t>卸</w:t>
      </w:r>
      <w:r>
        <w:rPr>
          <w:rFonts w:ascii="宋体" w:hAnsi="宋体"/>
          <w:color w:val="auto"/>
          <w:sz w:val="28"/>
          <w:szCs w:val="28"/>
          <w:highlight w:val="none"/>
        </w:rPr>
        <w:t>油作业单元为例说明LEC法的取值及计算过程。</w:t>
      </w:r>
    </w:p>
    <w:p w14:paraId="49C73E22">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事故发生的可能性L：在接卸油品作业操作过程中，由于物质为易燃液体，遇到火源可能发生火灾、爆炸事故，</w:t>
      </w:r>
      <w:r>
        <w:rPr>
          <w:rFonts w:ascii="宋体" w:hAnsi="宋体"/>
          <w:color w:val="auto"/>
          <w:spacing w:val="-6"/>
          <w:sz w:val="28"/>
          <w:szCs w:val="28"/>
          <w:highlight w:val="none"/>
        </w:rPr>
        <w:t>但在安全设施完备、严格按规程作业时一般不会发生事故，故属“</w:t>
      </w:r>
      <w:r>
        <w:rPr>
          <w:rFonts w:hint="eastAsia" w:ascii="宋体" w:hAnsi="宋体"/>
          <w:color w:val="auto"/>
          <w:spacing w:val="-6"/>
          <w:sz w:val="28"/>
          <w:szCs w:val="28"/>
          <w:highlight w:val="none"/>
        </w:rPr>
        <w:t>可能性小，完全意外</w:t>
      </w:r>
      <w:r>
        <w:rPr>
          <w:rFonts w:ascii="宋体" w:hAnsi="宋体"/>
          <w:color w:val="auto"/>
          <w:spacing w:val="-6"/>
          <w:sz w:val="28"/>
          <w:szCs w:val="28"/>
          <w:highlight w:val="none"/>
        </w:rPr>
        <w:t>”，故其分值L＝</w:t>
      </w:r>
      <w:r>
        <w:rPr>
          <w:rFonts w:hint="eastAsia" w:ascii="宋体" w:hAnsi="宋体"/>
          <w:color w:val="auto"/>
          <w:spacing w:val="-6"/>
          <w:sz w:val="28"/>
          <w:szCs w:val="28"/>
          <w:highlight w:val="none"/>
        </w:rPr>
        <w:t>1</w:t>
      </w:r>
      <w:r>
        <w:rPr>
          <w:rFonts w:ascii="宋体" w:hAnsi="宋体"/>
          <w:color w:val="auto"/>
          <w:spacing w:val="-6"/>
          <w:sz w:val="28"/>
          <w:szCs w:val="28"/>
          <w:highlight w:val="none"/>
        </w:rPr>
        <w:t>；</w:t>
      </w:r>
    </w:p>
    <w:p w14:paraId="2378D93E">
      <w:pPr>
        <w:spacing w:line="560" w:lineRule="exact"/>
        <w:ind w:firstLine="570"/>
        <w:rPr>
          <w:rFonts w:ascii="宋体" w:hAnsi="宋体"/>
          <w:color w:val="auto"/>
          <w:spacing w:val="-11"/>
          <w:sz w:val="28"/>
          <w:szCs w:val="28"/>
          <w:highlight w:val="none"/>
        </w:rPr>
      </w:pPr>
      <w:r>
        <w:rPr>
          <w:rFonts w:hint="eastAsia" w:ascii="宋体" w:hAnsi="宋体"/>
          <w:color w:val="auto"/>
          <w:spacing w:val="-11"/>
          <w:sz w:val="28"/>
          <w:szCs w:val="28"/>
          <w:highlight w:val="none"/>
        </w:rPr>
        <w:t>②</w:t>
      </w:r>
      <w:r>
        <w:rPr>
          <w:rFonts w:ascii="宋体" w:hAnsi="宋体"/>
          <w:color w:val="auto"/>
          <w:spacing w:val="-11"/>
          <w:sz w:val="28"/>
          <w:szCs w:val="28"/>
          <w:highlight w:val="none"/>
        </w:rPr>
        <w:t>暴露于危险环境的频繁程度E：员工每周1次作业或偶然暴露，故取E＝3；</w:t>
      </w:r>
    </w:p>
    <w:p w14:paraId="2819792E">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发生事故产生的后果C：发生火灾、爆炸事故，可能造成人员死亡或重大的财产损失。故取C＝15；D＝L×E×C＝</w:t>
      </w:r>
      <w:r>
        <w:rPr>
          <w:rFonts w:hint="eastAsia" w:ascii="宋体" w:hAnsi="宋体"/>
          <w:color w:val="auto"/>
          <w:sz w:val="28"/>
          <w:szCs w:val="28"/>
          <w:highlight w:val="none"/>
        </w:rPr>
        <w:t>1</w:t>
      </w:r>
      <w:r>
        <w:rPr>
          <w:rFonts w:ascii="宋体" w:hAnsi="宋体"/>
          <w:color w:val="auto"/>
          <w:sz w:val="28"/>
          <w:szCs w:val="28"/>
          <w:highlight w:val="none"/>
        </w:rPr>
        <w:t>×3×15＝</w:t>
      </w:r>
      <w:r>
        <w:rPr>
          <w:rFonts w:hint="eastAsia" w:ascii="宋体" w:hAnsi="宋体"/>
          <w:color w:val="auto"/>
          <w:sz w:val="28"/>
          <w:szCs w:val="28"/>
          <w:highlight w:val="none"/>
        </w:rPr>
        <w:t>4</w:t>
      </w:r>
      <w:r>
        <w:rPr>
          <w:rFonts w:ascii="宋体" w:hAnsi="宋体"/>
          <w:color w:val="auto"/>
          <w:sz w:val="28"/>
          <w:szCs w:val="28"/>
          <w:highlight w:val="none"/>
        </w:rPr>
        <w:t>5。</w:t>
      </w:r>
    </w:p>
    <w:p w14:paraId="7FC80F3C">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④</w:t>
      </w:r>
      <w:r>
        <w:rPr>
          <w:rFonts w:ascii="宋体" w:hAnsi="宋体"/>
          <w:color w:val="auto"/>
          <w:sz w:val="28"/>
          <w:szCs w:val="28"/>
          <w:highlight w:val="none"/>
        </w:rPr>
        <w:t>结论：储罐区接卸油作业</w:t>
      </w:r>
      <w:r>
        <w:rPr>
          <w:rFonts w:hint="eastAsia" w:ascii="宋体" w:hAnsi="宋体"/>
          <w:color w:val="auto"/>
          <w:sz w:val="28"/>
          <w:szCs w:val="28"/>
          <w:highlight w:val="none"/>
          <w:lang w:eastAsia="zh-CN"/>
        </w:rPr>
        <w:t>属于</w:t>
      </w:r>
      <w:r>
        <w:rPr>
          <w:rFonts w:ascii="宋体" w:hAnsi="宋体"/>
          <w:color w:val="auto"/>
          <w:sz w:val="28"/>
          <w:szCs w:val="28"/>
          <w:highlight w:val="none"/>
        </w:rPr>
        <w:t>“一般危险”范围。</w:t>
      </w:r>
    </w:p>
    <w:p w14:paraId="10DEBA12">
      <w:pPr>
        <w:spacing w:line="560" w:lineRule="exact"/>
        <w:jc w:val="center"/>
        <w:rPr>
          <w:rFonts w:ascii="宋体" w:hAnsi="宋体"/>
          <w:color w:val="auto"/>
          <w:sz w:val="28"/>
          <w:szCs w:val="28"/>
          <w:highlight w:val="none"/>
        </w:rPr>
      </w:pPr>
      <w:r>
        <w:rPr>
          <w:rFonts w:ascii="宋体" w:hAnsi="宋体"/>
          <w:color w:val="auto"/>
          <w:sz w:val="28"/>
          <w:szCs w:val="28"/>
          <w:highlight w:val="none"/>
        </w:rPr>
        <w:t>表5</w:t>
      </w:r>
      <w:r>
        <w:rPr>
          <w:rFonts w:hint="eastAsia" w:ascii="宋体" w:hAnsi="宋体"/>
          <w:color w:val="auto"/>
          <w:sz w:val="28"/>
          <w:szCs w:val="28"/>
          <w:highlight w:val="none"/>
        </w:rPr>
        <w:t>.1</w:t>
      </w:r>
      <w:r>
        <w:rPr>
          <w:rFonts w:ascii="宋体" w:hAnsi="宋体"/>
          <w:color w:val="auto"/>
          <w:sz w:val="28"/>
          <w:szCs w:val="28"/>
          <w:highlight w:val="none"/>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highlight w:val="none"/>
              </w:rPr>
            </w:pPr>
            <w:r>
              <w:rPr>
                <w:rFonts w:ascii="宋体" w:hAnsi="宋体"/>
                <w:b/>
                <w:color w:val="auto"/>
                <w:highlight w:val="none"/>
              </w:rPr>
              <w:t>序号</w:t>
            </w:r>
          </w:p>
        </w:tc>
        <w:tc>
          <w:tcPr>
            <w:tcW w:w="1263" w:type="pct"/>
            <w:vAlign w:val="center"/>
          </w:tcPr>
          <w:p w14:paraId="2E83A4E5">
            <w:pPr>
              <w:jc w:val="center"/>
              <w:rPr>
                <w:rFonts w:ascii="宋体" w:hAnsi="宋体"/>
                <w:b/>
                <w:color w:val="auto"/>
                <w:highlight w:val="none"/>
              </w:rPr>
            </w:pPr>
            <w:r>
              <w:rPr>
                <w:rFonts w:ascii="宋体" w:hAnsi="宋体"/>
                <w:b/>
                <w:color w:val="auto"/>
                <w:highlight w:val="none"/>
              </w:rPr>
              <w:t>评价单元</w:t>
            </w:r>
          </w:p>
        </w:tc>
        <w:tc>
          <w:tcPr>
            <w:tcW w:w="1608" w:type="pct"/>
            <w:vAlign w:val="center"/>
          </w:tcPr>
          <w:p w14:paraId="3F5E314C">
            <w:pPr>
              <w:jc w:val="center"/>
              <w:rPr>
                <w:rFonts w:ascii="宋体" w:hAnsi="宋体"/>
                <w:b/>
                <w:color w:val="auto"/>
                <w:highlight w:val="none"/>
              </w:rPr>
            </w:pPr>
            <w:r>
              <w:rPr>
                <w:rFonts w:ascii="宋体" w:hAnsi="宋体"/>
                <w:b/>
                <w:color w:val="auto"/>
                <w:highlight w:val="none"/>
              </w:rPr>
              <w:t>危险类别</w:t>
            </w:r>
          </w:p>
        </w:tc>
        <w:tc>
          <w:tcPr>
            <w:tcW w:w="313" w:type="pct"/>
            <w:vAlign w:val="center"/>
          </w:tcPr>
          <w:p w14:paraId="76CE2032">
            <w:pPr>
              <w:jc w:val="center"/>
              <w:rPr>
                <w:rFonts w:ascii="宋体" w:hAnsi="宋体"/>
                <w:b/>
                <w:color w:val="auto"/>
                <w:highlight w:val="none"/>
              </w:rPr>
            </w:pPr>
            <w:r>
              <w:rPr>
                <w:rFonts w:ascii="宋体" w:hAnsi="宋体"/>
                <w:b/>
                <w:color w:val="auto"/>
                <w:highlight w:val="none"/>
              </w:rPr>
              <w:t>L</w:t>
            </w:r>
          </w:p>
        </w:tc>
        <w:tc>
          <w:tcPr>
            <w:tcW w:w="188" w:type="pct"/>
            <w:vAlign w:val="center"/>
          </w:tcPr>
          <w:p w14:paraId="19DD42E5">
            <w:pPr>
              <w:jc w:val="center"/>
              <w:rPr>
                <w:rFonts w:ascii="宋体" w:hAnsi="宋体"/>
                <w:b/>
                <w:color w:val="auto"/>
                <w:highlight w:val="none"/>
              </w:rPr>
            </w:pPr>
            <w:r>
              <w:rPr>
                <w:rFonts w:ascii="宋体" w:hAnsi="宋体"/>
                <w:b/>
                <w:color w:val="auto"/>
                <w:highlight w:val="none"/>
              </w:rPr>
              <w:t>E</w:t>
            </w:r>
          </w:p>
        </w:tc>
        <w:tc>
          <w:tcPr>
            <w:tcW w:w="249" w:type="pct"/>
            <w:vAlign w:val="center"/>
          </w:tcPr>
          <w:p w14:paraId="47559C40">
            <w:pPr>
              <w:jc w:val="center"/>
              <w:rPr>
                <w:rFonts w:ascii="宋体" w:hAnsi="宋体"/>
                <w:b/>
                <w:color w:val="auto"/>
                <w:highlight w:val="none"/>
              </w:rPr>
            </w:pPr>
            <w:r>
              <w:rPr>
                <w:rFonts w:ascii="宋体" w:hAnsi="宋体"/>
                <w:b/>
                <w:color w:val="auto"/>
                <w:highlight w:val="none"/>
              </w:rPr>
              <w:t>C</w:t>
            </w:r>
          </w:p>
        </w:tc>
        <w:tc>
          <w:tcPr>
            <w:tcW w:w="375" w:type="pct"/>
            <w:vAlign w:val="center"/>
          </w:tcPr>
          <w:p w14:paraId="3F3DA766">
            <w:pPr>
              <w:jc w:val="center"/>
              <w:rPr>
                <w:rFonts w:ascii="宋体" w:hAnsi="宋体"/>
                <w:b/>
                <w:color w:val="auto"/>
                <w:highlight w:val="none"/>
              </w:rPr>
            </w:pPr>
            <w:r>
              <w:rPr>
                <w:rFonts w:ascii="宋体" w:hAnsi="宋体"/>
                <w:b/>
                <w:color w:val="auto"/>
                <w:highlight w:val="none"/>
              </w:rPr>
              <w:t>D</w:t>
            </w:r>
          </w:p>
        </w:tc>
        <w:tc>
          <w:tcPr>
            <w:tcW w:w="626" w:type="pct"/>
            <w:tcBorders>
              <w:bottom w:val="single" w:color="auto" w:sz="6" w:space="0"/>
            </w:tcBorders>
            <w:vAlign w:val="center"/>
          </w:tcPr>
          <w:p w14:paraId="02149214">
            <w:pPr>
              <w:jc w:val="center"/>
              <w:rPr>
                <w:rFonts w:ascii="宋体" w:hAnsi="宋体"/>
                <w:b/>
                <w:color w:val="auto"/>
                <w:highlight w:val="none"/>
              </w:rPr>
            </w:pPr>
            <w:r>
              <w:rPr>
                <w:rFonts w:ascii="宋体" w:hAnsi="宋体"/>
                <w:b/>
                <w:color w:val="auto"/>
                <w:highlight w:val="none"/>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highlight w:val="none"/>
              </w:rPr>
            </w:pPr>
            <w:r>
              <w:rPr>
                <w:rFonts w:ascii="宋体" w:hAnsi="宋体"/>
                <w:color w:val="auto"/>
                <w:highlight w:val="none"/>
              </w:rPr>
              <w:t>1</w:t>
            </w:r>
          </w:p>
        </w:tc>
        <w:tc>
          <w:tcPr>
            <w:tcW w:w="1263" w:type="pct"/>
            <w:vMerge w:val="restart"/>
            <w:shd w:val="clear" w:color="auto" w:fill="auto"/>
            <w:vAlign w:val="center"/>
          </w:tcPr>
          <w:p w14:paraId="7F31441B">
            <w:pPr>
              <w:jc w:val="center"/>
              <w:rPr>
                <w:rFonts w:ascii="宋体" w:hAnsi="宋体"/>
                <w:color w:val="auto"/>
                <w:highlight w:val="none"/>
              </w:rPr>
            </w:pPr>
            <w:r>
              <w:rPr>
                <w:rFonts w:ascii="宋体" w:hAnsi="宋体"/>
                <w:color w:val="auto"/>
                <w:highlight w:val="none"/>
              </w:rPr>
              <w:t>油罐区卸油</w:t>
            </w:r>
            <w:r>
              <w:rPr>
                <w:rFonts w:hint="eastAsia" w:ascii="宋体" w:hAnsi="宋体"/>
                <w:color w:val="auto"/>
                <w:highlight w:val="none"/>
              </w:rPr>
              <w:t>、巡检</w:t>
            </w:r>
            <w:r>
              <w:rPr>
                <w:rFonts w:ascii="宋体" w:hAnsi="宋体"/>
                <w:color w:val="auto"/>
                <w:highlight w:val="none"/>
              </w:rPr>
              <w:t>作业</w:t>
            </w:r>
          </w:p>
        </w:tc>
        <w:tc>
          <w:tcPr>
            <w:tcW w:w="1608" w:type="pct"/>
            <w:shd w:val="clear" w:color="auto" w:fill="auto"/>
            <w:vAlign w:val="center"/>
          </w:tcPr>
          <w:p w14:paraId="3F8E5424">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27A73469">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9B7FBAE">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309AFCEF">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3562C9D6">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highlight w:val="none"/>
              </w:rPr>
            </w:pPr>
            <w:r>
              <w:rPr>
                <w:rFonts w:ascii="宋体" w:hAnsi="宋体"/>
                <w:color w:val="auto"/>
                <w:highlight w:val="none"/>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highlight w:val="none"/>
              </w:rPr>
            </w:pPr>
          </w:p>
        </w:tc>
        <w:tc>
          <w:tcPr>
            <w:tcW w:w="1263" w:type="pct"/>
            <w:vMerge w:val="continue"/>
            <w:shd w:val="clear" w:color="auto" w:fill="auto"/>
            <w:vAlign w:val="center"/>
          </w:tcPr>
          <w:p w14:paraId="78BAB5F5">
            <w:pPr>
              <w:jc w:val="center"/>
              <w:rPr>
                <w:rFonts w:ascii="宋体" w:hAnsi="宋体"/>
                <w:color w:val="auto"/>
                <w:highlight w:val="none"/>
              </w:rPr>
            </w:pPr>
          </w:p>
        </w:tc>
        <w:tc>
          <w:tcPr>
            <w:tcW w:w="1608" w:type="pct"/>
            <w:shd w:val="clear" w:color="auto" w:fill="auto"/>
            <w:vAlign w:val="center"/>
          </w:tcPr>
          <w:p w14:paraId="1969DDBB">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6FE3D952">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2C661D5C">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0BE67AD6">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46BA0418">
            <w:pPr>
              <w:jc w:val="center"/>
              <w:rPr>
                <w:rFonts w:ascii="宋体" w:hAnsi="宋体"/>
                <w:color w:val="auto"/>
                <w:highlight w:val="none"/>
              </w:rPr>
            </w:pPr>
            <w:r>
              <w:rPr>
                <w:rFonts w:hint="eastAsia" w:ascii="宋体" w:hAnsi="宋体"/>
                <w:color w:val="auto"/>
                <w:highlight w:val="none"/>
              </w:rPr>
              <w:t>22.</w:t>
            </w:r>
            <w:r>
              <w:rPr>
                <w:rFonts w:ascii="宋体" w:hAnsi="宋体"/>
                <w:color w:val="auto"/>
                <w:highlight w:val="none"/>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highlight w:val="none"/>
              </w:rPr>
            </w:pPr>
            <w:r>
              <w:rPr>
                <w:rFonts w:ascii="宋体" w:hAnsi="宋体"/>
                <w:color w:val="auto"/>
                <w:highlight w:val="none"/>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highlight w:val="none"/>
              </w:rPr>
            </w:pPr>
          </w:p>
        </w:tc>
        <w:tc>
          <w:tcPr>
            <w:tcW w:w="1263" w:type="pct"/>
            <w:vMerge w:val="continue"/>
            <w:shd w:val="clear" w:color="auto" w:fill="auto"/>
            <w:vAlign w:val="center"/>
          </w:tcPr>
          <w:p w14:paraId="0165DE72">
            <w:pPr>
              <w:jc w:val="center"/>
              <w:rPr>
                <w:rFonts w:ascii="宋体" w:hAnsi="宋体"/>
                <w:color w:val="auto"/>
                <w:highlight w:val="none"/>
              </w:rPr>
            </w:pPr>
          </w:p>
        </w:tc>
        <w:tc>
          <w:tcPr>
            <w:tcW w:w="1608" w:type="pct"/>
            <w:shd w:val="clear" w:color="auto" w:fill="auto"/>
            <w:vAlign w:val="center"/>
          </w:tcPr>
          <w:p w14:paraId="2AD5A4F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5AAA972A">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3026C3C4">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5ADC274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00567F22">
            <w:pPr>
              <w:jc w:val="center"/>
              <w:rPr>
                <w:rFonts w:ascii="宋体" w:hAnsi="宋体"/>
                <w:color w:val="auto"/>
                <w:highlight w:val="none"/>
              </w:rPr>
            </w:pPr>
            <w:r>
              <w:rPr>
                <w:rFonts w:ascii="宋体" w:hAnsi="宋体"/>
                <w:color w:val="auto"/>
                <w:highlight w:val="none"/>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highlight w:val="none"/>
              </w:rPr>
            </w:pPr>
            <w:r>
              <w:rPr>
                <w:rFonts w:ascii="宋体" w:hAnsi="宋体"/>
                <w:color w:val="auto"/>
                <w:highlight w:val="none"/>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highlight w:val="none"/>
              </w:rPr>
            </w:pPr>
          </w:p>
        </w:tc>
        <w:tc>
          <w:tcPr>
            <w:tcW w:w="1263" w:type="pct"/>
            <w:vMerge w:val="continue"/>
            <w:shd w:val="clear" w:color="auto" w:fill="auto"/>
            <w:vAlign w:val="center"/>
          </w:tcPr>
          <w:p w14:paraId="7E24B7B5">
            <w:pPr>
              <w:jc w:val="center"/>
              <w:rPr>
                <w:rFonts w:ascii="宋体" w:hAnsi="宋体"/>
                <w:color w:val="auto"/>
                <w:highlight w:val="none"/>
              </w:rPr>
            </w:pPr>
          </w:p>
        </w:tc>
        <w:tc>
          <w:tcPr>
            <w:tcW w:w="1608" w:type="pct"/>
            <w:shd w:val="clear" w:color="auto" w:fill="auto"/>
            <w:vAlign w:val="center"/>
          </w:tcPr>
          <w:p w14:paraId="7E165CBC">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3CE3692E">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F2A87B5">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68EBBB87">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32232FDE">
            <w:pPr>
              <w:jc w:val="center"/>
              <w:rPr>
                <w:rFonts w:ascii="宋体" w:hAnsi="宋体"/>
                <w:color w:val="auto"/>
                <w:highlight w:val="none"/>
              </w:rPr>
            </w:pPr>
            <w:r>
              <w:rPr>
                <w:rFonts w:ascii="宋体" w:hAnsi="宋体"/>
                <w:color w:val="auto"/>
                <w:highlight w:val="none"/>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highlight w:val="none"/>
              </w:rPr>
            </w:pPr>
            <w:r>
              <w:rPr>
                <w:rFonts w:ascii="宋体" w:hAnsi="宋体"/>
                <w:color w:val="auto"/>
                <w:highlight w:val="none"/>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highlight w:val="none"/>
              </w:rPr>
            </w:pPr>
            <w:r>
              <w:rPr>
                <w:rFonts w:ascii="宋体" w:hAnsi="宋体"/>
                <w:color w:val="auto"/>
                <w:highlight w:val="none"/>
              </w:rPr>
              <w:t>2</w:t>
            </w:r>
          </w:p>
        </w:tc>
        <w:tc>
          <w:tcPr>
            <w:tcW w:w="1263" w:type="pct"/>
            <w:vMerge w:val="restart"/>
            <w:shd w:val="clear" w:color="auto" w:fill="auto"/>
            <w:vAlign w:val="center"/>
          </w:tcPr>
          <w:p w14:paraId="582F6F8C">
            <w:pPr>
              <w:jc w:val="center"/>
              <w:rPr>
                <w:rFonts w:ascii="宋体" w:hAnsi="宋体"/>
                <w:color w:val="auto"/>
                <w:highlight w:val="none"/>
              </w:rPr>
            </w:pPr>
            <w:r>
              <w:rPr>
                <w:rFonts w:ascii="宋体" w:hAnsi="宋体"/>
                <w:color w:val="auto"/>
                <w:highlight w:val="none"/>
              </w:rPr>
              <w:t>加油区加油作业</w:t>
            </w:r>
          </w:p>
        </w:tc>
        <w:tc>
          <w:tcPr>
            <w:tcW w:w="1608" w:type="pct"/>
            <w:shd w:val="clear" w:color="auto" w:fill="auto"/>
            <w:vAlign w:val="center"/>
          </w:tcPr>
          <w:p w14:paraId="03BBCA08">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5CB52648">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AE98BD9">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0167CF0D">
            <w:pPr>
              <w:jc w:val="center"/>
              <w:rPr>
                <w:rFonts w:ascii="宋体" w:hAnsi="宋体"/>
                <w:color w:val="auto"/>
                <w:highlight w:val="none"/>
              </w:rPr>
            </w:pPr>
            <w:r>
              <w:rPr>
                <w:rFonts w:hint="eastAsia" w:ascii="宋体" w:hAnsi="宋体"/>
                <w:color w:val="auto"/>
                <w:highlight w:val="none"/>
              </w:rPr>
              <w:t>7</w:t>
            </w:r>
          </w:p>
        </w:tc>
        <w:tc>
          <w:tcPr>
            <w:tcW w:w="375" w:type="pct"/>
            <w:shd w:val="clear" w:color="auto" w:fill="auto"/>
            <w:vAlign w:val="center"/>
          </w:tcPr>
          <w:p w14:paraId="520D7024">
            <w:pPr>
              <w:jc w:val="center"/>
              <w:rPr>
                <w:rFonts w:ascii="宋体" w:hAnsi="宋体"/>
                <w:color w:val="auto"/>
                <w:highlight w:val="none"/>
              </w:rPr>
            </w:pPr>
            <w:r>
              <w:rPr>
                <w:rFonts w:hint="eastAsia" w:ascii="宋体" w:hAnsi="宋体"/>
                <w:color w:val="auto"/>
                <w:highlight w:val="none"/>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highlight w:val="none"/>
              </w:rPr>
            </w:pPr>
            <w:r>
              <w:rPr>
                <w:rFonts w:ascii="宋体" w:hAnsi="宋体"/>
                <w:color w:val="auto"/>
                <w:highlight w:val="none"/>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highlight w:val="none"/>
              </w:rPr>
            </w:pPr>
          </w:p>
        </w:tc>
        <w:tc>
          <w:tcPr>
            <w:tcW w:w="1263" w:type="pct"/>
            <w:vMerge w:val="continue"/>
            <w:shd w:val="clear" w:color="auto" w:fill="auto"/>
            <w:vAlign w:val="center"/>
          </w:tcPr>
          <w:p w14:paraId="23F2B14C">
            <w:pPr>
              <w:jc w:val="center"/>
              <w:rPr>
                <w:rFonts w:ascii="宋体" w:hAnsi="宋体"/>
                <w:color w:val="auto"/>
                <w:highlight w:val="none"/>
              </w:rPr>
            </w:pPr>
          </w:p>
        </w:tc>
        <w:tc>
          <w:tcPr>
            <w:tcW w:w="1608" w:type="pct"/>
            <w:shd w:val="clear" w:color="auto" w:fill="auto"/>
            <w:vAlign w:val="center"/>
          </w:tcPr>
          <w:p w14:paraId="62967B1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6439C605">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676542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E4951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14E3E682">
            <w:pPr>
              <w:jc w:val="center"/>
              <w:rPr>
                <w:rFonts w:ascii="宋体" w:hAnsi="宋体"/>
                <w:color w:val="auto"/>
                <w:highlight w:val="none"/>
              </w:rPr>
            </w:pPr>
            <w:r>
              <w:rPr>
                <w:rFonts w:ascii="宋体" w:hAnsi="宋体"/>
                <w:color w:val="auto"/>
                <w:highlight w:val="none"/>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highlight w:val="none"/>
              </w:rPr>
            </w:pPr>
            <w:r>
              <w:rPr>
                <w:rFonts w:ascii="宋体" w:hAnsi="宋体"/>
                <w:color w:val="auto"/>
                <w:highlight w:val="none"/>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highlight w:val="none"/>
              </w:rPr>
            </w:pPr>
          </w:p>
        </w:tc>
        <w:tc>
          <w:tcPr>
            <w:tcW w:w="1263" w:type="pct"/>
            <w:vMerge w:val="continue"/>
            <w:shd w:val="clear" w:color="auto" w:fill="auto"/>
            <w:vAlign w:val="center"/>
          </w:tcPr>
          <w:p w14:paraId="299C8414">
            <w:pPr>
              <w:jc w:val="center"/>
              <w:rPr>
                <w:rFonts w:ascii="宋体" w:hAnsi="宋体"/>
                <w:color w:val="auto"/>
                <w:highlight w:val="none"/>
              </w:rPr>
            </w:pPr>
          </w:p>
        </w:tc>
        <w:tc>
          <w:tcPr>
            <w:tcW w:w="1608" w:type="pct"/>
            <w:shd w:val="clear" w:color="auto" w:fill="auto"/>
            <w:vAlign w:val="center"/>
          </w:tcPr>
          <w:p w14:paraId="21220DF8">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23CCB6E8">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7C045D95">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3CC749C">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0F40F842">
            <w:pPr>
              <w:jc w:val="center"/>
              <w:rPr>
                <w:rFonts w:ascii="宋体" w:hAnsi="宋体"/>
                <w:color w:val="auto"/>
                <w:highlight w:val="none"/>
              </w:rPr>
            </w:pPr>
            <w:r>
              <w:rPr>
                <w:rFonts w:hint="eastAsia" w:ascii="宋体" w:hAnsi="宋体"/>
                <w:color w:val="auto"/>
                <w:highlight w:val="none"/>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highlight w:val="none"/>
              </w:rPr>
            </w:pPr>
            <w:r>
              <w:rPr>
                <w:rFonts w:ascii="宋体" w:hAnsi="宋体"/>
                <w:color w:val="auto"/>
                <w:highlight w:val="none"/>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highlight w:val="none"/>
              </w:rPr>
            </w:pPr>
          </w:p>
        </w:tc>
        <w:tc>
          <w:tcPr>
            <w:tcW w:w="1263" w:type="pct"/>
            <w:vMerge w:val="continue"/>
            <w:shd w:val="clear" w:color="auto" w:fill="auto"/>
            <w:vAlign w:val="center"/>
          </w:tcPr>
          <w:p w14:paraId="72E43FA2">
            <w:pPr>
              <w:jc w:val="center"/>
              <w:rPr>
                <w:rFonts w:ascii="宋体" w:hAnsi="宋体"/>
                <w:color w:val="auto"/>
                <w:highlight w:val="none"/>
              </w:rPr>
            </w:pPr>
          </w:p>
        </w:tc>
        <w:tc>
          <w:tcPr>
            <w:tcW w:w="1608" w:type="pct"/>
            <w:shd w:val="clear" w:color="auto" w:fill="auto"/>
            <w:vAlign w:val="center"/>
          </w:tcPr>
          <w:p w14:paraId="2E4D9499">
            <w:pPr>
              <w:jc w:val="center"/>
              <w:rPr>
                <w:rFonts w:ascii="宋体" w:hAnsi="宋体"/>
                <w:color w:val="auto"/>
                <w:highlight w:val="none"/>
              </w:rPr>
            </w:pPr>
            <w:r>
              <w:rPr>
                <w:rFonts w:ascii="宋体" w:hAnsi="宋体"/>
                <w:color w:val="auto"/>
                <w:highlight w:val="none"/>
              </w:rPr>
              <w:t>噪声</w:t>
            </w:r>
          </w:p>
        </w:tc>
        <w:tc>
          <w:tcPr>
            <w:tcW w:w="313" w:type="pct"/>
            <w:shd w:val="clear" w:color="auto" w:fill="auto"/>
            <w:vAlign w:val="center"/>
          </w:tcPr>
          <w:p w14:paraId="17F8F048">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4D38D2A">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7302A29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4D51BB91">
            <w:pPr>
              <w:jc w:val="center"/>
              <w:rPr>
                <w:rFonts w:ascii="宋体" w:hAnsi="宋体"/>
                <w:color w:val="auto"/>
                <w:highlight w:val="none"/>
              </w:rPr>
            </w:pPr>
            <w:r>
              <w:rPr>
                <w:rFonts w:ascii="宋体" w:hAnsi="宋体"/>
                <w:color w:val="auto"/>
                <w:highlight w:val="none"/>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highlight w:val="none"/>
              </w:rPr>
            </w:pPr>
            <w:r>
              <w:rPr>
                <w:rFonts w:ascii="宋体" w:hAnsi="宋体"/>
                <w:color w:val="auto"/>
                <w:highlight w:val="none"/>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highlight w:val="none"/>
              </w:rPr>
            </w:pPr>
          </w:p>
        </w:tc>
        <w:tc>
          <w:tcPr>
            <w:tcW w:w="1263" w:type="pct"/>
            <w:vMerge w:val="continue"/>
            <w:shd w:val="clear" w:color="auto" w:fill="auto"/>
            <w:vAlign w:val="center"/>
          </w:tcPr>
          <w:p w14:paraId="3D2859D5">
            <w:pPr>
              <w:jc w:val="center"/>
              <w:rPr>
                <w:rFonts w:ascii="宋体" w:hAnsi="宋体"/>
                <w:color w:val="auto"/>
                <w:highlight w:val="none"/>
              </w:rPr>
            </w:pPr>
          </w:p>
        </w:tc>
        <w:tc>
          <w:tcPr>
            <w:tcW w:w="1608" w:type="pct"/>
            <w:shd w:val="clear" w:color="auto" w:fill="auto"/>
            <w:vAlign w:val="center"/>
          </w:tcPr>
          <w:p w14:paraId="035FD3AA">
            <w:pPr>
              <w:jc w:val="center"/>
              <w:rPr>
                <w:rFonts w:ascii="宋体" w:hAnsi="宋体"/>
                <w:color w:val="auto"/>
                <w:highlight w:val="none"/>
              </w:rPr>
            </w:pPr>
            <w:r>
              <w:rPr>
                <w:rFonts w:ascii="宋体" w:hAnsi="宋体"/>
                <w:color w:val="auto"/>
                <w:highlight w:val="none"/>
              </w:rPr>
              <w:t>寒冷、高温气候环境</w:t>
            </w:r>
          </w:p>
        </w:tc>
        <w:tc>
          <w:tcPr>
            <w:tcW w:w="313" w:type="pct"/>
            <w:shd w:val="clear" w:color="auto" w:fill="auto"/>
            <w:vAlign w:val="center"/>
          </w:tcPr>
          <w:p w14:paraId="54EF657A">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5C2C676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23475EB2">
            <w:pPr>
              <w:jc w:val="center"/>
              <w:rPr>
                <w:rFonts w:ascii="宋体" w:hAnsi="宋体"/>
                <w:color w:val="auto"/>
                <w:highlight w:val="none"/>
              </w:rPr>
            </w:pPr>
            <w:r>
              <w:rPr>
                <w:rFonts w:ascii="宋体" w:hAnsi="宋体"/>
                <w:color w:val="auto"/>
                <w:highlight w:val="none"/>
              </w:rPr>
              <w:t>1</w:t>
            </w:r>
          </w:p>
        </w:tc>
        <w:tc>
          <w:tcPr>
            <w:tcW w:w="375" w:type="pct"/>
            <w:shd w:val="clear" w:color="auto" w:fill="auto"/>
            <w:vAlign w:val="center"/>
          </w:tcPr>
          <w:p w14:paraId="7B6693EC">
            <w:pPr>
              <w:jc w:val="center"/>
              <w:rPr>
                <w:rFonts w:ascii="宋体" w:hAnsi="宋体"/>
                <w:color w:val="auto"/>
                <w:highlight w:val="none"/>
              </w:rPr>
            </w:pPr>
            <w:r>
              <w:rPr>
                <w:rFonts w:ascii="宋体" w:hAnsi="宋体"/>
                <w:color w:val="auto"/>
                <w:highlight w:val="none"/>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highlight w:val="none"/>
              </w:rPr>
            </w:pPr>
            <w:r>
              <w:rPr>
                <w:rFonts w:ascii="宋体" w:hAnsi="宋体"/>
                <w:color w:val="auto"/>
                <w:highlight w:val="none"/>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highlight w:val="none"/>
              </w:rPr>
            </w:pPr>
            <w:r>
              <w:rPr>
                <w:rFonts w:ascii="宋体" w:hAnsi="宋体"/>
                <w:color w:val="auto"/>
                <w:highlight w:val="none"/>
              </w:rPr>
              <w:t>3</w:t>
            </w:r>
          </w:p>
        </w:tc>
        <w:tc>
          <w:tcPr>
            <w:tcW w:w="1263" w:type="pct"/>
            <w:vMerge w:val="restart"/>
            <w:shd w:val="clear" w:color="auto" w:fill="auto"/>
            <w:vAlign w:val="center"/>
          </w:tcPr>
          <w:p w14:paraId="1147D991">
            <w:pPr>
              <w:jc w:val="center"/>
              <w:rPr>
                <w:rFonts w:ascii="宋体" w:hAnsi="宋体"/>
                <w:color w:val="auto"/>
                <w:highlight w:val="none"/>
              </w:rPr>
            </w:pPr>
            <w:r>
              <w:rPr>
                <w:rFonts w:ascii="宋体" w:hAnsi="宋体"/>
                <w:color w:val="auto"/>
                <w:highlight w:val="none"/>
              </w:rPr>
              <w:t>加油站内车辆道路引导作业</w:t>
            </w:r>
          </w:p>
        </w:tc>
        <w:tc>
          <w:tcPr>
            <w:tcW w:w="1608" w:type="pct"/>
            <w:shd w:val="clear" w:color="auto" w:fill="auto"/>
            <w:vAlign w:val="center"/>
          </w:tcPr>
          <w:p w14:paraId="50773026">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0FBD671D">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5922D52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17FBEDC3">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505CE33">
            <w:pPr>
              <w:jc w:val="center"/>
              <w:rPr>
                <w:rFonts w:ascii="宋体" w:hAnsi="宋体"/>
                <w:color w:val="auto"/>
                <w:highlight w:val="none"/>
              </w:rPr>
            </w:pPr>
            <w:r>
              <w:rPr>
                <w:rFonts w:hint="eastAsia"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highlight w:val="none"/>
              </w:rPr>
            </w:pPr>
            <w:r>
              <w:rPr>
                <w:rFonts w:ascii="宋体" w:hAnsi="宋体"/>
                <w:color w:val="auto"/>
                <w:highlight w:val="none"/>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highlight w:val="none"/>
              </w:rPr>
            </w:pPr>
          </w:p>
        </w:tc>
        <w:tc>
          <w:tcPr>
            <w:tcW w:w="1263" w:type="pct"/>
            <w:vMerge w:val="continue"/>
            <w:shd w:val="clear" w:color="auto" w:fill="auto"/>
            <w:vAlign w:val="center"/>
          </w:tcPr>
          <w:p w14:paraId="031C303E">
            <w:pPr>
              <w:jc w:val="center"/>
              <w:rPr>
                <w:rFonts w:ascii="宋体" w:hAnsi="宋体"/>
                <w:color w:val="auto"/>
                <w:highlight w:val="none"/>
              </w:rPr>
            </w:pPr>
          </w:p>
        </w:tc>
        <w:tc>
          <w:tcPr>
            <w:tcW w:w="1608" w:type="pct"/>
            <w:shd w:val="clear" w:color="auto" w:fill="auto"/>
            <w:vAlign w:val="center"/>
          </w:tcPr>
          <w:p w14:paraId="49A1C951">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2E1F6426">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CEEE20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55D55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23117E9">
            <w:pPr>
              <w:jc w:val="center"/>
              <w:rPr>
                <w:rFonts w:ascii="宋体" w:hAnsi="宋体"/>
                <w:color w:val="auto"/>
                <w:highlight w:val="none"/>
              </w:rPr>
            </w:pPr>
            <w:r>
              <w:rPr>
                <w:rFonts w:ascii="宋体" w:hAnsi="宋体"/>
                <w:color w:val="auto"/>
                <w:highlight w:val="none"/>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highlight w:val="none"/>
              </w:rPr>
            </w:pPr>
            <w:r>
              <w:rPr>
                <w:rFonts w:ascii="宋体" w:hAnsi="宋体"/>
                <w:color w:val="auto"/>
                <w:highlight w:val="none"/>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highlight w:val="none"/>
              </w:rPr>
            </w:pPr>
            <w:r>
              <w:rPr>
                <w:rFonts w:ascii="宋体" w:hAnsi="宋体"/>
                <w:color w:val="auto"/>
                <w:highlight w:val="none"/>
              </w:rPr>
              <w:t>4</w:t>
            </w:r>
          </w:p>
        </w:tc>
        <w:tc>
          <w:tcPr>
            <w:tcW w:w="1263" w:type="pct"/>
            <w:shd w:val="clear" w:color="auto" w:fill="auto"/>
            <w:vAlign w:val="center"/>
          </w:tcPr>
          <w:p w14:paraId="3CA59BD0">
            <w:pPr>
              <w:jc w:val="cente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作业</w:t>
            </w:r>
          </w:p>
        </w:tc>
        <w:tc>
          <w:tcPr>
            <w:tcW w:w="1608" w:type="pct"/>
            <w:shd w:val="clear" w:color="auto" w:fill="auto"/>
            <w:vAlign w:val="center"/>
          </w:tcPr>
          <w:p w14:paraId="7E997DDD">
            <w:pPr>
              <w:jc w:val="center"/>
              <w:rPr>
                <w:rFonts w:ascii="宋体" w:hAnsi="宋体"/>
                <w:color w:val="auto"/>
                <w:highlight w:val="none"/>
              </w:rPr>
            </w:pPr>
            <w:r>
              <w:rPr>
                <w:rFonts w:ascii="宋体" w:hAnsi="宋体"/>
                <w:color w:val="auto"/>
                <w:highlight w:val="none"/>
              </w:rPr>
              <w:t>火灾、触电</w:t>
            </w:r>
            <w:r>
              <w:rPr>
                <w:rFonts w:hint="eastAsia" w:ascii="宋体" w:hAnsi="宋体"/>
                <w:color w:val="auto"/>
                <w:highlight w:val="none"/>
              </w:rPr>
              <w:t>、灼烫、机械伤害</w:t>
            </w:r>
          </w:p>
        </w:tc>
        <w:tc>
          <w:tcPr>
            <w:tcW w:w="313" w:type="pct"/>
            <w:shd w:val="clear" w:color="auto" w:fill="auto"/>
            <w:vAlign w:val="center"/>
          </w:tcPr>
          <w:p w14:paraId="5D422290">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456EC342">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10579A88">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69F589A7">
            <w:pPr>
              <w:jc w:val="center"/>
              <w:rPr>
                <w:rFonts w:ascii="宋体" w:hAnsi="宋体"/>
                <w:color w:val="auto"/>
                <w:highlight w:val="none"/>
              </w:rPr>
            </w:pPr>
            <w:r>
              <w:rPr>
                <w:rFonts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highlight w:val="none"/>
              </w:rPr>
            </w:pPr>
            <w:r>
              <w:rPr>
                <w:rFonts w:ascii="宋体" w:hAnsi="宋体"/>
                <w:color w:val="auto"/>
                <w:highlight w:val="none"/>
              </w:rPr>
              <w:t>一般危险</w:t>
            </w:r>
          </w:p>
        </w:tc>
      </w:tr>
    </w:tbl>
    <w:p w14:paraId="2C2C54C6">
      <w:pPr>
        <w:spacing w:line="600" w:lineRule="exact"/>
        <w:ind w:firstLine="570"/>
        <w:rPr>
          <w:rFonts w:ascii="宋体" w:hAnsi="宋体"/>
          <w:color w:val="auto"/>
          <w:sz w:val="28"/>
          <w:szCs w:val="28"/>
          <w:highlight w:val="none"/>
        </w:rPr>
      </w:pPr>
      <w:r>
        <w:rPr>
          <w:rFonts w:ascii="宋体" w:hAnsi="宋体"/>
          <w:color w:val="auto"/>
          <w:sz w:val="28"/>
          <w:szCs w:val="28"/>
          <w:highlight w:val="none"/>
        </w:rPr>
        <w:t>由表5</w:t>
      </w:r>
      <w:r>
        <w:rPr>
          <w:rFonts w:hint="eastAsia" w:ascii="宋体" w:hAnsi="宋体"/>
          <w:color w:val="auto"/>
          <w:sz w:val="28"/>
          <w:szCs w:val="28"/>
          <w:highlight w:val="none"/>
        </w:rPr>
        <w:t>.1</w:t>
      </w:r>
      <w:r>
        <w:rPr>
          <w:rFonts w:ascii="宋体" w:hAnsi="宋体"/>
          <w:color w:val="auto"/>
          <w:sz w:val="28"/>
          <w:szCs w:val="28"/>
          <w:highlight w:val="none"/>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安全经营运行首先应重点加强对油品储罐区、加油区的汽、柴油危险物质的严格控制，注重日常安全管理，加强输送</w:t>
      </w:r>
      <w:r>
        <w:rPr>
          <w:rFonts w:hint="eastAsia" w:ascii="宋体" w:hAnsi="宋体"/>
          <w:color w:val="auto"/>
          <w:sz w:val="28"/>
          <w:szCs w:val="28"/>
          <w:highlight w:val="none"/>
        </w:rPr>
        <w:t>易燃</w:t>
      </w:r>
      <w:r>
        <w:rPr>
          <w:rFonts w:ascii="宋体" w:hAnsi="宋体"/>
          <w:color w:val="auto"/>
          <w:sz w:val="28"/>
          <w:szCs w:val="28"/>
          <w:highlight w:val="none"/>
        </w:rPr>
        <w:t>液体管线的安全管理，加</w:t>
      </w:r>
      <w:r>
        <w:rPr>
          <w:rFonts w:hint="eastAsia" w:ascii="宋体" w:hAnsi="宋体"/>
          <w:color w:val="auto"/>
          <w:sz w:val="28"/>
          <w:szCs w:val="28"/>
          <w:highlight w:val="none"/>
          <w:lang w:eastAsia="zh-CN"/>
        </w:rPr>
        <w:t>强对</w:t>
      </w:r>
      <w:r>
        <w:rPr>
          <w:rFonts w:ascii="宋体" w:hAnsi="宋体"/>
          <w:color w:val="auto"/>
          <w:sz w:val="28"/>
          <w:szCs w:val="28"/>
          <w:highlight w:val="none"/>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highlight w:val="none"/>
        </w:rPr>
      </w:pPr>
      <w:r>
        <w:rPr>
          <w:rFonts w:ascii="宋体" w:hAnsi="宋体"/>
          <w:color w:val="auto"/>
          <w:sz w:val="28"/>
          <w:szCs w:val="28"/>
          <w:highlight w:val="none"/>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highlight w:val="none"/>
        </w:rPr>
      </w:pPr>
      <w:r>
        <w:rPr>
          <w:rFonts w:ascii="宋体" w:hAnsi="宋体"/>
          <w:color w:val="auto"/>
          <w:sz w:val="28"/>
          <w:szCs w:val="28"/>
          <w:highlight w:val="none"/>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highlight w:val="none"/>
        </w:rPr>
      </w:pPr>
      <w:bookmarkStart w:id="151" w:name="_Toc2584"/>
      <w:bookmarkStart w:id="152" w:name="_Toc92712589"/>
      <w:bookmarkStart w:id="153" w:name="_Toc25652"/>
      <w:bookmarkStart w:id="154" w:name="_Toc29753"/>
      <w:r>
        <w:rPr>
          <w:rFonts w:ascii="宋体" w:hAnsi="宋体"/>
          <w:color w:val="auto"/>
          <w:sz w:val="30"/>
          <w:szCs w:val="30"/>
          <w:highlight w:val="none"/>
        </w:rPr>
        <w:t xml:space="preserve">5.2 </w:t>
      </w:r>
      <w:r>
        <w:rPr>
          <w:rFonts w:hint="eastAsia" w:ascii="宋体" w:hAnsi="宋体"/>
          <w:color w:val="auto"/>
          <w:sz w:val="30"/>
          <w:szCs w:val="30"/>
          <w:highlight w:val="none"/>
        </w:rPr>
        <w:t>危险度评价</w:t>
      </w:r>
      <w:bookmarkEnd w:id="151"/>
      <w:bookmarkEnd w:id="152"/>
      <w:bookmarkEnd w:id="153"/>
      <w:bookmarkEnd w:id="154"/>
    </w:p>
    <w:p w14:paraId="21175109">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采用危险度评价法</w:t>
      </w:r>
      <w:r>
        <w:rPr>
          <w:rFonts w:ascii="宋体" w:hAnsi="宋体"/>
          <w:color w:val="auto"/>
          <w:sz w:val="28"/>
          <w:szCs w:val="28"/>
          <w:highlight w:val="none"/>
        </w:rPr>
        <w:t>。</w:t>
      </w:r>
    </w:p>
    <w:p w14:paraId="539AF97A">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储罐区主要危险物质为汽油、</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ascii="宋体" w:hAnsi="宋体"/>
          <w:color w:val="auto"/>
          <w:sz w:val="28"/>
          <w:szCs w:val="28"/>
          <w:highlight w:val="none"/>
        </w:rPr>
        <w:t>柴油</w:t>
      </w:r>
      <w:r>
        <w:rPr>
          <w:rFonts w:hint="eastAsia" w:ascii="宋体" w:hAnsi="宋体"/>
          <w:color w:val="auto"/>
          <w:sz w:val="28"/>
          <w:szCs w:val="28"/>
          <w:highlight w:val="none"/>
        </w:rPr>
        <w:t>，按照《石油化工企业设计防火标准</w:t>
      </w:r>
      <w:r>
        <w:rPr>
          <w:rFonts w:hint="eastAsia" w:ascii="宋体" w:hAnsi="宋体"/>
          <w:color w:val="auto"/>
          <w:sz w:val="28"/>
          <w:szCs w:val="28"/>
          <w:highlight w:val="none"/>
          <w:lang w:eastAsia="zh-CN"/>
        </w:rPr>
        <w:t>（</w:t>
      </w:r>
      <w:r>
        <w:rPr>
          <w:rFonts w:hint="eastAsia" w:ascii="宋体" w:hAnsi="宋体"/>
          <w:color w:val="auto"/>
          <w:sz w:val="28"/>
          <w:szCs w:val="28"/>
          <w:highlight w:val="none"/>
        </w:rPr>
        <w:t>2018年版</w:t>
      </w:r>
      <w:r>
        <w:rPr>
          <w:rFonts w:hint="eastAsia" w:ascii="宋体" w:hAnsi="宋体"/>
          <w:color w:val="auto"/>
          <w:sz w:val="28"/>
          <w:szCs w:val="28"/>
          <w:highlight w:val="none"/>
          <w:lang w:eastAsia="zh-CN"/>
        </w:rPr>
        <w:t>）</w:t>
      </w:r>
      <w:r>
        <w:rPr>
          <w:rFonts w:hint="eastAsia" w:ascii="宋体" w:hAnsi="宋体"/>
          <w:color w:val="auto"/>
          <w:sz w:val="28"/>
          <w:szCs w:val="28"/>
          <w:highlight w:val="none"/>
        </w:rPr>
        <w:t>》（GB 50160-2008），</w:t>
      </w:r>
      <w:r>
        <w:rPr>
          <w:rFonts w:ascii="宋体" w:hAnsi="宋体"/>
          <w:color w:val="auto"/>
          <w:sz w:val="28"/>
          <w:szCs w:val="28"/>
          <w:highlight w:val="none"/>
        </w:rPr>
        <w:t>汽油</w:t>
      </w:r>
      <w:r>
        <w:rPr>
          <w:rFonts w:hint="eastAsia" w:ascii="宋体" w:hAnsi="宋体"/>
          <w:color w:val="auto"/>
          <w:sz w:val="28"/>
          <w:szCs w:val="28"/>
          <w:highlight w:val="none"/>
        </w:rPr>
        <w:t>属</w:t>
      </w:r>
      <w:r>
        <w:rPr>
          <w:rFonts w:ascii="宋体" w:hAnsi="宋体"/>
          <w:color w:val="auto"/>
          <w:sz w:val="28"/>
          <w:szCs w:val="28"/>
          <w:highlight w:val="none"/>
        </w:rPr>
        <w:t>甲</w:t>
      </w:r>
      <w:r>
        <w:rPr>
          <w:rFonts w:ascii="宋体" w:hAnsi="宋体"/>
          <w:color w:val="auto"/>
          <w:sz w:val="28"/>
          <w:szCs w:val="28"/>
          <w:highlight w:val="none"/>
          <w:vertAlign w:val="subscript"/>
        </w:rPr>
        <w:t>B</w:t>
      </w:r>
      <w:r>
        <w:rPr>
          <w:rFonts w:ascii="宋体" w:hAnsi="宋体"/>
          <w:color w:val="auto"/>
          <w:sz w:val="28"/>
          <w:szCs w:val="28"/>
          <w:highlight w:val="none"/>
        </w:rPr>
        <w:t>类</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hint="eastAsia" w:ascii="宋体" w:hAnsi="宋体"/>
          <w:color w:val="auto"/>
          <w:sz w:val="28"/>
          <w:szCs w:val="28"/>
          <w:highlight w:val="none"/>
        </w:rPr>
        <w:t>柴油属丙</w:t>
      </w:r>
      <w:r>
        <w:rPr>
          <w:rFonts w:hint="eastAsia" w:ascii="宋体" w:hAnsi="宋体"/>
          <w:color w:val="auto"/>
          <w:sz w:val="28"/>
          <w:szCs w:val="28"/>
          <w:highlight w:val="none"/>
          <w:vertAlign w:val="subscript"/>
        </w:rPr>
        <w:t>A</w:t>
      </w:r>
      <w:r>
        <w:rPr>
          <w:rFonts w:ascii="宋体" w:hAnsi="宋体"/>
          <w:color w:val="auto"/>
          <w:sz w:val="28"/>
          <w:szCs w:val="28"/>
          <w:highlight w:val="none"/>
        </w:rPr>
        <w:t>类</w:t>
      </w:r>
      <w:r>
        <w:rPr>
          <w:rFonts w:hint="eastAsia" w:ascii="宋体" w:hAnsi="宋体"/>
          <w:color w:val="auto"/>
          <w:sz w:val="28"/>
          <w:szCs w:val="28"/>
          <w:highlight w:val="none"/>
        </w:rPr>
        <w:t>，汽油最危险</w:t>
      </w:r>
      <w:r>
        <w:rPr>
          <w:rFonts w:ascii="宋体" w:hAnsi="宋体"/>
          <w:color w:val="auto"/>
          <w:sz w:val="28"/>
          <w:szCs w:val="28"/>
          <w:highlight w:val="none"/>
        </w:rPr>
        <w:t>。</w:t>
      </w:r>
    </w:p>
    <w:p w14:paraId="18FD7FD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表5.2-1  </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highlight w:val="none"/>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汽油（</w:t>
            </w:r>
            <w:r>
              <w:rPr>
                <w:rFonts w:ascii="宋体" w:hAnsi="宋体"/>
                <w:b/>
                <w:color w:val="auto"/>
                <w:highlight w:val="none"/>
              </w:rPr>
              <w:t>甲</w:t>
            </w:r>
            <w:r>
              <w:rPr>
                <w:rFonts w:ascii="宋体" w:hAnsi="宋体"/>
                <w:b/>
                <w:color w:val="auto"/>
                <w:highlight w:val="none"/>
                <w:vertAlign w:val="subscript"/>
              </w:rPr>
              <w:t>B</w:t>
            </w:r>
            <w:r>
              <w:rPr>
                <w:rFonts w:ascii="宋体" w:hAnsi="宋体"/>
                <w:b/>
                <w:color w:val="auto"/>
                <w:highlight w:val="none"/>
              </w:rPr>
              <w:t>类</w:t>
            </w:r>
            <w:r>
              <w:rPr>
                <w:rFonts w:hint="eastAsia" w:ascii="宋体" w:hAnsi="宋体"/>
                <w:b/>
                <w:color w:val="auto"/>
                <w:highlight w:val="none"/>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lang w:val="en-US" w:eastAsia="zh-CN"/>
              </w:rPr>
              <w:t>10</w:t>
            </w:r>
            <w:r>
              <w:rPr>
                <w:rFonts w:hint="eastAsia" w:ascii="宋体" w:hAnsi="宋体"/>
                <w:b/>
                <w:color w:val="auto"/>
                <w:highlight w:val="none"/>
              </w:rPr>
              <w:t>0</w:t>
            </w:r>
            <w:r>
              <w:rPr>
                <w:rFonts w:ascii="宋体" w:hAnsi="宋体"/>
                <w:b/>
                <w:color w:val="auto"/>
                <w:highlight w:val="none"/>
              </w:rPr>
              <w:t>m</w:t>
            </w:r>
            <w:r>
              <w:rPr>
                <w:rFonts w:ascii="宋体" w:hAnsi="宋体"/>
                <w:b/>
                <w:color w:val="auto"/>
                <w:highlight w:val="none"/>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highlight w:val="none"/>
              </w:rPr>
            </w:pPr>
            <w:r>
              <w:rPr>
                <w:rFonts w:ascii="宋体" w:hAnsi="宋体"/>
                <w:b/>
                <w:color w:val="auto"/>
                <w:highlight w:val="none"/>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10</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highlight w:val="none"/>
                <w:lang w:eastAsia="zh-CN"/>
              </w:rPr>
            </w:pPr>
            <w:r>
              <w:rPr>
                <w:rFonts w:hint="eastAsia" w:ascii="宋体" w:hAnsi="宋体"/>
                <w:b/>
                <w:color w:val="auto"/>
                <w:highlight w:val="none"/>
              </w:rPr>
              <w:t>1</w:t>
            </w:r>
            <w:r>
              <w:rPr>
                <w:rFonts w:hint="eastAsia" w:ascii="宋体" w:hAnsi="宋体"/>
                <w:b/>
                <w:color w:val="auto"/>
                <w:highlight w:val="none"/>
                <w:lang w:val="en-US" w:eastAsia="zh-CN"/>
              </w:rPr>
              <w:t>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Ⅰ</w:t>
            </w:r>
          </w:p>
        </w:tc>
      </w:tr>
    </w:tbl>
    <w:p w14:paraId="0DB34F07">
      <w:pPr>
        <w:spacing w:line="600" w:lineRule="exact"/>
        <w:ind w:firstLine="570"/>
        <w:rPr>
          <w:rFonts w:ascii="宋体" w:hAnsi="宋体"/>
          <w:color w:val="auto"/>
          <w:sz w:val="28"/>
          <w:szCs w:val="28"/>
          <w:highlight w:val="none"/>
        </w:rPr>
      </w:pPr>
      <w:r>
        <w:rPr>
          <w:rFonts w:ascii="宋体" w:hAnsi="宋体"/>
          <w:color w:val="auto"/>
          <w:sz w:val="28"/>
          <w:szCs w:val="28"/>
          <w:highlight w:val="none"/>
        </w:rPr>
        <w:t>所</w:t>
      </w:r>
      <w:r>
        <w:rPr>
          <w:rFonts w:hint="eastAsia" w:ascii="宋体" w:hAnsi="宋体"/>
          <w:color w:val="auto"/>
          <w:sz w:val="28"/>
          <w:szCs w:val="28"/>
          <w:highlight w:val="none"/>
        </w:rPr>
        <w:t>以</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储罐区得分为</w:t>
      </w:r>
      <w:r>
        <w:rPr>
          <w:rFonts w:hint="eastAsia" w:ascii="宋体" w:hAnsi="宋体"/>
          <w:color w:val="auto"/>
          <w:sz w:val="28"/>
          <w:szCs w:val="28"/>
          <w:highlight w:val="none"/>
        </w:rPr>
        <w:t>1</w:t>
      </w:r>
      <w:r>
        <w:rPr>
          <w:rFonts w:hint="eastAsia" w:ascii="宋体" w:hAnsi="宋体"/>
          <w:color w:val="auto"/>
          <w:sz w:val="28"/>
          <w:szCs w:val="28"/>
          <w:highlight w:val="none"/>
          <w:lang w:val="en-US" w:eastAsia="zh-CN"/>
        </w:rPr>
        <w:t>7</w:t>
      </w:r>
      <w:r>
        <w:rPr>
          <w:rFonts w:ascii="宋体" w:hAnsi="宋体"/>
          <w:color w:val="auto"/>
          <w:sz w:val="28"/>
          <w:szCs w:val="28"/>
          <w:highlight w:val="none"/>
        </w:rPr>
        <w:t>分，为</w:t>
      </w:r>
      <w:r>
        <w:rPr>
          <w:rFonts w:hint="eastAsia" w:ascii="Times New Roman" w:hAnsi="Times New Roman" w:cs="Times New Roman"/>
          <w:color w:val="auto"/>
          <w:sz w:val="28"/>
          <w:szCs w:val="28"/>
          <w:highlight w:val="none"/>
          <w:lang w:val="en-US" w:eastAsia="zh-CN"/>
        </w:rPr>
        <w:t>Ⅰ</w:t>
      </w:r>
      <w:r>
        <w:rPr>
          <w:rFonts w:hint="eastAsia" w:ascii="宋体" w:hAnsi="宋体" w:cs="Times New Roman"/>
          <w:color w:val="auto"/>
          <w:sz w:val="28"/>
          <w:szCs w:val="28"/>
          <w:highlight w:val="none"/>
        </w:rPr>
        <w:t>级</w:t>
      </w:r>
      <w:r>
        <w:rPr>
          <w:rFonts w:ascii="宋体" w:hAnsi="宋体"/>
          <w:color w:val="auto"/>
          <w:sz w:val="28"/>
          <w:szCs w:val="28"/>
          <w:highlight w:val="none"/>
        </w:rPr>
        <w:t>，属</w:t>
      </w:r>
      <w:r>
        <w:rPr>
          <w:rFonts w:hint="eastAsia" w:ascii="宋体" w:hAnsi="宋体"/>
          <w:color w:val="auto"/>
          <w:sz w:val="28"/>
          <w:szCs w:val="28"/>
          <w:highlight w:val="none"/>
          <w:lang w:val="en-US" w:eastAsia="zh-CN"/>
        </w:rPr>
        <w:t>高</w:t>
      </w:r>
      <w:r>
        <w:rPr>
          <w:rFonts w:ascii="宋体" w:hAnsi="宋体"/>
          <w:color w:val="auto"/>
          <w:sz w:val="28"/>
          <w:szCs w:val="28"/>
          <w:highlight w:val="none"/>
        </w:rPr>
        <w:t>度危险。</w:t>
      </w:r>
    </w:p>
    <w:p w14:paraId="79FC200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该站采用</w:t>
      </w:r>
      <w:r>
        <w:rPr>
          <w:rFonts w:hint="eastAsia" w:ascii="宋体" w:hAnsi="宋体"/>
          <w:color w:val="auto"/>
          <w:sz w:val="28"/>
          <w:szCs w:val="28"/>
          <w:highlight w:val="none"/>
          <w:lang w:val="en-US" w:eastAsia="zh-CN"/>
        </w:rPr>
        <w:t>SF双层</w:t>
      </w:r>
      <w:r>
        <w:rPr>
          <w:rFonts w:hint="eastAsia" w:ascii="宋体" w:hAnsi="宋体"/>
          <w:color w:val="auto"/>
          <w:sz w:val="28"/>
          <w:szCs w:val="28"/>
          <w:highlight w:val="none"/>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highlight w:val="none"/>
        </w:rPr>
      </w:pPr>
      <w:bookmarkStart w:id="155" w:name="_Toc19007"/>
      <w:bookmarkStart w:id="156" w:name="_Toc4183"/>
      <w:bookmarkStart w:id="157" w:name="_Toc10888"/>
      <w:bookmarkStart w:id="158" w:name="_Toc92712590"/>
      <w:bookmarkStart w:id="159" w:name="_Toc23269"/>
      <w:bookmarkStart w:id="160" w:name="_Toc92712591"/>
      <w:bookmarkStart w:id="161" w:name="_Toc3721"/>
      <w:bookmarkStart w:id="162" w:name="_Toc30385"/>
      <w:bookmarkStart w:id="163" w:name="_Toc92712592"/>
      <w:r>
        <w:rPr>
          <w:rFonts w:hint="eastAsia" w:ascii="宋体" w:hAnsi="宋体"/>
          <w:color w:val="auto"/>
          <w:sz w:val="30"/>
          <w:szCs w:val="30"/>
          <w:highlight w:val="none"/>
        </w:rPr>
        <w:t xml:space="preserve">5.3 </w:t>
      </w:r>
      <w:bookmarkEnd w:id="155"/>
      <w:bookmarkEnd w:id="156"/>
      <w:bookmarkEnd w:id="157"/>
      <w:bookmarkEnd w:id="158"/>
      <w:r>
        <w:rPr>
          <w:rFonts w:ascii="宋体" w:hAnsi="宋体"/>
          <w:color w:val="auto"/>
          <w:sz w:val="30"/>
          <w:szCs w:val="30"/>
          <w:highlight w:val="none"/>
        </w:rPr>
        <w:t>安全管理</w:t>
      </w:r>
      <w:bookmarkEnd w:id="159"/>
    </w:p>
    <w:p w14:paraId="12A5E6D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检查表依据《安全生产法</w:t>
      </w:r>
      <w:r>
        <w:rPr>
          <w:rFonts w:hint="eastAsia" w:ascii="Times New Roman" w:hAnsi="Times New Roman" w:cs="Times New Roman"/>
          <w:color w:val="auto"/>
          <w:sz w:val="28"/>
          <w:szCs w:val="28"/>
          <w:highlight w:val="none"/>
          <w:lang w:eastAsia="zh-CN"/>
        </w:rPr>
        <w:t>》《</w:t>
      </w:r>
      <w:r>
        <w:rPr>
          <w:rFonts w:ascii="Times New Roman" w:hAnsi="Times New Roman" w:cs="Times New Roman"/>
          <w:color w:val="auto"/>
          <w:sz w:val="28"/>
          <w:szCs w:val="28"/>
          <w:highlight w:val="none"/>
        </w:rPr>
        <w:t>危险化学品经营许可证管理办法》等相关法规标准，对该加油站检查如下：</w:t>
      </w:r>
    </w:p>
    <w:p w14:paraId="1AFA773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检查内容</w:t>
            </w:r>
          </w:p>
        </w:tc>
        <w:tc>
          <w:tcPr>
            <w:tcW w:w="2861" w:type="dxa"/>
            <w:vAlign w:val="center"/>
          </w:tcPr>
          <w:p w14:paraId="4807919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w:t>
            </w:r>
          </w:p>
        </w:tc>
        <w:tc>
          <w:tcPr>
            <w:tcW w:w="821" w:type="dxa"/>
            <w:vAlign w:val="center"/>
          </w:tcPr>
          <w:p w14:paraId="6080E6F1">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highlight w:val="none"/>
              </w:rPr>
            </w:pPr>
            <w:r>
              <w:rPr>
                <w:rFonts w:ascii="Times New Roman" w:hAnsi="Times New Roman" w:cs="Times New Roman"/>
                <w:b/>
                <w:bCs/>
                <w:color w:val="auto"/>
                <w:kern w:val="0"/>
                <w:highlight w:val="none"/>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highlight w:val="none"/>
              </w:rPr>
            </w:pPr>
            <w:r>
              <w:rPr>
                <w:rFonts w:ascii="Times New Roman" w:hAnsi="Times New Roman" w:cs="Times New Roman"/>
                <w:color w:val="auto"/>
                <w:highlight w:val="none"/>
              </w:rPr>
              <w:t>有，</w:t>
            </w:r>
            <w:r>
              <w:rPr>
                <w:rFonts w:hint="eastAsia" w:ascii="Times New Roman" w:hAnsi="Times New Roman" w:cs="Times New Roman"/>
                <w:color w:val="auto"/>
                <w:highlight w:val="none"/>
              </w:rPr>
              <w:t>详见附件</w:t>
            </w:r>
          </w:p>
        </w:tc>
        <w:tc>
          <w:tcPr>
            <w:tcW w:w="821" w:type="dxa"/>
            <w:vAlign w:val="center"/>
          </w:tcPr>
          <w:p w14:paraId="56698AF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53F2FC6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02595A4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有，详见表2.7-1</w:t>
            </w:r>
          </w:p>
        </w:tc>
        <w:tc>
          <w:tcPr>
            <w:tcW w:w="821" w:type="dxa"/>
            <w:vAlign w:val="center"/>
          </w:tcPr>
          <w:p w14:paraId="5B2D00D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29FB74CE">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4E34A7B9">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有健全的安全管理制度。</w:t>
            </w:r>
          </w:p>
        </w:tc>
        <w:tc>
          <w:tcPr>
            <w:tcW w:w="2861" w:type="dxa"/>
            <w:vAlign w:val="center"/>
          </w:tcPr>
          <w:p w14:paraId="64E02133">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有较健全的安全管理制度</w:t>
            </w:r>
          </w:p>
        </w:tc>
        <w:tc>
          <w:tcPr>
            <w:tcW w:w="821" w:type="dxa"/>
            <w:vAlign w:val="center"/>
          </w:tcPr>
          <w:p w14:paraId="03C9AA97">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有操作规程</w:t>
            </w:r>
          </w:p>
        </w:tc>
        <w:tc>
          <w:tcPr>
            <w:tcW w:w="821" w:type="dxa"/>
            <w:vAlign w:val="center"/>
          </w:tcPr>
          <w:p w14:paraId="1B13603F">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培训合格，取得上岗资格</w:t>
            </w:r>
          </w:p>
        </w:tc>
        <w:tc>
          <w:tcPr>
            <w:tcW w:w="821" w:type="dxa"/>
            <w:vAlign w:val="center"/>
          </w:tcPr>
          <w:p w14:paraId="5967570B">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从业</w:t>
            </w:r>
            <w:r>
              <w:rPr>
                <w:rFonts w:ascii="Times New Roman" w:hAnsi="Times New Roman" w:cs="Times New Roman"/>
                <w:bCs/>
                <w:color w:val="auto"/>
                <w:kern w:val="0"/>
                <w:highlight w:val="none"/>
              </w:rPr>
              <w:t>人员经本单位专业培训合格，掌握相应的专业技</w:t>
            </w:r>
            <w:r>
              <w:rPr>
                <w:rFonts w:ascii="Times New Roman" w:hAnsi="Times New Roman" w:cs="Times New Roman"/>
                <w:color w:val="auto"/>
                <w:kern w:val="0"/>
                <w:highlight w:val="none"/>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highlight w:val="none"/>
              </w:rPr>
            </w:pPr>
            <w:r>
              <w:rPr>
                <w:rFonts w:ascii="Times New Roman" w:hAnsi="Times New Roman" w:cs="Times New Roman"/>
                <w:b/>
                <w:color w:val="auto"/>
                <w:kern w:val="0"/>
                <w:highlight w:val="none"/>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不应在加油站内吸烟。</w:t>
            </w:r>
          </w:p>
        </w:tc>
        <w:tc>
          <w:tcPr>
            <w:tcW w:w="2861" w:type="dxa"/>
            <w:vAlign w:val="center"/>
          </w:tcPr>
          <w:p w14:paraId="0E2C16C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站内严禁吸烟。</w:t>
            </w:r>
          </w:p>
        </w:tc>
        <w:tc>
          <w:tcPr>
            <w:tcW w:w="821" w:type="dxa"/>
            <w:vAlign w:val="center"/>
          </w:tcPr>
          <w:p w14:paraId="730BEB4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highlight w:val="none"/>
              </w:rPr>
            </w:pPr>
            <w:r>
              <w:rPr>
                <w:rFonts w:ascii="Times New Roman" w:hAnsi="Times New Roman" w:cs="Times New Roman"/>
                <w:bCs/>
                <w:color w:val="auto"/>
                <w:kern w:val="0"/>
                <w:highlight w:val="none"/>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bl>
    <w:p w14:paraId="1906C7A8">
      <w:pPr>
        <w:ind w:firstLine="560" w:firstLineChars="200"/>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t>评价小结：</w:t>
      </w:r>
    </w:p>
    <w:p w14:paraId="2CCA40ED">
      <w:pPr>
        <w:ind w:firstLine="420"/>
        <w:rPr>
          <w:rFonts w:ascii="宋体" w:hAnsi="宋体"/>
          <w:color w:val="auto"/>
          <w:sz w:val="28"/>
          <w:szCs w:val="28"/>
          <w:highlight w:val="none"/>
        </w:rPr>
      </w:pPr>
      <w:r>
        <w:rPr>
          <w:rFonts w:hint="eastAsia" w:ascii="宋体" w:hAnsi="宋体"/>
          <w:color w:val="auto"/>
          <w:sz w:val="28"/>
          <w:szCs w:val="28"/>
          <w:highlight w:val="none"/>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highlight w:val="none"/>
        </w:rPr>
      </w:pPr>
      <w:bookmarkStart w:id="164" w:name="_Toc14758"/>
      <w:r>
        <w:rPr>
          <w:rFonts w:hint="eastAsia" w:ascii="宋体" w:hAnsi="宋体"/>
          <w:color w:val="auto"/>
          <w:sz w:val="30"/>
          <w:szCs w:val="30"/>
          <w:highlight w:val="none"/>
        </w:rPr>
        <w:t>5.4 站址选择符合性评价</w:t>
      </w:r>
      <w:bookmarkEnd w:id="160"/>
      <w:bookmarkEnd w:id="161"/>
      <w:bookmarkEnd w:id="164"/>
    </w:p>
    <w:p w14:paraId="23B1DC9A">
      <w:pPr>
        <w:spacing w:line="560" w:lineRule="exact"/>
        <w:ind w:firstLine="57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站址</w:t>
      </w:r>
      <w:r>
        <w:rPr>
          <w:rFonts w:ascii="宋体" w:hAnsi="宋体"/>
          <w:color w:val="auto"/>
          <w:sz w:val="28"/>
          <w:szCs w:val="28"/>
          <w:highlight w:val="none"/>
        </w:rPr>
        <w:t>检查如下</w:t>
      </w:r>
      <w:r>
        <w:rPr>
          <w:rFonts w:hint="eastAsia" w:ascii="宋体" w:hAnsi="宋体"/>
          <w:color w:val="auto"/>
          <w:sz w:val="28"/>
          <w:szCs w:val="28"/>
          <w:highlight w:val="none"/>
        </w:rPr>
        <w:t>表5.4-1、5.4-2</w:t>
      </w:r>
      <w:r>
        <w:rPr>
          <w:rFonts w:ascii="宋体" w:hAnsi="宋体"/>
          <w:color w:val="auto"/>
          <w:sz w:val="28"/>
          <w:szCs w:val="28"/>
          <w:highlight w:val="none"/>
        </w:rPr>
        <w:t>：</w:t>
      </w:r>
    </w:p>
    <w:p w14:paraId="1E1C9EF0">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highlight w:val="none"/>
              </w:rPr>
            </w:pPr>
            <w:r>
              <w:rPr>
                <w:rFonts w:ascii="宋体" w:hAnsi="宋体"/>
                <w:b/>
                <w:color w:val="auto"/>
                <w:highlight w:val="none"/>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highlight w:val="none"/>
              </w:rPr>
            </w:pPr>
            <w:r>
              <w:rPr>
                <w:rFonts w:ascii="宋体" w:hAnsi="宋体"/>
                <w:b/>
                <w:color w:val="auto"/>
                <w:highlight w:val="none"/>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highlight w:val="none"/>
              </w:rPr>
            </w:pPr>
            <w:r>
              <w:rPr>
                <w:rFonts w:ascii="宋体" w:hAnsi="宋体"/>
                <w:b/>
                <w:color w:val="auto"/>
                <w:highlight w:val="none"/>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highlight w:val="none"/>
              </w:rPr>
            </w:pPr>
            <w:r>
              <w:rPr>
                <w:rFonts w:ascii="宋体" w:hAnsi="宋体"/>
                <w:b/>
                <w:color w:val="auto"/>
                <w:highlight w:val="none"/>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highlight w:val="none"/>
              </w:rPr>
            </w:pPr>
          </w:p>
        </w:tc>
        <w:tc>
          <w:tcPr>
            <w:tcW w:w="3622" w:type="pct"/>
            <w:vAlign w:val="center"/>
          </w:tcPr>
          <w:p w14:paraId="05464836">
            <w:pPr>
              <w:rPr>
                <w:rFonts w:ascii="宋体" w:hAnsi="宋体"/>
                <w:color w:val="auto"/>
                <w:highlight w:val="none"/>
              </w:rPr>
            </w:pPr>
            <w:r>
              <w:rPr>
                <w:rFonts w:ascii="宋体" w:hAnsi="宋体"/>
                <w:color w:val="auto"/>
                <w:highlight w:val="none"/>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highlight w:val="none"/>
              </w:rPr>
            </w:pPr>
            <w:r>
              <w:rPr>
                <w:rFonts w:hint="eastAsia" w:ascii="宋体" w:hAnsi="宋体"/>
                <w:color w:val="auto"/>
                <w:highlight w:val="none"/>
              </w:rPr>
              <w:t>有规划</w:t>
            </w:r>
          </w:p>
        </w:tc>
        <w:tc>
          <w:tcPr>
            <w:tcW w:w="287" w:type="pct"/>
            <w:vAlign w:val="center"/>
          </w:tcPr>
          <w:p w14:paraId="31EFF39F">
            <w:pPr>
              <w:jc w:val="center"/>
              <w:rPr>
                <w:rFonts w:ascii="宋体" w:hAnsi="宋体"/>
                <w:color w:val="auto"/>
                <w:highlight w:val="none"/>
              </w:rPr>
            </w:pPr>
            <w:r>
              <w:rPr>
                <w:rFonts w:hint="eastAsia" w:ascii="宋体" w:hAnsi="宋体"/>
                <w:color w:val="auto"/>
                <w:highlight w:val="none"/>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highlight w:val="none"/>
              </w:rPr>
            </w:pPr>
          </w:p>
        </w:tc>
        <w:tc>
          <w:tcPr>
            <w:tcW w:w="3622" w:type="pct"/>
            <w:vAlign w:val="center"/>
          </w:tcPr>
          <w:p w14:paraId="4BFDFC80">
            <w:pPr>
              <w:rPr>
                <w:rFonts w:ascii="宋体" w:hAnsi="宋体"/>
                <w:color w:val="auto"/>
                <w:highlight w:val="none"/>
              </w:rPr>
            </w:pPr>
            <w:r>
              <w:rPr>
                <w:rFonts w:ascii="宋体" w:hAnsi="宋体"/>
                <w:color w:val="auto"/>
                <w:highlight w:val="none"/>
              </w:rPr>
              <w:t>4.0.2在城市中心区不应建一级汽车加油加</w:t>
            </w:r>
            <w:r>
              <w:rPr>
                <w:rFonts w:hint="eastAsia" w:ascii="宋体" w:hAnsi="宋体"/>
                <w:color w:val="auto"/>
                <w:highlight w:val="none"/>
              </w:rPr>
              <w:t>气</w:t>
            </w:r>
            <w:r>
              <w:rPr>
                <w:rFonts w:ascii="宋体" w:hAnsi="宋体"/>
                <w:color w:val="auto"/>
                <w:highlight w:val="none"/>
              </w:rPr>
              <w:t>加氢站、CNG加气母站。</w:t>
            </w:r>
          </w:p>
        </w:tc>
        <w:tc>
          <w:tcPr>
            <w:tcW w:w="843" w:type="pct"/>
            <w:vAlign w:val="center"/>
          </w:tcPr>
          <w:p w14:paraId="6E1F83C2">
            <w:pPr>
              <w:rPr>
                <w:rFonts w:hint="default" w:ascii="宋体" w:hAnsi="宋体"/>
                <w:color w:val="auto"/>
                <w:highlight w:val="none"/>
                <w:lang w:val="en-US"/>
              </w:rPr>
            </w:pPr>
            <w:r>
              <w:rPr>
                <w:rFonts w:hint="eastAsia" w:ascii="宋体" w:hAnsi="宋体"/>
                <w:color w:val="auto"/>
                <w:highlight w:val="none"/>
                <w:lang w:val="en-US" w:eastAsia="zh-CN"/>
              </w:rPr>
              <w:t>不在</w:t>
            </w:r>
            <w:r>
              <w:rPr>
                <w:rFonts w:ascii="宋体" w:hAnsi="宋体"/>
                <w:color w:val="auto"/>
                <w:highlight w:val="none"/>
              </w:rPr>
              <w:t>城市中心区</w:t>
            </w:r>
          </w:p>
        </w:tc>
        <w:tc>
          <w:tcPr>
            <w:tcW w:w="287" w:type="pct"/>
            <w:vAlign w:val="center"/>
          </w:tcPr>
          <w:p w14:paraId="44DD7FB9">
            <w:pPr>
              <w:jc w:val="center"/>
              <w:rPr>
                <w:rFonts w:ascii="宋体" w:hAnsi="宋体"/>
                <w:color w:val="auto"/>
                <w:highlight w:val="none"/>
              </w:rPr>
            </w:pPr>
            <w:r>
              <w:rPr>
                <w:rFonts w:hint="eastAsia" w:ascii="宋体" w:hAnsi="宋体"/>
                <w:color w:val="auto"/>
                <w:highlight w:val="none"/>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highlight w:val="none"/>
              </w:rPr>
            </w:pPr>
          </w:p>
        </w:tc>
        <w:tc>
          <w:tcPr>
            <w:tcW w:w="3622" w:type="pct"/>
            <w:vAlign w:val="center"/>
          </w:tcPr>
          <w:p w14:paraId="1F73C32F">
            <w:pPr>
              <w:rPr>
                <w:rFonts w:ascii="宋体" w:hAnsi="宋体"/>
                <w:color w:val="auto"/>
                <w:highlight w:val="none"/>
              </w:rPr>
            </w:pPr>
            <w:r>
              <w:rPr>
                <w:rFonts w:ascii="宋体" w:hAnsi="宋体"/>
                <w:color w:val="auto"/>
                <w:highlight w:val="none"/>
              </w:rPr>
              <w:t>4.0.3城市建成区内的汽车加油加气加氢站宜靠近城市道路，但不宜选在城市干道的交叉路口附近。</w:t>
            </w:r>
          </w:p>
        </w:tc>
        <w:tc>
          <w:tcPr>
            <w:tcW w:w="843" w:type="pct"/>
            <w:vAlign w:val="center"/>
          </w:tcPr>
          <w:p w14:paraId="51A70E24">
            <w:pPr>
              <w:rPr>
                <w:rFonts w:ascii="宋体" w:hAnsi="宋体"/>
                <w:color w:val="auto"/>
                <w:highlight w:val="none"/>
              </w:rPr>
            </w:pPr>
            <w:r>
              <w:rPr>
                <w:rFonts w:hint="eastAsia" w:ascii="宋体" w:hAnsi="宋体"/>
                <w:color w:val="auto"/>
                <w:highlight w:val="none"/>
              </w:rPr>
              <w:t>不处于</w:t>
            </w:r>
            <w:r>
              <w:rPr>
                <w:rFonts w:ascii="宋体" w:hAnsi="宋体"/>
                <w:color w:val="auto"/>
                <w:highlight w:val="none"/>
              </w:rPr>
              <w:t>城市干道的交叉路口</w:t>
            </w:r>
          </w:p>
        </w:tc>
        <w:tc>
          <w:tcPr>
            <w:tcW w:w="287" w:type="pct"/>
            <w:vAlign w:val="center"/>
          </w:tcPr>
          <w:p w14:paraId="528D89BD">
            <w:pPr>
              <w:jc w:val="center"/>
              <w:rPr>
                <w:rFonts w:ascii="宋体" w:hAnsi="宋体"/>
                <w:color w:val="auto"/>
                <w:highlight w:val="none"/>
              </w:rPr>
            </w:pPr>
            <w:r>
              <w:rPr>
                <w:rFonts w:hint="eastAsia" w:ascii="宋体" w:hAnsi="宋体"/>
                <w:color w:val="auto"/>
                <w:highlight w:val="none"/>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highlight w:val="none"/>
              </w:rPr>
            </w:pPr>
          </w:p>
        </w:tc>
        <w:tc>
          <w:tcPr>
            <w:tcW w:w="3622" w:type="pct"/>
            <w:vAlign w:val="center"/>
          </w:tcPr>
          <w:p w14:paraId="5420D79A">
            <w:pPr>
              <w:rPr>
                <w:rFonts w:ascii="宋体" w:hAnsi="宋体"/>
                <w:color w:val="auto"/>
                <w:highlight w:val="none"/>
              </w:rPr>
            </w:pPr>
            <w:r>
              <w:rPr>
                <w:rStyle w:val="28"/>
                <w:rFonts w:ascii="Arial" w:hAnsi="Arial" w:cs="Arial"/>
                <w:color w:val="auto"/>
                <w:highlight w:val="none"/>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highlight w:val="none"/>
              </w:rPr>
            </w:pPr>
            <w:r>
              <w:rPr>
                <w:rFonts w:hint="eastAsia" w:ascii="宋体" w:hAnsi="宋体"/>
                <w:color w:val="auto"/>
                <w:highlight w:val="none"/>
              </w:rPr>
              <w:t>详见表5.4-2</w:t>
            </w:r>
            <w:r>
              <w:rPr>
                <w:rFonts w:hint="eastAsia" w:ascii="宋体" w:hAnsi="宋体" w:cs="Times New Roman"/>
                <w:color w:val="auto"/>
                <w:highlight w:val="none"/>
              </w:rPr>
              <w:t>加油站汽（柴）油设备与站外建（构）筑物的安全间距表</w:t>
            </w:r>
          </w:p>
        </w:tc>
        <w:tc>
          <w:tcPr>
            <w:tcW w:w="287" w:type="pct"/>
            <w:vAlign w:val="center"/>
          </w:tcPr>
          <w:p w14:paraId="623A82B2">
            <w:pPr>
              <w:jc w:val="center"/>
              <w:rPr>
                <w:rFonts w:ascii="宋体" w:hAnsi="宋体"/>
                <w:color w:val="auto"/>
                <w:highlight w:val="none"/>
              </w:rPr>
            </w:pPr>
            <w:r>
              <w:rPr>
                <w:rFonts w:hint="eastAsia" w:ascii="宋体" w:hAnsi="宋体"/>
                <w:color w:val="auto"/>
                <w:highlight w:val="none"/>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highlight w:val="none"/>
              </w:rPr>
            </w:pPr>
          </w:p>
        </w:tc>
        <w:tc>
          <w:tcPr>
            <w:tcW w:w="3622" w:type="pct"/>
            <w:vAlign w:val="center"/>
          </w:tcPr>
          <w:p w14:paraId="300EE5CF">
            <w:pPr>
              <w:rPr>
                <w:rFonts w:ascii="宋体" w:hAnsi="宋体"/>
                <w:color w:val="auto"/>
                <w:highlight w:val="none"/>
              </w:rPr>
            </w:pPr>
            <w:r>
              <w:rPr>
                <w:rFonts w:ascii="宋体" w:hAnsi="宋体"/>
                <w:color w:val="auto"/>
                <w:highlight w:val="none"/>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架空电力线路应跨越作业区</w:t>
            </w:r>
          </w:p>
        </w:tc>
        <w:tc>
          <w:tcPr>
            <w:tcW w:w="287" w:type="pct"/>
            <w:vAlign w:val="center"/>
          </w:tcPr>
          <w:p w14:paraId="08408747">
            <w:pPr>
              <w:jc w:val="center"/>
              <w:rPr>
                <w:rFonts w:ascii="宋体" w:hAnsi="宋体"/>
                <w:color w:val="auto"/>
                <w:highlight w:val="none"/>
              </w:rPr>
            </w:pPr>
            <w:r>
              <w:rPr>
                <w:rFonts w:hint="eastAsia" w:ascii="宋体" w:hAnsi="宋体"/>
                <w:color w:val="auto"/>
                <w:highlight w:val="none"/>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highlight w:val="none"/>
              </w:rPr>
            </w:pPr>
          </w:p>
        </w:tc>
        <w:tc>
          <w:tcPr>
            <w:tcW w:w="3622" w:type="pct"/>
            <w:vAlign w:val="center"/>
          </w:tcPr>
          <w:p w14:paraId="6A214366">
            <w:pPr>
              <w:rPr>
                <w:rFonts w:ascii="宋体" w:hAnsi="宋体"/>
                <w:color w:val="auto"/>
                <w:highlight w:val="none"/>
              </w:rPr>
            </w:pPr>
            <w:r>
              <w:rPr>
                <w:rFonts w:ascii="宋体" w:hAnsi="宋体"/>
                <w:color w:val="auto"/>
                <w:highlight w:val="none"/>
              </w:rPr>
              <w:t>4.0.13与汽车加油加气加氢站无关的可燃介质管道不应穿越汽车加油加气加氢站用地范围。</w:t>
            </w:r>
          </w:p>
        </w:tc>
        <w:tc>
          <w:tcPr>
            <w:tcW w:w="843" w:type="pct"/>
            <w:vAlign w:val="center"/>
          </w:tcPr>
          <w:p w14:paraId="61A249D2">
            <w:pPr>
              <w:rPr>
                <w:rFonts w:ascii="宋体" w:hAnsi="宋体"/>
                <w:color w:val="auto"/>
                <w:highlight w:val="none"/>
              </w:rPr>
            </w:pPr>
            <w:r>
              <w:rPr>
                <w:rFonts w:hint="eastAsia" w:ascii="宋体" w:hAnsi="宋体"/>
                <w:color w:val="auto"/>
                <w:highlight w:val="none"/>
              </w:rPr>
              <w:t>不涉及</w:t>
            </w:r>
          </w:p>
        </w:tc>
        <w:tc>
          <w:tcPr>
            <w:tcW w:w="287" w:type="pct"/>
            <w:vAlign w:val="center"/>
          </w:tcPr>
          <w:p w14:paraId="2276B252">
            <w:pPr>
              <w:jc w:val="center"/>
              <w:rPr>
                <w:rFonts w:ascii="宋体" w:hAnsi="宋体"/>
                <w:color w:val="auto"/>
                <w:highlight w:val="none"/>
              </w:rPr>
            </w:pPr>
            <w:r>
              <w:rPr>
                <w:rFonts w:hint="eastAsia" w:ascii="宋体" w:hAnsi="宋体"/>
                <w:color w:val="auto"/>
                <w:highlight w:val="none"/>
              </w:rPr>
              <w:t>符合</w:t>
            </w:r>
          </w:p>
        </w:tc>
      </w:tr>
    </w:tbl>
    <w:p w14:paraId="44A7CE3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表5.4-2加油站汽（柴）油设备与站外建（构）筑物的安全间距（m）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39"/>
        <w:gridCol w:w="916"/>
        <w:gridCol w:w="2797"/>
        <w:gridCol w:w="1555"/>
        <w:gridCol w:w="965"/>
        <w:gridCol w:w="916"/>
      </w:tblGrid>
      <w:tr w14:paraId="434A8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51" w:type="pct"/>
            <w:vAlign w:val="center"/>
          </w:tcPr>
          <w:p w14:paraId="660E43DB">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493" w:type="pct"/>
            <w:vAlign w:val="center"/>
          </w:tcPr>
          <w:p w14:paraId="3A0124F6">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505" w:type="pct"/>
            <w:vAlign w:val="center"/>
          </w:tcPr>
          <w:p w14:paraId="5DF1779D">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837" w:type="pct"/>
            <w:vAlign w:val="center"/>
          </w:tcPr>
          <w:p w14:paraId="71156BF7">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519" w:type="pct"/>
            <w:shd w:val="clear" w:color="auto" w:fill="auto"/>
            <w:vAlign w:val="center"/>
          </w:tcPr>
          <w:p w14:paraId="16E0618E">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493" w:type="pct"/>
            <w:shd w:val="clear" w:color="auto" w:fill="auto"/>
            <w:vAlign w:val="center"/>
          </w:tcPr>
          <w:p w14:paraId="34EE0E12">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27294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restart"/>
            <w:vAlign w:val="center"/>
          </w:tcPr>
          <w:p w14:paraId="5193B342">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493" w:type="pct"/>
            <w:shd w:val="clear" w:color="auto" w:fill="auto"/>
            <w:vAlign w:val="center"/>
          </w:tcPr>
          <w:p w14:paraId="3AA21380">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东南</w:t>
            </w:r>
          </w:p>
        </w:tc>
        <w:tc>
          <w:tcPr>
            <w:tcW w:w="1505" w:type="pct"/>
            <w:shd w:val="clear" w:color="auto" w:fill="auto"/>
            <w:vAlign w:val="center"/>
          </w:tcPr>
          <w:p w14:paraId="4D962CB7">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服务区辅道</w:t>
            </w:r>
          </w:p>
        </w:tc>
        <w:tc>
          <w:tcPr>
            <w:tcW w:w="837" w:type="pct"/>
            <w:vAlign w:val="center"/>
          </w:tcPr>
          <w:p w14:paraId="3F8B1858">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45.1/39.4</w:t>
            </w:r>
          </w:p>
        </w:tc>
        <w:tc>
          <w:tcPr>
            <w:tcW w:w="519" w:type="pct"/>
            <w:shd w:val="clear" w:color="auto" w:fill="auto"/>
            <w:vAlign w:val="center"/>
          </w:tcPr>
          <w:p w14:paraId="7A72DC63">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lang w:val="en-US" w:eastAsia="zh-CN"/>
              </w:rPr>
              <w:t>7/</w:t>
            </w:r>
            <w:r>
              <w:rPr>
                <w:rFonts w:hint="eastAsia" w:ascii="Times New Roman" w:hAnsi="Times New Roman" w:cs="Times New Roman"/>
                <w:bCs/>
                <w:color w:val="auto"/>
                <w:szCs w:val="24"/>
                <w:highlight w:val="none"/>
              </w:rPr>
              <w:t>3</w:t>
            </w:r>
          </w:p>
        </w:tc>
        <w:tc>
          <w:tcPr>
            <w:tcW w:w="493" w:type="pct"/>
            <w:shd w:val="clear" w:color="auto" w:fill="auto"/>
            <w:vAlign w:val="center"/>
          </w:tcPr>
          <w:p w14:paraId="7DE80BDF">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2721A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61F112AA">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6CF0E2D3">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东北</w:t>
            </w:r>
          </w:p>
        </w:tc>
        <w:tc>
          <w:tcPr>
            <w:tcW w:w="1505" w:type="pct"/>
            <w:shd w:val="clear" w:color="auto" w:fill="auto"/>
            <w:vAlign w:val="center"/>
          </w:tcPr>
          <w:p w14:paraId="469DF1AD">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大广高速停车场（二类保护物）</w:t>
            </w:r>
          </w:p>
        </w:tc>
        <w:tc>
          <w:tcPr>
            <w:tcW w:w="837" w:type="pct"/>
            <w:vAlign w:val="center"/>
          </w:tcPr>
          <w:p w14:paraId="61DB300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75.7/73.3</w:t>
            </w:r>
          </w:p>
        </w:tc>
        <w:tc>
          <w:tcPr>
            <w:tcW w:w="519" w:type="pct"/>
            <w:vAlign w:val="center"/>
          </w:tcPr>
          <w:p w14:paraId="79C3C426">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14/6</w:t>
            </w:r>
          </w:p>
        </w:tc>
        <w:tc>
          <w:tcPr>
            <w:tcW w:w="493" w:type="pct"/>
            <w:vAlign w:val="center"/>
          </w:tcPr>
          <w:p w14:paraId="2643F4D7">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70B4A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6FFA695A">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3E9EC404">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东北</w:t>
            </w:r>
          </w:p>
        </w:tc>
        <w:tc>
          <w:tcPr>
            <w:tcW w:w="1505" w:type="pct"/>
            <w:shd w:val="clear" w:color="auto" w:fill="auto"/>
            <w:vAlign w:val="center"/>
          </w:tcPr>
          <w:p w14:paraId="49B91A5B">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民用建筑(三类保护物)</w:t>
            </w:r>
          </w:p>
        </w:tc>
        <w:tc>
          <w:tcPr>
            <w:tcW w:w="837" w:type="pct"/>
            <w:vAlign w:val="center"/>
          </w:tcPr>
          <w:p w14:paraId="21FA9C9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122.1/119.2</w:t>
            </w:r>
          </w:p>
        </w:tc>
        <w:tc>
          <w:tcPr>
            <w:tcW w:w="519" w:type="pct"/>
            <w:vAlign w:val="center"/>
          </w:tcPr>
          <w:p w14:paraId="4F7F83C2">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11/6</w:t>
            </w:r>
          </w:p>
        </w:tc>
        <w:tc>
          <w:tcPr>
            <w:tcW w:w="493" w:type="pct"/>
            <w:vAlign w:val="center"/>
          </w:tcPr>
          <w:p w14:paraId="7C000C02">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41B0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389B1F52">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0FCABB97">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西</w:t>
            </w:r>
          </w:p>
        </w:tc>
        <w:tc>
          <w:tcPr>
            <w:tcW w:w="1505" w:type="pct"/>
            <w:shd w:val="clear" w:color="auto" w:fill="auto"/>
            <w:vAlign w:val="center"/>
          </w:tcPr>
          <w:p w14:paraId="7184AFE9">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架空电力线（H=8m，有绝缘层）</w:t>
            </w:r>
          </w:p>
        </w:tc>
        <w:tc>
          <w:tcPr>
            <w:tcW w:w="837" w:type="pct"/>
            <w:vAlign w:val="center"/>
          </w:tcPr>
          <w:p w14:paraId="6DF110D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21/14.7</w:t>
            </w:r>
          </w:p>
        </w:tc>
        <w:tc>
          <w:tcPr>
            <w:tcW w:w="519" w:type="pct"/>
            <w:vAlign w:val="center"/>
          </w:tcPr>
          <w:p w14:paraId="6C321B0E">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8/5</w:t>
            </w:r>
          </w:p>
        </w:tc>
        <w:tc>
          <w:tcPr>
            <w:tcW w:w="493" w:type="pct"/>
            <w:vAlign w:val="center"/>
          </w:tcPr>
          <w:p w14:paraId="34B709F3">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FA3A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5928152D">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3D53A0DF">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西北</w:t>
            </w:r>
          </w:p>
        </w:tc>
        <w:tc>
          <w:tcPr>
            <w:tcW w:w="1505" w:type="pct"/>
            <w:shd w:val="clear" w:color="auto" w:fill="auto"/>
            <w:vAlign w:val="center"/>
          </w:tcPr>
          <w:p w14:paraId="1629C19F">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LNG 储罐</w:t>
            </w:r>
          </w:p>
        </w:tc>
        <w:tc>
          <w:tcPr>
            <w:tcW w:w="837" w:type="pct"/>
            <w:vAlign w:val="center"/>
          </w:tcPr>
          <w:p w14:paraId="32D82016">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58.1/50.6</w:t>
            </w:r>
          </w:p>
        </w:tc>
        <w:tc>
          <w:tcPr>
            <w:tcW w:w="519" w:type="pct"/>
            <w:vAlign w:val="center"/>
          </w:tcPr>
          <w:p w14:paraId="27EFC2ED">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10/8</w:t>
            </w:r>
          </w:p>
        </w:tc>
        <w:tc>
          <w:tcPr>
            <w:tcW w:w="493" w:type="pct"/>
            <w:vAlign w:val="center"/>
          </w:tcPr>
          <w:p w14:paraId="3B37D123">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299D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778A9425">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67AF7D03">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西北</w:t>
            </w:r>
          </w:p>
        </w:tc>
        <w:tc>
          <w:tcPr>
            <w:tcW w:w="1505" w:type="pct"/>
            <w:shd w:val="clear" w:color="auto" w:fill="auto"/>
            <w:vAlign w:val="center"/>
          </w:tcPr>
          <w:p w14:paraId="2A6E4483">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bCs/>
                <w:color w:val="auto"/>
                <w:szCs w:val="24"/>
                <w:highlight w:val="none"/>
              </w:rPr>
              <w:t>LNG加气机</w:t>
            </w:r>
          </w:p>
        </w:tc>
        <w:tc>
          <w:tcPr>
            <w:tcW w:w="837" w:type="pct"/>
            <w:vAlign w:val="center"/>
          </w:tcPr>
          <w:p w14:paraId="01004DF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56/48.5</w:t>
            </w:r>
          </w:p>
        </w:tc>
        <w:tc>
          <w:tcPr>
            <w:tcW w:w="519" w:type="pct"/>
            <w:vAlign w:val="center"/>
          </w:tcPr>
          <w:p w14:paraId="441B18F5">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4/4</w:t>
            </w:r>
          </w:p>
        </w:tc>
        <w:tc>
          <w:tcPr>
            <w:tcW w:w="493" w:type="pct"/>
            <w:vAlign w:val="center"/>
          </w:tcPr>
          <w:p w14:paraId="79FD4127">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FA6B1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restart"/>
            <w:vAlign w:val="center"/>
          </w:tcPr>
          <w:p w14:paraId="53D4F73E">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493" w:type="pct"/>
            <w:shd w:val="clear" w:color="auto" w:fill="auto"/>
            <w:vAlign w:val="center"/>
          </w:tcPr>
          <w:p w14:paraId="256728E3">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东南</w:t>
            </w:r>
          </w:p>
        </w:tc>
        <w:tc>
          <w:tcPr>
            <w:tcW w:w="1505" w:type="pct"/>
            <w:shd w:val="clear" w:color="auto" w:fill="auto"/>
            <w:vAlign w:val="center"/>
          </w:tcPr>
          <w:p w14:paraId="02A91889">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服务区辅道</w:t>
            </w:r>
          </w:p>
        </w:tc>
        <w:tc>
          <w:tcPr>
            <w:tcW w:w="837" w:type="pct"/>
            <w:vAlign w:val="center"/>
          </w:tcPr>
          <w:p w14:paraId="1D2F1D4E">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48.7/48.1</w:t>
            </w:r>
          </w:p>
        </w:tc>
        <w:tc>
          <w:tcPr>
            <w:tcW w:w="519" w:type="pct"/>
            <w:vAlign w:val="center"/>
          </w:tcPr>
          <w:p w14:paraId="01CFEA16">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493" w:type="pct"/>
            <w:vAlign w:val="center"/>
          </w:tcPr>
          <w:p w14:paraId="2B102B8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3688C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1123490E">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766AFA08">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1505" w:type="pct"/>
            <w:shd w:val="clear" w:color="auto" w:fill="auto"/>
            <w:vAlign w:val="center"/>
          </w:tcPr>
          <w:p w14:paraId="12C1B306">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大广高速停车场（二类保护物）</w:t>
            </w:r>
          </w:p>
        </w:tc>
        <w:tc>
          <w:tcPr>
            <w:tcW w:w="837" w:type="pct"/>
            <w:vAlign w:val="center"/>
          </w:tcPr>
          <w:p w14:paraId="60D90A4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85/82.7</w:t>
            </w:r>
          </w:p>
        </w:tc>
        <w:tc>
          <w:tcPr>
            <w:tcW w:w="519" w:type="pct"/>
            <w:vAlign w:val="center"/>
          </w:tcPr>
          <w:p w14:paraId="71E7F490">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8.5/6</w:t>
            </w:r>
          </w:p>
        </w:tc>
        <w:tc>
          <w:tcPr>
            <w:tcW w:w="493" w:type="pct"/>
            <w:vAlign w:val="center"/>
          </w:tcPr>
          <w:p w14:paraId="56148BFA">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D2201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51" w:type="pct"/>
            <w:vMerge w:val="continue"/>
            <w:vAlign w:val="center"/>
          </w:tcPr>
          <w:p w14:paraId="5C9608E6">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52F44A46">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1505" w:type="pct"/>
            <w:shd w:val="clear" w:color="auto" w:fill="auto"/>
            <w:vAlign w:val="center"/>
          </w:tcPr>
          <w:p w14:paraId="526EC579">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民用建筑(三类保护物)</w:t>
            </w:r>
          </w:p>
        </w:tc>
        <w:tc>
          <w:tcPr>
            <w:tcW w:w="837" w:type="pct"/>
            <w:vAlign w:val="center"/>
          </w:tcPr>
          <w:p w14:paraId="31012C0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131.4/128.4</w:t>
            </w:r>
          </w:p>
        </w:tc>
        <w:tc>
          <w:tcPr>
            <w:tcW w:w="519" w:type="pct"/>
            <w:vAlign w:val="center"/>
          </w:tcPr>
          <w:p w14:paraId="47685071">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493" w:type="pct"/>
            <w:vAlign w:val="center"/>
          </w:tcPr>
          <w:p w14:paraId="7095170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52E4E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51" w:type="pct"/>
            <w:vMerge w:val="continue"/>
            <w:vAlign w:val="center"/>
          </w:tcPr>
          <w:p w14:paraId="5EF14308">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4C79A121">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w:t>
            </w:r>
          </w:p>
        </w:tc>
        <w:tc>
          <w:tcPr>
            <w:tcW w:w="1505" w:type="pct"/>
            <w:shd w:val="clear" w:color="auto" w:fill="auto"/>
            <w:vAlign w:val="center"/>
          </w:tcPr>
          <w:p w14:paraId="1C30F2C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架空电力线（H=8m，有绝缘层）</w:t>
            </w:r>
          </w:p>
        </w:tc>
        <w:tc>
          <w:tcPr>
            <w:tcW w:w="837" w:type="pct"/>
            <w:vAlign w:val="center"/>
          </w:tcPr>
          <w:p w14:paraId="012499C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27.6/14.6</w:t>
            </w:r>
          </w:p>
        </w:tc>
        <w:tc>
          <w:tcPr>
            <w:tcW w:w="519" w:type="pct"/>
            <w:vAlign w:val="center"/>
          </w:tcPr>
          <w:p w14:paraId="6E01A705">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493" w:type="pct"/>
            <w:vAlign w:val="center"/>
          </w:tcPr>
          <w:p w14:paraId="655F9B36">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0FFEE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51" w:type="pct"/>
            <w:vMerge w:val="continue"/>
            <w:vAlign w:val="center"/>
          </w:tcPr>
          <w:p w14:paraId="0BCBECA1">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7AA5E2BA">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1505" w:type="pct"/>
            <w:shd w:val="clear" w:color="auto" w:fill="auto"/>
            <w:vAlign w:val="center"/>
          </w:tcPr>
          <w:p w14:paraId="17B0091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 储罐</w:t>
            </w:r>
          </w:p>
        </w:tc>
        <w:tc>
          <w:tcPr>
            <w:tcW w:w="837" w:type="pct"/>
            <w:vAlign w:val="center"/>
          </w:tcPr>
          <w:p w14:paraId="6B6FAA9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64.6/51.4</w:t>
            </w:r>
          </w:p>
        </w:tc>
        <w:tc>
          <w:tcPr>
            <w:tcW w:w="519" w:type="pct"/>
            <w:vAlign w:val="center"/>
          </w:tcPr>
          <w:p w14:paraId="3302C615">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8/8</w:t>
            </w:r>
          </w:p>
        </w:tc>
        <w:tc>
          <w:tcPr>
            <w:tcW w:w="493" w:type="pct"/>
            <w:vAlign w:val="center"/>
          </w:tcPr>
          <w:p w14:paraId="7AD872B8">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47E3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51" w:type="pct"/>
            <w:vMerge w:val="continue"/>
            <w:vAlign w:val="center"/>
          </w:tcPr>
          <w:p w14:paraId="22DC390A">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225DAA12">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1505" w:type="pct"/>
            <w:shd w:val="clear" w:color="auto" w:fill="auto"/>
            <w:vAlign w:val="center"/>
          </w:tcPr>
          <w:p w14:paraId="55612E81">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LNG加气机</w:t>
            </w:r>
          </w:p>
        </w:tc>
        <w:tc>
          <w:tcPr>
            <w:tcW w:w="837" w:type="pct"/>
            <w:vAlign w:val="center"/>
          </w:tcPr>
          <w:p w14:paraId="7188A62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62.5/49.4</w:t>
            </w:r>
          </w:p>
        </w:tc>
        <w:tc>
          <w:tcPr>
            <w:tcW w:w="519" w:type="pct"/>
            <w:vAlign w:val="center"/>
          </w:tcPr>
          <w:p w14:paraId="2EAA224A">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8/6</w:t>
            </w:r>
          </w:p>
        </w:tc>
        <w:tc>
          <w:tcPr>
            <w:tcW w:w="493" w:type="pct"/>
            <w:vAlign w:val="center"/>
          </w:tcPr>
          <w:p w14:paraId="2A5E499A">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03A04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restart"/>
            <w:vAlign w:val="center"/>
          </w:tcPr>
          <w:p w14:paraId="4C557A2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r>
              <w:rPr>
                <w:rFonts w:hint="eastAsia" w:ascii="Times New Roman" w:hAnsi="Times New Roman" w:cs="Times New Roman"/>
                <w:color w:val="auto"/>
                <w:szCs w:val="24"/>
                <w:highlight w:val="none"/>
                <w:lang w:val="zh-CN"/>
              </w:rPr>
              <w:t>（</w:t>
            </w:r>
            <w:r>
              <w:rPr>
                <w:rFonts w:hint="eastAsia" w:ascii="Times New Roman" w:hAnsi="Times New Roman" w:cs="Times New Roman"/>
                <w:color w:val="auto"/>
                <w:szCs w:val="24"/>
                <w:highlight w:val="none"/>
                <w:lang w:val="en-US" w:eastAsia="zh-CN"/>
              </w:rPr>
              <w:t>西侧</w:t>
            </w:r>
            <w:r>
              <w:rPr>
                <w:rFonts w:hint="eastAsia" w:ascii="Times New Roman" w:hAnsi="Times New Roman" w:cs="Times New Roman"/>
                <w:color w:val="auto"/>
                <w:szCs w:val="24"/>
                <w:highlight w:val="none"/>
                <w:lang w:val="zh-CN"/>
              </w:rPr>
              <w:t>）</w:t>
            </w:r>
          </w:p>
        </w:tc>
        <w:tc>
          <w:tcPr>
            <w:tcW w:w="493" w:type="pct"/>
            <w:shd w:val="clear" w:color="auto" w:fill="auto"/>
            <w:vAlign w:val="center"/>
          </w:tcPr>
          <w:p w14:paraId="1707DCF2">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东南</w:t>
            </w:r>
          </w:p>
        </w:tc>
        <w:tc>
          <w:tcPr>
            <w:tcW w:w="1505" w:type="pct"/>
            <w:shd w:val="clear" w:color="auto" w:fill="auto"/>
            <w:vAlign w:val="center"/>
          </w:tcPr>
          <w:p w14:paraId="04A0A29A">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服务区辅道</w:t>
            </w:r>
          </w:p>
        </w:tc>
        <w:tc>
          <w:tcPr>
            <w:tcW w:w="837" w:type="pct"/>
            <w:vAlign w:val="center"/>
          </w:tcPr>
          <w:p w14:paraId="7288459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/56.2</w:t>
            </w:r>
          </w:p>
        </w:tc>
        <w:tc>
          <w:tcPr>
            <w:tcW w:w="519" w:type="pct"/>
            <w:shd w:val="clear" w:color="auto" w:fill="auto"/>
            <w:vAlign w:val="center"/>
          </w:tcPr>
          <w:p w14:paraId="6AD952C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493" w:type="pct"/>
            <w:vAlign w:val="center"/>
          </w:tcPr>
          <w:p w14:paraId="69D8D6F3">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5DE4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6A2875D8">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22FF6B8C">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1505" w:type="pct"/>
            <w:shd w:val="clear" w:color="auto" w:fill="auto"/>
            <w:vAlign w:val="center"/>
          </w:tcPr>
          <w:p w14:paraId="14B9051F">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大广高速停车场（二类保护物）</w:t>
            </w:r>
          </w:p>
        </w:tc>
        <w:tc>
          <w:tcPr>
            <w:tcW w:w="837" w:type="pct"/>
            <w:vAlign w:val="center"/>
          </w:tcPr>
          <w:p w14:paraId="7B3001A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46.8/45.2</w:t>
            </w:r>
          </w:p>
        </w:tc>
        <w:tc>
          <w:tcPr>
            <w:tcW w:w="519" w:type="pct"/>
            <w:shd w:val="clear" w:color="auto" w:fill="auto"/>
            <w:vAlign w:val="center"/>
          </w:tcPr>
          <w:p w14:paraId="4949CEE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8.5/6</w:t>
            </w:r>
          </w:p>
        </w:tc>
        <w:tc>
          <w:tcPr>
            <w:tcW w:w="493" w:type="pct"/>
            <w:vAlign w:val="center"/>
          </w:tcPr>
          <w:p w14:paraId="47BFF2C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0E38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7FEA2886">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46928B1B">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1505" w:type="pct"/>
            <w:shd w:val="clear" w:color="auto" w:fill="auto"/>
            <w:vAlign w:val="center"/>
          </w:tcPr>
          <w:p w14:paraId="153ABD0C">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民用建筑(三类保护物)</w:t>
            </w:r>
          </w:p>
        </w:tc>
        <w:tc>
          <w:tcPr>
            <w:tcW w:w="837" w:type="pct"/>
            <w:vAlign w:val="center"/>
          </w:tcPr>
          <w:p w14:paraId="4E6DB3A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92.7/91.4</w:t>
            </w:r>
          </w:p>
        </w:tc>
        <w:tc>
          <w:tcPr>
            <w:tcW w:w="519" w:type="pct"/>
            <w:shd w:val="clear" w:color="auto" w:fill="auto"/>
            <w:vAlign w:val="center"/>
          </w:tcPr>
          <w:p w14:paraId="45951C3B">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493" w:type="pct"/>
            <w:vAlign w:val="center"/>
          </w:tcPr>
          <w:p w14:paraId="062D96F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C621D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45668B25">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34C21A8F">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w:t>
            </w:r>
          </w:p>
        </w:tc>
        <w:tc>
          <w:tcPr>
            <w:tcW w:w="1505" w:type="pct"/>
            <w:shd w:val="clear" w:color="auto" w:fill="auto"/>
            <w:vAlign w:val="center"/>
          </w:tcPr>
          <w:p w14:paraId="4C3A285F">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架空电力线（H=8m，有绝缘层）</w:t>
            </w:r>
          </w:p>
        </w:tc>
        <w:tc>
          <w:tcPr>
            <w:tcW w:w="837" w:type="pct"/>
            <w:vAlign w:val="center"/>
          </w:tcPr>
          <w:p w14:paraId="67ACE40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35.3/37.1</w:t>
            </w:r>
          </w:p>
        </w:tc>
        <w:tc>
          <w:tcPr>
            <w:tcW w:w="519" w:type="pct"/>
            <w:shd w:val="clear" w:color="auto" w:fill="auto"/>
            <w:vAlign w:val="center"/>
          </w:tcPr>
          <w:p w14:paraId="4B176D7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493" w:type="pct"/>
            <w:vAlign w:val="center"/>
          </w:tcPr>
          <w:p w14:paraId="26FB1AB9">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4650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20E0B5D3">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638E7F31">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1505" w:type="pct"/>
            <w:shd w:val="clear" w:color="auto" w:fill="auto"/>
            <w:vAlign w:val="center"/>
          </w:tcPr>
          <w:p w14:paraId="474DF235">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 储罐</w:t>
            </w:r>
          </w:p>
        </w:tc>
        <w:tc>
          <w:tcPr>
            <w:tcW w:w="837" w:type="pct"/>
            <w:vAlign w:val="center"/>
          </w:tcPr>
          <w:p w14:paraId="0E99695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43.2/40.4</w:t>
            </w:r>
          </w:p>
        </w:tc>
        <w:tc>
          <w:tcPr>
            <w:tcW w:w="519" w:type="pct"/>
            <w:vAlign w:val="center"/>
          </w:tcPr>
          <w:p w14:paraId="05D34E83">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6/6</w:t>
            </w:r>
          </w:p>
        </w:tc>
        <w:tc>
          <w:tcPr>
            <w:tcW w:w="493" w:type="pct"/>
            <w:vAlign w:val="center"/>
          </w:tcPr>
          <w:p w14:paraId="50B17267">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5FF0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52742696">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66C2674D">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1505" w:type="pct"/>
            <w:shd w:val="clear" w:color="auto" w:fill="auto"/>
            <w:vAlign w:val="center"/>
          </w:tcPr>
          <w:p w14:paraId="10DE6F0A">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LNG加气机</w:t>
            </w:r>
          </w:p>
        </w:tc>
        <w:tc>
          <w:tcPr>
            <w:tcW w:w="837" w:type="pct"/>
            <w:vAlign w:val="center"/>
          </w:tcPr>
          <w:p w14:paraId="53584CE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41/38.4</w:t>
            </w:r>
          </w:p>
        </w:tc>
        <w:tc>
          <w:tcPr>
            <w:tcW w:w="519" w:type="pct"/>
            <w:vAlign w:val="center"/>
          </w:tcPr>
          <w:p w14:paraId="73ABFF18">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2/2</w:t>
            </w:r>
          </w:p>
        </w:tc>
        <w:tc>
          <w:tcPr>
            <w:tcW w:w="493" w:type="pct"/>
            <w:vAlign w:val="center"/>
          </w:tcPr>
          <w:p w14:paraId="137962AE">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51807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restart"/>
            <w:shd w:val="clear" w:color="auto" w:fill="auto"/>
            <w:vAlign w:val="center"/>
          </w:tcPr>
          <w:p w14:paraId="42609EA3">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p w14:paraId="35BD5E0D">
            <w:pPr>
              <w:spacing w:line="240" w:lineRule="exact"/>
              <w:jc w:val="center"/>
              <w:rPr>
                <w:rFonts w:hint="eastAsia" w:ascii="Times New Roman" w:hAnsi="Times New Roman" w:eastAsia="宋体" w:cs="Times New Roman"/>
                <w:bCs/>
                <w:color w:val="auto"/>
                <w:szCs w:val="24"/>
                <w:highlight w:val="none"/>
                <w:lang w:eastAsia="zh-CN"/>
              </w:rPr>
            </w:pP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东侧</w:t>
            </w:r>
            <w:r>
              <w:rPr>
                <w:rFonts w:hint="eastAsia" w:ascii="Times New Roman" w:hAnsi="Times New Roman" w:cs="Times New Roman"/>
                <w:bCs/>
                <w:color w:val="auto"/>
                <w:szCs w:val="24"/>
                <w:highlight w:val="none"/>
                <w:lang w:eastAsia="zh-CN"/>
              </w:rPr>
              <w:t>）</w:t>
            </w:r>
          </w:p>
        </w:tc>
        <w:tc>
          <w:tcPr>
            <w:tcW w:w="493" w:type="pct"/>
            <w:shd w:val="clear" w:color="auto" w:fill="auto"/>
            <w:vAlign w:val="center"/>
          </w:tcPr>
          <w:p w14:paraId="172151E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东南</w:t>
            </w:r>
          </w:p>
        </w:tc>
        <w:tc>
          <w:tcPr>
            <w:tcW w:w="1505" w:type="pct"/>
            <w:shd w:val="clear" w:color="auto" w:fill="auto"/>
            <w:vAlign w:val="center"/>
          </w:tcPr>
          <w:p w14:paraId="7BFBB5D2">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服务区辅道</w:t>
            </w:r>
          </w:p>
        </w:tc>
        <w:tc>
          <w:tcPr>
            <w:tcW w:w="837" w:type="pct"/>
            <w:vAlign w:val="center"/>
          </w:tcPr>
          <w:p w14:paraId="591D477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17.6/17.6</w:t>
            </w:r>
          </w:p>
        </w:tc>
        <w:tc>
          <w:tcPr>
            <w:tcW w:w="519" w:type="pct"/>
            <w:shd w:val="clear" w:color="auto" w:fill="auto"/>
            <w:vAlign w:val="center"/>
          </w:tcPr>
          <w:p w14:paraId="72A089F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493" w:type="pct"/>
            <w:vAlign w:val="center"/>
          </w:tcPr>
          <w:p w14:paraId="643941E8">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157E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77CECA64">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645D7F86">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1505" w:type="pct"/>
            <w:shd w:val="clear" w:color="auto" w:fill="auto"/>
            <w:vAlign w:val="center"/>
          </w:tcPr>
          <w:p w14:paraId="2B366321">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大广高速停车场（二类保护物）</w:t>
            </w:r>
          </w:p>
        </w:tc>
        <w:tc>
          <w:tcPr>
            <w:tcW w:w="837" w:type="pct"/>
            <w:vAlign w:val="center"/>
          </w:tcPr>
          <w:p w14:paraId="5972E005">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31.4/39.7</w:t>
            </w:r>
          </w:p>
        </w:tc>
        <w:tc>
          <w:tcPr>
            <w:tcW w:w="519" w:type="pct"/>
            <w:shd w:val="clear" w:color="auto" w:fill="auto"/>
            <w:vAlign w:val="center"/>
          </w:tcPr>
          <w:p w14:paraId="68243FD1">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8.5/6</w:t>
            </w:r>
          </w:p>
        </w:tc>
        <w:tc>
          <w:tcPr>
            <w:tcW w:w="493" w:type="pct"/>
            <w:vAlign w:val="center"/>
          </w:tcPr>
          <w:p w14:paraId="6F843F39">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8D530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265EE00C">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3B9D6C8D">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东北</w:t>
            </w:r>
          </w:p>
        </w:tc>
        <w:tc>
          <w:tcPr>
            <w:tcW w:w="1505" w:type="pct"/>
            <w:shd w:val="clear" w:color="auto" w:fill="auto"/>
            <w:vAlign w:val="center"/>
          </w:tcPr>
          <w:p w14:paraId="09DD8E5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民用建筑(三类保护物)</w:t>
            </w:r>
          </w:p>
        </w:tc>
        <w:tc>
          <w:tcPr>
            <w:tcW w:w="837" w:type="pct"/>
            <w:vAlign w:val="center"/>
          </w:tcPr>
          <w:p w14:paraId="5B7E52C5">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74.6/79</w:t>
            </w:r>
          </w:p>
        </w:tc>
        <w:tc>
          <w:tcPr>
            <w:tcW w:w="519" w:type="pct"/>
            <w:shd w:val="clear" w:color="auto" w:fill="auto"/>
            <w:vAlign w:val="center"/>
          </w:tcPr>
          <w:p w14:paraId="63A5973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493" w:type="pct"/>
            <w:vAlign w:val="center"/>
          </w:tcPr>
          <w:p w14:paraId="39D1E3B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577E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520A9386">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694D4BFA">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w:t>
            </w:r>
          </w:p>
        </w:tc>
        <w:tc>
          <w:tcPr>
            <w:tcW w:w="1505" w:type="pct"/>
            <w:shd w:val="clear" w:color="auto" w:fill="auto"/>
            <w:vAlign w:val="center"/>
          </w:tcPr>
          <w:p w14:paraId="115D34A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架空电力线（H=8m，有绝缘层）</w:t>
            </w:r>
          </w:p>
        </w:tc>
        <w:tc>
          <w:tcPr>
            <w:tcW w:w="837" w:type="pct"/>
            <w:vAlign w:val="center"/>
          </w:tcPr>
          <w:p w14:paraId="0415390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64.2/73.5</w:t>
            </w:r>
          </w:p>
        </w:tc>
        <w:tc>
          <w:tcPr>
            <w:tcW w:w="519" w:type="pct"/>
            <w:shd w:val="clear" w:color="auto" w:fill="auto"/>
            <w:vAlign w:val="center"/>
          </w:tcPr>
          <w:p w14:paraId="7558011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493" w:type="pct"/>
            <w:vAlign w:val="center"/>
          </w:tcPr>
          <w:p w14:paraId="4C9389AE">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F90D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131BCD06">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0341A7A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1505" w:type="pct"/>
            <w:shd w:val="clear" w:color="auto" w:fill="auto"/>
            <w:vAlign w:val="center"/>
          </w:tcPr>
          <w:p w14:paraId="0C1B4627">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 储罐</w:t>
            </w:r>
          </w:p>
        </w:tc>
        <w:tc>
          <w:tcPr>
            <w:tcW w:w="837" w:type="pct"/>
            <w:vAlign w:val="center"/>
          </w:tcPr>
          <w:p w14:paraId="727B957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77/89</w:t>
            </w:r>
          </w:p>
        </w:tc>
        <w:tc>
          <w:tcPr>
            <w:tcW w:w="519" w:type="pct"/>
            <w:shd w:val="clear" w:color="auto" w:fill="auto"/>
            <w:vAlign w:val="center"/>
          </w:tcPr>
          <w:p w14:paraId="4E7A2A1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6/6</w:t>
            </w:r>
          </w:p>
        </w:tc>
        <w:tc>
          <w:tcPr>
            <w:tcW w:w="493" w:type="pct"/>
            <w:vAlign w:val="center"/>
          </w:tcPr>
          <w:p w14:paraId="3A3CF7FE">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FC71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51" w:type="pct"/>
            <w:vMerge w:val="continue"/>
            <w:vAlign w:val="center"/>
          </w:tcPr>
          <w:p w14:paraId="6631A5EC">
            <w:pPr>
              <w:spacing w:line="240" w:lineRule="exact"/>
              <w:jc w:val="center"/>
              <w:rPr>
                <w:rFonts w:ascii="Times New Roman" w:hAnsi="Times New Roman" w:cs="Times New Roman"/>
                <w:bCs/>
                <w:color w:val="auto"/>
                <w:szCs w:val="24"/>
                <w:highlight w:val="none"/>
              </w:rPr>
            </w:pPr>
          </w:p>
        </w:tc>
        <w:tc>
          <w:tcPr>
            <w:tcW w:w="493" w:type="pct"/>
            <w:shd w:val="clear" w:color="auto" w:fill="auto"/>
            <w:vAlign w:val="center"/>
          </w:tcPr>
          <w:p w14:paraId="06A82EC7">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西北</w:t>
            </w:r>
          </w:p>
        </w:tc>
        <w:tc>
          <w:tcPr>
            <w:tcW w:w="1505" w:type="pct"/>
            <w:shd w:val="clear" w:color="auto" w:fill="auto"/>
            <w:vAlign w:val="center"/>
          </w:tcPr>
          <w:p w14:paraId="4FBB7DF9">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LNG加气机</w:t>
            </w:r>
          </w:p>
        </w:tc>
        <w:tc>
          <w:tcPr>
            <w:tcW w:w="837" w:type="pct"/>
            <w:vAlign w:val="center"/>
          </w:tcPr>
          <w:p w14:paraId="31336B2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75/87</w:t>
            </w:r>
          </w:p>
        </w:tc>
        <w:tc>
          <w:tcPr>
            <w:tcW w:w="519" w:type="pct"/>
            <w:shd w:val="clear" w:color="auto" w:fill="auto"/>
            <w:vAlign w:val="center"/>
          </w:tcPr>
          <w:p w14:paraId="52CC3FF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2/2</w:t>
            </w:r>
          </w:p>
        </w:tc>
        <w:tc>
          <w:tcPr>
            <w:tcW w:w="493" w:type="pct"/>
            <w:vAlign w:val="center"/>
          </w:tcPr>
          <w:p w14:paraId="4FCA79E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宋体" w:hAnsi="宋体"/>
          <w:color w:val="auto"/>
          <w:highlight w:val="none"/>
        </w:rPr>
      </w:pPr>
      <w:r>
        <w:rPr>
          <w:color w:val="auto"/>
          <w:sz w:val="28"/>
          <w:szCs w:val="28"/>
          <w:highlight w:val="none"/>
        </w:rPr>
        <w:t>从表</w:t>
      </w:r>
      <w:r>
        <w:rPr>
          <w:rFonts w:hint="eastAsia"/>
          <w:color w:val="auto"/>
          <w:sz w:val="28"/>
          <w:szCs w:val="28"/>
          <w:highlight w:val="none"/>
        </w:rPr>
        <w:t>5.4-2</w:t>
      </w:r>
      <w:r>
        <w:rPr>
          <w:color w:val="auto"/>
          <w:sz w:val="28"/>
          <w:szCs w:val="28"/>
          <w:highlight w:val="none"/>
        </w:rPr>
        <w:t>可以看出，</w:t>
      </w:r>
      <w:r>
        <w:rPr>
          <w:rFonts w:hint="eastAsia"/>
          <w:color w:val="auto"/>
          <w:sz w:val="28"/>
          <w:szCs w:val="28"/>
          <w:highlight w:val="none"/>
        </w:rPr>
        <w:t>该加油站的</w:t>
      </w:r>
      <w:r>
        <w:rPr>
          <w:color w:val="auto"/>
          <w:sz w:val="28"/>
          <w:szCs w:val="28"/>
          <w:highlight w:val="none"/>
        </w:rPr>
        <w:t>油罐、加油机、通气管管口与站外建、构筑物的防火距离符合《汽车加油</w:t>
      </w:r>
      <w:r>
        <w:rPr>
          <w:rFonts w:hint="eastAsia"/>
          <w:color w:val="auto"/>
          <w:sz w:val="28"/>
          <w:szCs w:val="28"/>
          <w:highlight w:val="none"/>
          <w:lang w:eastAsia="zh-CN"/>
        </w:rPr>
        <w:t>加气</w:t>
      </w:r>
      <w:r>
        <w:rPr>
          <w:color w:val="auto"/>
          <w:sz w:val="28"/>
          <w:szCs w:val="28"/>
          <w:highlight w:val="none"/>
        </w:rPr>
        <w:t>加氢站技术标准》（GB50156-2021）第4.0.4条</w:t>
      </w:r>
      <w:r>
        <w:rPr>
          <w:rFonts w:hint="eastAsia"/>
          <w:color w:val="auto"/>
          <w:sz w:val="28"/>
          <w:szCs w:val="28"/>
          <w:highlight w:val="none"/>
          <w:lang w:eastAsia="zh-CN"/>
        </w:rPr>
        <w:t>、</w:t>
      </w:r>
      <w:r>
        <w:rPr>
          <w:rFonts w:hint="eastAsia"/>
          <w:color w:val="auto"/>
          <w:sz w:val="28"/>
          <w:szCs w:val="28"/>
          <w:highlight w:val="none"/>
          <w:lang w:val="en-US" w:eastAsia="zh-CN"/>
        </w:rPr>
        <w:t>5.0.13-2条</w:t>
      </w:r>
      <w:r>
        <w:rPr>
          <w:color w:val="auto"/>
          <w:sz w:val="28"/>
          <w:szCs w:val="28"/>
          <w:highlight w:val="none"/>
        </w:rPr>
        <w:t>的规定。</w:t>
      </w:r>
    </w:p>
    <w:p w14:paraId="5FF2D53A">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该站平面布置符合相关标准要求，卸油口离马路距离符合爆炸危险区域范围</w:t>
      </w:r>
      <w:r>
        <w:rPr>
          <w:rFonts w:ascii="宋体" w:hAnsi="宋体"/>
          <w:color w:val="auto"/>
          <w:sz w:val="28"/>
          <w:szCs w:val="28"/>
          <w:highlight w:val="none"/>
        </w:rPr>
        <w:t>。</w:t>
      </w:r>
    </w:p>
    <w:p w14:paraId="4BF9AB14">
      <w:pPr>
        <w:pStyle w:val="3"/>
        <w:jc w:val="center"/>
        <w:rPr>
          <w:rFonts w:ascii="宋体" w:hAnsi="宋体"/>
          <w:color w:val="auto"/>
          <w:sz w:val="30"/>
          <w:szCs w:val="30"/>
          <w:highlight w:val="none"/>
        </w:rPr>
      </w:pPr>
      <w:bookmarkStart w:id="165" w:name="_Toc1867"/>
      <w:bookmarkStart w:id="166" w:name="_Toc6353"/>
      <w:r>
        <w:rPr>
          <w:rFonts w:hint="eastAsia" w:ascii="宋体" w:hAnsi="宋体"/>
          <w:color w:val="auto"/>
          <w:sz w:val="30"/>
          <w:szCs w:val="30"/>
          <w:highlight w:val="none"/>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平面布置</w:t>
      </w:r>
      <w:r>
        <w:rPr>
          <w:rFonts w:ascii="宋体" w:hAnsi="宋体"/>
          <w:color w:val="auto"/>
          <w:sz w:val="28"/>
          <w:szCs w:val="28"/>
          <w:highlight w:val="none"/>
        </w:rPr>
        <w:t>检查如下</w:t>
      </w:r>
      <w:r>
        <w:rPr>
          <w:rFonts w:hint="eastAsia" w:ascii="宋体" w:hAnsi="宋体"/>
          <w:color w:val="auto"/>
          <w:sz w:val="28"/>
          <w:szCs w:val="28"/>
          <w:highlight w:val="none"/>
        </w:rPr>
        <w:t>表5.5-1、5.5-2</w:t>
      </w:r>
      <w:r>
        <w:rPr>
          <w:rFonts w:ascii="宋体" w:hAnsi="宋体"/>
          <w:color w:val="auto"/>
          <w:sz w:val="28"/>
          <w:szCs w:val="28"/>
          <w:highlight w:val="none"/>
        </w:rPr>
        <w:t>：</w:t>
      </w:r>
    </w:p>
    <w:p w14:paraId="25D941E6">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highlight w:val="none"/>
              </w:rPr>
            </w:pPr>
            <w:r>
              <w:rPr>
                <w:rFonts w:ascii="宋体" w:hAnsi="宋体"/>
                <w:b/>
                <w:color w:val="auto"/>
                <w:highlight w:val="none"/>
              </w:rPr>
              <w:t>序号</w:t>
            </w:r>
          </w:p>
        </w:tc>
        <w:tc>
          <w:tcPr>
            <w:tcW w:w="2988" w:type="pct"/>
            <w:vAlign w:val="center"/>
          </w:tcPr>
          <w:p w14:paraId="7D2A3C6F">
            <w:pPr>
              <w:spacing w:line="240" w:lineRule="exact"/>
              <w:jc w:val="center"/>
              <w:rPr>
                <w:rFonts w:ascii="宋体" w:hAnsi="宋体"/>
                <w:b/>
                <w:color w:val="auto"/>
                <w:highlight w:val="none"/>
              </w:rPr>
            </w:pPr>
            <w:r>
              <w:rPr>
                <w:rFonts w:ascii="宋体" w:hAnsi="宋体"/>
                <w:b/>
                <w:color w:val="auto"/>
                <w:highlight w:val="none"/>
              </w:rPr>
              <w:t>检查内容</w:t>
            </w:r>
          </w:p>
        </w:tc>
        <w:tc>
          <w:tcPr>
            <w:tcW w:w="439" w:type="pct"/>
            <w:vAlign w:val="center"/>
          </w:tcPr>
          <w:p w14:paraId="2B218207">
            <w:pPr>
              <w:spacing w:line="240" w:lineRule="exact"/>
              <w:jc w:val="center"/>
              <w:rPr>
                <w:rFonts w:ascii="宋体" w:hAnsi="宋体"/>
                <w:b/>
                <w:color w:val="auto"/>
                <w:highlight w:val="none"/>
              </w:rPr>
            </w:pPr>
            <w:r>
              <w:rPr>
                <w:rFonts w:ascii="宋体" w:hAnsi="宋体"/>
                <w:b/>
                <w:color w:val="auto"/>
                <w:highlight w:val="none"/>
              </w:rPr>
              <w:t>标准条款</w:t>
            </w:r>
          </w:p>
        </w:tc>
        <w:tc>
          <w:tcPr>
            <w:tcW w:w="1125" w:type="pct"/>
            <w:vAlign w:val="center"/>
          </w:tcPr>
          <w:p w14:paraId="2ED57010">
            <w:pPr>
              <w:spacing w:line="240" w:lineRule="exact"/>
              <w:jc w:val="center"/>
              <w:rPr>
                <w:rFonts w:ascii="宋体" w:hAnsi="宋体"/>
                <w:b/>
                <w:color w:val="auto"/>
                <w:highlight w:val="none"/>
              </w:rPr>
            </w:pPr>
            <w:r>
              <w:rPr>
                <w:rFonts w:ascii="宋体" w:hAnsi="宋体"/>
                <w:b/>
                <w:color w:val="auto"/>
                <w:highlight w:val="none"/>
              </w:rPr>
              <w:t>检查记录</w:t>
            </w:r>
          </w:p>
        </w:tc>
        <w:tc>
          <w:tcPr>
            <w:tcW w:w="223" w:type="pct"/>
            <w:vAlign w:val="center"/>
          </w:tcPr>
          <w:p w14:paraId="62A01948">
            <w:pPr>
              <w:spacing w:line="240" w:lineRule="exact"/>
              <w:jc w:val="center"/>
              <w:rPr>
                <w:rFonts w:ascii="宋体" w:hAnsi="宋体"/>
                <w:b/>
                <w:color w:val="auto"/>
                <w:highlight w:val="none"/>
              </w:rPr>
            </w:pPr>
            <w:r>
              <w:rPr>
                <w:rFonts w:ascii="宋体" w:hAnsi="宋体"/>
                <w:b/>
                <w:color w:val="auto"/>
                <w:highlight w:val="none"/>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highlight w:val="none"/>
              </w:rPr>
            </w:pPr>
            <w:r>
              <w:rPr>
                <w:rFonts w:ascii="宋体" w:hAnsi="宋体"/>
                <w:color w:val="auto"/>
                <w:highlight w:val="none"/>
              </w:rPr>
              <w:t>1</w:t>
            </w:r>
          </w:p>
        </w:tc>
        <w:tc>
          <w:tcPr>
            <w:tcW w:w="2988" w:type="pct"/>
            <w:vAlign w:val="center"/>
          </w:tcPr>
          <w:p w14:paraId="7E4B78F5">
            <w:pPr>
              <w:spacing w:line="240" w:lineRule="exact"/>
              <w:rPr>
                <w:rFonts w:ascii="宋体" w:hAnsi="宋体"/>
                <w:color w:val="auto"/>
                <w:highlight w:val="none"/>
              </w:rPr>
            </w:pPr>
            <w:r>
              <w:rPr>
                <w:rFonts w:ascii="宋体" w:hAnsi="宋体"/>
                <w:color w:val="auto"/>
                <w:highlight w:val="none"/>
              </w:rPr>
              <w:t>车辆入口和出口应分开设置</w:t>
            </w:r>
            <w:r>
              <w:rPr>
                <w:rFonts w:hint="eastAsia" w:ascii="宋体" w:hAnsi="宋体"/>
                <w:color w:val="auto"/>
                <w:highlight w:val="none"/>
                <w:lang w:eastAsia="zh-CN"/>
              </w:rPr>
              <w:t>。</w:t>
            </w:r>
          </w:p>
        </w:tc>
        <w:tc>
          <w:tcPr>
            <w:tcW w:w="439" w:type="pct"/>
            <w:vAlign w:val="center"/>
          </w:tcPr>
          <w:p w14:paraId="72D32E00">
            <w:pPr>
              <w:spacing w:line="240" w:lineRule="exact"/>
              <w:rPr>
                <w:rFonts w:ascii="宋体" w:hAnsi="宋体"/>
                <w:color w:val="auto"/>
                <w:highlight w:val="none"/>
              </w:rPr>
            </w:pPr>
            <w:r>
              <w:rPr>
                <w:rFonts w:ascii="宋体" w:hAnsi="宋体" w:cs="Times New Roman"/>
                <w:color w:val="auto"/>
                <w:highlight w:val="none"/>
              </w:rPr>
              <w:t>5</w:t>
            </w:r>
            <w:r>
              <w:rPr>
                <w:rFonts w:ascii="宋体" w:hAnsi="宋体"/>
                <w:color w:val="auto"/>
                <w:highlight w:val="none"/>
              </w:rPr>
              <w:t>.0.1</w:t>
            </w:r>
          </w:p>
        </w:tc>
        <w:tc>
          <w:tcPr>
            <w:tcW w:w="1125" w:type="pct"/>
            <w:vAlign w:val="center"/>
          </w:tcPr>
          <w:p w14:paraId="4799CB60">
            <w:pPr>
              <w:spacing w:line="240" w:lineRule="exact"/>
              <w:rPr>
                <w:rFonts w:ascii="宋体" w:hAnsi="宋体"/>
                <w:color w:val="auto"/>
                <w:highlight w:val="none"/>
              </w:rPr>
            </w:pPr>
            <w:r>
              <w:rPr>
                <w:rFonts w:ascii="宋体" w:hAnsi="宋体"/>
                <w:color w:val="auto"/>
                <w:highlight w:val="none"/>
              </w:rPr>
              <w:t>分开设置</w:t>
            </w:r>
          </w:p>
        </w:tc>
        <w:tc>
          <w:tcPr>
            <w:tcW w:w="223" w:type="pct"/>
            <w:vAlign w:val="center"/>
          </w:tcPr>
          <w:p w14:paraId="201840CE">
            <w:pPr>
              <w:spacing w:line="240" w:lineRule="exact"/>
              <w:jc w:val="center"/>
              <w:rPr>
                <w:rFonts w:ascii="宋体" w:hAnsi="宋体"/>
                <w:color w:val="auto"/>
                <w:highlight w:val="none"/>
              </w:rPr>
            </w:pPr>
            <w:r>
              <w:rPr>
                <w:rFonts w:hint="eastAsia" w:ascii="宋体" w:hAnsi="宋体"/>
                <w:color w:val="auto"/>
                <w:highlight w:val="none"/>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highlight w:val="none"/>
              </w:rPr>
            </w:pPr>
            <w:r>
              <w:rPr>
                <w:rFonts w:ascii="宋体" w:hAnsi="宋体"/>
                <w:color w:val="auto"/>
                <w:highlight w:val="none"/>
              </w:rPr>
              <w:t>2</w:t>
            </w:r>
          </w:p>
        </w:tc>
        <w:tc>
          <w:tcPr>
            <w:tcW w:w="2988" w:type="pct"/>
            <w:vAlign w:val="center"/>
          </w:tcPr>
          <w:p w14:paraId="5629E6EC">
            <w:pPr>
              <w:spacing w:line="240" w:lineRule="exact"/>
              <w:rPr>
                <w:rFonts w:ascii="宋体" w:hAnsi="宋体"/>
                <w:color w:val="auto"/>
                <w:highlight w:val="none"/>
              </w:rPr>
            </w:pPr>
            <w:r>
              <w:rPr>
                <w:rFonts w:ascii="宋体" w:hAnsi="宋体"/>
                <w:color w:val="auto"/>
                <w:highlight w:val="none"/>
              </w:rPr>
              <w:t>站内车道或停车位宽度应按车辆类型确定。CNG加气母站内单车道或单车停车位宽度不应</w:t>
            </w:r>
            <w:r>
              <w:rPr>
                <w:rFonts w:hint="eastAsia" w:ascii="宋体" w:hAnsi="宋体"/>
                <w:color w:val="auto"/>
                <w:highlight w:val="none"/>
                <w:lang w:eastAsia="zh-CN"/>
              </w:rPr>
              <w:t>小于</w:t>
            </w:r>
            <w:r>
              <w:rPr>
                <w:rFonts w:ascii="宋体" w:hAnsi="宋体"/>
                <w:color w:val="auto"/>
                <w:highlight w:val="none"/>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highlight w:val="none"/>
              </w:rPr>
            </w:pPr>
            <w:r>
              <w:rPr>
                <w:rFonts w:ascii="宋体" w:hAnsi="宋体"/>
                <w:color w:val="auto"/>
                <w:highlight w:val="none"/>
              </w:rPr>
              <w:t>5.0.2</w:t>
            </w:r>
          </w:p>
        </w:tc>
        <w:tc>
          <w:tcPr>
            <w:tcW w:w="1125" w:type="pct"/>
            <w:vAlign w:val="center"/>
          </w:tcPr>
          <w:p w14:paraId="1B5C429E">
            <w:pPr>
              <w:spacing w:line="240" w:lineRule="exact"/>
              <w:rPr>
                <w:rFonts w:ascii="宋体" w:hAnsi="宋体"/>
                <w:color w:val="auto"/>
                <w:highlight w:val="none"/>
              </w:rPr>
            </w:pPr>
            <w:r>
              <w:rPr>
                <w:rFonts w:ascii="宋体" w:hAnsi="宋体"/>
                <w:color w:val="auto"/>
                <w:highlight w:val="none"/>
              </w:rPr>
              <w:t>单车道宽度</w:t>
            </w:r>
            <w:r>
              <w:rPr>
                <w:rFonts w:hint="eastAsia" w:ascii="宋体" w:hAnsi="宋体"/>
                <w:color w:val="auto"/>
                <w:highlight w:val="none"/>
                <w:lang w:val="en-US" w:eastAsia="zh-CN"/>
              </w:rPr>
              <w:t>8.5</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双车道或双车停车位宽度</w:t>
            </w:r>
            <w:r>
              <w:rPr>
                <w:rFonts w:hint="eastAsia" w:ascii="宋体" w:hAnsi="宋体"/>
                <w:color w:val="auto"/>
                <w:highlight w:val="none"/>
                <w:lang w:val="en-US" w:eastAsia="zh-CN"/>
              </w:rPr>
              <w:t>10</w:t>
            </w:r>
            <w:r>
              <w:rPr>
                <w:rFonts w:ascii="宋体" w:hAnsi="宋体"/>
                <w:color w:val="auto"/>
                <w:highlight w:val="none"/>
              </w:rPr>
              <w:t>m</w:t>
            </w:r>
          </w:p>
        </w:tc>
        <w:tc>
          <w:tcPr>
            <w:tcW w:w="223" w:type="pct"/>
            <w:vAlign w:val="center"/>
          </w:tcPr>
          <w:p w14:paraId="1F290A09">
            <w:pPr>
              <w:spacing w:line="240" w:lineRule="exact"/>
              <w:jc w:val="center"/>
              <w:rPr>
                <w:rFonts w:ascii="宋体" w:hAnsi="宋体"/>
                <w:color w:val="auto"/>
                <w:highlight w:val="none"/>
              </w:rPr>
            </w:pPr>
            <w:r>
              <w:rPr>
                <w:rFonts w:hint="eastAsia" w:ascii="宋体" w:hAnsi="宋体"/>
                <w:color w:val="auto"/>
                <w:highlight w:val="none"/>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highlight w:val="none"/>
              </w:rPr>
            </w:pPr>
            <w:r>
              <w:rPr>
                <w:rFonts w:ascii="宋体" w:hAnsi="宋体"/>
                <w:color w:val="auto"/>
                <w:highlight w:val="none"/>
              </w:rPr>
              <w:t>3</w:t>
            </w:r>
          </w:p>
        </w:tc>
        <w:tc>
          <w:tcPr>
            <w:tcW w:w="2988" w:type="pct"/>
            <w:vAlign w:val="center"/>
          </w:tcPr>
          <w:p w14:paraId="02A827D7">
            <w:pPr>
              <w:spacing w:line="240" w:lineRule="exact"/>
              <w:rPr>
                <w:rFonts w:ascii="宋体" w:hAnsi="宋体"/>
                <w:color w:val="auto"/>
                <w:highlight w:val="none"/>
              </w:rPr>
            </w:pPr>
            <w:r>
              <w:rPr>
                <w:rFonts w:ascii="宋体" w:hAnsi="宋体"/>
                <w:color w:val="auto"/>
                <w:highlight w:val="none"/>
              </w:rPr>
              <w:t>站内的道路转弯</w:t>
            </w:r>
            <w:r>
              <w:rPr>
                <w:rFonts w:hint="eastAsia" w:ascii="宋体" w:hAnsi="宋体"/>
                <w:color w:val="auto"/>
                <w:highlight w:val="none"/>
              </w:rPr>
              <w:t>半</w:t>
            </w:r>
            <w:r>
              <w:rPr>
                <w:rFonts w:ascii="宋体" w:hAnsi="宋体"/>
                <w:color w:val="auto"/>
                <w:highlight w:val="none"/>
              </w:rPr>
              <w:t>径应按行驶车型确定</w:t>
            </w:r>
            <w:r>
              <w:rPr>
                <w:rFonts w:hint="eastAsia" w:ascii="宋体" w:hAnsi="宋体"/>
                <w:color w:val="auto"/>
                <w:highlight w:val="none"/>
              </w:rPr>
              <w:t>，</w:t>
            </w:r>
            <w:r>
              <w:rPr>
                <w:rFonts w:ascii="宋体" w:hAnsi="宋体"/>
                <w:color w:val="auto"/>
                <w:highlight w:val="none"/>
              </w:rPr>
              <w:t>且不宜小于9m。</w:t>
            </w:r>
          </w:p>
        </w:tc>
        <w:tc>
          <w:tcPr>
            <w:tcW w:w="439" w:type="pct"/>
            <w:vMerge w:val="continue"/>
            <w:vAlign w:val="center"/>
          </w:tcPr>
          <w:p w14:paraId="070B1489">
            <w:pPr>
              <w:spacing w:line="240" w:lineRule="exact"/>
              <w:rPr>
                <w:rFonts w:ascii="宋体" w:hAnsi="宋体"/>
                <w:color w:val="auto"/>
                <w:highlight w:val="none"/>
              </w:rPr>
            </w:pPr>
          </w:p>
        </w:tc>
        <w:tc>
          <w:tcPr>
            <w:tcW w:w="1125" w:type="pct"/>
            <w:vAlign w:val="center"/>
          </w:tcPr>
          <w:p w14:paraId="667879F4">
            <w:pPr>
              <w:spacing w:line="240" w:lineRule="exact"/>
              <w:rPr>
                <w:rFonts w:ascii="宋体" w:hAnsi="宋体"/>
                <w:color w:val="auto"/>
                <w:highlight w:val="none"/>
              </w:rPr>
            </w:pPr>
            <w:r>
              <w:rPr>
                <w:rFonts w:ascii="宋体" w:hAnsi="宋体"/>
                <w:color w:val="auto"/>
                <w:highlight w:val="none"/>
              </w:rPr>
              <w:t>不小于9m</w:t>
            </w:r>
          </w:p>
        </w:tc>
        <w:tc>
          <w:tcPr>
            <w:tcW w:w="223" w:type="pct"/>
            <w:vAlign w:val="center"/>
          </w:tcPr>
          <w:p w14:paraId="5CD9FF0B">
            <w:pPr>
              <w:spacing w:line="240" w:lineRule="exact"/>
              <w:jc w:val="center"/>
              <w:rPr>
                <w:rFonts w:ascii="宋体" w:hAnsi="宋体"/>
                <w:color w:val="auto"/>
                <w:highlight w:val="none"/>
              </w:rPr>
            </w:pPr>
            <w:r>
              <w:rPr>
                <w:rFonts w:hint="eastAsia" w:ascii="宋体" w:hAnsi="宋体"/>
                <w:color w:val="auto"/>
                <w:highlight w:val="none"/>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highlight w:val="none"/>
              </w:rPr>
            </w:pPr>
            <w:r>
              <w:rPr>
                <w:rFonts w:ascii="宋体" w:hAnsi="宋体"/>
                <w:color w:val="auto"/>
                <w:highlight w:val="none"/>
              </w:rPr>
              <w:t>4</w:t>
            </w:r>
          </w:p>
        </w:tc>
        <w:tc>
          <w:tcPr>
            <w:tcW w:w="2988" w:type="pct"/>
            <w:vAlign w:val="center"/>
          </w:tcPr>
          <w:p w14:paraId="79C54CA8">
            <w:pPr>
              <w:spacing w:line="240" w:lineRule="exact"/>
              <w:rPr>
                <w:rFonts w:ascii="宋体" w:hAnsi="宋体"/>
                <w:color w:val="auto"/>
                <w:highlight w:val="none"/>
              </w:rPr>
            </w:pPr>
            <w:r>
              <w:rPr>
                <w:rFonts w:ascii="宋体" w:hAnsi="宋体"/>
                <w:color w:val="auto"/>
                <w:highlight w:val="none"/>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highlight w:val="none"/>
              </w:rPr>
            </w:pPr>
          </w:p>
        </w:tc>
        <w:tc>
          <w:tcPr>
            <w:tcW w:w="1125" w:type="pct"/>
            <w:vAlign w:val="center"/>
          </w:tcPr>
          <w:p w14:paraId="57DDFC8E">
            <w:pPr>
              <w:spacing w:line="240" w:lineRule="exact"/>
              <w:rPr>
                <w:rFonts w:ascii="宋体" w:hAnsi="宋体"/>
                <w:color w:val="auto"/>
                <w:highlight w:val="none"/>
              </w:rPr>
            </w:pPr>
            <w:r>
              <w:rPr>
                <w:rFonts w:ascii="宋体" w:hAnsi="宋体"/>
                <w:color w:val="auto"/>
                <w:highlight w:val="none"/>
              </w:rPr>
              <w:t>站内停车位为平坡，道路坡度不大于8%</w:t>
            </w:r>
          </w:p>
        </w:tc>
        <w:tc>
          <w:tcPr>
            <w:tcW w:w="223" w:type="pct"/>
            <w:vAlign w:val="center"/>
          </w:tcPr>
          <w:p w14:paraId="42711302">
            <w:pPr>
              <w:spacing w:line="240" w:lineRule="exact"/>
              <w:jc w:val="center"/>
              <w:rPr>
                <w:rFonts w:ascii="宋体" w:hAnsi="宋体"/>
                <w:color w:val="auto"/>
                <w:highlight w:val="none"/>
              </w:rPr>
            </w:pPr>
            <w:r>
              <w:rPr>
                <w:rFonts w:hint="eastAsia" w:ascii="宋体" w:hAnsi="宋体"/>
                <w:color w:val="auto"/>
                <w:highlight w:val="none"/>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highlight w:val="none"/>
              </w:rPr>
            </w:pPr>
            <w:r>
              <w:rPr>
                <w:rFonts w:ascii="宋体" w:hAnsi="宋体"/>
                <w:color w:val="auto"/>
                <w:highlight w:val="none"/>
              </w:rPr>
              <w:t>5</w:t>
            </w:r>
          </w:p>
        </w:tc>
        <w:tc>
          <w:tcPr>
            <w:tcW w:w="2988" w:type="pct"/>
            <w:vAlign w:val="center"/>
          </w:tcPr>
          <w:p w14:paraId="47C32DFE">
            <w:pPr>
              <w:spacing w:line="240" w:lineRule="exact"/>
              <w:rPr>
                <w:rFonts w:ascii="宋体" w:hAnsi="宋体"/>
                <w:color w:val="auto"/>
                <w:highlight w:val="none"/>
              </w:rPr>
            </w:pPr>
            <w:r>
              <w:rPr>
                <w:rFonts w:ascii="宋体" w:hAnsi="宋体"/>
                <w:color w:val="auto"/>
                <w:highlight w:val="none"/>
              </w:rPr>
              <w:t>作业区内的停车</w:t>
            </w:r>
            <w:r>
              <w:rPr>
                <w:rFonts w:hint="eastAsia" w:ascii="宋体" w:hAnsi="宋体"/>
                <w:color w:val="auto"/>
                <w:highlight w:val="none"/>
              </w:rPr>
              <w:t>场</w:t>
            </w:r>
            <w:r>
              <w:rPr>
                <w:rFonts w:ascii="宋体" w:hAnsi="宋体"/>
                <w:color w:val="auto"/>
                <w:highlight w:val="none"/>
              </w:rPr>
              <w:t>和道路路面不应采用沥青路面。</w:t>
            </w:r>
          </w:p>
        </w:tc>
        <w:tc>
          <w:tcPr>
            <w:tcW w:w="439" w:type="pct"/>
            <w:vMerge w:val="continue"/>
            <w:vAlign w:val="center"/>
          </w:tcPr>
          <w:p w14:paraId="1D1FE3A7">
            <w:pPr>
              <w:spacing w:line="240" w:lineRule="exact"/>
              <w:rPr>
                <w:rFonts w:ascii="宋体" w:hAnsi="宋体"/>
                <w:color w:val="auto"/>
                <w:highlight w:val="none"/>
              </w:rPr>
            </w:pPr>
          </w:p>
        </w:tc>
        <w:tc>
          <w:tcPr>
            <w:tcW w:w="1125" w:type="pct"/>
            <w:vAlign w:val="center"/>
          </w:tcPr>
          <w:p w14:paraId="316B0359">
            <w:pPr>
              <w:spacing w:line="240" w:lineRule="exact"/>
              <w:rPr>
                <w:rFonts w:ascii="宋体" w:hAnsi="宋体"/>
                <w:color w:val="auto"/>
                <w:highlight w:val="none"/>
              </w:rPr>
            </w:pPr>
            <w:r>
              <w:rPr>
                <w:rFonts w:ascii="宋体" w:hAnsi="宋体"/>
                <w:color w:val="auto"/>
                <w:highlight w:val="none"/>
              </w:rPr>
              <w:t>混凝土路面</w:t>
            </w:r>
          </w:p>
        </w:tc>
        <w:tc>
          <w:tcPr>
            <w:tcW w:w="223" w:type="pct"/>
            <w:vAlign w:val="center"/>
          </w:tcPr>
          <w:p w14:paraId="2F99538A">
            <w:pPr>
              <w:spacing w:line="240" w:lineRule="exact"/>
              <w:jc w:val="center"/>
              <w:rPr>
                <w:rFonts w:ascii="宋体" w:hAnsi="宋体"/>
                <w:color w:val="auto"/>
                <w:highlight w:val="none"/>
              </w:rPr>
            </w:pPr>
            <w:r>
              <w:rPr>
                <w:rFonts w:hint="eastAsia" w:ascii="宋体" w:hAnsi="宋体"/>
                <w:color w:val="auto"/>
                <w:highlight w:val="none"/>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highlight w:val="none"/>
              </w:rPr>
            </w:pPr>
            <w:r>
              <w:rPr>
                <w:rFonts w:hint="eastAsia" w:ascii="宋体" w:hAnsi="宋体"/>
                <w:color w:val="auto"/>
                <w:highlight w:val="none"/>
              </w:rPr>
              <w:t>6</w:t>
            </w:r>
          </w:p>
        </w:tc>
        <w:tc>
          <w:tcPr>
            <w:tcW w:w="2988" w:type="pct"/>
            <w:vAlign w:val="center"/>
          </w:tcPr>
          <w:p w14:paraId="5766B428">
            <w:pPr>
              <w:spacing w:line="240" w:lineRule="exact"/>
              <w:rPr>
                <w:rFonts w:ascii="宋体" w:hAnsi="宋体"/>
                <w:color w:val="auto"/>
                <w:highlight w:val="none"/>
              </w:rPr>
            </w:pPr>
            <w:r>
              <w:rPr>
                <w:rFonts w:ascii="宋体" w:hAnsi="宋体"/>
                <w:color w:val="auto"/>
                <w:highlight w:val="none"/>
              </w:rPr>
              <w:t>作业区与辅助服务区之间应有界线标识。</w:t>
            </w:r>
          </w:p>
        </w:tc>
        <w:tc>
          <w:tcPr>
            <w:tcW w:w="439" w:type="pct"/>
            <w:vAlign w:val="center"/>
          </w:tcPr>
          <w:p w14:paraId="2385A189">
            <w:pPr>
              <w:spacing w:line="240" w:lineRule="exact"/>
              <w:rPr>
                <w:rFonts w:ascii="宋体" w:hAnsi="宋体"/>
                <w:color w:val="auto"/>
                <w:highlight w:val="none"/>
              </w:rPr>
            </w:pPr>
            <w:r>
              <w:rPr>
                <w:rFonts w:hint="eastAsia" w:ascii="宋体" w:hAnsi="宋体"/>
                <w:color w:val="auto"/>
                <w:highlight w:val="none"/>
              </w:rPr>
              <w:t>5.0.3</w:t>
            </w:r>
          </w:p>
        </w:tc>
        <w:tc>
          <w:tcPr>
            <w:tcW w:w="1125" w:type="pct"/>
            <w:vAlign w:val="center"/>
          </w:tcPr>
          <w:p w14:paraId="553FEC0F">
            <w:pPr>
              <w:spacing w:line="240" w:lineRule="exact"/>
              <w:rPr>
                <w:rFonts w:ascii="宋体" w:hAnsi="宋体"/>
                <w:color w:val="auto"/>
                <w:highlight w:val="none"/>
              </w:rPr>
            </w:pPr>
            <w:r>
              <w:rPr>
                <w:rFonts w:hint="eastAsia" w:ascii="宋体" w:hAnsi="宋体"/>
                <w:color w:val="auto"/>
                <w:highlight w:val="none"/>
              </w:rPr>
              <w:t>作业区与辅助服务区之间有界线标识</w:t>
            </w:r>
          </w:p>
        </w:tc>
        <w:tc>
          <w:tcPr>
            <w:tcW w:w="223" w:type="pct"/>
            <w:vAlign w:val="center"/>
          </w:tcPr>
          <w:p w14:paraId="178EEB13">
            <w:pPr>
              <w:spacing w:line="240" w:lineRule="exact"/>
              <w:jc w:val="center"/>
              <w:rPr>
                <w:rFonts w:ascii="宋体" w:hAnsi="宋体"/>
                <w:color w:val="auto"/>
                <w:highlight w:val="none"/>
              </w:rPr>
            </w:pPr>
            <w:r>
              <w:rPr>
                <w:rFonts w:hint="eastAsia" w:ascii="宋体" w:hAnsi="宋体"/>
                <w:color w:val="auto"/>
                <w:highlight w:val="none"/>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highlight w:val="none"/>
              </w:rPr>
            </w:pPr>
            <w:r>
              <w:rPr>
                <w:rFonts w:hint="eastAsia" w:ascii="宋体" w:hAnsi="宋体"/>
                <w:color w:val="auto"/>
                <w:highlight w:val="none"/>
              </w:rPr>
              <w:t>7</w:t>
            </w:r>
          </w:p>
        </w:tc>
        <w:tc>
          <w:tcPr>
            <w:tcW w:w="2988" w:type="pct"/>
          </w:tcPr>
          <w:p w14:paraId="58C85DB1">
            <w:pPr>
              <w:spacing w:line="240" w:lineRule="exact"/>
              <w:rPr>
                <w:rFonts w:ascii="宋体" w:hAnsi="宋体"/>
                <w:color w:val="auto"/>
                <w:highlight w:val="none"/>
              </w:rPr>
            </w:pPr>
            <w:r>
              <w:rPr>
                <w:rFonts w:ascii="宋体" w:hAnsi="宋体"/>
                <w:color w:val="auto"/>
                <w:highlight w:val="none"/>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4</w:t>
            </w:r>
          </w:p>
        </w:tc>
        <w:tc>
          <w:tcPr>
            <w:tcW w:w="1125" w:type="pct"/>
            <w:vAlign w:val="center"/>
          </w:tcPr>
          <w:p w14:paraId="7F48BA5C">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EAE3237">
            <w:pPr>
              <w:spacing w:line="240" w:lineRule="exact"/>
              <w:rPr>
                <w:rFonts w:ascii="宋体" w:hAnsi="宋体"/>
                <w:color w:val="auto"/>
                <w:highlight w:val="none"/>
              </w:rPr>
            </w:pPr>
            <w:r>
              <w:rPr>
                <w:rFonts w:hint="eastAsia" w:ascii="宋体" w:hAnsi="宋体"/>
                <w:color w:val="auto"/>
                <w:highlight w:val="none"/>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highlight w:val="none"/>
              </w:rPr>
            </w:pPr>
            <w:r>
              <w:rPr>
                <w:rFonts w:hint="eastAsia" w:ascii="宋体" w:hAnsi="宋体"/>
                <w:color w:val="auto"/>
                <w:highlight w:val="none"/>
              </w:rPr>
              <w:t>8</w:t>
            </w:r>
          </w:p>
        </w:tc>
        <w:tc>
          <w:tcPr>
            <w:tcW w:w="2988" w:type="pct"/>
          </w:tcPr>
          <w:p w14:paraId="79E94457">
            <w:pPr>
              <w:spacing w:line="240" w:lineRule="exact"/>
              <w:rPr>
                <w:rFonts w:ascii="宋体" w:hAnsi="宋体"/>
                <w:color w:val="auto"/>
                <w:highlight w:val="none"/>
              </w:rPr>
            </w:pPr>
            <w:r>
              <w:rPr>
                <w:rFonts w:ascii="宋体" w:hAnsi="宋体"/>
                <w:color w:val="auto"/>
                <w:highlight w:val="none"/>
              </w:rPr>
              <w:t>加油加气加氢站作业区内，不得有“明火地点”或“散发火花地点”。</w:t>
            </w:r>
          </w:p>
        </w:tc>
        <w:tc>
          <w:tcPr>
            <w:tcW w:w="439" w:type="pct"/>
            <w:vAlign w:val="center"/>
          </w:tcPr>
          <w:p w14:paraId="5FE7F40B">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5</w:t>
            </w:r>
          </w:p>
        </w:tc>
        <w:tc>
          <w:tcPr>
            <w:tcW w:w="1125" w:type="pct"/>
            <w:vAlign w:val="center"/>
          </w:tcPr>
          <w:p w14:paraId="53B75B5F">
            <w:pPr>
              <w:spacing w:line="240" w:lineRule="exact"/>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“明火地点”或“散发火花地点”</w:t>
            </w:r>
          </w:p>
        </w:tc>
        <w:tc>
          <w:tcPr>
            <w:tcW w:w="223" w:type="pct"/>
            <w:vAlign w:val="center"/>
          </w:tcPr>
          <w:p w14:paraId="58C2CA71">
            <w:pPr>
              <w:spacing w:line="240" w:lineRule="exact"/>
              <w:jc w:val="center"/>
              <w:rPr>
                <w:rFonts w:ascii="宋体" w:hAnsi="宋体"/>
                <w:color w:val="auto"/>
                <w:highlight w:val="none"/>
              </w:rPr>
            </w:pPr>
            <w:r>
              <w:rPr>
                <w:rFonts w:hint="eastAsia" w:ascii="宋体" w:hAnsi="宋体"/>
                <w:color w:val="auto"/>
                <w:highlight w:val="none"/>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highlight w:val="none"/>
              </w:rPr>
            </w:pPr>
            <w:r>
              <w:rPr>
                <w:rFonts w:hint="eastAsia" w:ascii="宋体" w:hAnsi="宋体"/>
                <w:color w:val="auto"/>
                <w:highlight w:val="none"/>
              </w:rPr>
              <w:t>9</w:t>
            </w:r>
          </w:p>
        </w:tc>
        <w:tc>
          <w:tcPr>
            <w:tcW w:w="2988" w:type="pct"/>
          </w:tcPr>
          <w:p w14:paraId="6A4A8A15">
            <w:pPr>
              <w:spacing w:line="240" w:lineRule="exact"/>
              <w:rPr>
                <w:rFonts w:ascii="宋体" w:hAnsi="宋体"/>
                <w:color w:val="auto"/>
                <w:highlight w:val="none"/>
              </w:rPr>
            </w:pPr>
            <w:r>
              <w:rPr>
                <w:rFonts w:ascii="宋体" w:hAnsi="宋体"/>
                <w:color w:val="auto"/>
                <w:highlight w:val="none"/>
              </w:rPr>
              <w:t>柴油尾气处理液加注设施的布置应符合下列规定：</w:t>
            </w:r>
          </w:p>
          <w:p w14:paraId="4DA6932B">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不符合防爆要求的设备应布置在爆炸危险区域之外，且与爆炸危险区域边界线的距离不应小于3m；</w:t>
            </w:r>
          </w:p>
          <w:p w14:paraId="030E5E18">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符合防爆要求的设备，在进行平面布置时可按柴油加油机对待；</w:t>
            </w:r>
          </w:p>
          <w:p w14:paraId="00DB9C5F">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当柴油尾气处理液的储液箱（罐）或橇装设备布置在加油岛上时，容量不得超过1.2</w:t>
            </w:r>
            <w:r>
              <w:rPr>
                <w:rFonts w:hint="eastAsia" w:ascii="宋体" w:hAnsi="宋体"/>
                <w:color w:val="auto"/>
                <w:highlight w:val="none"/>
              </w:rPr>
              <w:t>m³</w:t>
            </w:r>
            <w:r>
              <w:rPr>
                <w:rFonts w:ascii="宋体" w:hAnsi="宋体"/>
                <w:color w:val="auto"/>
                <w:highlight w:val="none"/>
              </w:rPr>
              <w:t>，且储液箱（罐）或橇装设备应在岛的两侧边缘100mm和岛端1.2m以内布置。</w:t>
            </w:r>
          </w:p>
        </w:tc>
        <w:tc>
          <w:tcPr>
            <w:tcW w:w="439" w:type="pct"/>
            <w:vAlign w:val="center"/>
          </w:tcPr>
          <w:p w14:paraId="3FC6E4DC">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6</w:t>
            </w:r>
          </w:p>
        </w:tc>
        <w:tc>
          <w:tcPr>
            <w:tcW w:w="1125" w:type="pct"/>
            <w:vAlign w:val="center"/>
          </w:tcPr>
          <w:p w14:paraId="5C3B7BF3">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5FD1B1C">
            <w:pPr>
              <w:spacing w:line="240" w:lineRule="exact"/>
              <w:rPr>
                <w:rFonts w:ascii="宋体" w:hAnsi="宋体"/>
                <w:color w:val="auto"/>
                <w:highlight w:val="none"/>
              </w:rPr>
            </w:pPr>
            <w:r>
              <w:rPr>
                <w:rFonts w:hint="eastAsia" w:ascii="宋体" w:hAnsi="宋体"/>
                <w:color w:val="auto"/>
                <w:highlight w:val="none"/>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highlight w:val="none"/>
              </w:rPr>
            </w:pPr>
            <w:r>
              <w:rPr>
                <w:rFonts w:hint="eastAsia" w:ascii="宋体" w:hAnsi="宋体"/>
                <w:color w:val="auto"/>
                <w:highlight w:val="none"/>
              </w:rPr>
              <w:t>10</w:t>
            </w:r>
          </w:p>
        </w:tc>
        <w:tc>
          <w:tcPr>
            <w:tcW w:w="2988" w:type="pct"/>
            <w:vAlign w:val="center"/>
          </w:tcPr>
          <w:p w14:paraId="7EF742F9">
            <w:pPr>
              <w:spacing w:line="240" w:lineRule="exact"/>
              <w:rPr>
                <w:rFonts w:ascii="宋体" w:hAnsi="宋体"/>
                <w:color w:val="auto"/>
                <w:highlight w:val="none"/>
              </w:rPr>
            </w:pPr>
            <w:r>
              <w:rPr>
                <w:rFonts w:ascii="宋体" w:hAnsi="宋体"/>
                <w:color w:val="auto"/>
                <w:highlight w:val="none"/>
              </w:rPr>
              <w:t>电动汽车充电设施应布置在辅助服务区内</w:t>
            </w:r>
          </w:p>
        </w:tc>
        <w:tc>
          <w:tcPr>
            <w:tcW w:w="439" w:type="pct"/>
            <w:vAlign w:val="center"/>
          </w:tcPr>
          <w:p w14:paraId="40669D57">
            <w:pPr>
              <w:spacing w:line="240" w:lineRule="exact"/>
              <w:rPr>
                <w:rFonts w:ascii="宋体" w:hAnsi="宋体"/>
                <w:color w:val="auto"/>
                <w:highlight w:val="none"/>
              </w:rPr>
            </w:pPr>
            <w:r>
              <w:rPr>
                <w:rFonts w:hint="eastAsia" w:ascii="宋体" w:hAnsi="宋体"/>
                <w:color w:val="auto"/>
                <w:highlight w:val="none"/>
              </w:rPr>
              <w:t>5.0.7</w:t>
            </w:r>
          </w:p>
        </w:tc>
        <w:tc>
          <w:tcPr>
            <w:tcW w:w="1125" w:type="pct"/>
            <w:vAlign w:val="center"/>
          </w:tcPr>
          <w:p w14:paraId="35DA90EB">
            <w:pPr>
              <w:spacing w:line="24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无</w:t>
            </w:r>
            <w:r>
              <w:rPr>
                <w:rFonts w:hint="eastAsia" w:ascii="宋体" w:hAnsi="宋体"/>
                <w:color w:val="auto"/>
                <w:highlight w:val="none"/>
              </w:rPr>
              <w:t>电动汽车充电设施</w:t>
            </w:r>
          </w:p>
        </w:tc>
        <w:tc>
          <w:tcPr>
            <w:tcW w:w="223" w:type="pct"/>
            <w:vAlign w:val="center"/>
          </w:tcPr>
          <w:p w14:paraId="14FC57E7">
            <w:pPr>
              <w:spacing w:line="240" w:lineRule="exact"/>
              <w:rPr>
                <w:rFonts w:ascii="宋体" w:hAnsi="宋体"/>
                <w:color w:val="auto"/>
                <w:highlight w:val="none"/>
              </w:rPr>
            </w:pPr>
            <w:r>
              <w:rPr>
                <w:rFonts w:hint="eastAsia" w:ascii="宋体" w:hAnsi="宋体"/>
                <w:color w:val="auto"/>
                <w:highlight w:val="none"/>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highlight w:val="none"/>
              </w:rPr>
            </w:pPr>
            <w:r>
              <w:rPr>
                <w:rFonts w:hint="eastAsia" w:ascii="宋体" w:hAnsi="宋体"/>
                <w:color w:val="auto"/>
                <w:highlight w:val="none"/>
              </w:rPr>
              <w:t>11</w:t>
            </w:r>
          </w:p>
        </w:tc>
        <w:tc>
          <w:tcPr>
            <w:tcW w:w="2988" w:type="pct"/>
            <w:vAlign w:val="center"/>
          </w:tcPr>
          <w:p w14:paraId="73F418A2">
            <w:pPr>
              <w:spacing w:line="240" w:lineRule="exact"/>
              <w:rPr>
                <w:rFonts w:ascii="宋体" w:hAnsi="宋体"/>
                <w:color w:val="auto"/>
                <w:highlight w:val="none"/>
              </w:rPr>
            </w:pPr>
            <w:r>
              <w:rPr>
                <w:rFonts w:ascii="宋体" w:hAnsi="宋体"/>
                <w:color w:val="auto"/>
                <w:highlight w:val="none"/>
              </w:rPr>
              <w:t>加油加气加氢站的变</w:t>
            </w:r>
            <w:r>
              <w:rPr>
                <w:rFonts w:hint="eastAsia" w:ascii="宋体" w:hAnsi="宋体"/>
                <w:color w:val="auto"/>
                <w:highlight w:val="none"/>
              </w:rPr>
              <w:t>配发电间</w:t>
            </w:r>
            <w:r>
              <w:rPr>
                <w:rFonts w:ascii="宋体" w:hAnsi="宋体"/>
                <w:color w:val="auto"/>
                <w:highlight w:val="none"/>
              </w:rPr>
              <w:t>或室外变压器应布置在作业区之外。变</w:t>
            </w:r>
            <w:r>
              <w:rPr>
                <w:rFonts w:hint="eastAsia" w:ascii="宋体" w:hAnsi="宋体"/>
                <w:color w:val="auto"/>
                <w:highlight w:val="none"/>
              </w:rPr>
              <w:t>配发电间</w:t>
            </w:r>
            <w:r>
              <w:rPr>
                <w:rFonts w:ascii="宋体" w:hAnsi="宋体"/>
                <w:color w:val="auto"/>
                <w:highlight w:val="none"/>
              </w:rPr>
              <w:t>的起算点应为门窗等洞口。</w:t>
            </w:r>
          </w:p>
        </w:tc>
        <w:tc>
          <w:tcPr>
            <w:tcW w:w="439" w:type="pct"/>
            <w:vAlign w:val="center"/>
          </w:tcPr>
          <w:p w14:paraId="1D320CBD">
            <w:pPr>
              <w:spacing w:line="240" w:lineRule="exact"/>
              <w:rPr>
                <w:rFonts w:ascii="宋体" w:hAnsi="宋体"/>
                <w:color w:val="auto"/>
                <w:highlight w:val="none"/>
              </w:rPr>
            </w:pPr>
            <w:r>
              <w:rPr>
                <w:rFonts w:hint="eastAsia" w:ascii="宋体" w:hAnsi="宋体"/>
                <w:color w:val="auto"/>
                <w:highlight w:val="none"/>
              </w:rPr>
              <w:t>5.0.8</w:t>
            </w:r>
          </w:p>
        </w:tc>
        <w:tc>
          <w:tcPr>
            <w:tcW w:w="1125" w:type="pct"/>
            <w:vAlign w:val="center"/>
          </w:tcPr>
          <w:p w14:paraId="5E3F0C7C">
            <w:pPr>
              <w:spacing w:line="240" w:lineRule="exact"/>
              <w:rPr>
                <w:rFonts w:ascii="宋体" w:hAnsi="宋体"/>
                <w:color w:val="auto"/>
                <w:highlight w:val="none"/>
              </w:rPr>
            </w:pPr>
            <w:r>
              <w:rPr>
                <w:rFonts w:hint="eastAsia" w:ascii="宋体" w:hAnsi="宋体"/>
                <w:color w:val="auto"/>
                <w:highlight w:val="none"/>
              </w:rPr>
              <w:t>配电间布置在作业区外</w:t>
            </w:r>
          </w:p>
        </w:tc>
        <w:tc>
          <w:tcPr>
            <w:tcW w:w="223" w:type="pct"/>
            <w:vAlign w:val="center"/>
          </w:tcPr>
          <w:p w14:paraId="2465637E">
            <w:pPr>
              <w:spacing w:line="240" w:lineRule="exact"/>
              <w:jc w:val="center"/>
              <w:rPr>
                <w:rFonts w:ascii="宋体" w:hAnsi="宋体"/>
                <w:color w:val="auto"/>
                <w:highlight w:val="none"/>
              </w:rPr>
            </w:pPr>
            <w:r>
              <w:rPr>
                <w:rFonts w:hint="eastAsia" w:ascii="宋体" w:hAnsi="宋体"/>
                <w:color w:val="auto"/>
                <w:highlight w:val="none"/>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highlight w:val="none"/>
              </w:rPr>
            </w:pPr>
            <w:r>
              <w:rPr>
                <w:rFonts w:hint="eastAsia" w:ascii="宋体" w:hAnsi="宋体"/>
                <w:color w:val="auto"/>
                <w:highlight w:val="none"/>
              </w:rPr>
              <w:t>12</w:t>
            </w:r>
          </w:p>
        </w:tc>
        <w:tc>
          <w:tcPr>
            <w:tcW w:w="2988" w:type="pct"/>
            <w:vAlign w:val="center"/>
          </w:tcPr>
          <w:p w14:paraId="66021A7E">
            <w:pPr>
              <w:spacing w:line="240" w:lineRule="exact"/>
              <w:rPr>
                <w:rFonts w:ascii="宋体" w:hAnsi="宋体"/>
                <w:color w:val="auto"/>
                <w:highlight w:val="none"/>
              </w:rPr>
            </w:pPr>
            <w:r>
              <w:rPr>
                <w:rFonts w:ascii="宋体" w:hAnsi="宋体"/>
                <w:color w:val="auto"/>
                <w:highlight w:val="none"/>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highlight w:val="none"/>
              </w:rPr>
            </w:pPr>
            <w:r>
              <w:rPr>
                <w:rFonts w:hint="eastAsia" w:ascii="宋体" w:hAnsi="宋体"/>
                <w:color w:val="auto"/>
                <w:highlight w:val="none"/>
              </w:rPr>
              <w:t>5.0.9</w:t>
            </w:r>
          </w:p>
        </w:tc>
        <w:tc>
          <w:tcPr>
            <w:tcW w:w="1125" w:type="pct"/>
            <w:vAlign w:val="center"/>
          </w:tcPr>
          <w:p w14:paraId="47C1715F">
            <w:pPr>
              <w:spacing w:line="240" w:lineRule="exact"/>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未</w:t>
            </w:r>
            <w:r>
              <w:rPr>
                <w:rFonts w:ascii="宋体" w:hAnsi="宋体"/>
                <w:color w:val="auto"/>
                <w:highlight w:val="none"/>
              </w:rPr>
              <w:t>布置在爆炸危险区域</w:t>
            </w:r>
          </w:p>
        </w:tc>
        <w:tc>
          <w:tcPr>
            <w:tcW w:w="223" w:type="pct"/>
            <w:vAlign w:val="center"/>
          </w:tcPr>
          <w:p w14:paraId="427D9F3E">
            <w:pPr>
              <w:spacing w:line="240" w:lineRule="exact"/>
              <w:jc w:val="center"/>
              <w:rPr>
                <w:rFonts w:ascii="宋体" w:hAnsi="宋体"/>
                <w:color w:val="auto"/>
                <w:highlight w:val="none"/>
              </w:rPr>
            </w:pPr>
            <w:r>
              <w:rPr>
                <w:rFonts w:hint="eastAsia" w:ascii="宋体" w:hAnsi="宋体"/>
                <w:color w:val="auto"/>
                <w:highlight w:val="none"/>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highlight w:val="none"/>
              </w:rPr>
            </w:pPr>
            <w:r>
              <w:rPr>
                <w:rFonts w:hint="eastAsia" w:ascii="宋体" w:hAnsi="宋体"/>
                <w:color w:val="auto"/>
                <w:highlight w:val="none"/>
              </w:rPr>
              <w:t>13</w:t>
            </w:r>
          </w:p>
        </w:tc>
        <w:tc>
          <w:tcPr>
            <w:tcW w:w="2988" w:type="pct"/>
            <w:vAlign w:val="center"/>
          </w:tcPr>
          <w:p w14:paraId="16ADAE93">
            <w:pPr>
              <w:spacing w:line="240" w:lineRule="exact"/>
              <w:rPr>
                <w:rFonts w:ascii="宋体" w:hAnsi="宋体"/>
                <w:color w:val="auto"/>
                <w:highlight w:val="none"/>
              </w:rPr>
            </w:pPr>
            <w:r>
              <w:rPr>
                <w:rFonts w:ascii="宋体" w:hAnsi="宋体"/>
                <w:color w:val="auto"/>
                <w:spacing w:val="-6"/>
                <w:highlight w:val="none"/>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highlight w:val="none"/>
                <w:lang w:eastAsia="zh-CN"/>
              </w:rPr>
              <w:t>～</w:t>
            </w:r>
            <w:r>
              <w:rPr>
                <w:rFonts w:ascii="宋体" w:hAnsi="宋体"/>
                <w:color w:val="auto"/>
                <w:spacing w:val="-6"/>
                <w:highlight w:val="none"/>
              </w:rPr>
              <w:t>第4.0.8条有关三类保护物的规定。当站内经营性餐饮、汽车服务、司机休息室等设施内设置明火设备时，应等同于“明火地点”或“散发火花地点”</w:t>
            </w:r>
            <w:r>
              <w:rPr>
                <w:rFonts w:ascii="宋体" w:hAnsi="宋体"/>
                <w:color w:val="auto"/>
                <w:highlight w:val="none"/>
              </w:rPr>
              <w:t>。</w:t>
            </w:r>
          </w:p>
        </w:tc>
        <w:tc>
          <w:tcPr>
            <w:tcW w:w="439" w:type="pct"/>
            <w:vAlign w:val="center"/>
          </w:tcPr>
          <w:p w14:paraId="220AF7E1">
            <w:pPr>
              <w:spacing w:line="240" w:lineRule="exact"/>
              <w:rPr>
                <w:rFonts w:ascii="宋体" w:hAnsi="宋体"/>
                <w:color w:val="auto"/>
                <w:highlight w:val="none"/>
              </w:rPr>
            </w:pPr>
            <w:r>
              <w:rPr>
                <w:rFonts w:hint="eastAsia" w:ascii="宋体" w:hAnsi="宋体"/>
                <w:color w:val="auto"/>
                <w:highlight w:val="none"/>
              </w:rPr>
              <w:t>5.0.10</w:t>
            </w:r>
          </w:p>
        </w:tc>
        <w:tc>
          <w:tcPr>
            <w:tcW w:w="1125" w:type="pct"/>
            <w:vAlign w:val="center"/>
          </w:tcPr>
          <w:p w14:paraId="43C3E7AD">
            <w:pPr>
              <w:spacing w:line="240" w:lineRule="exact"/>
              <w:rPr>
                <w:rFonts w:ascii="宋体" w:hAnsi="宋体"/>
                <w:color w:val="auto"/>
                <w:highlight w:val="none"/>
              </w:rPr>
            </w:pPr>
            <w:r>
              <w:rPr>
                <w:rFonts w:hint="eastAsia" w:ascii="宋体" w:hAnsi="宋体"/>
                <w:color w:val="auto"/>
                <w:highlight w:val="none"/>
              </w:rPr>
              <w:t>厕所等不在作业区内，</w:t>
            </w:r>
            <w:r>
              <w:rPr>
                <w:rFonts w:ascii="宋体" w:hAnsi="宋体"/>
                <w:color w:val="auto"/>
                <w:highlight w:val="none"/>
              </w:rPr>
              <w:t>防火间距</w:t>
            </w:r>
            <w:r>
              <w:rPr>
                <w:rFonts w:hint="eastAsia" w:ascii="宋体" w:hAnsi="宋体"/>
                <w:color w:val="auto"/>
                <w:highlight w:val="none"/>
              </w:rPr>
              <w:t>满足要求</w:t>
            </w:r>
          </w:p>
        </w:tc>
        <w:tc>
          <w:tcPr>
            <w:tcW w:w="223" w:type="pct"/>
            <w:vAlign w:val="center"/>
          </w:tcPr>
          <w:p w14:paraId="56DC304D">
            <w:pPr>
              <w:spacing w:line="240" w:lineRule="exact"/>
              <w:jc w:val="center"/>
              <w:rPr>
                <w:rFonts w:ascii="宋体" w:hAnsi="宋体"/>
                <w:color w:val="auto"/>
                <w:highlight w:val="none"/>
              </w:rPr>
            </w:pPr>
            <w:r>
              <w:rPr>
                <w:rFonts w:hint="eastAsia" w:ascii="宋体" w:hAnsi="宋体"/>
                <w:color w:val="auto"/>
                <w:highlight w:val="none"/>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highlight w:val="none"/>
              </w:rPr>
            </w:pPr>
            <w:r>
              <w:rPr>
                <w:rFonts w:hint="eastAsia" w:ascii="宋体" w:hAnsi="宋体"/>
                <w:color w:val="auto"/>
                <w:highlight w:val="none"/>
              </w:rPr>
              <w:t>14</w:t>
            </w:r>
          </w:p>
        </w:tc>
        <w:tc>
          <w:tcPr>
            <w:tcW w:w="2988" w:type="pct"/>
            <w:vAlign w:val="center"/>
          </w:tcPr>
          <w:p w14:paraId="7C8FEC70">
            <w:pPr>
              <w:spacing w:line="240" w:lineRule="exact"/>
              <w:rPr>
                <w:rFonts w:ascii="宋体" w:hAnsi="宋体"/>
                <w:color w:val="auto"/>
                <w:highlight w:val="none"/>
              </w:rPr>
            </w:pPr>
            <w:r>
              <w:rPr>
                <w:rFonts w:ascii="宋体" w:hAnsi="宋体"/>
                <w:color w:val="auto"/>
                <w:highlight w:val="none"/>
              </w:rPr>
              <w:t>汽车加油加气加氢站内的爆炸危险区域，不应超出站区围墙和可用地界线</w:t>
            </w:r>
            <w:r>
              <w:rPr>
                <w:rFonts w:hint="eastAsia" w:ascii="宋体" w:hAnsi="宋体"/>
                <w:color w:val="auto"/>
                <w:highlight w:val="none"/>
              </w:rPr>
              <w:t>。</w:t>
            </w:r>
          </w:p>
        </w:tc>
        <w:tc>
          <w:tcPr>
            <w:tcW w:w="439" w:type="pct"/>
            <w:vAlign w:val="center"/>
          </w:tcPr>
          <w:p w14:paraId="172407C9">
            <w:pPr>
              <w:spacing w:line="240" w:lineRule="exact"/>
              <w:rPr>
                <w:rFonts w:ascii="宋体" w:hAnsi="宋体"/>
                <w:color w:val="auto"/>
                <w:highlight w:val="none"/>
              </w:rPr>
            </w:pPr>
            <w:r>
              <w:rPr>
                <w:rFonts w:hint="eastAsia" w:ascii="宋体" w:hAnsi="宋体"/>
                <w:color w:val="auto"/>
                <w:highlight w:val="none"/>
              </w:rPr>
              <w:t>5.0.11</w:t>
            </w:r>
          </w:p>
        </w:tc>
        <w:tc>
          <w:tcPr>
            <w:tcW w:w="1125" w:type="pct"/>
            <w:vAlign w:val="center"/>
          </w:tcPr>
          <w:p w14:paraId="7086B42D">
            <w:pPr>
              <w:spacing w:line="240" w:lineRule="exact"/>
              <w:rPr>
                <w:rFonts w:ascii="宋体" w:hAnsi="宋体"/>
                <w:color w:val="auto"/>
                <w:highlight w:val="none"/>
              </w:rPr>
            </w:pPr>
            <w:r>
              <w:rPr>
                <w:rFonts w:ascii="宋体" w:hAnsi="宋体"/>
                <w:color w:val="auto"/>
                <w:spacing w:val="-11"/>
                <w:highlight w:val="none"/>
              </w:rPr>
              <w:t>爆炸危险区域</w:t>
            </w:r>
            <w:r>
              <w:rPr>
                <w:rFonts w:hint="eastAsia" w:ascii="宋体" w:hAnsi="宋体"/>
                <w:color w:val="auto"/>
                <w:spacing w:val="-11"/>
                <w:highlight w:val="none"/>
              </w:rPr>
              <w:t>未</w:t>
            </w:r>
            <w:r>
              <w:rPr>
                <w:rFonts w:ascii="宋体" w:hAnsi="宋体"/>
                <w:color w:val="auto"/>
                <w:spacing w:val="-11"/>
                <w:highlight w:val="none"/>
              </w:rPr>
              <w:t>超出站区围墙和可用地界线</w:t>
            </w:r>
          </w:p>
        </w:tc>
        <w:tc>
          <w:tcPr>
            <w:tcW w:w="223" w:type="pct"/>
            <w:vAlign w:val="center"/>
          </w:tcPr>
          <w:p w14:paraId="2BAEDDED">
            <w:pPr>
              <w:spacing w:line="240" w:lineRule="exact"/>
              <w:jc w:val="center"/>
              <w:rPr>
                <w:rFonts w:ascii="宋体" w:hAnsi="宋体"/>
                <w:color w:val="auto"/>
                <w:highlight w:val="none"/>
              </w:rPr>
            </w:pPr>
            <w:r>
              <w:rPr>
                <w:rFonts w:hint="eastAsia" w:ascii="宋体" w:hAnsi="宋体"/>
                <w:color w:val="auto"/>
                <w:highlight w:val="none"/>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highlight w:val="none"/>
              </w:rPr>
            </w:pPr>
            <w:r>
              <w:rPr>
                <w:rFonts w:hint="eastAsia" w:ascii="宋体" w:hAnsi="宋体"/>
                <w:color w:val="auto"/>
                <w:highlight w:val="none"/>
              </w:rPr>
              <w:t>15</w:t>
            </w:r>
          </w:p>
        </w:tc>
        <w:tc>
          <w:tcPr>
            <w:tcW w:w="2988" w:type="pct"/>
            <w:vAlign w:val="center"/>
          </w:tcPr>
          <w:p w14:paraId="426CC00C">
            <w:pPr>
              <w:spacing w:line="240" w:lineRule="exact"/>
              <w:rPr>
                <w:rFonts w:ascii="宋体" w:hAnsi="宋体"/>
                <w:color w:val="auto"/>
                <w:highlight w:val="none"/>
              </w:rPr>
            </w:pPr>
            <w:r>
              <w:rPr>
                <w:rFonts w:ascii="宋体" w:hAnsi="宋体"/>
                <w:color w:val="auto"/>
                <w:highlight w:val="none"/>
              </w:rPr>
              <w:t>汽车加油加气加氢站的工艺设备与站外建（构）筑物之间，</w:t>
            </w:r>
            <w:r>
              <w:rPr>
                <w:rFonts w:ascii="宋体" w:hAnsi="宋体"/>
                <w:bCs/>
                <w:color w:val="auto"/>
                <w:highlight w:val="none"/>
              </w:rPr>
              <w:t>宜</w:t>
            </w:r>
            <w:r>
              <w:rPr>
                <w:rFonts w:ascii="宋体" w:hAnsi="宋体"/>
                <w:color w:val="auto"/>
                <w:highlight w:val="none"/>
              </w:rPr>
              <w:t>设置不燃烧体实体围墙，围墙高度相对于站内和站外地坪均不宜低于2</w:t>
            </w:r>
            <w:r>
              <w:rPr>
                <w:rFonts w:hint="eastAsia" w:ascii="宋体" w:hAnsi="宋体"/>
                <w:color w:val="auto"/>
                <w:highlight w:val="none"/>
              </w:rPr>
              <w:t>.</w:t>
            </w:r>
            <w:r>
              <w:rPr>
                <w:rFonts w:ascii="宋体" w:hAnsi="宋体"/>
                <w:color w:val="auto"/>
                <w:highlight w:val="none"/>
              </w:rPr>
              <w:t>2m。当汽车加油加气加氢站的工艺设备与站外建（构）筑物之间的距离大于本标准表4.0.4</w:t>
            </w:r>
            <w:r>
              <w:rPr>
                <w:rFonts w:hint="eastAsia" w:ascii="宋体" w:hAnsi="宋体"/>
                <w:color w:val="auto"/>
                <w:highlight w:val="none"/>
                <w:lang w:eastAsia="zh-CN"/>
              </w:rPr>
              <w:t>～</w:t>
            </w:r>
            <w:r>
              <w:rPr>
                <w:rFonts w:ascii="宋体" w:hAnsi="宋体"/>
                <w:color w:val="auto"/>
                <w:highlight w:val="none"/>
              </w:rPr>
              <w:t>表4.0.8中安全间距的1.5倍，且大于25m时，可设置非实体围墙。面向车辆入口和出口道路的一侧可设非实体围墙或不设围墙。与站区</w:t>
            </w:r>
            <w:r>
              <w:rPr>
                <w:rFonts w:hint="eastAsia" w:ascii="宋体" w:hAnsi="宋体"/>
                <w:color w:val="auto"/>
                <w:highlight w:val="none"/>
              </w:rPr>
              <w:t>相</w:t>
            </w:r>
            <w:r>
              <w:rPr>
                <w:rFonts w:ascii="宋体" w:hAnsi="宋体"/>
                <w:color w:val="auto"/>
                <w:highlight w:val="none"/>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highlight w:val="none"/>
              </w:rPr>
              <w:t>～</w:t>
            </w:r>
            <w:r>
              <w:rPr>
                <w:rFonts w:ascii="宋体" w:hAnsi="宋体"/>
                <w:color w:val="auto"/>
                <w:highlight w:val="none"/>
              </w:rPr>
              <w:t>表4.0.8的相关规定。</w:t>
            </w:r>
          </w:p>
        </w:tc>
        <w:tc>
          <w:tcPr>
            <w:tcW w:w="439" w:type="pct"/>
            <w:vAlign w:val="center"/>
          </w:tcPr>
          <w:p w14:paraId="779B4E2D">
            <w:pPr>
              <w:spacing w:line="240" w:lineRule="exact"/>
              <w:rPr>
                <w:rFonts w:ascii="宋体" w:hAnsi="宋体"/>
                <w:color w:val="auto"/>
                <w:highlight w:val="none"/>
              </w:rPr>
            </w:pPr>
            <w:r>
              <w:rPr>
                <w:rFonts w:hint="eastAsia" w:ascii="宋体" w:hAnsi="宋体"/>
                <w:color w:val="auto"/>
                <w:highlight w:val="none"/>
              </w:rPr>
              <w:t>5.0.12</w:t>
            </w:r>
          </w:p>
        </w:tc>
        <w:tc>
          <w:tcPr>
            <w:tcW w:w="1125" w:type="pct"/>
            <w:vAlign w:val="center"/>
          </w:tcPr>
          <w:p w14:paraId="541E5C8A">
            <w:pPr>
              <w:spacing w:line="240" w:lineRule="exact"/>
              <w:rPr>
                <w:rFonts w:ascii="宋体" w:hAnsi="宋体"/>
                <w:color w:val="auto"/>
                <w:highlight w:val="none"/>
              </w:rPr>
            </w:pPr>
            <w:r>
              <w:rPr>
                <w:rFonts w:ascii="宋体" w:hAnsi="宋体"/>
                <w:color w:val="auto"/>
                <w:highlight w:val="none"/>
              </w:rPr>
              <w:t>与站外建（构）筑物之间</w:t>
            </w:r>
            <w:r>
              <w:rPr>
                <w:rFonts w:hint="eastAsia" w:ascii="宋体" w:hAnsi="宋体"/>
                <w:color w:val="auto"/>
                <w:highlight w:val="none"/>
              </w:rPr>
              <w:t>建有</w:t>
            </w:r>
            <w:r>
              <w:rPr>
                <w:rFonts w:ascii="宋体" w:hAnsi="宋体"/>
                <w:color w:val="auto"/>
                <w:highlight w:val="none"/>
              </w:rPr>
              <w:t>不燃烧体实体围墙</w:t>
            </w:r>
          </w:p>
        </w:tc>
        <w:tc>
          <w:tcPr>
            <w:tcW w:w="223" w:type="pct"/>
            <w:vAlign w:val="center"/>
          </w:tcPr>
          <w:p w14:paraId="454AF834">
            <w:pPr>
              <w:spacing w:line="240" w:lineRule="exact"/>
              <w:jc w:val="center"/>
              <w:rPr>
                <w:rFonts w:ascii="宋体" w:hAnsi="宋体"/>
                <w:color w:val="auto"/>
                <w:highlight w:val="none"/>
              </w:rPr>
            </w:pPr>
            <w:r>
              <w:rPr>
                <w:rFonts w:hint="eastAsia" w:ascii="宋体" w:hAnsi="宋体"/>
                <w:color w:val="auto"/>
                <w:highlight w:val="none"/>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highlight w:val="none"/>
              </w:rPr>
            </w:pPr>
            <w:r>
              <w:rPr>
                <w:rFonts w:hint="eastAsia" w:ascii="宋体" w:hAnsi="宋体"/>
                <w:color w:val="auto"/>
                <w:highlight w:val="none"/>
              </w:rPr>
              <w:t>16</w:t>
            </w:r>
          </w:p>
        </w:tc>
        <w:tc>
          <w:tcPr>
            <w:tcW w:w="2988" w:type="pct"/>
            <w:vAlign w:val="center"/>
          </w:tcPr>
          <w:p w14:paraId="2C9A59E4">
            <w:pPr>
              <w:spacing w:line="240" w:lineRule="exact"/>
              <w:rPr>
                <w:rFonts w:ascii="宋体" w:hAnsi="宋体"/>
                <w:color w:val="auto"/>
                <w:highlight w:val="none"/>
              </w:rPr>
            </w:pPr>
            <w:r>
              <w:rPr>
                <w:rStyle w:val="28"/>
                <w:rFonts w:ascii="Arial" w:hAnsi="Arial" w:cs="Arial"/>
                <w:color w:val="auto"/>
                <w:highlight w:val="none"/>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highlight w:val="none"/>
              </w:rPr>
            </w:pPr>
            <w:r>
              <w:rPr>
                <w:rFonts w:hint="eastAsia" w:ascii="宋体" w:hAnsi="宋体"/>
                <w:color w:val="auto"/>
                <w:highlight w:val="none"/>
              </w:rPr>
              <w:t>5.0.13</w:t>
            </w:r>
          </w:p>
        </w:tc>
        <w:tc>
          <w:tcPr>
            <w:tcW w:w="1125" w:type="pct"/>
            <w:vAlign w:val="center"/>
          </w:tcPr>
          <w:p w14:paraId="585FA78F">
            <w:pPr>
              <w:spacing w:line="240" w:lineRule="exact"/>
              <w:rPr>
                <w:rFonts w:ascii="宋体" w:hAnsi="宋体"/>
                <w:color w:val="auto"/>
                <w:highlight w:val="none"/>
              </w:rPr>
            </w:pPr>
            <w:r>
              <w:rPr>
                <w:rFonts w:hint="eastAsia" w:ascii="宋体" w:hAnsi="宋体"/>
                <w:color w:val="auto"/>
                <w:highlight w:val="none"/>
              </w:rPr>
              <w:t>详见表5.5-2站内设施之间的防火间距表</w:t>
            </w:r>
          </w:p>
        </w:tc>
        <w:tc>
          <w:tcPr>
            <w:tcW w:w="223" w:type="pct"/>
            <w:vAlign w:val="center"/>
          </w:tcPr>
          <w:p w14:paraId="5BCE2E38">
            <w:pPr>
              <w:spacing w:line="240" w:lineRule="exact"/>
              <w:jc w:val="center"/>
              <w:rPr>
                <w:rFonts w:ascii="宋体" w:hAnsi="宋体"/>
                <w:color w:val="auto"/>
                <w:highlight w:val="none"/>
              </w:rPr>
            </w:pPr>
            <w:r>
              <w:rPr>
                <w:rFonts w:hint="eastAsia" w:ascii="宋体" w:hAnsi="宋体"/>
                <w:color w:val="auto"/>
                <w:highlight w:val="none"/>
              </w:rPr>
              <w:t>符合</w:t>
            </w:r>
          </w:p>
        </w:tc>
      </w:tr>
    </w:tbl>
    <w:p w14:paraId="559BAD67">
      <w:pPr>
        <w:jc w:val="center"/>
        <w:rPr>
          <w:rFonts w:ascii="宋体" w:hAnsi="宋体"/>
          <w:color w:val="auto"/>
          <w:sz w:val="28"/>
          <w:szCs w:val="28"/>
          <w:highlight w:val="none"/>
        </w:rPr>
      </w:pPr>
      <w:r>
        <w:rPr>
          <w:rFonts w:hint="eastAsia" w:ascii="宋体" w:hAnsi="宋体"/>
          <w:color w:val="auto"/>
          <w:sz w:val="28"/>
          <w:szCs w:val="28"/>
          <w:highlight w:val="none"/>
        </w:rPr>
        <w:t>表5.5-2 站内设施之间的防火距离（m）</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2128"/>
        <w:gridCol w:w="1334"/>
        <w:gridCol w:w="2166"/>
        <w:gridCol w:w="1826"/>
        <w:gridCol w:w="1088"/>
      </w:tblGrid>
      <w:tr w14:paraId="51FF50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05" w:type="pct"/>
            <w:vAlign w:val="center"/>
          </w:tcPr>
          <w:p w14:paraId="69D366E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169" w:type="pct"/>
            <w:vAlign w:val="center"/>
          </w:tcPr>
          <w:p w14:paraId="7BDA82B6">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733" w:type="pct"/>
            <w:vAlign w:val="center"/>
          </w:tcPr>
          <w:p w14:paraId="030AD087">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190" w:type="pct"/>
            <w:vAlign w:val="center"/>
          </w:tcPr>
          <w:p w14:paraId="2EF7D9C5">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1003" w:type="pct"/>
            <w:vAlign w:val="center"/>
          </w:tcPr>
          <w:p w14:paraId="2D9C181D">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97" w:type="pct"/>
            <w:shd w:val="clear" w:color="auto" w:fill="auto"/>
            <w:vAlign w:val="center"/>
          </w:tcPr>
          <w:p w14:paraId="1A132C47">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6857D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F237CB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F8C5DA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733" w:type="pct"/>
            <w:vAlign w:val="center"/>
          </w:tcPr>
          <w:p w14:paraId="100B966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190" w:type="pct"/>
            <w:vAlign w:val="center"/>
          </w:tcPr>
          <w:p w14:paraId="7314514E">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1003" w:type="pct"/>
            <w:vAlign w:val="center"/>
          </w:tcPr>
          <w:p w14:paraId="73655D41">
            <w:pPr>
              <w:jc w:val="center"/>
              <w:rPr>
                <w:rFonts w:hint="eastAsia"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w:t>
            </w:r>
          </w:p>
        </w:tc>
        <w:tc>
          <w:tcPr>
            <w:tcW w:w="597" w:type="pct"/>
            <w:shd w:val="clear" w:color="auto" w:fill="auto"/>
            <w:vAlign w:val="center"/>
          </w:tcPr>
          <w:p w14:paraId="3B9025F5">
            <w:pPr>
              <w:snapToGrid w:val="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60A00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0D3095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D066F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733" w:type="pct"/>
            <w:vAlign w:val="center"/>
          </w:tcPr>
          <w:p w14:paraId="66D759C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0880F1BF">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1003" w:type="pct"/>
            <w:vAlign w:val="center"/>
          </w:tcPr>
          <w:p w14:paraId="7DA88C9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31.7</w:t>
            </w:r>
          </w:p>
        </w:tc>
        <w:tc>
          <w:tcPr>
            <w:tcW w:w="597" w:type="pct"/>
            <w:vAlign w:val="center"/>
          </w:tcPr>
          <w:p w14:paraId="6063A2E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4A119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14126D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2F70FB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733" w:type="pct"/>
            <w:vAlign w:val="center"/>
          </w:tcPr>
          <w:p w14:paraId="7E6D10C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04FAD185">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1003" w:type="pct"/>
            <w:vAlign w:val="center"/>
          </w:tcPr>
          <w:p w14:paraId="79D4076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31</w:t>
            </w:r>
          </w:p>
        </w:tc>
        <w:tc>
          <w:tcPr>
            <w:tcW w:w="597" w:type="pct"/>
            <w:vAlign w:val="center"/>
          </w:tcPr>
          <w:p w14:paraId="0E46A744">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C32E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B7B48A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77B7DD9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733" w:type="pct"/>
            <w:shd w:val="clear" w:color="auto" w:fill="auto"/>
            <w:vAlign w:val="center"/>
          </w:tcPr>
          <w:p w14:paraId="5603CCD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shd w:val="clear" w:color="auto" w:fill="auto"/>
            <w:vAlign w:val="center"/>
          </w:tcPr>
          <w:p w14:paraId="6E10D80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5ACD94D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4.4</w:t>
            </w:r>
          </w:p>
        </w:tc>
        <w:tc>
          <w:tcPr>
            <w:tcW w:w="597" w:type="pct"/>
            <w:vAlign w:val="center"/>
          </w:tcPr>
          <w:p w14:paraId="653FDD8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A979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414464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1E643AC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733" w:type="pct"/>
            <w:shd w:val="clear" w:color="auto" w:fill="auto"/>
            <w:vAlign w:val="center"/>
          </w:tcPr>
          <w:p w14:paraId="2C5FAA5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shd w:val="clear" w:color="auto" w:fill="auto"/>
            <w:vAlign w:val="center"/>
          </w:tcPr>
          <w:p w14:paraId="7EEE55CD">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7AD327B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4.4</w:t>
            </w:r>
          </w:p>
        </w:tc>
        <w:tc>
          <w:tcPr>
            <w:tcW w:w="597" w:type="pct"/>
            <w:vAlign w:val="center"/>
          </w:tcPr>
          <w:p w14:paraId="5ABB937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E284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00EBBE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798539A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44813CA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2917F5D2">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1003" w:type="pct"/>
            <w:vAlign w:val="center"/>
          </w:tcPr>
          <w:p w14:paraId="2693EB1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40.6</w:t>
            </w:r>
          </w:p>
        </w:tc>
        <w:tc>
          <w:tcPr>
            <w:tcW w:w="597" w:type="pct"/>
            <w:vAlign w:val="center"/>
          </w:tcPr>
          <w:p w14:paraId="009D4D2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3244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24CE1E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700522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2BB0CFB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35C1F434">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1003" w:type="pct"/>
            <w:vAlign w:val="center"/>
          </w:tcPr>
          <w:p w14:paraId="62B63B2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40.6</w:t>
            </w:r>
          </w:p>
        </w:tc>
        <w:tc>
          <w:tcPr>
            <w:tcW w:w="597" w:type="pct"/>
            <w:vAlign w:val="center"/>
          </w:tcPr>
          <w:p w14:paraId="71A2C380">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D873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2E96E0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2798565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74E15BA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90" w:type="pct"/>
            <w:vAlign w:val="center"/>
          </w:tcPr>
          <w:p w14:paraId="1F60595D">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1003" w:type="pct"/>
            <w:vAlign w:val="center"/>
          </w:tcPr>
          <w:p w14:paraId="0DCB799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10.5</w:t>
            </w:r>
          </w:p>
        </w:tc>
        <w:tc>
          <w:tcPr>
            <w:tcW w:w="597" w:type="pct"/>
            <w:vAlign w:val="center"/>
          </w:tcPr>
          <w:p w14:paraId="00199F94">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87A81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394937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12765C8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36BFDE5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90" w:type="pct"/>
            <w:vAlign w:val="center"/>
          </w:tcPr>
          <w:p w14:paraId="1D7806F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1003" w:type="pct"/>
            <w:vAlign w:val="center"/>
          </w:tcPr>
          <w:p w14:paraId="3D8A9B6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10.5</w:t>
            </w:r>
          </w:p>
        </w:tc>
        <w:tc>
          <w:tcPr>
            <w:tcW w:w="597" w:type="pct"/>
            <w:vAlign w:val="center"/>
          </w:tcPr>
          <w:p w14:paraId="1744537E">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B465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09B3F7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6EAE044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4B0CBAB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vAlign w:val="center"/>
          </w:tcPr>
          <w:p w14:paraId="0798E3BF">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24C000B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6.7</w:t>
            </w:r>
          </w:p>
        </w:tc>
        <w:tc>
          <w:tcPr>
            <w:tcW w:w="597" w:type="pct"/>
            <w:vAlign w:val="center"/>
          </w:tcPr>
          <w:p w14:paraId="0C87BD6D">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39DB0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AA9721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144F02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48EA737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vAlign w:val="center"/>
          </w:tcPr>
          <w:p w14:paraId="2A98002E">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4C00C5B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6.7</w:t>
            </w:r>
          </w:p>
        </w:tc>
        <w:tc>
          <w:tcPr>
            <w:tcW w:w="597" w:type="pct"/>
            <w:vAlign w:val="center"/>
          </w:tcPr>
          <w:p w14:paraId="6D06E5E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DBF4F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4C60AC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6F21340E">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西</w:t>
            </w:r>
            <w:r>
              <w:rPr>
                <w:rFonts w:hint="eastAsia" w:ascii="Times New Roman" w:hAnsi="Times New Roman" w:cs="Times New Roman"/>
                <w:color w:val="auto"/>
                <w:kern w:val="0"/>
                <w:highlight w:val="none"/>
                <w:lang w:eastAsia="zh-CN"/>
              </w:rPr>
              <w:t>）</w:t>
            </w:r>
          </w:p>
        </w:tc>
        <w:tc>
          <w:tcPr>
            <w:tcW w:w="733" w:type="pct"/>
            <w:vAlign w:val="center"/>
          </w:tcPr>
          <w:p w14:paraId="415E3F9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6A539011">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003" w:type="pct"/>
            <w:vAlign w:val="center"/>
          </w:tcPr>
          <w:p w14:paraId="20565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w:t>
            </w:r>
          </w:p>
        </w:tc>
        <w:tc>
          <w:tcPr>
            <w:tcW w:w="597" w:type="pct"/>
            <w:vAlign w:val="center"/>
          </w:tcPr>
          <w:p w14:paraId="69641BA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688C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A6EE2A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2094625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西</w:t>
            </w:r>
            <w:r>
              <w:rPr>
                <w:rFonts w:hint="eastAsia" w:ascii="Times New Roman" w:hAnsi="Times New Roman" w:cs="Times New Roman"/>
                <w:color w:val="auto"/>
                <w:kern w:val="0"/>
                <w:highlight w:val="none"/>
                <w:lang w:eastAsia="zh-CN"/>
              </w:rPr>
              <w:t>）</w:t>
            </w:r>
          </w:p>
        </w:tc>
        <w:tc>
          <w:tcPr>
            <w:tcW w:w="733" w:type="pct"/>
            <w:vAlign w:val="center"/>
          </w:tcPr>
          <w:p w14:paraId="7BAB0F1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6D8EA6C1">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1003" w:type="pct"/>
            <w:vAlign w:val="center"/>
          </w:tcPr>
          <w:p w14:paraId="475836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w:t>
            </w:r>
          </w:p>
        </w:tc>
        <w:tc>
          <w:tcPr>
            <w:tcW w:w="597" w:type="pct"/>
            <w:vAlign w:val="center"/>
          </w:tcPr>
          <w:p w14:paraId="303191C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EC04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EEF8CD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0A989952">
            <w:pPr>
              <w:autoSpaceDE w:val="0"/>
              <w:autoSpaceDN w:val="0"/>
              <w:jc w:val="center"/>
              <w:rPr>
                <w:rFonts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东</w:t>
            </w:r>
            <w:r>
              <w:rPr>
                <w:rFonts w:hint="eastAsia" w:ascii="Times New Roman" w:hAnsi="Times New Roman" w:cs="Times New Roman"/>
                <w:color w:val="auto"/>
                <w:kern w:val="0"/>
                <w:highlight w:val="none"/>
                <w:lang w:eastAsia="zh-CN"/>
              </w:rPr>
              <w:t>）</w:t>
            </w:r>
          </w:p>
        </w:tc>
        <w:tc>
          <w:tcPr>
            <w:tcW w:w="733" w:type="pct"/>
            <w:shd w:val="clear" w:color="auto" w:fill="auto"/>
            <w:vAlign w:val="center"/>
          </w:tcPr>
          <w:p w14:paraId="76345598">
            <w:pPr>
              <w:autoSpaceDE w:val="0"/>
              <w:autoSpaceDN w:val="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cs="Times New Roman"/>
                <w:color w:val="auto"/>
                <w:kern w:val="0"/>
                <w:highlight w:val="none"/>
              </w:rPr>
              <w:t>站房</w:t>
            </w:r>
          </w:p>
        </w:tc>
        <w:tc>
          <w:tcPr>
            <w:tcW w:w="1190" w:type="pct"/>
            <w:shd w:val="clear" w:color="auto" w:fill="auto"/>
            <w:vAlign w:val="center"/>
          </w:tcPr>
          <w:p w14:paraId="5D33D09C">
            <w:pPr>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1003" w:type="pct"/>
            <w:vAlign w:val="center"/>
          </w:tcPr>
          <w:p w14:paraId="0BB9887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8.5</w:t>
            </w:r>
          </w:p>
        </w:tc>
        <w:tc>
          <w:tcPr>
            <w:tcW w:w="597" w:type="pct"/>
            <w:vAlign w:val="center"/>
          </w:tcPr>
          <w:p w14:paraId="4187D24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9DF05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C5AB6E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25A60E7E">
            <w:pPr>
              <w:autoSpaceDE w:val="0"/>
              <w:autoSpaceDN w:val="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cs="Times New Roman"/>
                <w:color w:val="auto"/>
                <w:kern w:val="0"/>
                <w:highlight w:val="none"/>
              </w:rPr>
              <w:t>柴油加油机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东</w:t>
            </w:r>
            <w:r>
              <w:rPr>
                <w:rFonts w:hint="eastAsia" w:ascii="Times New Roman" w:hAnsi="Times New Roman" w:cs="Times New Roman"/>
                <w:color w:val="auto"/>
                <w:kern w:val="0"/>
                <w:highlight w:val="none"/>
                <w:lang w:eastAsia="zh-CN"/>
              </w:rPr>
              <w:t>）</w:t>
            </w:r>
          </w:p>
        </w:tc>
        <w:tc>
          <w:tcPr>
            <w:tcW w:w="733" w:type="pct"/>
            <w:shd w:val="clear" w:color="auto" w:fill="auto"/>
            <w:vAlign w:val="center"/>
          </w:tcPr>
          <w:p w14:paraId="53EB30D1">
            <w:pPr>
              <w:autoSpaceDE w:val="0"/>
              <w:autoSpaceDN w:val="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cs="Times New Roman"/>
                <w:color w:val="auto"/>
                <w:kern w:val="0"/>
                <w:highlight w:val="none"/>
              </w:rPr>
              <w:t>站房</w:t>
            </w:r>
          </w:p>
        </w:tc>
        <w:tc>
          <w:tcPr>
            <w:tcW w:w="1190" w:type="pct"/>
            <w:shd w:val="clear" w:color="auto" w:fill="auto"/>
            <w:vAlign w:val="center"/>
          </w:tcPr>
          <w:p w14:paraId="3382F23F">
            <w:pPr>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1003" w:type="pct"/>
            <w:vAlign w:val="center"/>
          </w:tcPr>
          <w:p w14:paraId="6743878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20.5</w:t>
            </w:r>
          </w:p>
        </w:tc>
        <w:tc>
          <w:tcPr>
            <w:tcW w:w="597" w:type="pct"/>
            <w:vAlign w:val="center"/>
          </w:tcPr>
          <w:p w14:paraId="036612F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44193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EFA816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808A45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733" w:type="pct"/>
            <w:vAlign w:val="center"/>
          </w:tcPr>
          <w:p w14:paraId="7B8308D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12B71281">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003" w:type="pct"/>
            <w:vAlign w:val="center"/>
          </w:tcPr>
          <w:p w14:paraId="56E1F6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28.5</w:t>
            </w:r>
          </w:p>
        </w:tc>
        <w:tc>
          <w:tcPr>
            <w:tcW w:w="597" w:type="pct"/>
            <w:vAlign w:val="center"/>
          </w:tcPr>
          <w:p w14:paraId="066363E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8486A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FE5664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5B163E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733" w:type="pct"/>
            <w:vAlign w:val="center"/>
          </w:tcPr>
          <w:p w14:paraId="21CA2379">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389422A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1003" w:type="pct"/>
            <w:vAlign w:val="center"/>
          </w:tcPr>
          <w:p w14:paraId="7858EA4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45.7</w:t>
            </w:r>
          </w:p>
        </w:tc>
        <w:tc>
          <w:tcPr>
            <w:tcW w:w="597" w:type="pct"/>
            <w:vAlign w:val="center"/>
          </w:tcPr>
          <w:p w14:paraId="7144D7C3">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33948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FA79E9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E895BA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6E5FA39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1ABCD641">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1003" w:type="pct"/>
            <w:vAlign w:val="center"/>
          </w:tcPr>
          <w:p w14:paraId="5FF61DC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49.3</w:t>
            </w:r>
          </w:p>
        </w:tc>
        <w:tc>
          <w:tcPr>
            <w:tcW w:w="597" w:type="pct"/>
            <w:vAlign w:val="center"/>
          </w:tcPr>
          <w:p w14:paraId="7F244D3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074B2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4316CF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23DFE5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733" w:type="pct"/>
            <w:vAlign w:val="center"/>
          </w:tcPr>
          <w:p w14:paraId="613035A1">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48727656">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1003" w:type="pct"/>
            <w:vAlign w:val="center"/>
          </w:tcPr>
          <w:p w14:paraId="4B7FE1E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w:t>
            </w:r>
          </w:p>
        </w:tc>
        <w:tc>
          <w:tcPr>
            <w:tcW w:w="597" w:type="pct"/>
            <w:vAlign w:val="center"/>
          </w:tcPr>
          <w:p w14:paraId="36DCDF8C">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4DEB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5DABD7D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D67A392">
            <w:pPr>
              <w:autoSpaceDE w:val="0"/>
              <w:autoSpaceDN w:val="0"/>
              <w:jc w:val="center"/>
              <w:rPr>
                <w:rFonts w:hint="eastAsia" w:ascii="Times New Roman" w:hAnsi="Times New Roman" w:eastAsia="宋体" w:cs="Times New Roman"/>
                <w:color w:val="auto"/>
                <w:kern w:val="0"/>
                <w:highlight w:val="none"/>
                <w:lang w:eastAsia="zh-CN"/>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西</w:t>
            </w:r>
            <w:r>
              <w:rPr>
                <w:rFonts w:hint="eastAsia" w:ascii="Times New Roman" w:hAnsi="Times New Roman" w:cs="Times New Roman"/>
                <w:color w:val="auto"/>
                <w:kern w:val="0"/>
                <w:highlight w:val="none"/>
                <w:lang w:eastAsia="zh-CN"/>
              </w:rPr>
              <w:t>）</w:t>
            </w:r>
          </w:p>
        </w:tc>
        <w:tc>
          <w:tcPr>
            <w:tcW w:w="733" w:type="pct"/>
            <w:vAlign w:val="center"/>
          </w:tcPr>
          <w:p w14:paraId="20A049C5">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64FEB273">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1003" w:type="pct"/>
            <w:vAlign w:val="center"/>
          </w:tcPr>
          <w:p w14:paraId="56539D5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10.7</w:t>
            </w:r>
          </w:p>
        </w:tc>
        <w:tc>
          <w:tcPr>
            <w:tcW w:w="597" w:type="pct"/>
            <w:vAlign w:val="center"/>
          </w:tcPr>
          <w:p w14:paraId="56AF863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1A7AA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5210B9D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73D2E8B0">
            <w:pPr>
              <w:autoSpaceDE w:val="0"/>
              <w:autoSpaceDN w:val="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东</w:t>
            </w:r>
            <w:r>
              <w:rPr>
                <w:rFonts w:hint="eastAsia" w:ascii="Times New Roman" w:hAnsi="Times New Roman" w:cs="Times New Roman"/>
                <w:color w:val="auto"/>
                <w:kern w:val="0"/>
                <w:highlight w:val="none"/>
                <w:lang w:eastAsia="zh-CN"/>
              </w:rPr>
              <w:t>）</w:t>
            </w:r>
          </w:p>
        </w:tc>
        <w:tc>
          <w:tcPr>
            <w:tcW w:w="733" w:type="pct"/>
            <w:shd w:val="clear" w:color="auto" w:fill="auto"/>
            <w:vAlign w:val="center"/>
          </w:tcPr>
          <w:p w14:paraId="1B39E7F5">
            <w:pPr>
              <w:autoSpaceDE w:val="0"/>
              <w:autoSpaceDN w:val="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highlight w:val="none"/>
              </w:rPr>
              <w:t>配电间</w:t>
            </w:r>
          </w:p>
        </w:tc>
        <w:tc>
          <w:tcPr>
            <w:tcW w:w="1190" w:type="pct"/>
            <w:shd w:val="clear" w:color="auto" w:fill="auto"/>
            <w:vAlign w:val="center"/>
          </w:tcPr>
          <w:p w14:paraId="06AB5C77">
            <w:pPr>
              <w:autoSpaceDE w:val="0"/>
              <w:autoSpaceDN w:val="0"/>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1003" w:type="pct"/>
            <w:vAlign w:val="center"/>
          </w:tcPr>
          <w:p w14:paraId="0DD64C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20.2</w:t>
            </w:r>
          </w:p>
        </w:tc>
        <w:tc>
          <w:tcPr>
            <w:tcW w:w="597" w:type="pct"/>
            <w:vAlign w:val="center"/>
          </w:tcPr>
          <w:p w14:paraId="1E5976E3">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bl>
    <w:p w14:paraId="6D3955D8">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z w:val="28"/>
          <w:szCs w:val="28"/>
          <w:highlight w:val="none"/>
        </w:rPr>
        <w:t>，该加油站的站内平面布置、汽（柴）油设备与站外建（构）筑物的安全间距以及站内设施之间的防火距离均符合相关要求</w:t>
      </w:r>
      <w:r>
        <w:rPr>
          <w:rFonts w:ascii="宋体" w:hAnsi="宋体"/>
          <w:color w:val="auto"/>
          <w:sz w:val="28"/>
          <w:szCs w:val="28"/>
          <w:highlight w:val="none"/>
        </w:rPr>
        <w:t>。</w:t>
      </w:r>
    </w:p>
    <w:p w14:paraId="0BC13880">
      <w:pPr>
        <w:pStyle w:val="3"/>
        <w:jc w:val="center"/>
        <w:rPr>
          <w:rFonts w:ascii="宋体" w:hAnsi="宋体"/>
          <w:color w:val="auto"/>
          <w:sz w:val="30"/>
          <w:szCs w:val="30"/>
          <w:highlight w:val="none"/>
        </w:rPr>
      </w:pPr>
      <w:bookmarkStart w:id="167" w:name="_Toc92712593"/>
      <w:bookmarkStart w:id="168" w:name="_Toc25228"/>
      <w:bookmarkStart w:id="169" w:name="_Toc1359"/>
      <w:bookmarkStart w:id="170" w:name="_Toc14868"/>
      <w:r>
        <w:rPr>
          <w:rFonts w:hint="eastAsia" w:ascii="宋体" w:hAnsi="宋体"/>
          <w:color w:val="auto"/>
          <w:sz w:val="30"/>
          <w:szCs w:val="30"/>
          <w:highlight w:val="none"/>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highlight w:val="none"/>
              </w:rPr>
            </w:pPr>
            <w:r>
              <w:rPr>
                <w:rFonts w:hint="eastAsia" w:ascii="宋体" w:hAnsi="宋体"/>
                <w:b/>
                <w:color w:val="auto"/>
                <w:highlight w:val="none"/>
              </w:rPr>
              <w:t>序号</w:t>
            </w:r>
          </w:p>
        </w:tc>
        <w:tc>
          <w:tcPr>
            <w:tcW w:w="3346" w:type="pct"/>
            <w:vAlign w:val="center"/>
          </w:tcPr>
          <w:p w14:paraId="3409C52D">
            <w:pPr>
              <w:spacing w:line="280" w:lineRule="exact"/>
              <w:jc w:val="center"/>
              <w:rPr>
                <w:rFonts w:ascii="宋体" w:hAnsi="宋体"/>
                <w:b/>
                <w:color w:val="auto"/>
                <w:highlight w:val="none"/>
              </w:rPr>
            </w:pPr>
            <w:r>
              <w:rPr>
                <w:rFonts w:ascii="宋体" w:hAnsi="宋体"/>
                <w:b/>
                <w:color w:val="auto"/>
                <w:highlight w:val="none"/>
              </w:rPr>
              <w:t>检查内容</w:t>
            </w:r>
          </w:p>
        </w:tc>
        <w:tc>
          <w:tcPr>
            <w:tcW w:w="916" w:type="pct"/>
            <w:vAlign w:val="center"/>
          </w:tcPr>
          <w:p w14:paraId="26D61986">
            <w:pPr>
              <w:spacing w:line="280" w:lineRule="exact"/>
              <w:jc w:val="center"/>
              <w:rPr>
                <w:rFonts w:ascii="宋体" w:hAnsi="宋体"/>
                <w:b/>
                <w:color w:val="auto"/>
                <w:highlight w:val="none"/>
              </w:rPr>
            </w:pPr>
            <w:r>
              <w:rPr>
                <w:rFonts w:ascii="宋体" w:hAnsi="宋体"/>
                <w:b/>
                <w:color w:val="auto"/>
                <w:highlight w:val="none"/>
              </w:rPr>
              <w:t>检查记录</w:t>
            </w:r>
          </w:p>
        </w:tc>
        <w:tc>
          <w:tcPr>
            <w:tcW w:w="364" w:type="pct"/>
            <w:vAlign w:val="center"/>
          </w:tcPr>
          <w:p w14:paraId="7E31164B">
            <w:pPr>
              <w:spacing w:line="280" w:lineRule="exact"/>
              <w:jc w:val="center"/>
              <w:rPr>
                <w:rFonts w:ascii="宋体" w:hAnsi="宋体"/>
                <w:b/>
                <w:color w:val="auto"/>
                <w:highlight w:val="none"/>
              </w:rPr>
            </w:pPr>
            <w:r>
              <w:rPr>
                <w:rFonts w:ascii="宋体" w:hAnsi="宋体"/>
                <w:b/>
                <w:color w:val="auto"/>
                <w:highlight w:val="none"/>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highlight w:val="none"/>
              </w:rPr>
            </w:pPr>
            <w:r>
              <w:rPr>
                <w:rFonts w:ascii="宋体" w:hAnsi="宋体"/>
                <w:b/>
                <w:color w:val="auto"/>
                <w:highlight w:val="none"/>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highlight w:val="none"/>
              </w:rPr>
            </w:pPr>
          </w:p>
        </w:tc>
        <w:tc>
          <w:tcPr>
            <w:tcW w:w="3346" w:type="pct"/>
            <w:vAlign w:val="center"/>
          </w:tcPr>
          <w:p w14:paraId="3B72547A">
            <w:pPr>
              <w:spacing w:line="280" w:lineRule="exact"/>
              <w:rPr>
                <w:rFonts w:ascii="宋体" w:hAnsi="宋体"/>
                <w:color w:val="auto"/>
                <w:highlight w:val="none"/>
              </w:rPr>
            </w:pPr>
            <w:r>
              <w:rPr>
                <w:rFonts w:ascii="宋体" w:hAnsi="宋体"/>
                <w:color w:val="auto"/>
                <w:highlight w:val="none"/>
              </w:rPr>
              <w:t>6.1.1除</w:t>
            </w:r>
            <w:r>
              <w:rPr>
                <w:rFonts w:hint="eastAsia" w:ascii="宋体" w:hAnsi="宋体"/>
                <w:color w:val="auto"/>
                <w:highlight w:val="none"/>
                <w:lang w:eastAsia="zh-CN"/>
              </w:rPr>
              <w:t>撬装式</w:t>
            </w:r>
            <w:r>
              <w:rPr>
                <w:rFonts w:ascii="宋体" w:hAnsi="宋体"/>
                <w:color w:val="auto"/>
                <w:highlight w:val="none"/>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highlight w:val="none"/>
              </w:rPr>
            </w:pPr>
            <w:r>
              <w:rPr>
                <w:rFonts w:hint="eastAsia" w:ascii="宋体" w:hAnsi="宋体"/>
                <w:color w:val="auto"/>
                <w:highlight w:val="none"/>
              </w:rPr>
              <w:t>埋地设置</w:t>
            </w:r>
          </w:p>
        </w:tc>
        <w:tc>
          <w:tcPr>
            <w:tcW w:w="364" w:type="pct"/>
            <w:vAlign w:val="center"/>
          </w:tcPr>
          <w:p w14:paraId="6510565E">
            <w:pPr>
              <w:spacing w:line="280" w:lineRule="exact"/>
              <w:rPr>
                <w:rFonts w:ascii="宋体" w:hAnsi="宋体"/>
                <w:color w:val="auto"/>
                <w:highlight w:val="none"/>
              </w:rPr>
            </w:pPr>
            <w:r>
              <w:rPr>
                <w:rFonts w:ascii="宋体" w:hAnsi="宋体"/>
                <w:color w:val="auto"/>
                <w:highlight w:val="none"/>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highlight w:val="none"/>
              </w:rPr>
            </w:pPr>
          </w:p>
        </w:tc>
        <w:tc>
          <w:tcPr>
            <w:tcW w:w="3346" w:type="pct"/>
            <w:vAlign w:val="center"/>
          </w:tcPr>
          <w:p w14:paraId="6F3FA8E5">
            <w:pPr>
              <w:spacing w:line="280" w:lineRule="exact"/>
              <w:rPr>
                <w:rFonts w:ascii="宋体" w:hAnsi="宋体"/>
                <w:color w:val="auto"/>
                <w:highlight w:val="none"/>
              </w:rPr>
            </w:pPr>
            <w:r>
              <w:rPr>
                <w:rFonts w:hint="eastAsia" w:ascii="宋体" w:hAnsi="宋体"/>
                <w:color w:val="auto"/>
                <w:highlight w:val="none"/>
              </w:rPr>
              <w:t>6.1.2</w:t>
            </w:r>
            <w:r>
              <w:rPr>
                <w:rFonts w:ascii="宋体" w:hAnsi="宋体"/>
                <w:color w:val="auto"/>
                <w:highlight w:val="none"/>
              </w:rPr>
              <w:t>汽车加油站的储油罐应采用卧式油罐。</w:t>
            </w:r>
          </w:p>
        </w:tc>
        <w:tc>
          <w:tcPr>
            <w:tcW w:w="916" w:type="pct"/>
            <w:vAlign w:val="center"/>
          </w:tcPr>
          <w:p w14:paraId="34005B20">
            <w:pPr>
              <w:spacing w:line="280" w:lineRule="exact"/>
              <w:rPr>
                <w:rFonts w:ascii="宋体" w:hAnsi="宋体"/>
                <w:color w:val="auto"/>
                <w:highlight w:val="none"/>
              </w:rPr>
            </w:pPr>
            <w:r>
              <w:rPr>
                <w:rFonts w:ascii="宋体" w:hAnsi="宋体"/>
                <w:color w:val="auto"/>
                <w:highlight w:val="none"/>
              </w:rPr>
              <w:t>卧式油罐</w:t>
            </w:r>
          </w:p>
        </w:tc>
        <w:tc>
          <w:tcPr>
            <w:tcW w:w="364" w:type="pct"/>
            <w:vAlign w:val="center"/>
          </w:tcPr>
          <w:p w14:paraId="519F6722">
            <w:pPr>
              <w:spacing w:line="280" w:lineRule="exact"/>
              <w:rPr>
                <w:rFonts w:ascii="宋体" w:hAnsi="宋体"/>
                <w:color w:val="auto"/>
                <w:highlight w:val="none"/>
              </w:rPr>
            </w:pPr>
            <w:r>
              <w:rPr>
                <w:rFonts w:ascii="宋体" w:hAnsi="宋体"/>
                <w:color w:val="auto"/>
                <w:highlight w:val="none"/>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highlight w:val="none"/>
              </w:rPr>
            </w:pPr>
          </w:p>
        </w:tc>
        <w:tc>
          <w:tcPr>
            <w:tcW w:w="3346" w:type="pct"/>
            <w:vAlign w:val="center"/>
          </w:tcPr>
          <w:p w14:paraId="153E9EC2">
            <w:pPr>
              <w:spacing w:line="280" w:lineRule="exact"/>
              <w:rPr>
                <w:rFonts w:ascii="宋体" w:hAnsi="宋体"/>
                <w:color w:val="auto"/>
                <w:highlight w:val="none"/>
              </w:rPr>
            </w:pPr>
            <w:r>
              <w:rPr>
                <w:rFonts w:hint="eastAsia" w:ascii="宋体" w:hAnsi="宋体"/>
                <w:color w:val="auto"/>
                <w:highlight w:val="none"/>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493024AF">
            <w:pPr>
              <w:spacing w:line="280" w:lineRule="exact"/>
              <w:rPr>
                <w:rFonts w:ascii="宋体" w:hAnsi="宋体"/>
                <w:color w:val="auto"/>
                <w:highlight w:val="none"/>
              </w:rPr>
            </w:pPr>
            <w:r>
              <w:rPr>
                <w:rFonts w:ascii="宋体" w:hAnsi="宋体"/>
                <w:color w:val="auto"/>
                <w:highlight w:val="none"/>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highlight w:val="none"/>
              </w:rPr>
            </w:pPr>
          </w:p>
        </w:tc>
        <w:tc>
          <w:tcPr>
            <w:tcW w:w="3346" w:type="pct"/>
            <w:vAlign w:val="center"/>
          </w:tcPr>
          <w:p w14:paraId="500F496D">
            <w:pPr>
              <w:spacing w:line="280" w:lineRule="exact"/>
              <w:rPr>
                <w:rFonts w:ascii="宋体" w:hAnsi="宋体"/>
                <w:color w:val="auto"/>
                <w:highlight w:val="none"/>
              </w:rPr>
            </w:pPr>
            <w:r>
              <w:rPr>
                <w:rFonts w:ascii="宋体" w:hAnsi="宋体"/>
                <w:color w:val="auto"/>
                <w:highlight w:val="none"/>
              </w:rPr>
              <w:t>6.1.4</w:t>
            </w:r>
            <w:r>
              <w:rPr>
                <w:rFonts w:hint="eastAsia" w:ascii="宋体" w:hAnsi="宋体"/>
                <w:color w:val="auto"/>
                <w:highlight w:val="none"/>
              </w:rPr>
              <w:t>单层钢制油罐、</w:t>
            </w:r>
            <w:r>
              <w:rPr>
                <w:rFonts w:ascii="宋体" w:hAnsi="宋体"/>
                <w:color w:val="auto"/>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钢制油罐的罐体和封头所用钢板的公称厚度，不应小于表6.1.4的规定。</w:t>
            </w:r>
          </w:p>
          <w:p w14:paraId="7F7BB851">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钢制油罐的设计内压不应低于0.08MPa。</w:t>
            </w:r>
          </w:p>
        </w:tc>
        <w:tc>
          <w:tcPr>
            <w:tcW w:w="916" w:type="pct"/>
            <w:vAlign w:val="center"/>
          </w:tcPr>
          <w:p w14:paraId="5E194BEA">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单层钢制油罐</w:t>
            </w:r>
            <w:r>
              <w:rPr>
                <w:rFonts w:hint="eastAsia" w:ascii="宋体" w:hAnsi="宋体"/>
                <w:color w:val="auto"/>
                <w:highlight w:val="none"/>
                <w:lang w:eastAsia="zh-CN"/>
              </w:rPr>
              <w:t>、</w:t>
            </w:r>
            <w:r>
              <w:rPr>
                <w:rFonts w:hint="eastAsia" w:ascii="宋体" w:hAnsi="宋体"/>
                <w:color w:val="auto"/>
                <w:highlight w:val="none"/>
              </w:rPr>
              <w:t>SF双层储罐</w:t>
            </w:r>
            <w:r>
              <w:rPr>
                <w:rFonts w:hint="eastAsia" w:ascii="宋体" w:hAnsi="宋体"/>
                <w:color w:val="auto"/>
                <w:highlight w:val="none"/>
                <w:lang w:val="en-US" w:eastAsia="zh-CN"/>
              </w:rPr>
              <w:t>符合规定</w:t>
            </w:r>
          </w:p>
        </w:tc>
        <w:tc>
          <w:tcPr>
            <w:tcW w:w="364" w:type="pct"/>
            <w:vAlign w:val="center"/>
          </w:tcPr>
          <w:p w14:paraId="724999CE">
            <w:pPr>
              <w:spacing w:line="280" w:lineRule="exact"/>
              <w:rPr>
                <w:rFonts w:ascii="宋体" w:hAnsi="宋体"/>
                <w:color w:val="auto"/>
                <w:highlight w:val="none"/>
              </w:rPr>
            </w:pPr>
            <w:r>
              <w:rPr>
                <w:rFonts w:ascii="宋体" w:hAnsi="宋体"/>
                <w:color w:val="auto"/>
                <w:highlight w:val="none"/>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highlight w:val="none"/>
              </w:rPr>
            </w:pPr>
          </w:p>
        </w:tc>
        <w:tc>
          <w:tcPr>
            <w:tcW w:w="3346" w:type="pct"/>
            <w:vAlign w:val="center"/>
          </w:tcPr>
          <w:p w14:paraId="4E735093">
            <w:pPr>
              <w:spacing w:line="280" w:lineRule="exact"/>
              <w:rPr>
                <w:rFonts w:ascii="宋体" w:hAnsi="宋体"/>
                <w:color w:val="auto"/>
                <w:highlight w:val="none"/>
              </w:rPr>
            </w:pPr>
            <w:r>
              <w:rPr>
                <w:rFonts w:hint="eastAsia" w:ascii="宋体" w:hAnsi="宋体"/>
                <w:color w:val="auto"/>
                <w:highlight w:val="none"/>
              </w:rPr>
              <w:t>6.1.5选用的双层玻璃纤维增强塑料油罐应符合现行行业标准《加油站用埋地玻璃纤维增强塑料双层油罐工程技术规范》SH/T3177的有关规定；选用的钢</w:t>
            </w:r>
            <w:r>
              <w:rPr>
                <w:rFonts w:hint="eastAsia" w:ascii="宋体" w:hAnsi="宋体"/>
                <w:color w:val="auto"/>
                <w:highlight w:val="none"/>
                <w:lang w:eastAsia="zh-CN"/>
              </w:rPr>
              <w:t>－</w:t>
            </w:r>
            <w:r>
              <w:rPr>
                <w:rFonts w:hint="eastAsia" w:ascii="宋体" w:hAnsi="宋体"/>
                <w:color w:val="auto"/>
                <w:highlight w:val="none"/>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val="en-US" w:eastAsia="zh-CN"/>
              </w:rPr>
              <w:t>符合现行标准</w:t>
            </w:r>
          </w:p>
        </w:tc>
        <w:tc>
          <w:tcPr>
            <w:tcW w:w="364" w:type="pct"/>
            <w:vAlign w:val="center"/>
          </w:tcPr>
          <w:p w14:paraId="02AC2C05">
            <w:pPr>
              <w:spacing w:line="280" w:lineRule="exact"/>
              <w:rPr>
                <w:rFonts w:ascii="宋体" w:hAnsi="宋体"/>
                <w:color w:val="auto"/>
                <w:highlight w:val="none"/>
              </w:rPr>
            </w:pPr>
            <w:r>
              <w:rPr>
                <w:rFonts w:ascii="宋体" w:hAnsi="宋体"/>
                <w:color w:val="auto"/>
                <w:highlight w:val="none"/>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highlight w:val="none"/>
              </w:rPr>
            </w:pPr>
          </w:p>
        </w:tc>
        <w:tc>
          <w:tcPr>
            <w:tcW w:w="3346" w:type="pct"/>
            <w:vAlign w:val="center"/>
          </w:tcPr>
          <w:p w14:paraId="59958FD0">
            <w:pPr>
              <w:spacing w:line="280" w:lineRule="exact"/>
              <w:rPr>
                <w:rFonts w:ascii="宋体" w:hAnsi="宋体"/>
                <w:color w:val="auto"/>
                <w:highlight w:val="none"/>
              </w:rPr>
            </w:pPr>
            <w:r>
              <w:rPr>
                <w:rFonts w:hint="eastAsia" w:ascii="宋体" w:hAnsi="宋体"/>
                <w:color w:val="auto"/>
                <w:highlight w:val="none"/>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073D20AB">
            <w:pPr>
              <w:spacing w:line="280" w:lineRule="exact"/>
              <w:rPr>
                <w:rFonts w:ascii="宋体" w:hAnsi="宋体"/>
                <w:color w:val="auto"/>
                <w:highlight w:val="none"/>
              </w:rPr>
            </w:pPr>
            <w:r>
              <w:rPr>
                <w:rFonts w:hint="eastAsia" w:ascii="宋体" w:hAnsi="宋体"/>
                <w:color w:val="auto"/>
                <w:highlight w:val="none"/>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highlight w:val="none"/>
              </w:rPr>
            </w:pPr>
          </w:p>
        </w:tc>
        <w:tc>
          <w:tcPr>
            <w:tcW w:w="3346" w:type="pct"/>
            <w:vAlign w:val="center"/>
          </w:tcPr>
          <w:p w14:paraId="59EE71FA">
            <w:pPr>
              <w:spacing w:line="280" w:lineRule="exact"/>
              <w:rPr>
                <w:rFonts w:ascii="宋体" w:hAnsi="宋体"/>
                <w:color w:val="auto"/>
                <w:highlight w:val="none"/>
              </w:rPr>
            </w:pPr>
            <w:r>
              <w:rPr>
                <w:rFonts w:hint="eastAsia" w:ascii="宋体" w:hAnsi="宋体"/>
                <w:color w:val="auto"/>
                <w:highlight w:val="none"/>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highlight w:val="none"/>
              </w:rPr>
            </w:pPr>
            <w:r>
              <w:rPr>
                <w:rFonts w:hint="eastAsia" w:ascii="宋体" w:hAnsi="宋体"/>
                <w:color w:val="auto"/>
                <w:highlight w:val="none"/>
              </w:rPr>
              <w:t>A=0.04Vt</w:t>
            </w:r>
            <w:r>
              <w:rPr>
                <w:rFonts w:hint="eastAsia" w:ascii="宋体" w:hAnsi="宋体"/>
                <w:color w:val="auto"/>
                <w:highlight w:val="none"/>
                <w:lang w:eastAsia="zh-CN"/>
              </w:rPr>
              <w:t>(</w:t>
            </w:r>
            <w:r>
              <w:rPr>
                <w:rFonts w:hint="eastAsia" w:ascii="宋体" w:hAnsi="宋体"/>
                <w:color w:val="auto"/>
                <w:highlight w:val="none"/>
              </w:rPr>
              <w:t>6.1.7</w:t>
            </w:r>
            <w:r>
              <w:rPr>
                <w:rFonts w:hint="eastAsia" w:ascii="宋体" w:hAnsi="宋体"/>
                <w:color w:val="auto"/>
                <w:highlight w:val="none"/>
                <w:lang w:eastAsia="zh-CN"/>
              </w:rPr>
              <w:t>)</w:t>
            </w:r>
          </w:p>
          <w:p w14:paraId="0682B703">
            <w:pPr>
              <w:spacing w:line="280" w:lineRule="exact"/>
              <w:rPr>
                <w:rFonts w:ascii="宋体" w:hAnsi="宋体"/>
                <w:color w:val="auto"/>
                <w:highlight w:val="none"/>
              </w:rPr>
            </w:pPr>
            <w:r>
              <w:rPr>
                <w:rFonts w:hint="eastAsia" w:ascii="宋体" w:hAnsi="宋体"/>
                <w:color w:val="auto"/>
                <w:highlight w:val="none"/>
              </w:rPr>
              <w:t>式中：</w:t>
            </w:r>
          </w:p>
          <w:p w14:paraId="2E56127C">
            <w:pPr>
              <w:spacing w:line="280" w:lineRule="exact"/>
              <w:rPr>
                <w:rFonts w:ascii="宋体" w:hAnsi="宋体"/>
                <w:color w:val="auto"/>
                <w:highlight w:val="none"/>
              </w:rPr>
            </w:pPr>
            <w:r>
              <w:rPr>
                <w:rFonts w:hint="eastAsia" w:ascii="宋体" w:hAnsi="宋体"/>
                <w:color w:val="auto"/>
                <w:highlight w:val="none"/>
              </w:rPr>
              <w:t>A——浸入油品中的金属物表面积之和（㎡）；</w:t>
            </w:r>
          </w:p>
          <w:p w14:paraId="6BDE9F6C">
            <w:pPr>
              <w:spacing w:line="280" w:lineRule="exact"/>
              <w:rPr>
                <w:rFonts w:ascii="宋体" w:hAnsi="宋体"/>
                <w:color w:val="auto"/>
                <w:highlight w:val="none"/>
              </w:rPr>
            </w:pPr>
            <w:r>
              <w:rPr>
                <w:rFonts w:hint="eastAsia" w:ascii="宋体" w:hAnsi="宋体"/>
                <w:color w:val="auto"/>
                <w:highlight w:val="none"/>
              </w:rPr>
              <w:t>Vt——储罐容积（㎡）。</w:t>
            </w:r>
          </w:p>
        </w:tc>
        <w:tc>
          <w:tcPr>
            <w:tcW w:w="916" w:type="pct"/>
            <w:vAlign w:val="center"/>
          </w:tcPr>
          <w:p w14:paraId="1AA9AEA7">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满足消除油品静电荷要求</w:t>
            </w:r>
          </w:p>
        </w:tc>
        <w:tc>
          <w:tcPr>
            <w:tcW w:w="364" w:type="pct"/>
            <w:vAlign w:val="center"/>
          </w:tcPr>
          <w:p w14:paraId="113B2F88">
            <w:pPr>
              <w:spacing w:line="280" w:lineRule="exact"/>
              <w:rPr>
                <w:rFonts w:ascii="宋体" w:hAnsi="宋体"/>
                <w:color w:val="auto"/>
                <w:highlight w:val="none"/>
              </w:rPr>
            </w:pPr>
            <w:r>
              <w:rPr>
                <w:rFonts w:ascii="宋体" w:hAnsi="宋体"/>
                <w:color w:val="auto"/>
                <w:highlight w:val="none"/>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highlight w:val="none"/>
              </w:rPr>
            </w:pPr>
          </w:p>
        </w:tc>
        <w:tc>
          <w:tcPr>
            <w:tcW w:w="3346" w:type="pct"/>
            <w:vAlign w:val="center"/>
          </w:tcPr>
          <w:p w14:paraId="20276151">
            <w:pPr>
              <w:spacing w:line="280" w:lineRule="exact"/>
              <w:rPr>
                <w:rFonts w:ascii="宋体" w:hAnsi="宋体"/>
                <w:color w:val="auto"/>
                <w:highlight w:val="none"/>
              </w:rPr>
            </w:pPr>
            <w:r>
              <w:rPr>
                <w:rFonts w:hint="eastAsia" w:ascii="宋体" w:hAnsi="宋体"/>
                <w:color w:val="auto"/>
                <w:highlight w:val="none"/>
              </w:rPr>
              <w:t>6.1.8</w:t>
            </w:r>
            <w:r>
              <w:rPr>
                <w:rFonts w:ascii="宋体" w:hAnsi="宋体"/>
                <w:color w:val="auto"/>
                <w:highlight w:val="none"/>
              </w:rPr>
              <w:t>安装在罐内的静电消除物体应接地，接地电阻应符合本标准第11</w:t>
            </w:r>
            <w:r>
              <w:rPr>
                <w:rFonts w:hint="eastAsia" w:ascii="宋体" w:hAnsi="宋体"/>
                <w:color w:val="auto"/>
                <w:highlight w:val="none"/>
              </w:rPr>
              <w:t>.</w:t>
            </w:r>
            <w:r>
              <w:rPr>
                <w:rFonts w:ascii="宋体" w:hAnsi="宋体"/>
                <w:color w:val="auto"/>
                <w:highlight w:val="none"/>
              </w:rPr>
              <w:t>2节的有关规定。</w:t>
            </w:r>
          </w:p>
        </w:tc>
        <w:tc>
          <w:tcPr>
            <w:tcW w:w="916" w:type="pct"/>
            <w:vAlign w:val="center"/>
          </w:tcPr>
          <w:p w14:paraId="5909068C">
            <w:pPr>
              <w:spacing w:line="280" w:lineRule="exact"/>
              <w:rPr>
                <w:rFonts w:ascii="宋体" w:hAnsi="宋体"/>
                <w:color w:val="auto"/>
                <w:highlight w:val="none"/>
              </w:rPr>
            </w:pPr>
            <w:r>
              <w:rPr>
                <w:rFonts w:hint="eastAsia" w:ascii="宋体" w:hAnsi="宋体"/>
                <w:color w:val="auto"/>
                <w:highlight w:val="none"/>
              </w:rPr>
              <w:t>设置</w:t>
            </w:r>
            <w:r>
              <w:rPr>
                <w:rFonts w:ascii="宋体" w:hAnsi="宋体"/>
                <w:color w:val="auto"/>
                <w:highlight w:val="none"/>
              </w:rPr>
              <w:t>接地</w:t>
            </w:r>
            <w:r>
              <w:rPr>
                <w:rFonts w:hint="eastAsia" w:ascii="宋体" w:hAnsi="宋体"/>
                <w:color w:val="auto"/>
                <w:highlight w:val="none"/>
              </w:rPr>
              <w:t>，有合格的防雷接地检测报告</w:t>
            </w:r>
          </w:p>
        </w:tc>
        <w:tc>
          <w:tcPr>
            <w:tcW w:w="364" w:type="pct"/>
            <w:vAlign w:val="center"/>
          </w:tcPr>
          <w:p w14:paraId="17776A04">
            <w:pPr>
              <w:spacing w:line="280" w:lineRule="exact"/>
              <w:rPr>
                <w:rFonts w:ascii="宋体" w:hAnsi="宋体"/>
                <w:color w:val="auto"/>
                <w:highlight w:val="none"/>
              </w:rPr>
            </w:pPr>
            <w:r>
              <w:rPr>
                <w:rFonts w:ascii="宋体" w:hAnsi="宋体"/>
                <w:color w:val="auto"/>
                <w:highlight w:val="none"/>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highlight w:val="none"/>
              </w:rPr>
            </w:pPr>
          </w:p>
        </w:tc>
        <w:tc>
          <w:tcPr>
            <w:tcW w:w="3346" w:type="pct"/>
            <w:vAlign w:val="center"/>
          </w:tcPr>
          <w:p w14:paraId="7D0B20DB">
            <w:pPr>
              <w:spacing w:line="280" w:lineRule="exact"/>
              <w:rPr>
                <w:rFonts w:ascii="宋体" w:hAnsi="宋体"/>
                <w:color w:val="auto"/>
                <w:highlight w:val="none"/>
              </w:rPr>
            </w:pPr>
            <w:r>
              <w:rPr>
                <w:rFonts w:hint="eastAsia" w:ascii="宋体" w:hAnsi="宋体"/>
                <w:color w:val="auto"/>
                <w:highlight w:val="none"/>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双层油罐，有泄露检测装置</w:t>
            </w:r>
          </w:p>
        </w:tc>
        <w:tc>
          <w:tcPr>
            <w:tcW w:w="364" w:type="pct"/>
            <w:vAlign w:val="center"/>
          </w:tcPr>
          <w:p w14:paraId="5C317F96">
            <w:pPr>
              <w:spacing w:line="280" w:lineRule="exact"/>
              <w:rPr>
                <w:rFonts w:ascii="宋体" w:hAnsi="宋体"/>
                <w:color w:val="auto"/>
                <w:highlight w:val="none"/>
              </w:rPr>
            </w:pPr>
            <w:r>
              <w:rPr>
                <w:rFonts w:hint="eastAsia" w:ascii="宋体" w:hAnsi="宋体"/>
                <w:color w:val="auto"/>
                <w:highlight w:val="none"/>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highlight w:val="none"/>
              </w:rPr>
            </w:pPr>
          </w:p>
        </w:tc>
        <w:tc>
          <w:tcPr>
            <w:tcW w:w="3346" w:type="pct"/>
            <w:vAlign w:val="center"/>
          </w:tcPr>
          <w:p w14:paraId="76903127">
            <w:pPr>
              <w:spacing w:line="280" w:lineRule="exact"/>
              <w:rPr>
                <w:rFonts w:ascii="宋体" w:hAnsi="宋体"/>
                <w:color w:val="auto"/>
                <w:highlight w:val="none"/>
              </w:rPr>
            </w:pPr>
            <w:r>
              <w:rPr>
                <w:rFonts w:ascii="宋体" w:hAnsi="宋体"/>
                <w:color w:val="auto"/>
                <w:highlight w:val="none"/>
              </w:rPr>
              <w:t>6.1.11油罐应采用钢制人孔盖。</w:t>
            </w:r>
          </w:p>
        </w:tc>
        <w:tc>
          <w:tcPr>
            <w:tcW w:w="916" w:type="pct"/>
            <w:vAlign w:val="center"/>
          </w:tcPr>
          <w:p w14:paraId="29010EAA">
            <w:pPr>
              <w:spacing w:line="280" w:lineRule="exact"/>
              <w:rPr>
                <w:rFonts w:ascii="宋体" w:hAnsi="宋体"/>
                <w:color w:val="auto"/>
                <w:highlight w:val="none"/>
              </w:rPr>
            </w:pPr>
            <w:r>
              <w:rPr>
                <w:rFonts w:ascii="宋体" w:hAnsi="宋体"/>
                <w:color w:val="auto"/>
                <w:highlight w:val="none"/>
              </w:rPr>
              <w:t>采用钢制人孔盖</w:t>
            </w:r>
          </w:p>
        </w:tc>
        <w:tc>
          <w:tcPr>
            <w:tcW w:w="364" w:type="pct"/>
            <w:vAlign w:val="center"/>
          </w:tcPr>
          <w:p w14:paraId="48F73E71">
            <w:pPr>
              <w:spacing w:line="280" w:lineRule="exact"/>
              <w:rPr>
                <w:rFonts w:ascii="宋体" w:hAnsi="宋体"/>
                <w:color w:val="auto"/>
                <w:highlight w:val="none"/>
              </w:rPr>
            </w:pPr>
            <w:r>
              <w:rPr>
                <w:rFonts w:ascii="宋体" w:hAnsi="宋体"/>
                <w:color w:val="auto"/>
                <w:highlight w:val="none"/>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highlight w:val="none"/>
              </w:rPr>
            </w:pPr>
          </w:p>
        </w:tc>
        <w:tc>
          <w:tcPr>
            <w:tcW w:w="3346" w:type="pct"/>
            <w:vAlign w:val="center"/>
          </w:tcPr>
          <w:p w14:paraId="6FD8A2A6">
            <w:pPr>
              <w:spacing w:line="280" w:lineRule="exact"/>
              <w:rPr>
                <w:rFonts w:ascii="宋体" w:hAnsi="宋体"/>
                <w:color w:val="auto"/>
                <w:highlight w:val="none"/>
              </w:rPr>
            </w:pPr>
            <w:r>
              <w:rPr>
                <w:rFonts w:ascii="宋体" w:hAnsi="宋体"/>
                <w:color w:val="auto"/>
                <w:highlight w:val="none"/>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highlight w:val="none"/>
              </w:rPr>
            </w:pPr>
            <w:r>
              <w:rPr>
                <w:rFonts w:ascii="宋体" w:hAnsi="宋体"/>
                <w:color w:val="auto"/>
                <w:highlight w:val="none"/>
              </w:rPr>
              <w:t>设在</w:t>
            </w:r>
            <w:r>
              <w:rPr>
                <w:rFonts w:hint="eastAsia" w:ascii="宋体" w:hAnsi="宋体"/>
                <w:color w:val="auto"/>
                <w:highlight w:val="none"/>
                <w:lang w:val="en-US" w:eastAsia="zh-CN"/>
              </w:rPr>
              <w:t>非</w:t>
            </w:r>
            <w:r>
              <w:rPr>
                <w:rFonts w:ascii="宋体" w:hAnsi="宋体"/>
                <w:color w:val="auto"/>
                <w:highlight w:val="none"/>
              </w:rPr>
              <w:t>车行道下</w:t>
            </w:r>
            <w:r>
              <w:rPr>
                <w:rFonts w:hint="eastAsia" w:ascii="宋体" w:hAnsi="宋体"/>
                <w:color w:val="auto"/>
                <w:highlight w:val="none"/>
              </w:rPr>
              <w:t>，</w:t>
            </w:r>
            <w:r>
              <w:rPr>
                <w:rFonts w:ascii="宋体" w:hAnsi="宋体"/>
                <w:color w:val="auto"/>
                <w:highlight w:val="none"/>
              </w:rPr>
              <w:t>罐顶低于混凝土路面不小于0.</w:t>
            </w:r>
            <w:r>
              <w:rPr>
                <w:rFonts w:hint="eastAsia" w:ascii="宋体" w:hAnsi="宋体"/>
                <w:color w:val="auto"/>
                <w:highlight w:val="none"/>
                <w:lang w:val="en-US" w:eastAsia="zh-CN"/>
              </w:rPr>
              <w:t>5</w:t>
            </w:r>
            <w:r>
              <w:rPr>
                <w:rFonts w:ascii="宋体" w:hAnsi="宋体"/>
                <w:color w:val="auto"/>
                <w:highlight w:val="none"/>
              </w:rPr>
              <w:t>m</w:t>
            </w:r>
          </w:p>
        </w:tc>
        <w:tc>
          <w:tcPr>
            <w:tcW w:w="364" w:type="pct"/>
            <w:vAlign w:val="center"/>
          </w:tcPr>
          <w:p w14:paraId="02B797BB">
            <w:pPr>
              <w:spacing w:line="280" w:lineRule="exact"/>
              <w:rPr>
                <w:rFonts w:ascii="宋体" w:hAnsi="宋体"/>
                <w:color w:val="auto"/>
                <w:highlight w:val="none"/>
              </w:rPr>
            </w:pPr>
            <w:r>
              <w:rPr>
                <w:rFonts w:ascii="宋体" w:hAnsi="宋体"/>
                <w:color w:val="auto"/>
                <w:highlight w:val="none"/>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highlight w:val="none"/>
              </w:rPr>
            </w:pPr>
          </w:p>
        </w:tc>
        <w:tc>
          <w:tcPr>
            <w:tcW w:w="3346" w:type="pct"/>
            <w:vAlign w:val="center"/>
          </w:tcPr>
          <w:p w14:paraId="5BF6FA88">
            <w:pPr>
              <w:spacing w:line="280" w:lineRule="exact"/>
              <w:rPr>
                <w:rFonts w:ascii="宋体" w:hAnsi="宋体"/>
                <w:color w:val="auto"/>
                <w:highlight w:val="none"/>
              </w:rPr>
            </w:pPr>
            <w:r>
              <w:rPr>
                <w:rFonts w:ascii="宋体" w:hAnsi="宋体"/>
                <w:color w:val="auto"/>
                <w:highlight w:val="none"/>
              </w:rPr>
              <w:t>6.1.13当埋地油罐受地下水或雨水作用有</w:t>
            </w:r>
            <w:r>
              <w:rPr>
                <w:rFonts w:hint="eastAsia" w:ascii="宋体" w:hAnsi="宋体"/>
                <w:color w:val="auto"/>
                <w:highlight w:val="none"/>
              </w:rPr>
              <w:t>上</w:t>
            </w:r>
            <w:r>
              <w:rPr>
                <w:rFonts w:ascii="宋体" w:hAnsi="宋体"/>
                <w:color w:val="auto"/>
                <w:highlight w:val="none"/>
              </w:rPr>
              <w:t>浮的可能时，应采取防止油罐上浮的措施。</w:t>
            </w:r>
          </w:p>
        </w:tc>
        <w:tc>
          <w:tcPr>
            <w:tcW w:w="916" w:type="pct"/>
            <w:vAlign w:val="center"/>
          </w:tcPr>
          <w:p w14:paraId="78E5EEAB">
            <w:pPr>
              <w:spacing w:line="280" w:lineRule="exact"/>
              <w:rPr>
                <w:rFonts w:ascii="宋体" w:hAnsi="宋体"/>
                <w:color w:val="auto"/>
                <w:highlight w:val="none"/>
              </w:rPr>
            </w:pPr>
            <w:r>
              <w:rPr>
                <w:rFonts w:hint="eastAsia" w:ascii="宋体" w:hAnsi="宋体"/>
                <w:color w:val="auto"/>
                <w:highlight w:val="none"/>
              </w:rPr>
              <w:t>已</w:t>
            </w:r>
            <w:r>
              <w:rPr>
                <w:rFonts w:ascii="宋体" w:hAnsi="宋体"/>
                <w:color w:val="auto"/>
                <w:highlight w:val="none"/>
              </w:rPr>
              <w:t>采取防止油罐上浮的措施</w:t>
            </w:r>
          </w:p>
        </w:tc>
        <w:tc>
          <w:tcPr>
            <w:tcW w:w="364" w:type="pct"/>
            <w:vAlign w:val="center"/>
          </w:tcPr>
          <w:p w14:paraId="0350A670">
            <w:pPr>
              <w:spacing w:line="280" w:lineRule="exact"/>
              <w:rPr>
                <w:rFonts w:ascii="宋体" w:hAnsi="宋体"/>
                <w:color w:val="auto"/>
                <w:highlight w:val="none"/>
              </w:rPr>
            </w:pPr>
            <w:r>
              <w:rPr>
                <w:rFonts w:ascii="宋体" w:hAnsi="宋体"/>
                <w:color w:val="auto"/>
                <w:highlight w:val="none"/>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highlight w:val="none"/>
              </w:rPr>
            </w:pPr>
          </w:p>
        </w:tc>
        <w:tc>
          <w:tcPr>
            <w:tcW w:w="3346" w:type="pct"/>
            <w:vAlign w:val="center"/>
          </w:tcPr>
          <w:p w14:paraId="36EEF75F">
            <w:pPr>
              <w:spacing w:line="280" w:lineRule="exact"/>
              <w:rPr>
                <w:rFonts w:ascii="宋体" w:hAnsi="宋体"/>
                <w:color w:val="auto"/>
                <w:highlight w:val="none"/>
              </w:rPr>
            </w:pPr>
            <w:r>
              <w:rPr>
                <w:rFonts w:ascii="宋体" w:hAnsi="宋体"/>
                <w:color w:val="auto"/>
                <w:highlight w:val="none"/>
              </w:rPr>
              <w:t>6.1.14埋地油罐的人孔应设操作井。设在行车道下面的人孔井应采用加油站车行道下专用的密闭</w:t>
            </w:r>
            <w:r>
              <w:rPr>
                <w:rFonts w:hint="eastAsia" w:ascii="宋体" w:hAnsi="宋体"/>
                <w:color w:val="auto"/>
                <w:highlight w:val="none"/>
              </w:rPr>
              <w:t>井盖</w:t>
            </w:r>
            <w:r>
              <w:rPr>
                <w:rFonts w:ascii="宋体" w:hAnsi="宋体"/>
                <w:color w:val="auto"/>
                <w:highlight w:val="none"/>
              </w:rPr>
              <w:t>和井座。</w:t>
            </w:r>
          </w:p>
        </w:tc>
        <w:tc>
          <w:tcPr>
            <w:tcW w:w="916" w:type="pct"/>
            <w:vAlign w:val="center"/>
          </w:tcPr>
          <w:p w14:paraId="578CA72F">
            <w:pPr>
              <w:spacing w:line="280" w:lineRule="exact"/>
              <w:rPr>
                <w:rFonts w:ascii="宋体" w:hAnsi="宋体"/>
                <w:color w:val="auto"/>
                <w:highlight w:val="none"/>
              </w:rPr>
            </w:pPr>
            <w:r>
              <w:rPr>
                <w:rFonts w:hint="eastAsia" w:ascii="宋体" w:hAnsi="宋体"/>
                <w:color w:val="auto"/>
                <w:highlight w:val="none"/>
              </w:rPr>
              <w:t>设了操作井</w:t>
            </w:r>
          </w:p>
        </w:tc>
        <w:tc>
          <w:tcPr>
            <w:tcW w:w="364" w:type="pct"/>
            <w:vAlign w:val="center"/>
          </w:tcPr>
          <w:p w14:paraId="51D38B83">
            <w:pPr>
              <w:spacing w:line="280" w:lineRule="exact"/>
              <w:rPr>
                <w:rFonts w:ascii="宋体" w:hAnsi="宋体"/>
                <w:color w:val="auto"/>
                <w:highlight w:val="none"/>
              </w:rPr>
            </w:pPr>
            <w:r>
              <w:rPr>
                <w:rFonts w:ascii="宋体" w:hAnsi="宋体"/>
                <w:color w:val="auto"/>
                <w:highlight w:val="none"/>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highlight w:val="none"/>
              </w:rPr>
            </w:pPr>
          </w:p>
        </w:tc>
        <w:tc>
          <w:tcPr>
            <w:tcW w:w="3346" w:type="pct"/>
            <w:vAlign w:val="center"/>
          </w:tcPr>
          <w:p w14:paraId="67647A44">
            <w:pPr>
              <w:spacing w:line="280" w:lineRule="exact"/>
              <w:rPr>
                <w:rFonts w:ascii="宋体" w:hAnsi="宋体"/>
                <w:color w:val="auto"/>
                <w:highlight w:val="none"/>
              </w:rPr>
            </w:pPr>
            <w:r>
              <w:rPr>
                <w:rFonts w:ascii="宋体" w:hAnsi="宋体"/>
                <w:color w:val="auto"/>
                <w:highlight w:val="none"/>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highlight w:val="none"/>
              </w:rPr>
            </w:pPr>
            <w:r>
              <w:rPr>
                <w:rFonts w:hint="eastAsia" w:ascii="宋体" w:hAnsi="宋体"/>
                <w:color w:val="auto"/>
                <w:highlight w:val="none"/>
              </w:rPr>
              <w:t>设有液位仪，具备报警和自动停止功能</w:t>
            </w:r>
          </w:p>
        </w:tc>
        <w:tc>
          <w:tcPr>
            <w:tcW w:w="364" w:type="pct"/>
            <w:vAlign w:val="center"/>
          </w:tcPr>
          <w:p w14:paraId="54CE98FD">
            <w:pPr>
              <w:spacing w:line="280" w:lineRule="exact"/>
              <w:rPr>
                <w:rFonts w:ascii="宋体" w:hAnsi="宋体"/>
                <w:color w:val="auto"/>
                <w:highlight w:val="none"/>
              </w:rPr>
            </w:pPr>
            <w:r>
              <w:rPr>
                <w:rFonts w:ascii="宋体" w:hAnsi="宋体"/>
                <w:color w:val="auto"/>
                <w:highlight w:val="none"/>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highlight w:val="none"/>
              </w:rPr>
            </w:pPr>
          </w:p>
        </w:tc>
        <w:tc>
          <w:tcPr>
            <w:tcW w:w="3346" w:type="pct"/>
            <w:vAlign w:val="center"/>
          </w:tcPr>
          <w:p w14:paraId="2AAEE4E4">
            <w:pPr>
              <w:spacing w:line="280" w:lineRule="exact"/>
              <w:rPr>
                <w:rFonts w:ascii="宋体" w:hAnsi="宋体"/>
                <w:color w:val="auto"/>
                <w:highlight w:val="none"/>
              </w:rPr>
            </w:pPr>
            <w:r>
              <w:rPr>
                <w:rFonts w:ascii="宋体" w:hAnsi="宋体"/>
                <w:color w:val="auto"/>
                <w:highlight w:val="none"/>
              </w:rPr>
              <w:t>6.1.16设有油气回收系统的加油站，站内油罐应设带有高液位报警功能的液位监测系统。</w:t>
            </w:r>
            <w:r>
              <w:rPr>
                <w:rFonts w:hint="eastAsia" w:ascii="宋体" w:hAnsi="宋体"/>
                <w:color w:val="auto"/>
                <w:highlight w:val="none"/>
              </w:rPr>
              <w:t>SF双层油罐</w:t>
            </w:r>
            <w:r>
              <w:rPr>
                <w:rFonts w:ascii="宋体" w:hAnsi="宋体"/>
                <w:color w:val="auto"/>
                <w:highlight w:val="none"/>
              </w:rPr>
              <w:t>的液位监测系统尚应具备渗漏检测功能，渗漏检测分辨率不宜</w:t>
            </w:r>
            <w:r>
              <w:rPr>
                <w:rFonts w:hint="eastAsia" w:ascii="宋体" w:hAnsi="宋体"/>
                <w:color w:val="auto"/>
                <w:highlight w:val="none"/>
                <w:lang w:eastAsia="zh-CN"/>
              </w:rPr>
              <w:t>大于</w:t>
            </w:r>
            <w:r>
              <w:rPr>
                <w:rFonts w:ascii="宋体" w:hAnsi="宋体"/>
                <w:color w:val="auto"/>
                <w:highlight w:val="none"/>
              </w:rPr>
              <w:t>0.8L/h。</w:t>
            </w:r>
          </w:p>
        </w:tc>
        <w:tc>
          <w:tcPr>
            <w:tcW w:w="916" w:type="pct"/>
            <w:vAlign w:val="center"/>
          </w:tcPr>
          <w:p w14:paraId="441C6FEA">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液位仪有高液位报警功能</w:t>
            </w:r>
          </w:p>
        </w:tc>
        <w:tc>
          <w:tcPr>
            <w:tcW w:w="364" w:type="pct"/>
            <w:vAlign w:val="center"/>
          </w:tcPr>
          <w:p w14:paraId="6E5167D8">
            <w:pPr>
              <w:spacing w:line="280" w:lineRule="exact"/>
              <w:rPr>
                <w:rFonts w:ascii="宋体" w:hAnsi="宋体"/>
                <w:color w:val="auto"/>
                <w:highlight w:val="none"/>
              </w:rPr>
            </w:pPr>
            <w:r>
              <w:rPr>
                <w:rFonts w:ascii="宋体" w:hAnsi="宋体"/>
                <w:color w:val="auto"/>
                <w:highlight w:val="none"/>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highlight w:val="none"/>
              </w:rPr>
            </w:pPr>
          </w:p>
        </w:tc>
        <w:tc>
          <w:tcPr>
            <w:tcW w:w="3346" w:type="pct"/>
            <w:vAlign w:val="center"/>
          </w:tcPr>
          <w:p w14:paraId="32794900">
            <w:pPr>
              <w:spacing w:line="280" w:lineRule="exact"/>
              <w:rPr>
                <w:rFonts w:ascii="宋体" w:hAnsi="宋体"/>
                <w:color w:val="auto"/>
                <w:highlight w:val="none"/>
              </w:rPr>
            </w:pPr>
            <w:r>
              <w:rPr>
                <w:rFonts w:ascii="宋体" w:hAnsi="宋体"/>
                <w:color w:val="auto"/>
                <w:highlight w:val="none"/>
              </w:rPr>
              <w:t>6.1.17</w:t>
            </w:r>
            <w:r>
              <w:rPr>
                <w:rFonts w:hint="eastAsia" w:ascii="宋体" w:hAnsi="宋体"/>
                <w:color w:val="auto"/>
                <w:highlight w:val="none"/>
              </w:rPr>
              <w:t>与</w:t>
            </w:r>
            <w:r>
              <w:rPr>
                <w:rFonts w:ascii="宋体" w:hAnsi="宋体"/>
                <w:color w:val="auto"/>
                <w:highlight w:val="none"/>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559B8C4E">
            <w:pPr>
              <w:spacing w:line="280" w:lineRule="exact"/>
              <w:rPr>
                <w:rFonts w:ascii="宋体" w:hAnsi="宋体"/>
                <w:color w:val="auto"/>
                <w:highlight w:val="none"/>
              </w:rPr>
            </w:pPr>
            <w:r>
              <w:rPr>
                <w:rFonts w:hint="eastAsia" w:ascii="宋体" w:hAnsi="宋体"/>
                <w:color w:val="auto"/>
                <w:highlight w:val="none"/>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highlight w:val="none"/>
              </w:rPr>
            </w:pPr>
            <w:r>
              <w:rPr>
                <w:rFonts w:ascii="宋体" w:hAnsi="宋体"/>
                <w:b/>
                <w:color w:val="auto"/>
                <w:highlight w:val="none"/>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highlight w:val="none"/>
              </w:rPr>
            </w:pPr>
          </w:p>
        </w:tc>
        <w:tc>
          <w:tcPr>
            <w:tcW w:w="3346" w:type="pct"/>
            <w:vAlign w:val="center"/>
          </w:tcPr>
          <w:p w14:paraId="50F804D9">
            <w:pPr>
              <w:spacing w:line="280" w:lineRule="exact"/>
              <w:rPr>
                <w:rFonts w:ascii="宋体" w:hAnsi="宋体"/>
                <w:color w:val="auto"/>
                <w:highlight w:val="none"/>
              </w:rPr>
            </w:pPr>
            <w:r>
              <w:rPr>
                <w:rFonts w:ascii="宋体" w:hAnsi="宋体"/>
                <w:color w:val="auto"/>
                <w:highlight w:val="none"/>
              </w:rPr>
              <w:t>6.2.1加油机不得设置在室内。</w:t>
            </w:r>
          </w:p>
        </w:tc>
        <w:tc>
          <w:tcPr>
            <w:tcW w:w="916" w:type="pct"/>
            <w:vAlign w:val="center"/>
          </w:tcPr>
          <w:p w14:paraId="00F746C1">
            <w:pPr>
              <w:spacing w:line="280" w:lineRule="exact"/>
              <w:rPr>
                <w:rFonts w:ascii="宋体" w:hAnsi="宋体"/>
                <w:color w:val="auto"/>
                <w:highlight w:val="none"/>
              </w:rPr>
            </w:pPr>
            <w:r>
              <w:rPr>
                <w:rFonts w:ascii="宋体" w:hAnsi="宋体"/>
                <w:color w:val="auto"/>
                <w:highlight w:val="none"/>
              </w:rPr>
              <w:t>室外</w:t>
            </w:r>
          </w:p>
        </w:tc>
        <w:tc>
          <w:tcPr>
            <w:tcW w:w="364" w:type="pct"/>
            <w:vAlign w:val="center"/>
          </w:tcPr>
          <w:p w14:paraId="56E0CFB3">
            <w:pPr>
              <w:spacing w:line="280" w:lineRule="exact"/>
              <w:rPr>
                <w:rFonts w:ascii="宋体" w:hAnsi="宋体"/>
                <w:color w:val="auto"/>
                <w:highlight w:val="none"/>
              </w:rPr>
            </w:pPr>
            <w:r>
              <w:rPr>
                <w:rFonts w:ascii="宋体" w:hAnsi="宋体"/>
                <w:color w:val="auto"/>
                <w:highlight w:val="none"/>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highlight w:val="none"/>
              </w:rPr>
            </w:pPr>
          </w:p>
        </w:tc>
        <w:tc>
          <w:tcPr>
            <w:tcW w:w="3346" w:type="pct"/>
            <w:vAlign w:val="center"/>
          </w:tcPr>
          <w:p w14:paraId="522F9995">
            <w:pPr>
              <w:spacing w:line="280" w:lineRule="exact"/>
              <w:rPr>
                <w:rFonts w:ascii="宋体" w:hAnsi="宋体"/>
                <w:color w:val="auto"/>
                <w:highlight w:val="none"/>
              </w:rPr>
            </w:pPr>
            <w:r>
              <w:rPr>
                <w:rFonts w:ascii="宋体" w:hAnsi="宋体"/>
                <w:color w:val="auto"/>
                <w:highlight w:val="none"/>
              </w:rPr>
              <w:t>6.2.2加油枪应采用自封式加油枪，汽油加油枪的流量不应大于50L/min</w:t>
            </w:r>
          </w:p>
        </w:tc>
        <w:tc>
          <w:tcPr>
            <w:tcW w:w="916" w:type="pct"/>
            <w:vAlign w:val="center"/>
          </w:tcPr>
          <w:p w14:paraId="57355FA1">
            <w:pPr>
              <w:spacing w:line="280" w:lineRule="exact"/>
              <w:rPr>
                <w:rFonts w:ascii="宋体" w:hAnsi="宋体"/>
                <w:color w:val="auto"/>
                <w:highlight w:val="none"/>
              </w:rPr>
            </w:pPr>
            <w:r>
              <w:rPr>
                <w:rFonts w:ascii="宋体" w:hAnsi="宋体"/>
                <w:color w:val="auto"/>
                <w:highlight w:val="none"/>
              </w:rPr>
              <w:t>汽油</w:t>
            </w:r>
            <w:r>
              <w:rPr>
                <w:rFonts w:hint="eastAsia" w:ascii="宋体" w:hAnsi="宋体"/>
                <w:color w:val="auto"/>
                <w:highlight w:val="none"/>
              </w:rPr>
              <w:t>的</w:t>
            </w:r>
            <w:r>
              <w:rPr>
                <w:rFonts w:ascii="宋体" w:hAnsi="宋体"/>
                <w:color w:val="auto"/>
                <w:highlight w:val="none"/>
              </w:rPr>
              <w:t>加油枪</w:t>
            </w:r>
            <w:r>
              <w:rPr>
                <w:rFonts w:hint="eastAsia" w:ascii="宋体" w:hAnsi="宋体"/>
                <w:color w:val="auto"/>
                <w:highlight w:val="none"/>
              </w:rPr>
              <w:t>流量为5～</w:t>
            </w:r>
            <w:r>
              <w:rPr>
                <w:rFonts w:ascii="宋体" w:hAnsi="宋体"/>
                <w:color w:val="auto"/>
                <w:highlight w:val="none"/>
              </w:rPr>
              <w:t>50L/min</w:t>
            </w:r>
          </w:p>
        </w:tc>
        <w:tc>
          <w:tcPr>
            <w:tcW w:w="364" w:type="pct"/>
            <w:vAlign w:val="center"/>
          </w:tcPr>
          <w:p w14:paraId="73912B8B">
            <w:pPr>
              <w:spacing w:line="280" w:lineRule="exact"/>
              <w:rPr>
                <w:rFonts w:ascii="宋体" w:hAnsi="宋体"/>
                <w:color w:val="auto"/>
                <w:highlight w:val="none"/>
              </w:rPr>
            </w:pPr>
            <w:r>
              <w:rPr>
                <w:rFonts w:ascii="宋体" w:hAnsi="宋体"/>
                <w:color w:val="auto"/>
                <w:highlight w:val="none"/>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highlight w:val="none"/>
              </w:rPr>
            </w:pPr>
          </w:p>
        </w:tc>
        <w:tc>
          <w:tcPr>
            <w:tcW w:w="3346" w:type="pct"/>
            <w:vAlign w:val="center"/>
          </w:tcPr>
          <w:p w14:paraId="6ED114BA">
            <w:pPr>
              <w:spacing w:line="280" w:lineRule="exact"/>
              <w:rPr>
                <w:rFonts w:ascii="宋体" w:hAnsi="宋体"/>
                <w:color w:val="auto"/>
                <w:highlight w:val="none"/>
              </w:rPr>
            </w:pPr>
            <w:r>
              <w:rPr>
                <w:rFonts w:ascii="宋体" w:hAnsi="宋体"/>
                <w:color w:val="auto"/>
                <w:highlight w:val="none"/>
              </w:rPr>
              <w:t>6.2.3加油软管上宜设安全拉断阀。</w:t>
            </w:r>
          </w:p>
        </w:tc>
        <w:tc>
          <w:tcPr>
            <w:tcW w:w="916" w:type="pct"/>
            <w:vAlign w:val="center"/>
          </w:tcPr>
          <w:p w14:paraId="2765C0CC">
            <w:pPr>
              <w:spacing w:line="280" w:lineRule="exact"/>
              <w:rPr>
                <w:rFonts w:ascii="宋体" w:hAnsi="宋体"/>
                <w:color w:val="auto"/>
                <w:highlight w:val="none"/>
              </w:rPr>
            </w:pPr>
            <w:r>
              <w:rPr>
                <w:rFonts w:ascii="宋体" w:hAnsi="宋体"/>
                <w:color w:val="auto"/>
                <w:highlight w:val="none"/>
              </w:rPr>
              <w:t>设安全拉断阀</w:t>
            </w:r>
          </w:p>
        </w:tc>
        <w:tc>
          <w:tcPr>
            <w:tcW w:w="364" w:type="pct"/>
            <w:vAlign w:val="center"/>
          </w:tcPr>
          <w:p w14:paraId="210890CA">
            <w:pPr>
              <w:spacing w:line="280" w:lineRule="exact"/>
              <w:rPr>
                <w:rFonts w:ascii="宋体" w:hAnsi="宋体"/>
                <w:color w:val="auto"/>
                <w:highlight w:val="none"/>
              </w:rPr>
            </w:pPr>
            <w:r>
              <w:rPr>
                <w:rFonts w:ascii="宋体" w:hAnsi="宋体"/>
                <w:color w:val="auto"/>
                <w:highlight w:val="none"/>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highlight w:val="none"/>
              </w:rPr>
            </w:pPr>
          </w:p>
        </w:tc>
        <w:tc>
          <w:tcPr>
            <w:tcW w:w="3346" w:type="pct"/>
            <w:vAlign w:val="center"/>
          </w:tcPr>
          <w:p w14:paraId="13F6935D">
            <w:pPr>
              <w:spacing w:line="280" w:lineRule="exact"/>
              <w:rPr>
                <w:rFonts w:ascii="宋体" w:hAnsi="宋体"/>
                <w:color w:val="auto"/>
                <w:highlight w:val="none"/>
              </w:rPr>
            </w:pPr>
            <w:r>
              <w:rPr>
                <w:rFonts w:ascii="宋体" w:hAnsi="宋体"/>
                <w:color w:val="auto"/>
                <w:highlight w:val="none"/>
              </w:rPr>
              <w:t>6.2.4以正压</w:t>
            </w:r>
            <w:r>
              <w:rPr>
                <w:rFonts w:hint="eastAsia" w:ascii="宋体" w:hAnsi="宋体"/>
                <w:color w:val="auto"/>
                <w:highlight w:val="none"/>
                <w:lang w:eastAsia="zh-CN"/>
              </w:rPr>
              <w:t>（</w:t>
            </w:r>
            <w:r>
              <w:rPr>
                <w:rFonts w:ascii="宋体" w:hAnsi="宋体"/>
                <w:color w:val="auto"/>
                <w:highlight w:val="none"/>
              </w:rPr>
              <w:t>潜油泵</w:t>
            </w:r>
            <w:r>
              <w:rPr>
                <w:rFonts w:hint="eastAsia" w:ascii="宋体" w:hAnsi="宋体"/>
                <w:color w:val="auto"/>
                <w:highlight w:val="none"/>
                <w:lang w:eastAsia="zh-CN"/>
              </w:rPr>
              <w:t>）</w:t>
            </w:r>
            <w:r>
              <w:rPr>
                <w:rFonts w:ascii="宋体" w:hAnsi="宋体"/>
                <w:color w:val="auto"/>
                <w:highlight w:val="none"/>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highlight w:val="none"/>
              </w:rPr>
            </w:pPr>
            <w:r>
              <w:rPr>
                <w:rFonts w:ascii="宋体" w:hAnsi="宋体"/>
                <w:color w:val="auto"/>
                <w:highlight w:val="none"/>
              </w:rPr>
              <w:t>设有剪切阀</w:t>
            </w:r>
          </w:p>
        </w:tc>
        <w:tc>
          <w:tcPr>
            <w:tcW w:w="364" w:type="pct"/>
            <w:vAlign w:val="center"/>
          </w:tcPr>
          <w:p w14:paraId="2FB07684">
            <w:pPr>
              <w:spacing w:line="280" w:lineRule="exact"/>
              <w:rPr>
                <w:rFonts w:ascii="宋体" w:hAnsi="宋体"/>
                <w:color w:val="auto"/>
                <w:highlight w:val="none"/>
              </w:rPr>
            </w:pPr>
            <w:r>
              <w:rPr>
                <w:rFonts w:ascii="宋体" w:hAnsi="宋体"/>
                <w:color w:val="auto"/>
                <w:highlight w:val="none"/>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highlight w:val="none"/>
              </w:rPr>
            </w:pPr>
          </w:p>
        </w:tc>
        <w:tc>
          <w:tcPr>
            <w:tcW w:w="3346" w:type="pct"/>
            <w:vAlign w:val="center"/>
          </w:tcPr>
          <w:p w14:paraId="47B2FE31">
            <w:pPr>
              <w:spacing w:line="280" w:lineRule="exact"/>
              <w:rPr>
                <w:rFonts w:ascii="宋体" w:hAnsi="宋体"/>
                <w:color w:val="auto"/>
                <w:highlight w:val="none"/>
              </w:rPr>
            </w:pPr>
            <w:r>
              <w:rPr>
                <w:rFonts w:ascii="宋体" w:hAnsi="宋体"/>
                <w:color w:val="auto"/>
                <w:highlight w:val="none"/>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highlight w:val="none"/>
              </w:rPr>
            </w:pPr>
            <w:r>
              <w:rPr>
                <w:rFonts w:ascii="宋体" w:hAnsi="宋体"/>
                <w:color w:val="auto"/>
                <w:highlight w:val="none"/>
              </w:rPr>
              <w:t>有各油品的文字标识，加油枪有颜色标识</w:t>
            </w:r>
          </w:p>
        </w:tc>
        <w:tc>
          <w:tcPr>
            <w:tcW w:w="364" w:type="pct"/>
            <w:vAlign w:val="center"/>
          </w:tcPr>
          <w:p w14:paraId="3FEA2C2D">
            <w:pPr>
              <w:spacing w:line="280" w:lineRule="exact"/>
              <w:rPr>
                <w:rFonts w:ascii="宋体" w:hAnsi="宋体"/>
                <w:color w:val="auto"/>
                <w:highlight w:val="none"/>
              </w:rPr>
            </w:pPr>
            <w:r>
              <w:rPr>
                <w:rFonts w:ascii="宋体" w:hAnsi="宋体"/>
                <w:color w:val="auto"/>
                <w:highlight w:val="none"/>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highlight w:val="none"/>
              </w:rPr>
            </w:pPr>
            <w:r>
              <w:rPr>
                <w:rFonts w:ascii="宋体" w:hAnsi="宋体"/>
                <w:b/>
                <w:color w:val="auto"/>
                <w:highlight w:val="none"/>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highlight w:val="none"/>
              </w:rPr>
            </w:pPr>
          </w:p>
        </w:tc>
        <w:tc>
          <w:tcPr>
            <w:tcW w:w="3346" w:type="pct"/>
            <w:vAlign w:val="center"/>
          </w:tcPr>
          <w:p w14:paraId="1980B864">
            <w:pPr>
              <w:spacing w:line="280" w:lineRule="exact"/>
              <w:rPr>
                <w:rFonts w:ascii="宋体" w:hAnsi="宋体"/>
                <w:color w:val="auto"/>
                <w:highlight w:val="none"/>
              </w:rPr>
            </w:pPr>
            <w:r>
              <w:rPr>
                <w:rFonts w:ascii="宋体" w:hAnsi="宋体"/>
                <w:color w:val="auto"/>
                <w:highlight w:val="none"/>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highlight w:val="none"/>
              </w:rPr>
            </w:pPr>
            <w:r>
              <w:rPr>
                <w:rFonts w:ascii="宋体" w:hAnsi="宋体"/>
                <w:color w:val="auto"/>
                <w:highlight w:val="none"/>
              </w:rPr>
              <w:t>密闭卸油</w:t>
            </w:r>
            <w:r>
              <w:rPr>
                <w:rFonts w:hint="eastAsia" w:ascii="宋体" w:hAnsi="宋体"/>
                <w:color w:val="auto"/>
                <w:highlight w:val="none"/>
              </w:rPr>
              <w:t>，有卸油油气回收系统</w:t>
            </w:r>
          </w:p>
        </w:tc>
        <w:tc>
          <w:tcPr>
            <w:tcW w:w="364" w:type="pct"/>
            <w:vAlign w:val="center"/>
          </w:tcPr>
          <w:p w14:paraId="2488C93D">
            <w:pPr>
              <w:spacing w:line="280" w:lineRule="exact"/>
              <w:rPr>
                <w:rFonts w:ascii="宋体" w:hAnsi="宋体"/>
                <w:color w:val="auto"/>
                <w:highlight w:val="none"/>
              </w:rPr>
            </w:pPr>
            <w:r>
              <w:rPr>
                <w:rFonts w:ascii="宋体" w:hAnsi="宋体"/>
                <w:color w:val="auto"/>
                <w:highlight w:val="none"/>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highlight w:val="none"/>
              </w:rPr>
            </w:pPr>
          </w:p>
        </w:tc>
        <w:tc>
          <w:tcPr>
            <w:tcW w:w="3346" w:type="pct"/>
            <w:vAlign w:val="center"/>
          </w:tcPr>
          <w:p w14:paraId="4EE62E2D">
            <w:pPr>
              <w:spacing w:line="280" w:lineRule="exact"/>
              <w:rPr>
                <w:rFonts w:ascii="宋体" w:hAnsi="宋体"/>
                <w:color w:val="auto"/>
                <w:highlight w:val="none"/>
              </w:rPr>
            </w:pPr>
            <w:r>
              <w:rPr>
                <w:rFonts w:ascii="宋体" w:hAnsi="宋体"/>
                <w:color w:val="auto"/>
                <w:highlight w:val="none"/>
              </w:rPr>
              <w:t>6.3.2每个油罐应各自设置卸油管道和卸油</w:t>
            </w:r>
            <w:r>
              <w:rPr>
                <w:rFonts w:hint="eastAsia" w:ascii="宋体" w:hAnsi="宋体"/>
                <w:color w:val="auto"/>
                <w:highlight w:val="none"/>
                <w:lang w:eastAsia="zh-CN"/>
              </w:rPr>
              <w:t>接口</w:t>
            </w:r>
            <w:r>
              <w:rPr>
                <w:rFonts w:ascii="宋体" w:hAnsi="宋体"/>
                <w:color w:val="auto"/>
                <w:highlight w:val="none"/>
              </w:rPr>
              <w:t>卸油接口及油气回收接口应有明显的标识。</w:t>
            </w:r>
          </w:p>
        </w:tc>
        <w:tc>
          <w:tcPr>
            <w:tcW w:w="916" w:type="pct"/>
            <w:vAlign w:val="center"/>
          </w:tcPr>
          <w:p w14:paraId="72F26E51">
            <w:pPr>
              <w:spacing w:line="280" w:lineRule="exact"/>
              <w:rPr>
                <w:rFonts w:ascii="宋体" w:hAnsi="宋体"/>
                <w:color w:val="auto"/>
                <w:highlight w:val="none"/>
              </w:rPr>
            </w:pPr>
            <w:r>
              <w:rPr>
                <w:rFonts w:ascii="宋体" w:hAnsi="宋体"/>
                <w:color w:val="auto"/>
                <w:highlight w:val="none"/>
              </w:rPr>
              <w:t>有</w:t>
            </w:r>
            <w:r>
              <w:rPr>
                <w:rFonts w:hint="eastAsia" w:ascii="宋体" w:hAnsi="宋体"/>
                <w:color w:val="auto"/>
                <w:highlight w:val="none"/>
              </w:rPr>
              <w:t>明显</w:t>
            </w:r>
            <w:r>
              <w:rPr>
                <w:rFonts w:ascii="宋体" w:hAnsi="宋体"/>
                <w:color w:val="auto"/>
                <w:highlight w:val="none"/>
              </w:rPr>
              <w:t>标识</w:t>
            </w:r>
          </w:p>
        </w:tc>
        <w:tc>
          <w:tcPr>
            <w:tcW w:w="364" w:type="pct"/>
            <w:vAlign w:val="center"/>
          </w:tcPr>
          <w:p w14:paraId="498E5F30">
            <w:pPr>
              <w:spacing w:line="280" w:lineRule="exact"/>
              <w:rPr>
                <w:rFonts w:ascii="宋体" w:hAnsi="宋体"/>
                <w:color w:val="auto"/>
                <w:highlight w:val="none"/>
              </w:rPr>
            </w:pPr>
            <w:r>
              <w:rPr>
                <w:rFonts w:ascii="宋体" w:hAnsi="宋体"/>
                <w:color w:val="auto"/>
                <w:highlight w:val="none"/>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highlight w:val="none"/>
              </w:rPr>
            </w:pPr>
          </w:p>
        </w:tc>
        <w:tc>
          <w:tcPr>
            <w:tcW w:w="3346" w:type="pct"/>
            <w:vAlign w:val="center"/>
          </w:tcPr>
          <w:p w14:paraId="476F9028">
            <w:pPr>
              <w:spacing w:line="280" w:lineRule="exact"/>
              <w:rPr>
                <w:rFonts w:ascii="宋体" w:hAnsi="宋体"/>
                <w:color w:val="auto"/>
                <w:highlight w:val="none"/>
              </w:rPr>
            </w:pPr>
            <w:r>
              <w:rPr>
                <w:rFonts w:ascii="宋体" w:hAnsi="宋体"/>
                <w:color w:val="auto"/>
                <w:highlight w:val="none"/>
              </w:rPr>
              <w:t>6.3.3卸油接口应设置快速接头及密封盖。</w:t>
            </w:r>
          </w:p>
        </w:tc>
        <w:tc>
          <w:tcPr>
            <w:tcW w:w="916" w:type="pct"/>
            <w:vAlign w:val="center"/>
          </w:tcPr>
          <w:p w14:paraId="3DB73330">
            <w:pPr>
              <w:spacing w:line="280" w:lineRule="exact"/>
              <w:rPr>
                <w:rFonts w:ascii="宋体" w:hAnsi="宋体"/>
                <w:color w:val="auto"/>
                <w:highlight w:val="none"/>
              </w:rPr>
            </w:pPr>
            <w:r>
              <w:rPr>
                <w:rFonts w:ascii="宋体" w:hAnsi="宋体"/>
                <w:color w:val="auto"/>
                <w:highlight w:val="none"/>
              </w:rPr>
              <w:t>设置快速接头及密封盖</w:t>
            </w:r>
          </w:p>
        </w:tc>
        <w:tc>
          <w:tcPr>
            <w:tcW w:w="364" w:type="pct"/>
            <w:vAlign w:val="center"/>
          </w:tcPr>
          <w:p w14:paraId="336060C4">
            <w:pPr>
              <w:spacing w:line="280" w:lineRule="exact"/>
              <w:rPr>
                <w:rFonts w:ascii="宋体" w:hAnsi="宋体"/>
                <w:color w:val="auto"/>
                <w:highlight w:val="none"/>
              </w:rPr>
            </w:pPr>
            <w:r>
              <w:rPr>
                <w:rFonts w:ascii="宋体" w:hAnsi="宋体"/>
                <w:color w:val="auto"/>
                <w:highlight w:val="none"/>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highlight w:val="none"/>
              </w:rPr>
            </w:pPr>
          </w:p>
        </w:tc>
        <w:tc>
          <w:tcPr>
            <w:tcW w:w="3346" w:type="pct"/>
            <w:vAlign w:val="center"/>
          </w:tcPr>
          <w:p w14:paraId="4E6640B4">
            <w:pPr>
              <w:spacing w:line="280" w:lineRule="exact"/>
              <w:rPr>
                <w:rFonts w:ascii="宋体" w:hAnsi="宋体"/>
                <w:color w:val="auto"/>
                <w:highlight w:val="none"/>
              </w:rPr>
            </w:pPr>
            <w:r>
              <w:rPr>
                <w:rFonts w:ascii="宋体" w:hAnsi="宋体"/>
                <w:color w:val="auto"/>
                <w:highlight w:val="none"/>
              </w:rPr>
              <w:t>6.3.4加油站卸油油气回收系统的设计应符合下列规定：</w:t>
            </w:r>
          </w:p>
          <w:p w14:paraId="2DBD40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汽油罐车向站内油罐卸油应采用平衡式密闭油气回收系统；</w:t>
            </w:r>
          </w:p>
          <w:p w14:paraId="6E89C735">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各汽油罐可共用一根卸油油气回收主管，</w:t>
            </w:r>
            <w:r>
              <w:rPr>
                <w:rFonts w:hint="eastAsia" w:ascii="宋体" w:hAnsi="宋体"/>
                <w:color w:val="auto"/>
                <w:highlight w:val="none"/>
              </w:rPr>
              <w:t>回收</w:t>
            </w:r>
            <w:r>
              <w:rPr>
                <w:rFonts w:ascii="宋体" w:hAnsi="宋体"/>
                <w:color w:val="auto"/>
                <w:highlight w:val="none"/>
              </w:rPr>
              <w:t>主管的公称直径不宜小于100mm</w:t>
            </w:r>
          </w:p>
          <w:p w14:paraId="14BE1379">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highlight w:val="none"/>
              </w:rPr>
            </w:pPr>
            <w:r>
              <w:rPr>
                <w:rFonts w:ascii="宋体" w:hAnsi="宋体"/>
                <w:color w:val="auto"/>
                <w:highlight w:val="none"/>
              </w:rPr>
              <w:t>采用密闭式油气回收；卸油油气回收管道采用快速接头</w:t>
            </w:r>
            <w:r>
              <w:rPr>
                <w:rFonts w:hint="eastAsia" w:ascii="宋体" w:hAnsi="宋体"/>
                <w:color w:val="auto"/>
                <w:highlight w:val="none"/>
              </w:rPr>
              <w:t>和盖帽</w:t>
            </w:r>
          </w:p>
        </w:tc>
        <w:tc>
          <w:tcPr>
            <w:tcW w:w="364" w:type="pct"/>
            <w:vAlign w:val="center"/>
          </w:tcPr>
          <w:p w14:paraId="05ED56F1">
            <w:pPr>
              <w:spacing w:line="280" w:lineRule="exact"/>
              <w:rPr>
                <w:rFonts w:ascii="宋体" w:hAnsi="宋体"/>
                <w:color w:val="auto"/>
                <w:highlight w:val="none"/>
              </w:rPr>
            </w:pPr>
            <w:r>
              <w:rPr>
                <w:rFonts w:ascii="宋体" w:hAnsi="宋体"/>
                <w:color w:val="auto"/>
                <w:highlight w:val="none"/>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highlight w:val="none"/>
              </w:rPr>
            </w:pPr>
          </w:p>
        </w:tc>
        <w:tc>
          <w:tcPr>
            <w:tcW w:w="3346" w:type="pct"/>
            <w:vAlign w:val="center"/>
          </w:tcPr>
          <w:p w14:paraId="6ADF7409">
            <w:pPr>
              <w:spacing w:line="280" w:lineRule="exact"/>
              <w:rPr>
                <w:rFonts w:ascii="宋体" w:hAnsi="宋体"/>
                <w:color w:val="auto"/>
                <w:highlight w:val="none"/>
              </w:rPr>
            </w:pPr>
            <w:r>
              <w:rPr>
                <w:rFonts w:ascii="宋体" w:hAnsi="宋体"/>
                <w:color w:val="auto"/>
                <w:highlight w:val="none"/>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highlight w:val="none"/>
              </w:rPr>
            </w:pPr>
            <w:r>
              <w:rPr>
                <w:rFonts w:hint="eastAsia" w:ascii="宋体" w:hAnsi="宋体"/>
                <w:color w:val="auto"/>
                <w:highlight w:val="none"/>
              </w:rPr>
              <w:t>装设有潜油泵</w:t>
            </w:r>
          </w:p>
        </w:tc>
        <w:tc>
          <w:tcPr>
            <w:tcW w:w="364" w:type="pct"/>
            <w:vAlign w:val="center"/>
          </w:tcPr>
          <w:p w14:paraId="21E01BA5">
            <w:pPr>
              <w:spacing w:line="280" w:lineRule="exact"/>
              <w:rPr>
                <w:rFonts w:ascii="宋体" w:hAnsi="宋体"/>
                <w:color w:val="auto"/>
                <w:highlight w:val="none"/>
              </w:rPr>
            </w:pPr>
            <w:r>
              <w:rPr>
                <w:rFonts w:ascii="宋体" w:hAnsi="宋体"/>
                <w:color w:val="auto"/>
                <w:highlight w:val="none"/>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highlight w:val="none"/>
              </w:rPr>
            </w:pPr>
          </w:p>
        </w:tc>
        <w:tc>
          <w:tcPr>
            <w:tcW w:w="3346" w:type="pct"/>
            <w:vAlign w:val="center"/>
          </w:tcPr>
          <w:p w14:paraId="4DA82B21">
            <w:pPr>
              <w:spacing w:line="280" w:lineRule="exact"/>
              <w:rPr>
                <w:rFonts w:ascii="宋体" w:hAnsi="宋体"/>
                <w:color w:val="auto"/>
                <w:highlight w:val="none"/>
              </w:rPr>
            </w:pPr>
            <w:r>
              <w:rPr>
                <w:rFonts w:ascii="宋体" w:hAnsi="宋体"/>
                <w:color w:val="auto"/>
                <w:highlight w:val="none"/>
              </w:rPr>
              <w:t>6.3.6加油站应采用加油油气回收系统。</w:t>
            </w:r>
          </w:p>
        </w:tc>
        <w:tc>
          <w:tcPr>
            <w:tcW w:w="916" w:type="pct"/>
            <w:vAlign w:val="center"/>
          </w:tcPr>
          <w:p w14:paraId="10EF67C5">
            <w:pPr>
              <w:spacing w:line="280" w:lineRule="exact"/>
              <w:rPr>
                <w:rFonts w:ascii="宋体" w:hAnsi="宋体"/>
                <w:color w:val="auto"/>
                <w:highlight w:val="none"/>
              </w:rPr>
            </w:pPr>
            <w:r>
              <w:rPr>
                <w:rFonts w:ascii="宋体" w:hAnsi="宋体"/>
                <w:color w:val="auto"/>
                <w:highlight w:val="none"/>
              </w:rPr>
              <w:t>采用加油油气回收系统</w:t>
            </w:r>
          </w:p>
        </w:tc>
        <w:tc>
          <w:tcPr>
            <w:tcW w:w="364" w:type="pct"/>
            <w:vAlign w:val="center"/>
          </w:tcPr>
          <w:p w14:paraId="34EF9857">
            <w:pPr>
              <w:spacing w:line="280" w:lineRule="exact"/>
              <w:rPr>
                <w:rFonts w:ascii="宋体" w:hAnsi="宋体"/>
                <w:color w:val="auto"/>
                <w:highlight w:val="none"/>
              </w:rPr>
            </w:pPr>
            <w:r>
              <w:rPr>
                <w:rFonts w:ascii="宋体" w:hAnsi="宋体"/>
                <w:color w:val="auto"/>
                <w:highlight w:val="none"/>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真空辅助式油气回收系统</w:t>
            </w:r>
            <w:r>
              <w:rPr>
                <w:rFonts w:hint="eastAsia" w:ascii="宋体" w:hAnsi="宋体"/>
                <w:color w:val="auto"/>
                <w:highlight w:val="none"/>
              </w:rPr>
              <w:t>，</w:t>
            </w:r>
            <w:r>
              <w:rPr>
                <w:rFonts w:ascii="宋体" w:hAnsi="宋体"/>
                <w:color w:val="auto"/>
                <w:highlight w:val="none"/>
              </w:rPr>
              <w:t>油气回收主管的公称直径50mm</w:t>
            </w:r>
            <w:r>
              <w:rPr>
                <w:rFonts w:hint="eastAsia" w:ascii="宋体" w:hAnsi="宋体"/>
                <w:color w:val="auto"/>
                <w:highlight w:val="none"/>
              </w:rPr>
              <w:t>，有</w:t>
            </w:r>
            <w:r>
              <w:rPr>
                <w:rFonts w:ascii="宋体" w:hAnsi="宋体"/>
                <w:color w:val="auto"/>
                <w:highlight w:val="none"/>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接合管应设在油罐的顶部，其中进油接合管、出</w:t>
            </w:r>
            <w:r>
              <w:rPr>
                <w:rFonts w:hint="eastAsia" w:ascii="宋体" w:hAnsi="宋体"/>
                <w:color w:val="auto"/>
                <w:highlight w:val="none"/>
              </w:rPr>
              <w:t>油</w:t>
            </w:r>
            <w:r>
              <w:rPr>
                <w:rFonts w:ascii="宋体" w:hAnsi="宋体"/>
                <w:color w:val="auto"/>
                <w:highlight w:val="none"/>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进油管应伸至罐内距罐底50mm</w:t>
            </w:r>
            <w:r>
              <w:rPr>
                <w:rFonts w:hint="eastAsia" w:ascii="宋体" w:hAnsi="宋体"/>
                <w:color w:val="auto"/>
                <w:highlight w:val="none"/>
                <w:lang w:eastAsia="zh-CN"/>
              </w:rPr>
              <w:t>～</w:t>
            </w:r>
            <w:r>
              <w:rPr>
                <w:rFonts w:ascii="宋体" w:hAnsi="宋体"/>
                <w:color w:val="auto"/>
                <w:highlight w:val="none"/>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罐内潜油泵的入油口或通往自吸式加油机管道的罐内底阀，应高于罐底150mm</w:t>
            </w:r>
            <w:r>
              <w:rPr>
                <w:rFonts w:hint="eastAsia" w:ascii="宋体" w:hAnsi="宋体"/>
                <w:color w:val="auto"/>
                <w:highlight w:val="none"/>
                <w:lang w:eastAsia="zh-CN"/>
              </w:rPr>
              <w:t>～</w:t>
            </w:r>
            <w:r>
              <w:rPr>
                <w:rFonts w:ascii="宋体" w:hAnsi="宋体"/>
                <w:color w:val="auto"/>
                <w:highlight w:val="none"/>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油罐的量油孔应设带锁的量油帽，量油孔</w:t>
            </w:r>
            <w:r>
              <w:rPr>
                <w:rFonts w:hint="eastAsia" w:ascii="宋体" w:hAnsi="宋体"/>
                <w:color w:val="auto"/>
                <w:highlight w:val="none"/>
              </w:rPr>
              <w:t>下</w:t>
            </w:r>
            <w:r>
              <w:rPr>
                <w:rFonts w:ascii="宋体" w:hAnsi="宋体"/>
                <w:color w:val="auto"/>
                <w:highlight w:val="none"/>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lang w:eastAsia="zh-CN"/>
              </w:rPr>
              <w:t>、</w:t>
            </w:r>
            <w:r>
              <w:rPr>
                <w:rFonts w:ascii="宋体" w:hAnsi="宋体"/>
                <w:color w:val="auto"/>
                <w:highlight w:val="none"/>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量油孔设</w:t>
            </w:r>
            <w:r>
              <w:rPr>
                <w:rFonts w:hint="eastAsia" w:ascii="宋体" w:hAnsi="宋体"/>
                <w:color w:val="auto"/>
                <w:highlight w:val="none"/>
              </w:rPr>
              <w:t>有</w:t>
            </w:r>
            <w:r>
              <w:rPr>
                <w:rFonts w:ascii="宋体" w:hAnsi="宋体"/>
                <w:color w:val="auto"/>
                <w:highlight w:val="none"/>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人</w:t>
            </w:r>
            <w:r>
              <w:rPr>
                <w:rFonts w:ascii="宋体" w:hAnsi="宋体"/>
                <w:color w:val="auto"/>
                <w:highlight w:val="none"/>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highlight w:val="none"/>
              </w:rPr>
            </w:pPr>
          </w:p>
        </w:tc>
        <w:tc>
          <w:tcPr>
            <w:tcW w:w="3346" w:type="pct"/>
            <w:vAlign w:val="center"/>
          </w:tcPr>
          <w:p w14:paraId="548BE804">
            <w:pPr>
              <w:spacing w:line="280" w:lineRule="exact"/>
              <w:rPr>
                <w:rFonts w:ascii="宋体" w:hAnsi="宋体"/>
                <w:color w:val="auto"/>
                <w:highlight w:val="none"/>
              </w:rPr>
            </w:pPr>
            <w:r>
              <w:rPr>
                <w:rFonts w:ascii="宋体" w:hAnsi="宋体"/>
                <w:color w:val="auto"/>
                <w:highlight w:val="none"/>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highlight w:val="none"/>
              </w:rPr>
            </w:pPr>
            <w:r>
              <w:rPr>
                <w:rFonts w:hint="eastAsia" w:ascii="宋体" w:hAnsi="宋体"/>
                <w:color w:val="auto"/>
                <w:highlight w:val="none"/>
              </w:rPr>
              <w:t>分散</w:t>
            </w:r>
            <w:r>
              <w:rPr>
                <w:rFonts w:ascii="宋体" w:hAnsi="宋体"/>
                <w:color w:val="auto"/>
                <w:highlight w:val="none"/>
              </w:rPr>
              <w:t>设置</w:t>
            </w:r>
            <w:r>
              <w:rPr>
                <w:rFonts w:hint="eastAsia" w:ascii="宋体" w:hAnsi="宋体"/>
                <w:color w:val="auto"/>
                <w:highlight w:val="none"/>
              </w:rPr>
              <w:t>，高4m，</w:t>
            </w:r>
            <w:r>
              <w:rPr>
                <w:rFonts w:ascii="宋体" w:hAnsi="宋体"/>
                <w:color w:val="auto"/>
                <w:highlight w:val="none"/>
              </w:rPr>
              <w:t>设</w:t>
            </w:r>
            <w:r>
              <w:rPr>
                <w:rFonts w:hint="eastAsia" w:ascii="宋体" w:hAnsi="宋体"/>
                <w:color w:val="auto"/>
                <w:highlight w:val="none"/>
              </w:rPr>
              <w:t>有</w:t>
            </w:r>
            <w:r>
              <w:rPr>
                <w:rFonts w:ascii="宋体" w:hAnsi="宋体"/>
                <w:color w:val="auto"/>
                <w:highlight w:val="none"/>
              </w:rPr>
              <w:t>阻火器</w:t>
            </w:r>
          </w:p>
        </w:tc>
        <w:tc>
          <w:tcPr>
            <w:tcW w:w="364" w:type="pct"/>
            <w:vAlign w:val="center"/>
          </w:tcPr>
          <w:p w14:paraId="047EAA8E">
            <w:pPr>
              <w:spacing w:line="280" w:lineRule="exact"/>
              <w:rPr>
                <w:rFonts w:ascii="宋体" w:hAnsi="宋体"/>
                <w:color w:val="auto"/>
                <w:highlight w:val="none"/>
              </w:rPr>
            </w:pPr>
            <w:r>
              <w:rPr>
                <w:rFonts w:ascii="宋体" w:hAnsi="宋体"/>
                <w:color w:val="auto"/>
                <w:highlight w:val="none"/>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highlight w:val="none"/>
              </w:rPr>
            </w:pPr>
          </w:p>
        </w:tc>
        <w:tc>
          <w:tcPr>
            <w:tcW w:w="3346" w:type="pct"/>
            <w:vAlign w:val="center"/>
          </w:tcPr>
          <w:p w14:paraId="6A23F71D">
            <w:pPr>
              <w:spacing w:line="280" w:lineRule="exact"/>
              <w:rPr>
                <w:rFonts w:ascii="宋体" w:hAnsi="宋体"/>
                <w:color w:val="auto"/>
                <w:highlight w:val="none"/>
              </w:rPr>
            </w:pPr>
            <w:r>
              <w:rPr>
                <w:rFonts w:ascii="宋体" w:hAnsi="宋体"/>
                <w:color w:val="auto"/>
                <w:highlight w:val="none"/>
              </w:rPr>
              <w:t>6.3.10通气管的公称直径不应小于50mm。</w:t>
            </w:r>
          </w:p>
        </w:tc>
        <w:tc>
          <w:tcPr>
            <w:tcW w:w="916" w:type="pct"/>
            <w:vAlign w:val="center"/>
          </w:tcPr>
          <w:p w14:paraId="3B3ECC74">
            <w:pPr>
              <w:spacing w:line="280" w:lineRule="exact"/>
              <w:rPr>
                <w:rFonts w:ascii="宋体" w:hAnsi="宋体"/>
                <w:color w:val="auto"/>
                <w:highlight w:val="none"/>
              </w:rPr>
            </w:pPr>
            <w:r>
              <w:rPr>
                <w:rFonts w:ascii="宋体" w:hAnsi="宋体"/>
                <w:color w:val="auto"/>
                <w:highlight w:val="none"/>
              </w:rPr>
              <w:t>50mm</w:t>
            </w:r>
          </w:p>
        </w:tc>
        <w:tc>
          <w:tcPr>
            <w:tcW w:w="364" w:type="pct"/>
            <w:vAlign w:val="center"/>
          </w:tcPr>
          <w:p w14:paraId="77AD6C27">
            <w:pPr>
              <w:spacing w:line="280" w:lineRule="exact"/>
              <w:rPr>
                <w:rFonts w:ascii="宋体" w:hAnsi="宋体"/>
                <w:color w:val="auto"/>
                <w:highlight w:val="none"/>
              </w:rPr>
            </w:pPr>
            <w:r>
              <w:rPr>
                <w:rFonts w:ascii="宋体" w:hAnsi="宋体"/>
                <w:color w:val="auto"/>
                <w:highlight w:val="none"/>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highlight w:val="none"/>
              </w:rPr>
            </w:pPr>
          </w:p>
        </w:tc>
        <w:tc>
          <w:tcPr>
            <w:tcW w:w="3346" w:type="pct"/>
            <w:vAlign w:val="center"/>
          </w:tcPr>
          <w:p w14:paraId="185A576C">
            <w:pPr>
              <w:spacing w:line="280" w:lineRule="exact"/>
              <w:rPr>
                <w:rFonts w:ascii="宋体" w:hAnsi="宋体"/>
                <w:color w:val="auto"/>
                <w:highlight w:val="none"/>
              </w:rPr>
            </w:pPr>
            <w:r>
              <w:rPr>
                <w:rFonts w:ascii="宋体" w:hAnsi="宋体"/>
                <w:color w:val="auto"/>
                <w:highlight w:val="none"/>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highlight w:val="none"/>
              </w:rPr>
            </w:pPr>
            <w:r>
              <w:rPr>
                <w:rFonts w:ascii="宋体" w:hAnsi="宋体"/>
                <w:color w:val="auto"/>
                <w:highlight w:val="none"/>
              </w:rPr>
              <w:t>装设</w:t>
            </w:r>
            <w:r>
              <w:rPr>
                <w:rFonts w:hint="eastAsia" w:ascii="宋体" w:hAnsi="宋体"/>
                <w:color w:val="auto"/>
                <w:highlight w:val="none"/>
              </w:rPr>
              <w:t>有</w:t>
            </w:r>
            <w:r>
              <w:rPr>
                <w:rFonts w:ascii="宋体" w:hAnsi="宋体"/>
                <w:color w:val="auto"/>
                <w:highlight w:val="none"/>
              </w:rPr>
              <w:t>阻火器</w:t>
            </w:r>
            <w:r>
              <w:rPr>
                <w:rFonts w:hint="eastAsia" w:ascii="宋体" w:hAnsi="宋体"/>
                <w:color w:val="auto"/>
                <w:highlight w:val="none"/>
              </w:rPr>
              <w:t>和</w:t>
            </w:r>
            <w:r>
              <w:rPr>
                <w:rFonts w:ascii="宋体" w:hAnsi="宋体"/>
                <w:color w:val="auto"/>
                <w:highlight w:val="none"/>
              </w:rPr>
              <w:t>呼吸阀</w:t>
            </w:r>
          </w:p>
        </w:tc>
        <w:tc>
          <w:tcPr>
            <w:tcW w:w="364" w:type="pct"/>
            <w:vAlign w:val="center"/>
          </w:tcPr>
          <w:p w14:paraId="344B18F0">
            <w:pPr>
              <w:spacing w:line="280" w:lineRule="exact"/>
              <w:rPr>
                <w:rFonts w:ascii="宋体" w:hAnsi="宋体"/>
                <w:color w:val="auto"/>
                <w:highlight w:val="none"/>
              </w:rPr>
            </w:pPr>
            <w:r>
              <w:rPr>
                <w:rFonts w:ascii="宋体" w:hAnsi="宋体"/>
                <w:color w:val="auto"/>
                <w:highlight w:val="none"/>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highlight w:val="none"/>
              </w:rPr>
            </w:pPr>
          </w:p>
        </w:tc>
        <w:tc>
          <w:tcPr>
            <w:tcW w:w="3346" w:type="pct"/>
            <w:vAlign w:val="center"/>
          </w:tcPr>
          <w:p w14:paraId="1EE362D5">
            <w:pPr>
              <w:spacing w:line="280" w:lineRule="exact"/>
              <w:rPr>
                <w:rFonts w:ascii="宋体" w:hAnsi="宋体"/>
                <w:color w:val="auto"/>
                <w:highlight w:val="none"/>
              </w:rPr>
            </w:pPr>
            <w:r>
              <w:rPr>
                <w:rFonts w:ascii="宋体" w:hAnsi="宋体"/>
                <w:color w:val="auto"/>
                <w:highlight w:val="none"/>
              </w:rPr>
              <w:t>6.3.13油罐车卸油时用的卸油</w:t>
            </w:r>
            <w:r>
              <w:rPr>
                <w:rFonts w:hint="eastAsia" w:ascii="宋体" w:hAnsi="宋体"/>
                <w:color w:val="auto"/>
                <w:highlight w:val="none"/>
                <w:lang w:eastAsia="zh-CN"/>
              </w:rPr>
              <w:t>连通管</w:t>
            </w:r>
            <w:r>
              <w:rPr>
                <w:rFonts w:ascii="宋体" w:hAnsi="宋体"/>
                <w:color w:val="auto"/>
                <w:highlight w:val="none"/>
              </w:rPr>
              <w:t>、油气回收连通软管，应采用导静电耐油软管，其体电阻率应小于10</w:t>
            </w:r>
            <w:r>
              <w:rPr>
                <w:rFonts w:hint="eastAsia" w:ascii="宋体" w:hAnsi="宋体"/>
                <w:color w:val="auto"/>
                <w:highlight w:val="none"/>
              </w:rPr>
              <w:t>8</w:t>
            </w:r>
            <w:r>
              <w:rPr>
                <w:rFonts w:ascii="宋体" w:hAnsi="宋体"/>
                <w:color w:val="auto"/>
                <w:highlight w:val="none"/>
              </w:rPr>
              <w:t>Ω·m，表面电阻率应小于10</w:t>
            </w:r>
            <w:r>
              <w:rPr>
                <w:rFonts w:hint="eastAsia" w:ascii="宋体" w:hAnsi="宋体"/>
                <w:color w:val="auto"/>
                <w:highlight w:val="none"/>
              </w:rPr>
              <w:t>10</w:t>
            </w:r>
            <w:r>
              <w:rPr>
                <w:rFonts w:ascii="宋体" w:hAnsi="宋体"/>
                <w:color w:val="auto"/>
                <w:highlight w:val="none"/>
              </w:rPr>
              <w:t>Ω，或采用内附金属丝（网</w:t>
            </w:r>
            <w:r>
              <w:rPr>
                <w:rFonts w:hint="eastAsia" w:ascii="宋体" w:hAnsi="宋体"/>
                <w:color w:val="auto"/>
                <w:highlight w:val="none"/>
                <w:lang w:eastAsia="zh-CN"/>
              </w:rPr>
              <w:t>）</w:t>
            </w:r>
            <w:r>
              <w:rPr>
                <w:rFonts w:ascii="宋体" w:hAnsi="宋体"/>
                <w:color w:val="auto"/>
                <w:highlight w:val="none"/>
              </w:rPr>
              <w:t>的橡胶软管。</w:t>
            </w:r>
          </w:p>
        </w:tc>
        <w:tc>
          <w:tcPr>
            <w:tcW w:w="916" w:type="pct"/>
            <w:vAlign w:val="center"/>
          </w:tcPr>
          <w:p w14:paraId="7D57696E">
            <w:pPr>
              <w:spacing w:line="280" w:lineRule="exact"/>
              <w:rPr>
                <w:rFonts w:ascii="宋体" w:hAnsi="宋体"/>
                <w:color w:val="auto"/>
                <w:highlight w:val="none"/>
              </w:rPr>
            </w:pPr>
            <w:r>
              <w:rPr>
                <w:rFonts w:ascii="宋体" w:hAnsi="宋体"/>
                <w:color w:val="auto"/>
                <w:highlight w:val="none"/>
              </w:rPr>
              <w:t>采用导静电耐油软管</w:t>
            </w:r>
            <w:r>
              <w:rPr>
                <w:rFonts w:hint="eastAsia" w:ascii="宋体" w:hAnsi="宋体"/>
                <w:color w:val="auto"/>
                <w:highlight w:val="none"/>
              </w:rPr>
              <w:t>，设有静电导除仪</w:t>
            </w:r>
          </w:p>
        </w:tc>
        <w:tc>
          <w:tcPr>
            <w:tcW w:w="364" w:type="pct"/>
            <w:vAlign w:val="center"/>
          </w:tcPr>
          <w:p w14:paraId="02DEE9EE">
            <w:pPr>
              <w:spacing w:line="280" w:lineRule="exact"/>
              <w:rPr>
                <w:rFonts w:ascii="宋体" w:hAnsi="宋体"/>
                <w:color w:val="auto"/>
                <w:highlight w:val="none"/>
              </w:rPr>
            </w:pPr>
            <w:r>
              <w:rPr>
                <w:rFonts w:ascii="宋体" w:hAnsi="宋体"/>
                <w:color w:val="auto"/>
                <w:highlight w:val="none"/>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highlight w:val="none"/>
              </w:rPr>
            </w:pPr>
          </w:p>
        </w:tc>
        <w:tc>
          <w:tcPr>
            <w:tcW w:w="3346" w:type="pct"/>
            <w:vAlign w:val="center"/>
          </w:tcPr>
          <w:p w14:paraId="4BD6625B">
            <w:pPr>
              <w:spacing w:line="280" w:lineRule="exact"/>
              <w:rPr>
                <w:rFonts w:ascii="宋体" w:hAnsi="宋体"/>
                <w:color w:val="auto"/>
                <w:highlight w:val="none"/>
              </w:rPr>
            </w:pPr>
            <w:r>
              <w:rPr>
                <w:rFonts w:ascii="宋体" w:hAnsi="宋体"/>
                <w:color w:val="auto"/>
                <w:highlight w:val="none"/>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highlight w:val="none"/>
              </w:rPr>
            </w:pPr>
            <w:r>
              <w:rPr>
                <w:rFonts w:ascii="宋体" w:hAnsi="宋体"/>
                <w:color w:val="auto"/>
                <w:highlight w:val="none"/>
              </w:rPr>
              <w:t>埋地敷设</w:t>
            </w:r>
          </w:p>
        </w:tc>
        <w:tc>
          <w:tcPr>
            <w:tcW w:w="364" w:type="pct"/>
            <w:vAlign w:val="center"/>
          </w:tcPr>
          <w:p w14:paraId="1F611350">
            <w:pPr>
              <w:spacing w:line="280" w:lineRule="exact"/>
              <w:rPr>
                <w:rFonts w:ascii="宋体" w:hAnsi="宋体"/>
                <w:color w:val="auto"/>
                <w:highlight w:val="none"/>
              </w:rPr>
            </w:pPr>
            <w:r>
              <w:rPr>
                <w:rFonts w:ascii="宋体" w:hAnsi="宋体"/>
                <w:color w:val="auto"/>
                <w:highlight w:val="none"/>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highlight w:val="none"/>
              </w:rPr>
            </w:pPr>
          </w:p>
        </w:tc>
        <w:tc>
          <w:tcPr>
            <w:tcW w:w="3346" w:type="pct"/>
            <w:vAlign w:val="center"/>
          </w:tcPr>
          <w:p w14:paraId="43070355">
            <w:pPr>
              <w:spacing w:line="280" w:lineRule="exact"/>
              <w:rPr>
                <w:rFonts w:ascii="宋体" w:hAnsi="宋体"/>
                <w:color w:val="auto"/>
                <w:highlight w:val="none"/>
              </w:rPr>
            </w:pPr>
            <w:r>
              <w:rPr>
                <w:rFonts w:ascii="宋体" w:hAnsi="宋体"/>
                <w:color w:val="auto"/>
                <w:highlight w:val="none"/>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4F14756B">
            <w:pPr>
              <w:spacing w:line="280" w:lineRule="exact"/>
              <w:rPr>
                <w:rFonts w:ascii="宋体" w:hAnsi="宋体"/>
                <w:color w:val="auto"/>
                <w:highlight w:val="none"/>
              </w:rPr>
            </w:pPr>
            <w:r>
              <w:rPr>
                <w:rFonts w:ascii="宋体" w:hAnsi="宋体"/>
                <w:color w:val="auto"/>
                <w:highlight w:val="none"/>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highlight w:val="none"/>
              </w:rPr>
            </w:pPr>
          </w:p>
        </w:tc>
        <w:tc>
          <w:tcPr>
            <w:tcW w:w="3346" w:type="pct"/>
            <w:vAlign w:val="center"/>
          </w:tcPr>
          <w:p w14:paraId="7873E47D">
            <w:pPr>
              <w:spacing w:line="280" w:lineRule="exact"/>
              <w:rPr>
                <w:rFonts w:ascii="宋体" w:hAnsi="宋体"/>
                <w:color w:val="auto"/>
                <w:highlight w:val="none"/>
              </w:rPr>
            </w:pPr>
            <w:r>
              <w:rPr>
                <w:rFonts w:ascii="宋体" w:hAnsi="宋体"/>
                <w:color w:val="auto"/>
                <w:highlight w:val="none"/>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3A96E850">
            <w:pPr>
              <w:spacing w:line="280" w:lineRule="exact"/>
              <w:rPr>
                <w:rFonts w:ascii="宋体" w:hAnsi="宋体"/>
                <w:color w:val="auto"/>
                <w:highlight w:val="none"/>
              </w:rPr>
            </w:pPr>
            <w:r>
              <w:rPr>
                <w:rFonts w:hint="eastAsia" w:ascii="宋体" w:hAnsi="宋体"/>
                <w:color w:val="auto"/>
                <w:highlight w:val="none"/>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highlight w:val="none"/>
              </w:rPr>
            </w:pPr>
          </w:p>
        </w:tc>
        <w:tc>
          <w:tcPr>
            <w:tcW w:w="3346" w:type="pct"/>
            <w:vAlign w:val="center"/>
          </w:tcPr>
          <w:p w14:paraId="170025B8">
            <w:pPr>
              <w:spacing w:line="280" w:lineRule="exact"/>
              <w:rPr>
                <w:rFonts w:ascii="宋体" w:hAnsi="宋体"/>
                <w:color w:val="auto"/>
                <w:highlight w:val="none"/>
              </w:rPr>
            </w:pPr>
            <w:r>
              <w:rPr>
                <w:rFonts w:ascii="宋体" w:hAnsi="宋体"/>
                <w:color w:val="auto"/>
                <w:highlight w:val="none"/>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highlight w:val="none"/>
              </w:rPr>
            </w:pPr>
            <w:r>
              <w:rPr>
                <w:rFonts w:ascii="宋体" w:hAnsi="宋体"/>
                <w:color w:val="auto"/>
                <w:highlight w:val="none"/>
              </w:rPr>
              <w:t>不小于0.4m</w:t>
            </w:r>
          </w:p>
        </w:tc>
        <w:tc>
          <w:tcPr>
            <w:tcW w:w="364" w:type="pct"/>
            <w:vAlign w:val="center"/>
          </w:tcPr>
          <w:p w14:paraId="1418E95D">
            <w:pPr>
              <w:spacing w:line="280" w:lineRule="exact"/>
              <w:rPr>
                <w:rFonts w:ascii="宋体" w:hAnsi="宋体"/>
                <w:color w:val="auto"/>
                <w:highlight w:val="none"/>
              </w:rPr>
            </w:pPr>
            <w:r>
              <w:rPr>
                <w:rFonts w:ascii="宋体" w:hAnsi="宋体"/>
                <w:color w:val="auto"/>
                <w:highlight w:val="none"/>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highlight w:val="none"/>
              </w:rPr>
            </w:pPr>
          </w:p>
        </w:tc>
        <w:tc>
          <w:tcPr>
            <w:tcW w:w="3346" w:type="pct"/>
            <w:vAlign w:val="center"/>
          </w:tcPr>
          <w:p w14:paraId="739ED182">
            <w:pPr>
              <w:spacing w:line="280" w:lineRule="exact"/>
              <w:rPr>
                <w:rFonts w:ascii="宋体" w:hAnsi="宋体"/>
                <w:color w:val="auto"/>
                <w:highlight w:val="none"/>
              </w:rPr>
            </w:pPr>
            <w:r>
              <w:rPr>
                <w:rFonts w:ascii="宋体" w:hAnsi="宋体"/>
                <w:color w:val="auto"/>
                <w:highlight w:val="none"/>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highlight w:val="none"/>
              </w:rPr>
            </w:pPr>
            <w:r>
              <w:rPr>
                <w:rFonts w:ascii="宋体" w:hAnsi="宋体"/>
                <w:color w:val="auto"/>
                <w:highlight w:val="none"/>
              </w:rPr>
              <w:t>不穿过或跨越站房等与其无直接关系的建（构）筑物</w:t>
            </w:r>
            <w:r>
              <w:rPr>
                <w:rFonts w:hint="eastAsia" w:ascii="宋体" w:hAnsi="宋体"/>
                <w:color w:val="auto"/>
                <w:highlight w:val="none"/>
              </w:rPr>
              <w:t>；</w:t>
            </w:r>
            <w:r>
              <w:rPr>
                <w:rFonts w:ascii="宋体" w:hAnsi="宋体"/>
                <w:color w:val="auto"/>
                <w:highlight w:val="none"/>
              </w:rPr>
              <w:t>采取相应的防护措施</w:t>
            </w:r>
          </w:p>
        </w:tc>
        <w:tc>
          <w:tcPr>
            <w:tcW w:w="364" w:type="pct"/>
            <w:vAlign w:val="center"/>
          </w:tcPr>
          <w:p w14:paraId="3FF1011D">
            <w:pPr>
              <w:spacing w:line="280" w:lineRule="exact"/>
              <w:rPr>
                <w:rFonts w:ascii="宋体" w:hAnsi="宋体"/>
                <w:color w:val="auto"/>
                <w:highlight w:val="none"/>
              </w:rPr>
            </w:pPr>
            <w:r>
              <w:rPr>
                <w:rFonts w:ascii="宋体" w:hAnsi="宋体"/>
                <w:color w:val="auto"/>
                <w:highlight w:val="none"/>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highlight w:val="none"/>
              </w:rPr>
            </w:pPr>
          </w:p>
        </w:tc>
        <w:tc>
          <w:tcPr>
            <w:tcW w:w="3346" w:type="pct"/>
            <w:vAlign w:val="center"/>
          </w:tcPr>
          <w:p w14:paraId="347738E6">
            <w:pPr>
              <w:spacing w:line="280" w:lineRule="exact"/>
              <w:rPr>
                <w:rFonts w:ascii="宋体" w:hAnsi="宋体"/>
                <w:color w:val="auto"/>
                <w:highlight w:val="none"/>
              </w:rPr>
            </w:pPr>
            <w:r>
              <w:rPr>
                <w:rFonts w:ascii="宋体" w:hAnsi="宋体"/>
                <w:color w:val="auto"/>
                <w:highlight w:val="none"/>
              </w:rPr>
              <w:t>6.3.19不导静电热塑性塑料管道的设计和安装，除应符合本标准第6.3.12条的有关规定外，尚应符合下列规定</w:t>
            </w:r>
            <w:r>
              <w:rPr>
                <w:rFonts w:hint="eastAsia" w:ascii="宋体" w:hAnsi="宋体"/>
                <w:color w:val="auto"/>
                <w:highlight w:val="none"/>
              </w:rPr>
              <w:t>：</w:t>
            </w:r>
          </w:p>
          <w:p w14:paraId="41FC3B97">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管道内油品的流速应小于2.8m/s；</w:t>
            </w:r>
          </w:p>
          <w:p w14:paraId="7491DA1B">
            <w:pPr>
              <w:spacing w:line="280" w:lineRule="exact"/>
              <w:rPr>
                <w:rFonts w:ascii="宋体" w:hAnsi="宋体"/>
                <w:color w:val="auto"/>
                <w:highlight w:val="none"/>
              </w:rPr>
            </w:pPr>
            <w:r>
              <w:rPr>
                <w:rFonts w:hint="eastAsia" w:ascii="宋体" w:hAnsi="宋体"/>
                <w:color w:val="auto"/>
                <w:highlight w:val="none"/>
              </w:rPr>
              <w:t>2、</w:t>
            </w:r>
            <w:r>
              <w:rPr>
                <w:rFonts w:ascii="宋体" w:hAnsi="宋体"/>
                <w:color w:val="auto"/>
                <w:highlight w:val="none"/>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highlight w:val="none"/>
              </w:rPr>
            </w:pPr>
            <w:r>
              <w:rPr>
                <w:rFonts w:hint="eastAsia" w:ascii="宋体" w:hAnsi="宋体"/>
                <w:color w:val="auto"/>
                <w:highlight w:val="none"/>
              </w:rPr>
              <w:t>采用导静电</w:t>
            </w:r>
            <w:r>
              <w:rPr>
                <w:rFonts w:ascii="宋体" w:hAnsi="宋体"/>
                <w:color w:val="auto"/>
                <w:highlight w:val="none"/>
              </w:rPr>
              <w:t>热塑性塑料管道</w:t>
            </w:r>
          </w:p>
        </w:tc>
        <w:tc>
          <w:tcPr>
            <w:tcW w:w="364" w:type="pct"/>
            <w:vAlign w:val="center"/>
          </w:tcPr>
          <w:p w14:paraId="155EBA68">
            <w:pPr>
              <w:spacing w:line="280" w:lineRule="exact"/>
              <w:rPr>
                <w:rFonts w:ascii="宋体" w:hAnsi="宋体"/>
                <w:color w:val="auto"/>
                <w:highlight w:val="none"/>
              </w:rPr>
            </w:pPr>
            <w:r>
              <w:rPr>
                <w:rFonts w:ascii="宋体" w:hAnsi="宋体"/>
                <w:color w:val="auto"/>
                <w:highlight w:val="none"/>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highlight w:val="none"/>
              </w:rPr>
            </w:pPr>
          </w:p>
        </w:tc>
        <w:tc>
          <w:tcPr>
            <w:tcW w:w="3346" w:type="pct"/>
            <w:vAlign w:val="center"/>
          </w:tcPr>
          <w:p w14:paraId="3199AA3F">
            <w:pPr>
              <w:spacing w:line="280" w:lineRule="exact"/>
              <w:rPr>
                <w:rFonts w:ascii="宋体" w:hAnsi="宋体"/>
                <w:color w:val="auto"/>
                <w:highlight w:val="none"/>
              </w:rPr>
            </w:pPr>
            <w:r>
              <w:rPr>
                <w:rFonts w:ascii="宋体" w:hAnsi="宋体"/>
                <w:color w:val="auto"/>
                <w:highlight w:val="none"/>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6B474733">
            <w:pPr>
              <w:spacing w:line="280" w:lineRule="exact"/>
              <w:rPr>
                <w:rFonts w:ascii="宋体" w:hAnsi="宋体"/>
                <w:color w:val="auto"/>
                <w:highlight w:val="none"/>
              </w:rPr>
            </w:pPr>
            <w:r>
              <w:rPr>
                <w:rFonts w:ascii="宋体" w:hAnsi="宋体"/>
                <w:color w:val="auto"/>
                <w:highlight w:val="none"/>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highlight w:val="none"/>
              </w:rPr>
            </w:pPr>
            <w:r>
              <w:rPr>
                <w:rFonts w:ascii="宋体" w:hAnsi="宋体"/>
                <w:b/>
                <w:color w:val="auto"/>
                <w:highlight w:val="none"/>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highlight w:val="none"/>
              </w:rPr>
            </w:pPr>
          </w:p>
        </w:tc>
        <w:tc>
          <w:tcPr>
            <w:tcW w:w="3346" w:type="pct"/>
            <w:vAlign w:val="center"/>
          </w:tcPr>
          <w:p w14:paraId="71181698">
            <w:pPr>
              <w:spacing w:line="280" w:lineRule="exact"/>
              <w:rPr>
                <w:rFonts w:ascii="宋体" w:hAnsi="宋体"/>
                <w:color w:val="auto"/>
                <w:highlight w:val="none"/>
              </w:rPr>
            </w:pPr>
            <w:r>
              <w:rPr>
                <w:rFonts w:ascii="宋体" w:hAnsi="宋体"/>
                <w:color w:val="auto"/>
                <w:highlight w:val="none"/>
              </w:rPr>
              <w:t>6.5.1加油站埋地油罐应采用下列之一的防渗方式：</w:t>
            </w:r>
          </w:p>
          <w:p w14:paraId="054B301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采用双层油罐；</w:t>
            </w:r>
          </w:p>
          <w:p w14:paraId="2A2903F4">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、单层油罐</w:t>
            </w:r>
            <w:r>
              <w:rPr>
                <w:rFonts w:ascii="宋体" w:hAnsi="宋体"/>
                <w:color w:val="auto"/>
                <w:highlight w:val="none"/>
              </w:rPr>
              <w:t>设置防渗罐池。</w:t>
            </w:r>
          </w:p>
        </w:tc>
        <w:tc>
          <w:tcPr>
            <w:tcW w:w="916" w:type="pct"/>
            <w:vAlign w:val="center"/>
          </w:tcPr>
          <w:p w14:paraId="0D72D5C4">
            <w:pPr>
              <w:spacing w:line="280" w:lineRule="exact"/>
              <w:rPr>
                <w:rFonts w:ascii="宋体" w:hAnsi="宋体"/>
                <w:color w:val="auto"/>
                <w:highlight w:val="none"/>
              </w:rPr>
            </w:pPr>
            <w:r>
              <w:rPr>
                <w:rFonts w:hint="eastAsia" w:ascii="宋体" w:hAnsi="宋体"/>
                <w:color w:val="auto"/>
                <w:highlight w:val="none"/>
              </w:rPr>
              <w:t>单层钢制油罐</w:t>
            </w:r>
            <w:r>
              <w:rPr>
                <w:rFonts w:hint="eastAsia" w:ascii="宋体" w:hAnsi="宋体"/>
                <w:color w:val="auto"/>
                <w:highlight w:val="none"/>
                <w:lang w:val="en-US" w:eastAsia="zh-CN"/>
              </w:rPr>
              <w:t>设置防渗池</w:t>
            </w:r>
            <w:r>
              <w:rPr>
                <w:rFonts w:hint="eastAsia" w:ascii="宋体" w:hAnsi="宋体"/>
                <w:color w:val="auto"/>
                <w:highlight w:val="none"/>
                <w:lang w:eastAsia="zh-CN"/>
              </w:rPr>
              <w:t>、</w:t>
            </w:r>
            <w:r>
              <w:rPr>
                <w:rFonts w:hint="eastAsia" w:ascii="宋体" w:hAnsi="宋体"/>
                <w:color w:val="auto"/>
                <w:highlight w:val="none"/>
              </w:rPr>
              <w:t>SF双层储罐</w:t>
            </w:r>
          </w:p>
        </w:tc>
        <w:tc>
          <w:tcPr>
            <w:tcW w:w="364" w:type="pct"/>
            <w:vAlign w:val="center"/>
          </w:tcPr>
          <w:p w14:paraId="6D4067C2">
            <w:pPr>
              <w:spacing w:line="280" w:lineRule="exact"/>
              <w:rPr>
                <w:rFonts w:ascii="宋体" w:hAnsi="宋体"/>
                <w:color w:val="auto"/>
                <w:highlight w:val="none"/>
              </w:rPr>
            </w:pPr>
            <w:r>
              <w:rPr>
                <w:rFonts w:ascii="宋体" w:hAnsi="宋体"/>
                <w:color w:val="auto"/>
                <w:highlight w:val="none"/>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highlight w:val="none"/>
              </w:rPr>
            </w:pPr>
          </w:p>
        </w:tc>
        <w:tc>
          <w:tcPr>
            <w:tcW w:w="3346" w:type="pct"/>
            <w:vAlign w:val="center"/>
          </w:tcPr>
          <w:p w14:paraId="6B508DB9">
            <w:pPr>
              <w:spacing w:line="280" w:lineRule="exact"/>
              <w:rPr>
                <w:rFonts w:ascii="宋体" w:hAnsi="宋体"/>
                <w:color w:val="auto"/>
                <w:highlight w:val="none"/>
              </w:rPr>
            </w:pPr>
            <w:r>
              <w:rPr>
                <w:rFonts w:ascii="宋体" w:hAnsi="宋体"/>
                <w:color w:val="auto"/>
                <w:highlight w:val="none"/>
              </w:rPr>
              <w:t>6.5.2防渗罐池的设计应符合下列规定：</w:t>
            </w:r>
          </w:p>
          <w:p w14:paraId="10D23C1A">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防渗罐池应采用防渗钢筋混凝土整体浇筑，并应符合现行国家标准《地下工程防水技术规范》GB50108的有关规定；</w:t>
            </w:r>
          </w:p>
          <w:p w14:paraId="587CFFCF">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防渗罐池应根据油罐的数量设置隔池，一个隔池内的油罐不应多于两座；</w:t>
            </w:r>
          </w:p>
          <w:p w14:paraId="465C76F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防渗罐池的池壁顶应高于池内罐顶标高，池底宜低于罐底设计标高200mm</w:t>
            </w:r>
            <w:r>
              <w:rPr>
                <w:rFonts w:hint="eastAsia" w:ascii="宋体" w:hAnsi="宋体"/>
                <w:color w:val="auto"/>
                <w:highlight w:val="none"/>
              </w:rPr>
              <w:t>，</w:t>
            </w:r>
            <w:r>
              <w:rPr>
                <w:rFonts w:ascii="宋体" w:hAnsi="宋体"/>
                <w:color w:val="auto"/>
                <w:highlight w:val="none"/>
              </w:rPr>
              <w:t>墙面与罐壁之间的间距不应小于500mm；</w:t>
            </w:r>
          </w:p>
          <w:p w14:paraId="7E7FFEB0">
            <w:pPr>
              <w:spacing w:line="28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防渗罐池的内表面应衬玻璃钢或其他材料防渗层；</w:t>
            </w:r>
          </w:p>
          <w:p w14:paraId="05D3859D">
            <w:pPr>
              <w:spacing w:line="28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防渗罐池内的空间应采用中性</w:t>
            </w:r>
            <w:r>
              <w:rPr>
                <w:rFonts w:hint="eastAsia" w:ascii="宋体" w:hAnsi="宋体"/>
                <w:color w:val="auto"/>
                <w:highlight w:val="none"/>
                <w:lang w:eastAsia="zh-CN"/>
              </w:rPr>
              <w:t>砂</w:t>
            </w:r>
            <w:r>
              <w:rPr>
                <w:rFonts w:ascii="宋体" w:hAnsi="宋体"/>
                <w:color w:val="auto"/>
                <w:highlight w:val="none"/>
              </w:rPr>
              <w:t>回填；</w:t>
            </w:r>
          </w:p>
          <w:p w14:paraId="3588C052">
            <w:pPr>
              <w:spacing w:line="28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highlight w:val="none"/>
              </w:rPr>
            </w:pPr>
            <w:r>
              <w:rPr>
                <w:rFonts w:hint="eastAsia" w:ascii="宋体" w:hAnsi="宋体"/>
                <w:color w:val="auto"/>
                <w:highlight w:val="none"/>
              </w:rPr>
              <w:t>防渗灌按要求设计</w:t>
            </w:r>
          </w:p>
        </w:tc>
        <w:tc>
          <w:tcPr>
            <w:tcW w:w="364" w:type="pct"/>
            <w:vAlign w:val="center"/>
          </w:tcPr>
          <w:p w14:paraId="7A4583A8">
            <w:pPr>
              <w:spacing w:line="280" w:lineRule="exact"/>
              <w:rPr>
                <w:rFonts w:ascii="宋体" w:hAnsi="宋体"/>
                <w:color w:val="auto"/>
                <w:highlight w:val="none"/>
              </w:rPr>
            </w:pPr>
            <w:r>
              <w:rPr>
                <w:rFonts w:ascii="宋体" w:hAnsi="宋体"/>
                <w:color w:val="auto"/>
                <w:highlight w:val="none"/>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highlight w:val="none"/>
              </w:rPr>
            </w:pPr>
          </w:p>
        </w:tc>
        <w:tc>
          <w:tcPr>
            <w:tcW w:w="3346" w:type="pct"/>
            <w:vAlign w:val="center"/>
          </w:tcPr>
          <w:p w14:paraId="42F62A52">
            <w:pPr>
              <w:spacing w:line="280" w:lineRule="exact"/>
              <w:rPr>
                <w:rFonts w:ascii="宋体" w:hAnsi="宋体"/>
                <w:color w:val="auto"/>
                <w:highlight w:val="none"/>
              </w:rPr>
            </w:pPr>
            <w:r>
              <w:rPr>
                <w:rFonts w:ascii="宋体" w:hAnsi="宋体"/>
                <w:color w:val="auto"/>
                <w:highlight w:val="none"/>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highlight w:val="none"/>
              </w:rPr>
            </w:pPr>
            <w:r>
              <w:rPr>
                <w:rFonts w:ascii="宋体" w:hAnsi="宋体"/>
                <w:color w:val="auto"/>
                <w:highlight w:val="none"/>
              </w:rPr>
              <w:t>采取防渗措施</w:t>
            </w:r>
          </w:p>
        </w:tc>
        <w:tc>
          <w:tcPr>
            <w:tcW w:w="364" w:type="pct"/>
            <w:vAlign w:val="center"/>
          </w:tcPr>
          <w:p w14:paraId="60F0B46A">
            <w:pPr>
              <w:spacing w:line="280" w:lineRule="exact"/>
              <w:rPr>
                <w:rFonts w:ascii="宋体" w:hAnsi="宋体"/>
                <w:color w:val="auto"/>
                <w:highlight w:val="none"/>
              </w:rPr>
            </w:pPr>
            <w:r>
              <w:rPr>
                <w:rFonts w:hint="eastAsia" w:ascii="宋体" w:hAnsi="宋体"/>
                <w:color w:val="auto"/>
                <w:highlight w:val="none"/>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highlight w:val="none"/>
              </w:rPr>
            </w:pPr>
          </w:p>
        </w:tc>
        <w:tc>
          <w:tcPr>
            <w:tcW w:w="3346" w:type="pct"/>
            <w:vAlign w:val="center"/>
          </w:tcPr>
          <w:p w14:paraId="6B9A45F9">
            <w:pPr>
              <w:spacing w:line="280" w:lineRule="exact"/>
              <w:rPr>
                <w:rFonts w:ascii="宋体" w:hAnsi="宋体"/>
                <w:color w:val="auto"/>
                <w:highlight w:val="none"/>
              </w:rPr>
            </w:pPr>
            <w:r>
              <w:rPr>
                <w:rFonts w:ascii="宋体" w:hAnsi="宋体"/>
                <w:color w:val="auto"/>
                <w:highlight w:val="none"/>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有泄漏检测仪</w:t>
            </w:r>
          </w:p>
        </w:tc>
        <w:tc>
          <w:tcPr>
            <w:tcW w:w="364" w:type="pct"/>
            <w:vAlign w:val="center"/>
          </w:tcPr>
          <w:p w14:paraId="7E10BBE2">
            <w:pPr>
              <w:spacing w:line="280" w:lineRule="exact"/>
              <w:rPr>
                <w:rFonts w:ascii="宋体" w:hAnsi="宋体"/>
                <w:color w:val="auto"/>
                <w:highlight w:val="none"/>
              </w:rPr>
            </w:pPr>
            <w:r>
              <w:rPr>
                <w:rFonts w:hint="eastAsia" w:ascii="宋体" w:hAnsi="宋体"/>
                <w:color w:val="auto"/>
                <w:highlight w:val="none"/>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highlight w:val="none"/>
              </w:rPr>
            </w:pPr>
          </w:p>
        </w:tc>
        <w:tc>
          <w:tcPr>
            <w:tcW w:w="3346" w:type="pct"/>
            <w:vAlign w:val="center"/>
          </w:tcPr>
          <w:p w14:paraId="2D9E5BA0">
            <w:pPr>
              <w:spacing w:line="280" w:lineRule="exact"/>
              <w:rPr>
                <w:rFonts w:ascii="宋体" w:hAnsi="宋体"/>
                <w:color w:val="auto"/>
                <w:highlight w:val="none"/>
              </w:rPr>
            </w:pPr>
            <w:r>
              <w:rPr>
                <w:rFonts w:ascii="宋体" w:hAnsi="宋体"/>
                <w:color w:val="auto"/>
                <w:highlight w:val="none"/>
              </w:rPr>
              <w:t>6.5.7既有加油站油罐和管道需要更新改造时，应符合本标准第6.5.1条</w:t>
            </w:r>
            <w:r>
              <w:rPr>
                <w:rFonts w:hint="eastAsia" w:ascii="宋体" w:hAnsi="宋体"/>
                <w:color w:val="auto"/>
                <w:highlight w:val="none"/>
                <w:lang w:eastAsia="zh-CN"/>
              </w:rPr>
              <w:t>～</w:t>
            </w:r>
            <w:r>
              <w:rPr>
                <w:rFonts w:ascii="宋体" w:hAnsi="宋体"/>
                <w:color w:val="auto"/>
                <w:highlight w:val="none"/>
              </w:rPr>
              <w:t>第6.5.6条的规定。</w:t>
            </w:r>
          </w:p>
        </w:tc>
        <w:tc>
          <w:tcPr>
            <w:tcW w:w="916" w:type="pct"/>
            <w:vAlign w:val="center"/>
          </w:tcPr>
          <w:p w14:paraId="72C9FFE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2C602FD0">
            <w:pPr>
              <w:spacing w:line="280" w:lineRule="exact"/>
              <w:rPr>
                <w:rFonts w:ascii="宋体" w:hAnsi="宋体"/>
                <w:color w:val="auto"/>
                <w:highlight w:val="none"/>
              </w:rPr>
            </w:pPr>
            <w:r>
              <w:rPr>
                <w:rFonts w:hint="eastAsia" w:ascii="宋体" w:hAnsi="宋体"/>
                <w:color w:val="auto"/>
                <w:highlight w:val="none"/>
              </w:rPr>
              <w:t>-</w:t>
            </w:r>
          </w:p>
        </w:tc>
      </w:tr>
    </w:tbl>
    <w:p w14:paraId="41C50F49">
      <w:pPr>
        <w:spacing w:line="600" w:lineRule="exact"/>
        <w:ind w:firstLine="570"/>
        <w:rPr>
          <w:rFonts w:ascii="宋体" w:hAnsi="宋体"/>
          <w:color w:val="auto"/>
          <w:spacing w:val="-6"/>
          <w:sz w:val="28"/>
          <w:szCs w:val="28"/>
          <w:highlight w:val="none"/>
        </w:rPr>
      </w:pPr>
      <w:r>
        <w:rPr>
          <w:rFonts w:ascii="宋体" w:hAnsi="宋体"/>
          <w:color w:val="auto"/>
          <w:spacing w:val="-6"/>
          <w:sz w:val="28"/>
          <w:szCs w:val="28"/>
          <w:highlight w:val="none"/>
        </w:rPr>
        <w:t>评价结论：从上</w:t>
      </w:r>
      <w:r>
        <w:rPr>
          <w:rFonts w:hint="eastAsia" w:ascii="宋体" w:hAnsi="宋体"/>
          <w:color w:val="auto"/>
          <w:spacing w:val="-6"/>
          <w:sz w:val="28"/>
          <w:szCs w:val="28"/>
          <w:highlight w:val="none"/>
        </w:rPr>
        <w:t>述检查</w:t>
      </w:r>
      <w:r>
        <w:rPr>
          <w:rFonts w:ascii="宋体" w:hAnsi="宋体"/>
          <w:color w:val="auto"/>
          <w:spacing w:val="-6"/>
          <w:sz w:val="28"/>
          <w:szCs w:val="28"/>
          <w:highlight w:val="none"/>
        </w:rPr>
        <w:t>表可知，</w:t>
      </w:r>
      <w:r>
        <w:rPr>
          <w:rFonts w:hint="eastAsia" w:cs="宋体"/>
          <w:color w:val="auto"/>
          <w:sz w:val="28"/>
          <w:szCs w:val="28"/>
          <w:highlight w:val="none"/>
        </w:rPr>
        <w:t>均符合要求</w:t>
      </w:r>
      <w:r>
        <w:rPr>
          <w:rFonts w:ascii="宋体" w:hAnsi="宋体"/>
          <w:color w:val="auto"/>
          <w:spacing w:val="-6"/>
          <w:sz w:val="28"/>
          <w:szCs w:val="28"/>
          <w:highlight w:val="none"/>
        </w:rPr>
        <w:t>。</w:t>
      </w:r>
    </w:p>
    <w:p w14:paraId="601B0091">
      <w:pPr>
        <w:pStyle w:val="3"/>
        <w:jc w:val="center"/>
        <w:rPr>
          <w:rFonts w:ascii="宋体" w:hAnsi="宋体"/>
          <w:color w:val="auto"/>
          <w:sz w:val="30"/>
          <w:szCs w:val="30"/>
          <w:highlight w:val="none"/>
        </w:rPr>
      </w:pPr>
      <w:bookmarkStart w:id="171" w:name="_Toc92712594"/>
      <w:bookmarkStart w:id="172" w:name="_Toc4098"/>
      <w:bookmarkStart w:id="173" w:name="_Toc5653"/>
      <w:bookmarkStart w:id="174" w:name="_Toc573"/>
      <w:r>
        <w:rPr>
          <w:rFonts w:hint="eastAsia" w:ascii="宋体" w:hAnsi="宋体"/>
          <w:color w:val="auto"/>
          <w:sz w:val="30"/>
          <w:szCs w:val="30"/>
          <w:highlight w:val="none"/>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highlight w:val="none"/>
              </w:rPr>
            </w:pPr>
            <w:r>
              <w:rPr>
                <w:rFonts w:ascii="宋体" w:hAnsi="宋体"/>
                <w:b/>
                <w:color w:val="auto"/>
                <w:highlight w:val="none"/>
              </w:rPr>
              <w:t>序号</w:t>
            </w:r>
          </w:p>
        </w:tc>
        <w:tc>
          <w:tcPr>
            <w:tcW w:w="3482" w:type="pct"/>
            <w:vAlign w:val="center"/>
          </w:tcPr>
          <w:p w14:paraId="50ED87CA">
            <w:pPr>
              <w:jc w:val="center"/>
              <w:rPr>
                <w:rFonts w:ascii="宋体" w:hAnsi="宋体"/>
                <w:b/>
                <w:color w:val="auto"/>
                <w:highlight w:val="none"/>
              </w:rPr>
            </w:pPr>
            <w:r>
              <w:rPr>
                <w:rFonts w:ascii="宋体" w:hAnsi="宋体"/>
                <w:b/>
                <w:color w:val="auto"/>
                <w:highlight w:val="none"/>
              </w:rPr>
              <w:t>检查内容</w:t>
            </w:r>
          </w:p>
        </w:tc>
        <w:tc>
          <w:tcPr>
            <w:tcW w:w="824" w:type="pct"/>
            <w:vAlign w:val="center"/>
          </w:tcPr>
          <w:p w14:paraId="2ED66CEE">
            <w:pPr>
              <w:jc w:val="center"/>
              <w:rPr>
                <w:rFonts w:ascii="宋体" w:hAnsi="宋体"/>
                <w:b/>
                <w:color w:val="auto"/>
                <w:highlight w:val="none"/>
              </w:rPr>
            </w:pPr>
            <w:r>
              <w:rPr>
                <w:rFonts w:ascii="宋体" w:hAnsi="宋体"/>
                <w:b/>
                <w:color w:val="auto"/>
                <w:highlight w:val="none"/>
              </w:rPr>
              <w:t>检查记录</w:t>
            </w:r>
          </w:p>
        </w:tc>
        <w:tc>
          <w:tcPr>
            <w:tcW w:w="366" w:type="pct"/>
            <w:vAlign w:val="center"/>
          </w:tcPr>
          <w:p w14:paraId="34A82ACC">
            <w:pPr>
              <w:jc w:val="center"/>
              <w:rPr>
                <w:rFonts w:ascii="宋体" w:hAnsi="宋体"/>
                <w:b/>
                <w:color w:val="auto"/>
                <w:highlight w:val="none"/>
              </w:rPr>
            </w:pPr>
            <w:r>
              <w:rPr>
                <w:rFonts w:ascii="宋体" w:hAnsi="宋体"/>
                <w:b/>
                <w:color w:val="auto"/>
                <w:highlight w:val="none"/>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highlight w:val="none"/>
              </w:rPr>
            </w:pPr>
            <w:r>
              <w:rPr>
                <w:rFonts w:hint="eastAsia" w:ascii="宋体" w:hAnsi="宋体"/>
                <w:b/>
                <w:color w:val="auto"/>
                <w:highlight w:val="none"/>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6D83BB07">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12.1.1加油加气加氢站工艺设备应配置灭火器材，并应符合下列规定：</w:t>
            </w:r>
          </w:p>
          <w:p w14:paraId="1732425A">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每2台加气（氢）机应配置不少于2具5kg手提式干粉灭火器，加气（氢）机不足2台应按2台配置</w:t>
            </w:r>
          </w:p>
          <w:p w14:paraId="358D9F85">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地上LPG储罐、地上LNG储罐、地下和半地下LNG储罐、地上液氢储罐、CNG储气设施，应配置2</w:t>
            </w:r>
            <w:r>
              <w:rPr>
                <w:rFonts w:hint="eastAsia" w:ascii="宋体" w:hAnsi="宋体"/>
                <w:color w:val="auto"/>
                <w:highlight w:val="none"/>
              </w:rPr>
              <w:t>具</w:t>
            </w:r>
            <w:r>
              <w:rPr>
                <w:rFonts w:ascii="宋体" w:hAnsi="宋体"/>
                <w:color w:val="auto"/>
                <w:highlight w:val="none"/>
              </w:rPr>
              <w:t>不小于35kg推车式干粉灭火器，当两种介质储罐之间的距离超过15m时，应分别配置；</w:t>
            </w:r>
          </w:p>
          <w:p w14:paraId="4F195C62">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地下储罐应配置1台不小于35kg推车式干粉灭火器，当两种介质储罐之间的距离超过15m时，应分别配置；</w:t>
            </w:r>
          </w:p>
          <w:p w14:paraId="10A667C5">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LPG泵、LNG泵、液氢增压泵、压缩机操作间（棚、箱），应按建筑面积每50</w:t>
            </w:r>
            <w:r>
              <w:rPr>
                <w:rFonts w:hint="eastAsia" w:ascii="宋体" w:hAnsi="宋体"/>
                <w:color w:val="auto"/>
                <w:highlight w:val="none"/>
              </w:rPr>
              <w:t>㎡</w:t>
            </w:r>
            <w:r>
              <w:rPr>
                <w:rFonts w:ascii="宋体" w:hAnsi="宋体"/>
                <w:color w:val="auto"/>
                <w:highlight w:val="none"/>
              </w:rPr>
              <w:t>配置不少于2具5kg手提式干粉灭火器；</w:t>
            </w:r>
          </w:p>
          <w:p w14:paraId="498E68D0">
            <w:pPr>
              <w:spacing w:line="24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一、二级加油站应配置灭火毯5块、沙子2</w:t>
            </w:r>
            <w:r>
              <w:rPr>
                <w:rFonts w:hint="eastAsia" w:ascii="宋体" w:hAnsi="宋体"/>
                <w:color w:val="auto"/>
                <w:highlight w:val="none"/>
              </w:rPr>
              <w:t>m³</w:t>
            </w:r>
            <w:r>
              <w:rPr>
                <w:rFonts w:ascii="宋体" w:hAnsi="宋体"/>
                <w:color w:val="auto"/>
                <w:highlight w:val="none"/>
              </w:rPr>
              <w:t>；三级加油站应配置灭火毯不少于2块、沙子2</w:t>
            </w:r>
            <w:r>
              <w:rPr>
                <w:rFonts w:hint="eastAsia" w:ascii="宋体" w:hAnsi="宋体"/>
                <w:color w:val="auto"/>
                <w:highlight w:val="none"/>
              </w:rPr>
              <w:t>m³</w:t>
            </w:r>
            <w:r>
              <w:rPr>
                <w:rFonts w:ascii="宋体" w:hAnsi="宋体"/>
                <w:color w:val="auto"/>
                <w:highlight w:val="none"/>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highlight w:val="none"/>
                <w:lang w:val="en-US" w:eastAsia="zh-CN"/>
              </w:rPr>
            </w:pPr>
            <w:r>
              <w:rPr>
                <w:rFonts w:hint="eastAsia" w:ascii="宋体" w:hAnsi="宋体" w:cs="Times New Roman"/>
                <w:color w:val="auto"/>
                <w:highlight w:val="none"/>
              </w:rPr>
              <w:t>加油区</w:t>
            </w:r>
            <w:r>
              <w:rPr>
                <w:rFonts w:hint="eastAsia" w:ascii="宋体" w:hAnsi="宋体" w:cs="Times New Roman"/>
                <w:color w:val="auto"/>
                <w:highlight w:val="none"/>
                <w:lang w:val="en-US" w:eastAsia="zh-CN"/>
              </w:rPr>
              <w:t>16</w:t>
            </w:r>
            <w:r>
              <w:rPr>
                <w:rFonts w:hint="eastAsia" w:ascii="宋体" w:hAnsi="宋体" w:cs="Times New Roman"/>
                <w:color w:val="auto"/>
                <w:highlight w:val="none"/>
              </w:rPr>
              <w:t>具MFZ/ABC5手提干粉灭火器、灭火毯</w:t>
            </w:r>
            <w:r>
              <w:rPr>
                <w:rFonts w:hint="eastAsia" w:ascii="宋体" w:hAnsi="宋体" w:cs="Times New Roman"/>
                <w:color w:val="auto"/>
                <w:highlight w:val="none"/>
                <w:lang w:val="en-US" w:eastAsia="zh-CN"/>
              </w:rPr>
              <w:t>8</w:t>
            </w:r>
            <w:r>
              <w:rPr>
                <w:rFonts w:hint="eastAsia" w:ascii="宋体" w:hAnsi="宋体" w:cs="Times New Roman"/>
                <w:color w:val="auto"/>
                <w:highlight w:val="none"/>
              </w:rPr>
              <w:t>块、</w:t>
            </w:r>
            <w:r>
              <w:rPr>
                <w:rFonts w:hint="eastAsia" w:ascii="宋体" w:hAnsi="宋体"/>
                <w:color w:val="auto"/>
                <w:highlight w:val="none"/>
              </w:rPr>
              <w:t>2</w:t>
            </w:r>
            <w:r>
              <w:rPr>
                <w:rFonts w:ascii="宋体" w:hAnsi="宋体"/>
                <w:color w:val="auto"/>
                <w:highlight w:val="none"/>
              </w:rPr>
              <w:t>m</w:t>
            </w:r>
            <w:r>
              <w:rPr>
                <w:rFonts w:ascii="宋体" w:hAnsi="宋体"/>
                <w:color w:val="auto"/>
                <w:highlight w:val="none"/>
                <w:vertAlign w:val="superscript"/>
              </w:rPr>
              <w:t>3</w:t>
            </w:r>
            <w:r>
              <w:rPr>
                <w:rFonts w:ascii="宋体" w:hAnsi="宋体"/>
                <w:color w:val="auto"/>
                <w:highlight w:val="none"/>
              </w:rPr>
              <w:t>消防砂池</w:t>
            </w:r>
            <w:r>
              <w:rPr>
                <w:rFonts w:hint="eastAsia" w:ascii="宋体" w:hAnsi="宋体"/>
                <w:color w:val="auto"/>
                <w:highlight w:val="none"/>
              </w:rPr>
              <w:t>1</w:t>
            </w:r>
            <w:r>
              <w:rPr>
                <w:rFonts w:ascii="宋体" w:hAnsi="宋体"/>
                <w:color w:val="auto"/>
                <w:highlight w:val="none"/>
              </w:rPr>
              <w:t>座</w:t>
            </w:r>
            <w:r>
              <w:rPr>
                <w:rFonts w:hint="eastAsia" w:ascii="宋体" w:hAnsi="宋体"/>
                <w:color w:val="auto"/>
                <w:highlight w:val="none"/>
                <w:lang w:eastAsia="zh-CN"/>
              </w:rPr>
              <w:t>，</w:t>
            </w:r>
            <w:r>
              <w:rPr>
                <w:rFonts w:hint="eastAsia" w:ascii="宋体" w:hAnsi="宋体"/>
                <w:color w:val="auto"/>
                <w:highlight w:val="none"/>
                <w:lang w:val="en-US" w:eastAsia="zh-CN"/>
              </w:rPr>
              <w:t>泄油口设置1具35kg干粉灭火器</w:t>
            </w:r>
          </w:p>
        </w:tc>
        <w:tc>
          <w:tcPr>
            <w:tcW w:w="366" w:type="pct"/>
            <w:vAlign w:val="center"/>
          </w:tcPr>
          <w:p w14:paraId="18F86239">
            <w:pPr>
              <w:spacing w:line="240" w:lineRule="exact"/>
              <w:jc w:val="center"/>
              <w:rPr>
                <w:rFonts w:ascii="宋体" w:hAnsi="宋体"/>
                <w:color w:val="auto"/>
                <w:highlight w:val="none"/>
              </w:rPr>
            </w:pPr>
            <w:r>
              <w:rPr>
                <w:rFonts w:hint="eastAsia" w:ascii="宋体" w:hAnsi="宋体"/>
                <w:color w:val="auto"/>
                <w:highlight w:val="none"/>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46C1F96E">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12.1.2其余建筑的灭火器配置，应符合现行国家标准《建筑灭火器配置设计规范》GB</w:t>
            </w:r>
            <w:r>
              <w:rPr>
                <w:rFonts w:hint="eastAsia" w:ascii="宋体" w:hAnsi="宋体"/>
                <w:color w:val="auto"/>
                <w:highlight w:val="none"/>
              </w:rPr>
              <w:t xml:space="preserve"> </w:t>
            </w:r>
            <w:r>
              <w:rPr>
                <w:rFonts w:ascii="宋体" w:hAnsi="宋体"/>
                <w:color w:val="auto"/>
                <w:highlight w:val="none"/>
              </w:rPr>
              <w:t>50140的有关规定。</w:t>
            </w:r>
          </w:p>
        </w:tc>
        <w:tc>
          <w:tcPr>
            <w:tcW w:w="824" w:type="pct"/>
            <w:vAlign w:val="center"/>
          </w:tcPr>
          <w:p w14:paraId="02A0BCEA">
            <w:pPr>
              <w:rPr>
                <w:rFonts w:ascii="宋体" w:hAnsi="宋体"/>
                <w:color w:val="auto"/>
                <w:highlight w:val="none"/>
              </w:rPr>
            </w:pPr>
            <w:r>
              <w:rPr>
                <w:rFonts w:hint="eastAsia" w:ascii="宋体" w:hAnsi="宋体"/>
                <w:color w:val="auto"/>
                <w:highlight w:val="none"/>
              </w:rPr>
              <w:t>站房、配电间等按要求设置了灭火器</w:t>
            </w:r>
          </w:p>
        </w:tc>
        <w:tc>
          <w:tcPr>
            <w:tcW w:w="366" w:type="pct"/>
            <w:vAlign w:val="center"/>
          </w:tcPr>
          <w:p w14:paraId="2852CEB8">
            <w:pPr>
              <w:rPr>
                <w:rFonts w:ascii="宋体" w:hAnsi="宋体"/>
                <w:color w:val="auto"/>
                <w:highlight w:val="none"/>
              </w:rPr>
            </w:pPr>
            <w:r>
              <w:rPr>
                <w:rFonts w:ascii="宋体" w:hAnsi="宋体"/>
                <w:color w:val="auto"/>
                <w:highlight w:val="none"/>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highlight w:val="none"/>
              </w:rPr>
            </w:pPr>
            <w:r>
              <w:rPr>
                <w:rFonts w:hint="eastAsia" w:ascii="宋体" w:hAnsi="宋体"/>
                <w:b/>
                <w:color w:val="auto"/>
                <w:highlight w:val="none"/>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0D2F3F7A">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12.2.3加油站、CNG加气站、三级LNG加气站和采用埋地、地下、半地下NG储罐的各级LNG加气站及合建站，可不设消防给水系统。合建站中地上LNG储罐总容积不大于60</w:t>
            </w:r>
            <w:r>
              <w:rPr>
                <w:rFonts w:hint="eastAsia" w:ascii="宋体" w:hAnsi="宋体"/>
                <w:color w:val="auto"/>
                <w:highlight w:val="none"/>
              </w:rPr>
              <w:t>㎡</w:t>
            </w:r>
            <w:r>
              <w:rPr>
                <w:rFonts w:ascii="宋体" w:hAnsi="宋体"/>
                <w:color w:val="auto"/>
                <w:highlight w:val="none"/>
              </w:rPr>
              <w:t>时，可不设消防给水系统。</w:t>
            </w:r>
          </w:p>
        </w:tc>
        <w:tc>
          <w:tcPr>
            <w:tcW w:w="824" w:type="pct"/>
            <w:vAlign w:val="center"/>
          </w:tcPr>
          <w:p w14:paraId="21DE0906">
            <w:pPr>
              <w:rPr>
                <w:rFonts w:ascii="宋体" w:hAnsi="宋体"/>
                <w:color w:val="auto"/>
                <w:highlight w:val="none"/>
              </w:rPr>
            </w:pPr>
            <w:r>
              <w:rPr>
                <w:rFonts w:hint="eastAsia" w:ascii="宋体" w:hAnsi="宋体"/>
                <w:color w:val="auto"/>
                <w:highlight w:val="none"/>
              </w:rPr>
              <w:t>未设置</w:t>
            </w:r>
            <w:r>
              <w:rPr>
                <w:rFonts w:ascii="宋体" w:hAnsi="宋体"/>
                <w:color w:val="auto"/>
                <w:highlight w:val="none"/>
              </w:rPr>
              <w:t>消防给水系统</w:t>
            </w:r>
          </w:p>
        </w:tc>
        <w:tc>
          <w:tcPr>
            <w:tcW w:w="366" w:type="pct"/>
            <w:vAlign w:val="center"/>
          </w:tcPr>
          <w:p w14:paraId="1ED1585F">
            <w:pPr>
              <w:jc w:val="center"/>
              <w:rPr>
                <w:rFonts w:ascii="宋体" w:hAnsi="宋体"/>
                <w:color w:val="auto"/>
                <w:highlight w:val="none"/>
              </w:rPr>
            </w:pPr>
            <w:r>
              <w:rPr>
                <w:rFonts w:hint="eastAsia" w:ascii="宋体" w:hAnsi="宋体"/>
                <w:color w:val="auto"/>
                <w:highlight w:val="none"/>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highlight w:val="none"/>
              </w:rPr>
            </w:pPr>
            <w:r>
              <w:rPr>
                <w:rFonts w:hint="eastAsia" w:ascii="宋体" w:hAnsi="宋体"/>
                <w:b/>
                <w:color w:val="auto"/>
                <w:highlight w:val="none"/>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59A4D36C">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12.3.2汽车加油加气加氢站的排水应符合下列规定：</w:t>
            </w:r>
          </w:p>
          <w:p w14:paraId="18B01730">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加油站、LPG加气站或加油与LPG加气合建站排出建筑物或围墙的污水，在建筑物墙外或围墙内应分别设水封井，水封井的水封高度不应小于0.25m，水封</w:t>
            </w:r>
            <w:r>
              <w:rPr>
                <w:rFonts w:hint="eastAsia" w:ascii="宋体" w:hAnsi="宋体"/>
                <w:color w:val="auto"/>
                <w:highlight w:val="none"/>
                <w:lang w:eastAsia="zh-CN"/>
              </w:rPr>
              <w:t>井</w:t>
            </w:r>
            <w:r>
              <w:rPr>
                <w:rFonts w:ascii="宋体" w:hAnsi="宋体"/>
                <w:color w:val="auto"/>
                <w:highlight w:val="none"/>
              </w:rPr>
              <w:t>应设沉泥段，沉泥段高度不应小于0.25m；</w:t>
            </w:r>
          </w:p>
          <w:p w14:paraId="4DEC41A2">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清洗油罐的污水应集中收集处理，不应直接进入排水管道，LPG储罐的排污（排水）应采用活动式回收桶集中收集处理，不应直接接入排水管道</w:t>
            </w:r>
            <w:r>
              <w:rPr>
                <w:rFonts w:hint="eastAsia" w:ascii="宋体" w:hAnsi="宋体"/>
                <w:color w:val="auto"/>
                <w:highlight w:val="none"/>
              </w:rPr>
              <w:t>。</w:t>
            </w:r>
          </w:p>
          <w:p w14:paraId="497EF646">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排出站外的污水应符合国家现行有关污水排放标准的规定；</w:t>
            </w:r>
          </w:p>
          <w:p w14:paraId="68C0D911">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加油站、LPG加气站不应采用暗沟排水。</w:t>
            </w:r>
          </w:p>
        </w:tc>
        <w:tc>
          <w:tcPr>
            <w:tcW w:w="824" w:type="pct"/>
            <w:vAlign w:val="center"/>
          </w:tcPr>
          <w:p w14:paraId="2AB2B35B">
            <w:pPr>
              <w:spacing w:line="240" w:lineRule="exact"/>
              <w:rPr>
                <w:rFonts w:ascii="宋体" w:hAnsi="宋体"/>
                <w:color w:val="auto"/>
                <w:highlight w:val="none"/>
              </w:rPr>
            </w:pPr>
            <w:r>
              <w:rPr>
                <w:rFonts w:hint="eastAsia" w:ascii="宋体" w:hAnsi="宋体"/>
                <w:color w:val="auto"/>
                <w:highlight w:val="none"/>
              </w:rPr>
              <w:t>加油区、卸油区设有环保沟并引至隔油池；雨水散流</w:t>
            </w:r>
          </w:p>
        </w:tc>
        <w:tc>
          <w:tcPr>
            <w:tcW w:w="366" w:type="pct"/>
            <w:vAlign w:val="center"/>
          </w:tcPr>
          <w:p w14:paraId="0BE4D5F4">
            <w:pPr>
              <w:spacing w:line="240" w:lineRule="exact"/>
              <w:jc w:val="center"/>
              <w:rPr>
                <w:rFonts w:ascii="宋体" w:hAnsi="宋体"/>
                <w:color w:val="auto"/>
                <w:highlight w:val="none"/>
              </w:rPr>
            </w:pPr>
            <w:r>
              <w:rPr>
                <w:rFonts w:ascii="宋体" w:hAnsi="宋体"/>
                <w:color w:val="auto"/>
                <w:highlight w:val="none"/>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39088020">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12.3.3排水井、雨水口和化粪池不应设在作业区和可燃液体出现泄漏事故时可能流经的部位</w:t>
            </w:r>
            <w:r>
              <w:rPr>
                <w:rFonts w:hint="eastAsia" w:ascii="宋体" w:hAnsi="宋体"/>
                <w:color w:val="auto"/>
                <w:highlight w:val="none"/>
              </w:rPr>
              <w:t>。</w:t>
            </w:r>
          </w:p>
        </w:tc>
        <w:tc>
          <w:tcPr>
            <w:tcW w:w="824" w:type="pct"/>
            <w:vAlign w:val="center"/>
          </w:tcPr>
          <w:p w14:paraId="0E6A56AE">
            <w:pPr>
              <w:spacing w:line="240" w:lineRule="exact"/>
              <w:rPr>
                <w:rFonts w:ascii="宋体" w:hAnsi="宋体"/>
                <w:color w:val="auto"/>
                <w:highlight w:val="none"/>
              </w:rPr>
            </w:pPr>
            <w:r>
              <w:rPr>
                <w:rFonts w:hint="eastAsia" w:ascii="宋体" w:hAnsi="宋体"/>
                <w:color w:val="auto"/>
                <w:highlight w:val="none"/>
              </w:rPr>
              <w:t>未</w:t>
            </w:r>
            <w:r>
              <w:rPr>
                <w:rFonts w:ascii="宋体" w:hAnsi="宋体"/>
                <w:color w:val="auto"/>
                <w:highlight w:val="none"/>
              </w:rPr>
              <w:t>设在作业区和可燃液体出现泄漏事故时可能流经的部位</w:t>
            </w:r>
          </w:p>
        </w:tc>
        <w:tc>
          <w:tcPr>
            <w:tcW w:w="366" w:type="pct"/>
            <w:vAlign w:val="center"/>
          </w:tcPr>
          <w:p w14:paraId="40E10CC8">
            <w:pPr>
              <w:spacing w:line="240" w:lineRule="exact"/>
              <w:rPr>
                <w:rFonts w:ascii="宋体" w:hAnsi="宋体"/>
                <w:color w:val="auto"/>
                <w:highlight w:val="none"/>
              </w:rPr>
            </w:pPr>
            <w:r>
              <w:rPr>
                <w:rFonts w:ascii="宋体" w:hAnsi="宋体"/>
                <w:color w:val="auto"/>
                <w:highlight w:val="none"/>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highlight w:val="none"/>
              </w:rPr>
            </w:pPr>
            <w:r>
              <w:rPr>
                <w:rFonts w:hint="eastAsia" w:ascii="宋体" w:hAnsi="宋体"/>
                <w:color w:val="auto"/>
                <w:highlight w:val="none"/>
              </w:rPr>
              <w:t>3</w:t>
            </w:r>
          </w:p>
        </w:tc>
        <w:tc>
          <w:tcPr>
            <w:tcW w:w="3482" w:type="pct"/>
            <w:vAlign w:val="center"/>
          </w:tcPr>
          <w:p w14:paraId="3366E3A0">
            <w:pPr>
              <w:rPr>
                <w:rFonts w:ascii="宋体" w:hAnsi="宋体"/>
                <w:color w:val="auto"/>
                <w:highlight w:val="none"/>
              </w:rPr>
            </w:pPr>
            <w:r>
              <w:rPr>
                <w:rFonts w:hint="eastAsia" w:ascii="宋体" w:hAnsi="宋体"/>
                <w:color w:val="auto"/>
                <w:highlight w:val="none"/>
              </w:rPr>
              <w:t>GB50966-10.2.2</w:t>
            </w:r>
            <w:r>
              <w:rPr>
                <w:rFonts w:ascii="Arial" w:hAnsi="Arial" w:eastAsia="Arial" w:cs="Arial"/>
                <w:color w:val="auto"/>
                <w:highlight w:val="none"/>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highlight w:val="none"/>
                <w:shd w:val="clear" w:color="auto" w:fill="FFFFFF"/>
              </w:rPr>
              <w:t>。</w:t>
            </w:r>
          </w:p>
        </w:tc>
        <w:tc>
          <w:tcPr>
            <w:tcW w:w="824" w:type="pct"/>
            <w:vAlign w:val="center"/>
          </w:tcPr>
          <w:p w14:paraId="2B85190D">
            <w:pPr>
              <w:rPr>
                <w:rFonts w:ascii="宋体" w:hAnsi="宋体"/>
                <w:color w:val="auto"/>
                <w:highlight w:val="none"/>
              </w:rPr>
            </w:pPr>
            <w:r>
              <w:rPr>
                <w:rFonts w:hint="eastAsia" w:ascii="宋体" w:hAnsi="宋体"/>
                <w:color w:val="auto"/>
                <w:highlight w:val="none"/>
              </w:rPr>
              <w:t>雨水散流</w:t>
            </w:r>
          </w:p>
        </w:tc>
        <w:tc>
          <w:tcPr>
            <w:tcW w:w="366" w:type="pct"/>
            <w:vAlign w:val="center"/>
          </w:tcPr>
          <w:p w14:paraId="7E6C4B21">
            <w:pPr>
              <w:rPr>
                <w:rFonts w:ascii="宋体" w:hAnsi="宋体"/>
                <w:color w:val="auto"/>
                <w:highlight w:val="none"/>
              </w:rPr>
            </w:pPr>
            <w:r>
              <w:rPr>
                <w:rFonts w:hint="eastAsia" w:ascii="宋体" w:hAnsi="宋体"/>
                <w:color w:val="auto"/>
                <w:highlight w:val="none"/>
              </w:rPr>
              <w:t>合格</w:t>
            </w:r>
          </w:p>
        </w:tc>
      </w:tr>
    </w:tbl>
    <w:p w14:paraId="0BF3B277">
      <w:pPr>
        <w:spacing w:line="600" w:lineRule="exact"/>
        <w:ind w:firstLine="516" w:firstLineChars="200"/>
        <w:jc w:val="left"/>
        <w:rPr>
          <w:rFonts w:ascii="宋体" w:hAnsi="宋体"/>
          <w:color w:val="auto"/>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表可知，以上检查表</w:t>
      </w:r>
      <w:r>
        <w:rPr>
          <w:rFonts w:hint="eastAsia" w:ascii="宋体" w:hAnsi="宋体"/>
          <w:color w:val="auto"/>
          <w:spacing w:val="-11"/>
          <w:sz w:val="28"/>
          <w:szCs w:val="28"/>
          <w:highlight w:val="none"/>
        </w:rPr>
        <w:t>共检查3</w:t>
      </w:r>
      <w:r>
        <w:rPr>
          <w:rFonts w:hint="eastAsia" w:ascii="宋体" w:hAnsi="宋体"/>
          <w:color w:val="auto"/>
          <w:spacing w:val="-11"/>
          <w:sz w:val="28"/>
          <w:szCs w:val="28"/>
          <w:highlight w:val="none"/>
          <w:lang w:eastAsia="zh-CN"/>
        </w:rPr>
        <w:t>项</w:t>
      </w:r>
      <w:r>
        <w:rPr>
          <w:rFonts w:hint="eastAsia" w:ascii="宋体" w:hAnsi="宋体"/>
          <w:color w:val="auto"/>
          <w:spacing w:val="-11"/>
          <w:sz w:val="28"/>
          <w:szCs w:val="28"/>
          <w:highlight w:val="none"/>
        </w:rPr>
        <w:t>，</w:t>
      </w:r>
      <w:r>
        <w:rPr>
          <w:rFonts w:hint="eastAsia" w:cs="宋体"/>
          <w:color w:val="auto"/>
          <w:spacing w:val="-11"/>
          <w:sz w:val="28"/>
          <w:szCs w:val="28"/>
          <w:highlight w:val="none"/>
        </w:rPr>
        <w:t>均符合要求</w:t>
      </w:r>
      <w:r>
        <w:rPr>
          <w:rFonts w:hint="eastAsia" w:ascii="宋体" w:hAnsi="宋体"/>
          <w:color w:val="auto"/>
          <w:spacing w:val="-11"/>
          <w:sz w:val="28"/>
          <w:szCs w:val="28"/>
          <w:highlight w:val="none"/>
        </w:rPr>
        <w:t>。</w:t>
      </w:r>
      <w:bookmarkStart w:id="175" w:name="_Toc92712595"/>
      <w:bookmarkStart w:id="176" w:name="_Toc30243"/>
    </w:p>
    <w:p w14:paraId="3252F0C1">
      <w:pPr>
        <w:pStyle w:val="3"/>
        <w:jc w:val="center"/>
        <w:rPr>
          <w:rFonts w:ascii="宋体" w:hAnsi="宋体"/>
          <w:color w:val="auto"/>
          <w:sz w:val="30"/>
          <w:szCs w:val="30"/>
          <w:highlight w:val="none"/>
        </w:rPr>
      </w:pPr>
      <w:bookmarkStart w:id="177" w:name="_Toc26838"/>
      <w:bookmarkStart w:id="178" w:name="_Toc11555"/>
      <w:r>
        <w:rPr>
          <w:rFonts w:hint="eastAsia" w:ascii="宋体" w:hAnsi="宋体"/>
          <w:color w:val="auto"/>
          <w:sz w:val="30"/>
          <w:szCs w:val="30"/>
          <w:highlight w:val="none"/>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highlight w:val="none"/>
              </w:rPr>
            </w:pPr>
            <w:r>
              <w:rPr>
                <w:rFonts w:ascii="宋体" w:hAnsi="宋体"/>
                <w:b/>
                <w:color w:val="auto"/>
                <w:highlight w:val="none"/>
              </w:rPr>
              <w:t>序号</w:t>
            </w:r>
          </w:p>
        </w:tc>
        <w:tc>
          <w:tcPr>
            <w:tcW w:w="3254" w:type="pct"/>
            <w:vAlign w:val="center"/>
          </w:tcPr>
          <w:p w14:paraId="3923383B">
            <w:pPr>
              <w:spacing w:line="280" w:lineRule="exact"/>
              <w:jc w:val="center"/>
              <w:rPr>
                <w:rFonts w:ascii="宋体" w:hAnsi="宋体"/>
                <w:b/>
                <w:color w:val="auto"/>
                <w:highlight w:val="none"/>
              </w:rPr>
            </w:pPr>
            <w:r>
              <w:rPr>
                <w:rFonts w:ascii="宋体" w:hAnsi="宋体"/>
                <w:b/>
                <w:color w:val="auto"/>
                <w:highlight w:val="none"/>
              </w:rPr>
              <w:t>检查内容</w:t>
            </w:r>
          </w:p>
        </w:tc>
        <w:tc>
          <w:tcPr>
            <w:tcW w:w="982" w:type="pct"/>
            <w:vAlign w:val="center"/>
          </w:tcPr>
          <w:p w14:paraId="695A52C8">
            <w:pPr>
              <w:spacing w:line="280" w:lineRule="exact"/>
              <w:jc w:val="center"/>
              <w:rPr>
                <w:rFonts w:ascii="宋体" w:hAnsi="宋体"/>
                <w:b/>
                <w:color w:val="auto"/>
                <w:highlight w:val="none"/>
              </w:rPr>
            </w:pPr>
            <w:r>
              <w:rPr>
                <w:rFonts w:ascii="宋体" w:hAnsi="宋体"/>
                <w:b/>
                <w:color w:val="auto"/>
                <w:highlight w:val="none"/>
              </w:rPr>
              <w:t>检查记录</w:t>
            </w:r>
          </w:p>
        </w:tc>
        <w:tc>
          <w:tcPr>
            <w:tcW w:w="396" w:type="pct"/>
            <w:vAlign w:val="center"/>
          </w:tcPr>
          <w:p w14:paraId="4AAD2782">
            <w:pPr>
              <w:spacing w:line="280" w:lineRule="exact"/>
              <w:jc w:val="center"/>
              <w:rPr>
                <w:rFonts w:ascii="宋体" w:hAnsi="宋体"/>
                <w:b/>
                <w:color w:val="auto"/>
                <w:highlight w:val="none"/>
              </w:rPr>
            </w:pPr>
            <w:r>
              <w:rPr>
                <w:rFonts w:ascii="宋体" w:hAnsi="宋体"/>
                <w:b/>
                <w:color w:val="auto"/>
                <w:highlight w:val="none"/>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highlight w:val="none"/>
              </w:rPr>
            </w:pPr>
            <w:r>
              <w:rPr>
                <w:rFonts w:ascii="宋体" w:hAnsi="宋体"/>
                <w:b/>
                <w:color w:val="auto"/>
                <w:highlight w:val="none"/>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75491522">
            <w:pPr>
              <w:spacing w:line="280" w:lineRule="exact"/>
              <w:rPr>
                <w:rFonts w:ascii="宋体" w:hAnsi="宋体"/>
                <w:color w:val="auto"/>
                <w:highlight w:val="none"/>
              </w:rPr>
            </w:pPr>
            <w:r>
              <w:rPr>
                <w:rFonts w:ascii="宋体" w:hAnsi="宋体"/>
                <w:color w:val="auto"/>
                <w:highlight w:val="none"/>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highlight w:val="none"/>
              </w:rPr>
            </w:pPr>
            <w:r>
              <w:rPr>
                <w:rFonts w:ascii="宋体" w:hAnsi="宋体"/>
                <w:color w:val="auto"/>
                <w:highlight w:val="none"/>
              </w:rPr>
              <w:t>信息系统</w:t>
            </w:r>
            <w:r>
              <w:rPr>
                <w:rFonts w:hint="eastAsia" w:ascii="宋体" w:hAnsi="宋体"/>
                <w:color w:val="auto"/>
                <w:highlight w:val="none"/>
              </w:rPr>
              <w:t>设有</w:t>
            </w:r>
            <w:r>
              <w:rPr>
                <w:rFonts w:ascii="宋体" w:hAnsi="宋体"/>
                <w:color w:val="auto"/>
                <w:highlight w:val="none"/>
              </w:rPr>
              <w:t>UPS电源</w:t>
            </w:r>
          </w:p>
        </w:tc>
        <w:tc>
          <w:tcPr>
            <w:tcW w:w="396" w:type="pct"/>
            <w:vAlign w:val="center"/>
          </w:tcPr>
          <w:p w14:paraId="7BCF9ACF">
            <w:pPr>
              <w:spacing w:line="280" w:lineRule="exact"/>
              <w:jc w:val="center"/>
              <w:rPr>
                <w:rFonts w:ascii="宋体" w:hAnsi="宋体"/>
                <w:color w:val="auto"/>
                <w:highlight w:val="none"/>
              </w:rPr>
            </w:pPr>
            <w:r>
              <w:rPr>
                <w:rFonts w:ascii="宋体" w:hAnsi="宋体"/>
                <w:color w:val="auto"/>
                <w:highlight w:val="none"/>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5029779F">
            <w:pPr>
              <w:spacing w:line="280" w:lineRule="exact"/>
              <w:rPr>
                <w:rFonts w:ascii="宋体" w:hAnsi="宋体"/>
                <w:color w:val="auto"/>
                <w:highlight w:val="none"/>
              </w:rPr>
            </w:pPr>
            <w:r>
              <w:rPr>
                <w:rFonts w:ascii="宋体" w:hAnsi="宋体"/>
                <w:color w:val="auto"/>
                <w:highlight w:val="none"/>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highlight w:val="none"/>
              </w:rPr>
            </w:pPr>
            <w:r>
              <w:rPr>
                <w:rFonts w:hint="eastAsia" w:ascii="宋体" w:hAnsi="宋体" w:cs="Times New Roman"/>
                <w:color w:val="auto"/>
                <w:highlight w:val="none"/>
              </w:rPr>
              <w:t>外接电源引至位于配电间的配电柜</w:t>
            </w:r>
          </w:p>
        </w:tc>
        <w:tc>
          <w:tcPr>
            <w:tcW w:w="396" w:type="pct"/>
            <w:vAlign w:val="center"/>
          </w:tcPr>
          <w:p w14:paraId="13676213">
            <w:pPr>
              <w:spacing w:line="280" w:lineRule="exact"/>
              <w:jc w:val="center"/>
              <w:rPr>
                <w:rFonts w:ascii="宋体" w:hAnsi="宋体"/>
                <w:color w:val="auto"/>
                <w:highlight w:val="none"/>
              </w:rPr>
            </w:pPr>
            <w:r>
              <w:rPr>
                <w:rFonts w:ascii="宋体" w:hAnsi="宋体"/>
                <w:color w:val="auto"/>
                <w:highlight w:val="none"/>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72012E37">
            <w:pPr>
              <w:spacing w:line="280" w:lineRule="exact"/>
              <w:rPr>
                <w:rFonts w:ascii="宋体" w:hAnsi="宋体"/>
                <w:color w:val="auto"/>
                <w:highlight w:val="none"/>
              </w:rPr>
            </w:pPr>
            <w:r>
              <w:rPr>
                <w:rFonts w:ascii="宋体" w:hAnsi="宋体"/>
                <w:color w:val="auto"/>
                <w:highlight w:val="none"/>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highlight w:val="none"/>
              </w:rPr>
            </w:pPr>
            <w:r>
              <w:rPr>
                <w:rFonts w:hint="eastAsia" w:ascii="宋体" w:hAnsi="宋体"/>
                <w:color w:val="auto"/>
                <w:highlight w:val="none"/>
              </w:rPr>
              <w:t>设有应急照明</w:t>
            </w:r>
          </w:p>
        </w:tc>
        <w:tc>
          <w:tcPr>
            <w:tcW w:w="396" w:type="pct"/>
            <w:vAlign w:val="center"/>
          </w:tcPr>
          <w:p w14:paraId="71CC98F6">
            <w:pPr>
              <w:spacing w:line="280" w:lineRule="exact"/>
              <w:jc w:val="center"/>
              <w:rPr>
                <w:rFonts w:ascii="宋体" w:hAnsi="宋体"/>
                <w:color w:val="auto"/>
                <w:highlight w:val="none"/>
              </w:rPr>
            </w:pPr>
            <w:r>
              <w:rPr>
                <w:rFonts w:ascii="宋体" w:hAnsi="宋体"/>
                <w:color w:val="auto"/>
                <w:highlight w:val="none"/>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highlight w:val="none"/>
              </w:rPr>
            </w:pPr>
            <w:r>
              <w:rPr>
                <w:rFonts w:ascii="宋体" w:hAnsi="宋体"/>
                <w:color w:val="auto"/>
                <w:highlight w:val="none"/>
              </w:rPr>
              <w:t>4</w:t>
            </w:r>
          </w:p>
        </w:tc>
        <w:tc>
          <w:tcPr>
            <w:tcW w:w="3254" w:type="pct"/>
            <w:vAlign w:val="center"/>
          </w:tcPr>
          <w:p w14:paraId="5F295AC4">
            <w:pPr>
              <w:spacing w:line="280" w:lineRule="exact"/>
              <w:rPr>
                <w:rFonts w:ascii="宋体" w:hAnsi="宋体"/>
                <w:color w:val="auto"/>
                <w:highlight w:val="none"/>
              </w:rPr>
            </w:pPr>
            <w:r>
              <w:rPr>
                <w:rFonts w:ascii="宋体" w:hAnsi="宋体"/>
                <w:color w:val="auto"/>
                <w:highlight w:val="none"/>
              </w:rPr>
              <w:t>13.1.4当引用外电源有困难时，汽车加油加气加氢站可设置小型内燃发电机组。内燃机的排烟管口应安装阻火器。排烟管口至各爆炸危险区域</w:t>
            </w:r>
            <w:r>
              <w:rPr>
                <w:rFonts w:hint="eastAsia" w:ascii="宋体" w:hAnsi="宋体"/>
                <w:color w:val="auto"/>
                <w:highlight w:val="none"/>
              </w:rPr>
              <w:t>边</w:t>
            </w:r>
            <w:r>
              <w:rPr>
                <w:rFonts w:ascii="宋体" w:hAnsi="宋体"/>
                <w:color w:val="auto"/>
                <w:highlight w:val="none"/>
              </w:rPr>
              <w:t>界的水平距离，应符合下列规定：</w:t>
            </w:r>
          </w:p>
          <w:p w14:paraId="258CE2E9">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排烟口高出地面4.5m以下时，不应小于5m；</w:t>
            </w:r>
          </w:p>
          <w:p w14:paraId="1E0E6510">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排烟口高出地面4.5m及以上时，不应小于3m。</w:t>
            </w:r>
          </w:p>
        </w:tc>
        <w:tc>
          <w:tcPr>
            <w:tcW w:w="982" w:type="pct"/>
            <w:vAlign w:val="center"/>
          </w:tcPr>
          <w:p w14:paraId="10D46291">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发电机设置阻火器，按照符合规定</w:t>
            </w:r>
          </w:p>
        </w:tc>
        <w:tc>
          <w:tcPr>
            <w:tcW w:w="396" w:type="pct"/>
            <w:vAlign w:val="center"/>
          </w:tcPr>
          <w:p w14:paraId="340B4670">
            <w:pPr>
              <w:spacing w:line="280" w:lineRule="exact"/>
              <w:jc w:val="center"/>
              <w:rPr>
                <w:rFonts w:hint="eastAsia" w:ascii="宋体" w:hAnsi="宋体" w:eastAsia="宋体"/>
                <w:color w:val="auto"/>
                <w:highlight w:val="none"/>
                <w:lang w:eastAsia="zh-CN"/>
              </w:rPr>
            </w:pPr>
            <w:r>
              <w:rPr>
                <w:rFonts w:hint="eastAsia" w:ascii="宋体" w:hAnsi="宋体"/>
                <w:color w:val="auto"/>
                <w:highlight w:val="none"/>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highlight w:val="none"/>
              </w:rPr>
            </w:pPr>
            <w:r>
              <w:rPr>
                <w:rFonts w:ascii="宋体" w:hAnsi="宋体"/>
                <w:color w:val="auto"/>
                <w:highlight w:val="none"/>
              </w:rPr>
              <w:t>5</w:t>
            </w:r>
          </w:p>
        </w:tc>
        <w:tc>
          <w:tcPr>
            <w:tcW w:w="3254" w:type="pct"/>
            <w:vAlign w:val="center"/>
          </w:tcPr>
          <w:p w14:paraId="798C3A9C">
            <w:pPr>
              <w:spacing w:line="280" w:lineRule="exact"/>
              <w:rPr>
                <w:rFonts w:ascii="宋体" w:hAnsi="宋体"/>
                <w:color w:val="auto"/>
                <w:highlight w:val="none"/>
              </w:rPr>
            </w:pPr>
            <w:r>
              <w:rPr>
                <w:rFonts w:ascii="宋体" w:hAnsi="宋体"/>
                <w:color w:val="auto"/>
                <w:highlight w:val="none"/>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highlight w:val="none"/>
              </w:rPr>
            </w:pPr>
            <w:r>
              <w:rPr>
                <w:rFonts w:ascii="宋体" w:hAnsi="宋体"/>
                <w:color w:val="auto"/>
                <w:highlight w:val="none"/>
              </w:rPr>
              <w:t>穿管敷设</w:t>
            </w:r>
          </w:p>
        </w:tc>
        <w:tc>
          <w:tcPr>
            <w:tcW w:w="396" w:type="pct"/>
            <w:vAlign w:val="center"/>
          </w:tcPr>
          <w:p w14:paraId="1A9DC173">
            <w:pPr>
              <w:spacing w:line="280" w:lineRule="exact"/>
              <w:jc w:val="center"/>
              <w:rPr>
                <w:rFonts w:ascii="宋体" w:hAnsi="宋体"/>
                <w:color w:val="auto"/>
                <w:highlight w:val="none"/>
              </w:rPr>
            </w:pPr>
            <w:r>
              <w:rPr>
                <w:rFonts w:ascii="宋体" w:hAnsi="宋体"/>
                <w:color w:val="auto"/>
                <w:highlight w:val="none"/>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highlight w:val="none"/>
              </w:rPr>
            </w:pPr>
            <w:r>
              <w:rPr>
                <w:rFonts w:ascii="宋体" w:hAnsi="宋体"/>
                <w:color w:val="auto"/>
                <w:highlight w:val="none"/>
              </w:rPr>
              <w:t>6</w:t>
            </w:r>
          </w:p>
        </w:tc>
        <w:tc>
          <w:tcPr>
            <w:tcW w:w="3254" w:type="pct"/>
            <w:vAlign w:val="center"/>
          </w:tcPr>
          <w:p w14:paraId="0C5EF5C9">
            <w:pPr>
              <w:spacing w:line="280" w:lineRule="exact"/>
              <w:rPr>
                <w:rFonts w:ascii="宋体" w:hAnsi="宋体"/>
                <w:color w:val="auto"/>
                <w:highlight w:val="none"/>
              </w:rPr>
            </w:pPr>
            <w:r>
              <w:rPr>
                <w:rFonts w:ascii="宋体" w:hAnsi="宋体"/>
                <w:color w:val="auto"/>
                <w:highlight w:val="none"/>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79374653">
            <w:pPr>
              <w:spacing w:line="280" w:lineRule="exact"/>
              <w:jc w:val="center"/>
              <w:rPr>
                <w:rFonts w:ascii="宋体" w:hAnsi="宋体"/>
                <w:color w:val="auto"/>
                <w:highlight w:val="none"/>
              </w:rPr>
            </w:pPr>
            <w:r>
              <w:rPr>
                <w:rFonts w:ascii="宋体" w:hAnsi="宋体"/>
                <w:color w:val="auto"/>
                <w:highlight w:val="none"/>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highlight w:val="none"/>
              </w:rPr>
            </w:pPr>
            <w:r>
              <w:rPr>
                <w:rFonts w:ascii="宋体" w:hAnsi="宋体"/>
                <w:color w:val="auto"/>
                <w:highlight w:val="none"/>
              </w:rPr>
              <w:t>7</w:t>
            </w:r>
          </w:p>
        </w:tc>
        <w:tc>
          <w:tcPr>
            <w:tcW w:w="3254" w:type="pct"/>
            <w:vAlign w:val="center"/>
          </w:tcPr>
          <w:p w14:paraId="2FC5FCDB">
            <w:pPr>
              <w:spacing w:line="280" w:lineRule="exact"/>
              <w:rPr>
                <w:rFonts w:ascii="宋体" w:hAnsi="宋体"/>
                <w:color w:val="auto"/>
                <w:highlight w:val="none"/>
              </w:rPr>
            </w:pPr>
            <w:r>
              <w:rPr>
                <w:rFonts w:ascii="宋体" w:hAnsi="宋体"/>
                <w:color w:val="auto"/>
                <w:highlight w:val="none"/>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highlight w:val="none"/>
              </w:rPr>
            </w:pPr>
            <w:r>
              <w:rPr>
                <w:rFonts w:ascii="宋体" w:hAnsi="宋体"/>
                <w:color w:val="auto"/>
                <w:highlight w:val="none"/>
              </w:rPr>
              <w:t>符合国家标准</w:t>
            </w:r>
          </w:p>
        </w:tc>
        <w:tc>
          <w:tcPr>
            <w:tcW w:w="396" w:type="pct"/>
            <w:vAlign w:val="center"/>
          </w:tcPr>
          <w:p w14:paraId="6C200FC3">
            <w:pPr>
              <w:spacing w:line="280" w:lineRule="exact"/>
              <w:jc w:val="center"/>
              <w:rPr>
                <w:rFonts w:ascii="宋体" w:hAnsi="宋体"/>
                <w:color w:val="auto"/>
                <w:highlight w:val="none"/>
              </w:rPr>
            </w:pPr>
            <w:r>
              <w:rPr>
                <w:rFonts w:ascii="宋体" w:hAnsi="宋体"/>
                <w:color w:val="auto"/>
                <w:highlight w:val="none"/>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13D6529F">
            <w:pPr>
              <w:spacing w:line="280" w:lineRule="exact"/>
              <w:rPr>
                <w:rFonts w:ascii="宋体" w:hAnsi="宋体"/>
                <w:color w:val="auto"/>
                <w:highlight w:val="none"/>
              </w:rPr>
            </w:pPr>
            <w:r>
              <w:rPr>
                <w:rFonts w:ascii="宋体" w:hAnsi="宋体"/>
                <w:color w:val="auto"/>
                <w:highlight w:val="none"/>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highlight w:val="none"/>
              </w:rPr>
            </w:pPr>
            <w:r>
              <w:rPr>
                <w:rFonts w:ascii="宋体" w:hAnsi="宋体"/>
                <w:color w:val="auto"/>
                <w:highlight w:val="none"/>
              </w:rPr>
              <w:t>IP44级</w:t>
            </w:r>
          </w:p>
        </w:tc>
        <w:tc>
          <w:tcPr>
            <w:tcW w:w="396" w:type="pct"/>
            <w:vAlign w:val="center"/>
          </w:tcPr>
          <w:p w14:paraId="1E3FAF38">
            <w:pPr>
              <w:spacing w:line="280" w:lineRule="exact"/>
              <w:jc w:val="center"/>
              <w:rPr>
                <w:rFonts w:ascii="宋体" w:hAnsi="宋体"/>
                <w:color w:val="auto"/>
                <w:highlight w:val="none"/>
              </w:rPr>
            </w:pPr>
            <w:r>
              <w:rPr>
                <w:rFonts w:ascii="宋体" w:hAnsi="宋体"/>
                <w:color w:val="auto"/>
                <w:highlight w:val="none"/>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highlight w:val="none"/>
              </w:rPr>
            </w:pPr>
            <w:r>
              <w:rPr>
                <w:rFonts w:ascii="宋体" w:hAnsi="宋体"/>
                <w:b/>
                <w:color w:val="auto"/>
                <w:highlight w:val="none"/>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2BBEC351">
            <w:pPr>
              <w:spacing w:line="280" w:lineRule="exact"/>
              <w:rPr>
                <w:rFonts w:ascii="宋体" w:hAnsi="宋体"/>
                <w:color w:val="auto"/>
                <w:highlight w:val="none"/>
              </w:rPr>
            </w:pPr>
            <w:r>
              <w:rPr>
                <w:rFonts w:ascii="宋体" w:hAnsi="宋体"/>
                <w:color w:val="auto"/>
                <w:highlight w:val="none"/>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highlight w:val="none"/>
                <w:lang w:eastAsia="zh-CN"/>
              </w:rPr>
              <w:t>临时</w:t>
            </w:r>
            <w:r>
              <w:rPr>
                <w:rFonts w:ascii="宋体" w:hAnsi="宋体"/>
                <w:color w:val="auto"/>
                <w:highlight w:val="none"/>
              </w:rPr>
              <w:t>固定防雷接地装置。</w:t>
            </w:r>
          </w:p>
        </w:tc>
        <w:tc>
          <w:tcPr>
            <w:tcW w:w="982" w:type="pct"/>
            <w:vAlign w:val="center"/>
          </w:tcPr>
          <w:p w14:paraId="34AF7F3D">
            <w:pPr>
              <w:spacing w:line="280" w:lineRule="exact"/>
              <w:rPr>
                <w:rFonts w:ascii="宋体" w:hAnsi="宋体"/>
                <w:color w:val="auto"/>
                <w:highlight w:val="none"/>
              </w:rPr>
            </w:pPr>
            <w:r>
              <w:rPr>
                <w:rFonts w:ascii="宋体" w:hAnsi="宋体"/>
                <w:color w:val="auto"/>
                <w:highlight w:val="none"/>
              </w:rPr>
              <w:t>接地点不少于两处</w:t>
            </w:r>
            <w:r>
              <w:rPr>
                <w:rFonts w:hint="eastAsia" w:ascii="宋体" w:hAnsi="宋体"/>
                <w:color w:val="auto"/>
                <w:highlight w:val="none"/>
              </w:rPr>
              <w:t>，有合格的防雷接地检测报告</w:t>
            </w:r>
          </w:p>
        </w:tc>
        <w:tc>
          <w:tcPr>
            <w:tcW w:w="396" w:type="pct"/>
            <w:vAlign w:val="center"/>
          </w:tcPr>
          <w:p w14:paraId="6D0EC0EF">
            <w:pPr>
              <w:spacing w:line="280" w:lineRule="exact"/>
              <w:jc w:val="center"/>
              <w:rPr>
                <w:rFonts w:ascii="宋体" w:hAnsi="宋体"/>
                <w:color w:val="auto"/>
                <w:highlight w:val="none"/>
              </w:rPr>
            </w:pPr>
            <w:r>
              <w:rPr>
                <w:rFonts w:ascii="宋体" w:hAnsi="宋体"/>
                <w:color w:val="auto"/>
                <w:highlight w:val="none"/>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6EE372D2">
            <w:pPr>
              <w:spacing w:line="280" w:lineRule="exact"/>
              <w:rPr>
                <w:rFonts w:ascii="宋体" w:hAnsi="宋体"/>
                <w:color w:val="auto"/>
                <w:highlight w:val="none"/>
              </w:rPr>
            </w:pPr>
            <w:r>
              <w:rPr>
                <w:rFonts w:ascii="宋体" w:hAnsi="宋体"/>
                <w:color w:val="auto"/>
                <w:highlight w:val="none"/>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4F17D152">
            <w:pPr>
              <w:spacing w:line="280" w:lineRule="exact"/>
              <w:jc w:val="center"/>
              <w:rPr>
                <w:rFonts w:ascii="宋体" w:hAnsi="宋体"/>
                <w:color w:val="auto"/>
                <w:highlight w:val="none"/>
              </w:rPr>
            </w:pPr>
            <w:r>
              <w:rPr>
                <w:rFonts w:ascii="宋体" w:hAnsi="宋体"/>
                <w:color w:val="auto"/>
                <w:highlight w:val="none"/>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39582731">
            <w:pPr>
              <w:spacing w:line="280" w:lineRule="exact"/>
              <w:rPr>
                <w:rFonts w:ascii="宋体" w:hAnsi="宋体"/>
                <w:color w:val="auto"/>
                <w:highlight w:val="none"/>
              </w:rPr>
            </w:pPr>
            <w:r>
              <w:rPr>
                <w:rFonts w:ascii="宋体" w:hAnsi="宋体"/>
                <w:color w:val="auto"/>
                <w:highlight w:val="none"/>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4F31896A">
            <w:pPr>
              <w:spacing w:line="280" w:lineRule="exact"/>
              <w:jc w:val="center"/>
              <w:rPr>
                <w:rFonts w:ascii="宋体" w:hAnsi="宋体"/>
                <w:color w:val="auto"/>
                <w:highlight w:val="none"/>
              </w:rPr>
            </w:pPr>
            <w:r>
              <w:rPr>
                <w:rFonts w:ascii="宋体" w:hAnsi="宋体"/>
                <w:color w:val="auto"/>
                <w:highlight w:val="none"/>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42F19B60">
            <w:pPr>
              <w:spacing w:line="280" w:lineRule="exact"/>
              <w:rPr>
                <w:rFonts w:ascii="宋体" w:hAnsi="宋体"/>
                <w:color w:val="auto"/>
                <w:highlight w:val="none"/>
              </w:rPr>
            </w:pPr>
            <w:r>
              <w:rPr>
                <w:rFonts w:ascii="宋体" w:hAnsi="宋体"/>
                <w:color w:val="auto"/>
                <w:highlight w:val="none"/>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板间的连接应是持久的电气贯通，可采用铜锌合金焊、熔焊、卷边压接、缝接、螺钉或螺栓连接；</w:t>
            </w:r>
          </w:p>
          <w:p w14:paraId="6586E558">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金属板下面不应有易燃物品，热镀锌钢板的厚度不应小于0.5mm，铝板的厚度不应小于0.65mm，锌板的厚度不应小于0.7mm；</w:t>
            </w:r>
          </w:p>
          <w:p w14:paraId="29AFDBA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金属板应无绝缘被覆层。</w:t>
            </w:r>
          </w:p>
        </w:tc>
        <w:tc>
          <w:tcPr>
            <w:tcW w:w="982" w:type="pct"/>
            <w:vAlign w:val="center"/>
          </w:tcPr>
          <w:p w14:paraId="6132C827">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76A1D737">
            <w:pPr>
              <w:spacing w:line="280" w:lineRule="exact"/>
              <w:jc w:val="center"/>
              <w:rPr>
                <w:rFonts w:ascii="宋体" w:hAnsi="宋体"/>
                <w:color w:val="auto"/>
                <w:highlight w:val="none"/>
              </w:rPr>
            </w:pPr>
            <w:r>
              <w:rPr>
                <w:rFonts w:ascii="宋体" w:hAnsi="宋体"/>
                <w:color w:val="auto"/>
                <w:highlight w:val="none"/>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highlight w:val="none"/>
              </w:rPr>
            </w:pPr>
            <w:r>
              <w:rPr>
                <w:rFonts w:hint="eastAsia" w:ascii="宋体" w:hAnsi="宋体"/>
                <w:color w:val="auto"/>
                <w:highlight w:val="none"/>
              </w:rPr>
              <w:t>5</w:t>
            </w:r>
          </w:p>
        </w:tc>
        <w:tc>
          <w:tcPr>
            <w:tcW w:w="3254" w:type="pct"/>
            <w:vAlign w:val="center"/>
          </w:tcPr>
          <w:p w14:paraId="146E82F2">
            <w:pPr>
              <w:spacing w:line="280" w:lineRule="exact"/>
              <w:rPr>
                <w:rFonts w:ascii="宋体" w:hAnsi="宋体"/>
                <w:color w:val="auto"/>
                <w:highlight w:val="none"/>
              </w:rPr>
            </w:pPr>
            <w:r>
              <w:rPr>
                <w:rFonts w:ascii="宋体" w:hAnsi="宋体"/>
                <w:color w:val="auto"/>
                <w:highlight w:val="none"/>
              </w:rPr>
              <w:t>13.2.7汽车加油加气加氢站的信息系统应采用铠装电缆或导线穿钢管配线。配线电缆铠装金属层两端、保护钢管</w:t>
            </w:r>
            <w:r>
              <w:rPr>
                <w:rFonts w:hint="eastAsia" w:ascii="宋体" w:hAnsi="宋体"/>
                <w:color w:val="auto"/>
                <w:highlight w:val="none"/>
                <w:lang w:eastAsia="zh-CN"/>
              </w:rPr>
              <w:t>底端</w:t>
            </w:r>
            <w:r>
              <w:rPr>
                <w:rFonts w:ascii="宋体" w:hAnsi="宋体"/>
                <w:color w:val="auto"/>
                <w:highlight w:val="none"/>
              </w:rPr>
              <w:t>构应接地。</w:t>
            </w:r>
          </w:p>
        </w:tc>
        <w:tc>
          <w:tcPr>
            <w:tcW w:w="982" w:type="pct"/>
            <w:vAlign w:val="center"/>
          </w:tcPr>
          <w:p w14:paraId="488AC4A1">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75552E9">
            <w:pPr>
              <w:spacing w:line="280" w:lineRule="exact"/>
              <w:jc w:val="center"/>
              <w:rPr>
                <w:rFonts w:ascii="宋体" w:hAnsi="宋体"/>
                <w:color w:val="auto"/>
                <w:highlight w:val="none"/>
              </w:rPr>
            </w:pPr>
            <w:r>
              <w:rPr>
                <w:rFonts w:ascii="宋体" w:hAnsi="宋体"/>
                <w:color w:val="auto"/>
                <w:highlight w:val="none"/>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highlight w:val="none"/>
              </w:rPr>
            </w:pPr>
            <w:r>
              <w:rPr>
                <w:rFonts w:hint="eastAsia" w:ascii="宋体" w:hAnsi="宋体"/>
                <w:color w:val="auto"/>
                <w:highlight w:val="none"/>
              </w:rPr>
              <w:t>6</w:t>
            </w:r>
          </w:p>
        </w:tc>
        <w:tc>
          <w:tcPr>
            <w:tcW w:w="3254" w:type="pct"/>
            <w:vAlign w:val="center"/>
          </w:tcPr>
          <w:p w14:paraId="5882D4A3">
            <w:pPr>
              <w:spacing w:line="280" w:lineRule="exact"/>
              <w:rPr>
                <w:rFonts w:ascii="宋体" w:hAnsi="宋体"/>
                <w:color w:val="auto"/>
                <w:highlight w:val="none"/>
              </w:rPr>
            </w:pPr>
            <w:r>
              <w:rPr>
                <w:rFonts w:hint="eastAsia" w:ascii="宋体" w:hAnsi="宋体"/>
                <w:color w:val="auto"/>
                <w:highlight w:val="none"/>
              </w:rPr>
              <w:t>1</w:t>
            </w:r>
            <w:r>
              <w:rPr>
                <w:rFonts w:ascii="宋体" w:hAnsi="宋体"/>
                <w:color w:val="auto"/>
                <w:highlight w:val="none"/>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EB5B1CD">
            <w:pPr>
              <w:spacing w:line="280" w:lineRule="exact"/>
              <w:jc w:val="center"/>
              <w:rPr>
                <w:rFonts w:ascii="宋体" w:hAnsi="宋体"/>
                <w:color w:val="auto"/>
                <w:highlight w:val="none"/>
              </w:rPr>
            </w:pPr>
            <w:r>
              <w:rPr>
                <w:rFonts w:ascii="宋体" w:hAnsi="宋体"/>
                <w:color w:val="auto"/>
                <w:highlight w:val="none"/>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highlight w:val="none"/>
              </w:rPr>
            </w:pPr>
            <w:r>
              <w:rPr>
                <w:rFonts w:hint="eastAsia" w:ascii="宋体" w:hAnsi="宋体"/>
                <w:color w:val="auto"/>
                <w:highlight w:val="none"/>
              </w:rPr>
              <w:t>7</w:t>
            </w:r>
          </w:p>
        </w:tc>
        <w:tc>
          <w:tcPr>
            <w:tcW w:w="3254" w:type="pct"/>
            <w:vAlign w:val="center"/>
          </w:tcPr>
          <w:p w14:paraId="5831F1DE">
            <w:pPr>
              <w:spacing w:line="280" w:lineRule="exact"/>
              <w:rPr>
                <w:rFonts w:ascii="宋体" w:hAnsi="宋体"/>
                <w:color w:val="auto"/>
                <w:highlight w:val="none"/>
              </w:rPr>
            </w:pPr>
            <w:r>
              <w:rPr>
                <w:rFonts w:ascii="宋体" w:hAnsi="宋体"/>
                <w:color w:val="auto"/>
                <w:highlight w:val="none"/>
              </w:rPr>
              <w:t>13.2.9380/220V供配电系统宜采用TN</w:t>
            </w:r>
            <w:r>
              <w:rPr>
                <w:rFonts w:hint="eastAsia" w:ascii="宋体" w:hAnsi="宋体"/>
                <w:color w:val="auto"/>
                <w:highlight w:val="none"/>
              </w:rPr>
              <w:t>-</w:t>
            </w:r>
            <w:r>
              <w:rPr>
                <w:rFonts w:ascii="宋体" w:hAnsi="宋体"/>
                <w:color w:val="auto"/>
                <w:highlight w:val="none"/>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highlight w:val="none"/>
              </w:rPr>
              <w:t>）</w:t>
            </w:r>
            <w:r>
              <w:rPr>
                <w:rFonts w:ascii="宋体" w:hAnsi="宋体"/>
                <w:color w:val="auto"/>
                <w:highlight w:val="none"/>
              </w:rPr>
              <w:t>保护器。</w:t>
            </w:r>
          </w:p>
        </w:tc>
        <w:tc>
          <w:tcPr>
            <w:tcW w:w="982" w:type="pct"/>
            <w:vAlign w:val="center"/>
          </w:tcPr>
          <w:p w14:paraId="526BCF79">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55694A8F">
            <w:pPr>
              <w:spacing w:line="280" w:lineRule="exact"/>
              <w:jc w:val="center"/>
              <w:rPr>
                <w:rFonts w:ascii="宋体" w:hAnsi="宋体"/>
                <w:color w:val="auto"/>
                <w:highlight w:val="none"/>
              </w:rPr>
            </w:pPr>
            <w:r>
              <w:rPr>
                <w:rFonts w:ascii="宋体" w:hAnsi="宋体"/>
                <w:color w:val="auto"/>
                <w:highlight w:val="none"/>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4A73AFE0">
            <w:pPr>
              <w:spacing w:line="280" w:lineRule="exact"/>
              <w:rPr>
                <w:rFonts w:ascii="宋体" w:hAnsi="宋体"/>
                <w:color w:val="auto"/>
                <w:highlight w:val="none"/>
              </w:rPr>
            </w:pPr>
            <w:r>
              <w:rPr>
                <w:rFonts w:ascii="宋体" w:hAnsi="宋体"/>
                <w:color w:val="auto"/>
                <w:highlight w:val="none"/>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337AF25D">
            <w:pPr>
              <w:spacing w:line="280" w:lineRule="exact"/>
              <w:jc w:val="center"/>
              <w:rPr>
                <w:rFonts w:ascii="宋体" w:hAnsi="宋体"/>
                <w:color w:val="auto"/>
                <w:highlight w:val="none"/>
              </w:rPr>
            </w:pPr>
            <w:r>
              <w:rPr>
                <w:rFonts w:ascii="宋体" w:hAnsi="宋体"/>
                <w:color w:val="auto"/>
                <w:highlight w:val="none"/>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highlight w:val="none"/>
              </w:rPr>
            </w:pPr>
            <w:r>
              <w:rPr>
                <w:rFonts w:hint="eastAsia" w:ascii="宋体" w:hAnsi="宋体"/>
                <w:color w:val="auto"/>
                <w:highlight w:val="none"/>
              </w:rPr>
              <w:t>9</w:t>
            </w:r>
          </w:p>
        </w:tc>
        <w:tc>
          <w:tcPr>
            <w:tcW w:w="3254" w:type="pct"/>
            <w:vAlign w:val="center"/>
          </w:tcPr>
          <w:p w14:paraId="5743C3B6">
            <w:pPr>
              <w:spacing w:line="280" w:lineRule="exact"/>
              <w:rPr>
                <w:rFonts w:ascii="宋体" w:hAnsi="宋体"/>
                <w:color w:val="auto"/>
                <w:highlight w:val="none"/>
              </w:rPr>
            </w:pPr>
            <w:r>
              <w:rPr>
                <w:rFonts w:hint="eastAsia" w:ascii="宋体" w:hAnsi="宋体"/>
                <w:color w:val="auto"/>
                <w:highlight w:val="none"/>
              </w:rPr>
              <w:t>13</w:t>
            </w:r>
            <w:r>
              <w:rPr>
                <w:rFonts w:ascii="宋体" w:hAnsi="宋体"/>
                <w:color w:val="auto"/>
                <w:highlight w:val="none"/>
              </w:rPr>
              <w:t>.2.11加油加气加氢站的油罐车</w:t>
            </w:r>
            <w:r>
              <w:rPr>
                <w:rFonts w:hint="eastAsia" w:ascii="宋体" w:hAnsi="宋体"/>
                <w:color w:val="auto"/>
                <w:highlight w:val="none"/>
              </w:rPr>
              <w:t>、L</w:t>
            </w:r>
            <w:r>
              <w:rPr>
                <w:rFonts w:ascii="宋体" w:hAnsi="宋体"/>
                <w:color w:val="auto"/>
                <w:highlight w:val="none"/>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highlight w:val="none"/>
              </w:rPr>
            </w:pPr>
            <w:r>
              <w:rPr>
                <w:rFonts w:ascii="宋体" w:hAnsi="宋体"/>
                <w:color w:val="auto"/>
                <w:highlight w:val="none"/>
              </w:rPr>
              <w:t>设置能检测跨接线及监视接地装置状态的静电接地仪</w:t>
            </w:r>
          </w:p>
        </w:tc>
        <w:tc>
          <w:tcPr>
            <w:tcW w:w="396" w:type="pct"/>
            <w:vAlign w:val="center"/>
          </w:tcPr>
          <w:p w14:paraId="06EE5A0B">
            <w:pPr>
              <w:spacing w:line="280" w:lineRule="exact"/>
              <w:jc w:val="center"/>
              <w:rPr>
                <w:rFonts w:ascii="宋体" w:hAnsi="宋体"/>
                <w:color w:val="auto"/>
                <w:highlight w:val="none"/>
              </w:rPr>
            </w:pPr>
            <w:r>
              <w:rPr>
                <w:rFonts w:ascii="宋体" w:hAnsi="宋体"/>
                <w:color w:val="auto"/>
                <w:highlight w:val="none"/>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0</w:t>
            </w:r>
          </w:p>
        </w:tc>
        <w:tc>
          <w:tcPr>
            <w:tcW w:w="3254" w:type="pct"/>
            <w:vAlign w:val="center"/>
          </w:tcPr>
          <w:p w14:paraId="713B0CFD">
            <w:pPr>
              <w:spacing w:line="280" w:lineRule="exact"/>
              <w:rPr>
                <w:rFonts w:ascii="宋体" w:hAnsi="宋体"/>
                <w:color w:val="auto"/>
                <w:highlight w:val="none"/>
              </w:rPr>
            </w:pPr>
            <w:r>
              <w:rPr>
                <w:rFonts w:ascii="宋体" w:hAnsi="宋体"/>
                <w:color w:val="auto"/>
                <w:highlight w:val="none"/>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highlight w:val="none"/>
              </w:rPr>
            </w:pPr>
            <w:r>
              <w:rPr>
                <w:rFonts w:hint="eastAsia" w:ascii="宋体" w:hAnsi="宋体"/>
                <w:color w:val="auto"/>
                <w:highlight w:val="none"/>
              </w:rPr>
              <w:t>设置跨接</w:t>
            </w:r>
          </w:p>
        </w:tc>
        <w:tc>
          <w:tcPr>
            <w:tcW w:w="396" w:type="pct"/>
            <w:vAlign w:val="center"/>
          </w:tcPr>
          <w:p w14:paraId="792B478F">
            <w:pPr>
              <w:spacing w:line="280" w:lineRule="exact"/>
              <w:jc w:val="center"/>
              <w:rPr>
                <w:rFonts w:ascii="宋体" w:hAnsi="宋体"/>
                <w:color w:val="auto"/>
                <w:highlight w:val="none"/>
              </w:rPr>
            </w:pPr>
            <w:r>
              <w:rPr>
                <w:rFonts w:ascii="宋体" w:hAnsi="宋体"/>
                <w:color w:val="auto"/>
                <w:highlight w:val="none"/>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1</w:t>
            </w:r>
          </w:p>
        </w:tc>
        <w:tc>
          <w:tcPr>
            <w:tcW w:w="3254" w:type="pct"/>
            <w:vAlign w:val="center"/>
          </w:tcPr>
          <w:p w14:paraId="35AB96E5">
            <w:pPr>
              <w:spacing w:line="280" w:lineRule="exact"/>
              <w:rPr>
                <w:rFonts w:ascii="宋体" w:hAnsi="宋体"/>
                <w:color w:val="auto"/>
                <w:highlight w:val="none"/>
              </w:rPr>
            </w:pPr>
            <w:r>
              <w:rPr>
                <w:rFonts w:ascii="宋体" w:hAnsi="宋体"/>
                <w:color w:val="auto"/>
                <w:highlight w:val="none"/>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highlight w:val="none"/>
              </w:rPr>
            </w:pPr>
            <w:r>
              <w:rPr>
                <w:rFonts w:ascii="宋体" w:hAnsi="宋体"/>
                <w:color w:val="auto"/>
                <w:highlight w:val="none"/>
              </w:rPr>
              <w:t>保证可靠的电气连接</w:t>
            </w:r>
          </w:p>
        </w:tc>
        <w:tc>
          <w:tcPr>
            <w:tcW w:w="396" w:type="pct"/>
            <w:vAlign w:val="center"/>
          </w:tcPr>
          <w:p w14:paraId="1349E39D">
            <w:pPr>
              <w:spacing w:line="280" w:lineRule="exact"/>
              <w:jc w:val="center"/>
              <w:rPr>
                <w:rFonts w:ascii="宋体" w:hAnsi="宋体"/>
                <w:color w:val="auto"/>
                <w:highlight w:val="none"/>
              </w:rPr>
            </w:pPr>
            <w:r>
              <w:rPr>
                <w:rFonts w:ascii="宋体" w:hAnsi="宋体"/>
                <w:color w:val="auto"/>
                <w:highlight w:val="none"/>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2</w:t>
            </w:r>
          </w:p>
        </w:tc>
        <w:tc>
          <w:tcPr>
            <w:tcW w:w="3254" w:type="pct"/>
            <w:vAlign w:val="center"/>
          </w:tcPr>
          <w:p w14:paraId="05ECF721">
            <w:pPr>
              <w:spacing w:line="280" w:lineRule="exact"/>
              <w:rPr>
                <w:rFonts w:ascii="宋体" w:hAnsi="宋体"/>
                <w:color w:val="auto"/>
                <w:highlight w:val="none"/>
              </w:rPr>
            </w:pPr>
            <w:r>
              <w:rPr>
                <w:rFonts w:ascii="宋体" w:hAnsi="宋体"/>
                <w:color w:val="auto"/>
                <w:highlight w:val="none"/>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highlight w:val="none"/>
              </w:rPr>
            </w:pPr>
            <w:r>
              <w:rPr>
                <w:rFonts w:ascii="宋体" w:hAnsi="宋体"/>
                <w:color w:val="auto"/>
                <w:highlight w:val="none"/>
              </w:rPr>
              <w:t>采用导静电的热塑性塑料管道</w:t>
            </w:r>
            <w:r>
              <w:rPr>
                <w:rFonts w:hint="eastAsia" w:ascii="宋体" w:hAnsi="宋体"/>
                <w:color w:val="auto"/>
                <w:highlight w:val="none"/>
              </w:rPr>
              <w:t>，</w:t>
            </w:r>
            <w:r>
              <w:rPr>
                <w:rFonts w:ascii="宋体" w:hAnsi="宋体"/>
                <w:color w:val="auto"/>
                <w:highlight w:val="none"/>
              </w:rPr>
              <w:t>连接件长期可靠</w:t>
            </w:r>
            <w:r>
              <w:rPr>
                <w:rFonts w:hint="eastAsia" w:ascii="宋体" w:hAnsi="宋体"/>
                <w:color w:val="auto"/>
                <w:highlight w:val="none"/>
              </w:rPr>
              <w:t>接地</w:t>
            </w:r>
          </w:p>
        </w:tc>
        <w:tc>
          <w:tcPr>
            <w:tcW w:w="396" w:type="pct"/>
            <w:vAlign w:val="center"/>
          </w:tcPr>
          <w:p w14:paraId="63C40F2D">
            <w:pPr>
              <w:spacing w:line="280" w:lineRule="exact"/>
              <w:jc w:val="center"/>
              <w:rPr>
                <w:rFonts w:ascii="宋体" w:hAnsi="宋体"/>
                <w:color w:val="auto"/>
                <w:highlight w:val="none"/>
              </w:rPr>
            </w:pPr>
            <w:r>
              <w:rPr>
                <w:rFonts w:ascii="宋体" w:hAnsi="宋体"/>
                <w:color w:val="auto"/>
                <w:highlight w:val="none"/>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3</w:t>
            </w:r>
          </w:p>
        </w:tc>
        <w:tc>
          <w:tcPr>
            <w:tcW w:w="3254" w:type="pct"/>
            <w:vAlign w:val="center"/>
          </w:tcPr>
          <w:p w14:paraId="35E3096D">
            <w:pPr>
              <w:spacing w:line="280" w:lineRule="exact"/>
              <w:rPr>
                <w:rFonts w:ascii="宋体" w:hAnsi="宋体"/>
                <w:color w:val="auto"/>
                <w:highlight w:val="none"/>
              </w:rPr>
            </w:pPr>
            <w:r>
              <w:rPr>
                <w:rFonts w:ascii="宋体" w:hAnsi="宋体"/>
                <w:color w:val="auto"/>
                <w:highlight w:val="none"/>
              </w:rPr>
              <w:t>13.2.15防静电接地装置的接地电阻不应大于100Ω。</w:t>
            </w:r>
          </w:p>
        </w:tc>
        <w:tc>
          <w:tcPr>
            <w:tcW w:w="982" w:type="pct"/>
            <w:vAlign w:val="center"/>
          </w:tcPr>
          <w:p w14:paraId="33F1637D">
            <w:pPr>
              <w:spacing w:line="280" w:lineRule="exact"/>
              <w:rPr>
                <w:rFonts w:ascii="宋体" w:hAnsi="宋体"/>
                <w:color w:val="auto"/>
                <w:highlight w:val="none"/>
              </w:rPr>
            </w:pPr>
            <w:r>
              <w:rPr>
                <w:rFonts w:hint="eastAsia" w:ascii="宋体" w:hAnsi="宋体"/>
                <w:color w:val="auto"/>
                <w:highlight w:val="none"/>
              </w:rPr>
              <w:t>卸油口有静电接地夹、卸油作业区域有人体静电消除装置，另有符合的防雷检测报告，报告中各区域接地电阻均不大于</w:t>
            </w:r>
            <w:r>
              <w:rPr>
                <w:rFonts w:ascii="宋体" w:hAnsi="宋体"/>
                <w:color w:val="auto"/>
                <w:highlight w:val="none"/>
              </w:rPr>
              <w:t>100Ω</w:t>
            </w:r>
          </w:p>
        </w:tc>
        <w:tc>
          <w:tcPr>
            <w:tcW w:w="396" w:type="pct"/>
            <w:vAlign w:val="center"/>
          </w:tcPr>
          <w:p w14:paraId="02D21037">
            <w:pPr>
              <w:spacing w:line="280" w:lineRule="exact"/>
              <w:jc w:val="center"/>
              <w:rPr>
                <w:rFonts w:ascii="宋体" w:hAnsi="宋体"/>
                <w:color w:val="auto"/>
                <w:highlight w:val="none"/>
              </w:rPr>
            </w:pPr>
            <w:r>
              <w:rPr>
                <w:rFonts w:ascii="宋体" w:hAnsi="宋体"/>
                <w:color w:val="auto"/>
                <w:highlight w:val="none"/>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4</w:t>
            </w:r>
          </w:p>
        </w:tc>
        <w:tc>
          <w:tcPr>
            <w:tcW w:w="3254" w:type="pct"/>
            <w:vAlign w:val="center"/>
          </w:tcPr>
          <w:p w14:paraId="6F0D892E">
            <w:pPr>
              <w:spacing w:line="280" w:lineRule="exact"/>
              <w:rPr>
                <w:rFonts w:ascii="宋体" w:hAnsi="宋体"/>
                <w:color w:val="auto"/>
                <w:highlight w:val="none"/>
              </w:rPr>
            </w:pPr>
            <w:r>
              <w:rPr>
                <w:rFonts w:ascii="宋体" w:hAnsi="宋体"/>
                <w:color w:val="auto"/>
                <w:highlight w:val="none"/>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highlight w:val="none"/>
              </w:rPr>
            </w:pPr>
            <w:r>
              <w:rPr>
                <w:rFonts w:ascii="宋体" w:hAnsi="宋体"/>
                <w:color w:val="auto"/>
                <w:highlight w:val="none"/>
              </w:rPr>
              <w:t>不在爆炸危险1区</w:t>
            </w:r>
          </w:p>
        </w:tc>
        <w:tc>
          <w:tcPr>
            <w:tcW w:w="396" w:type="pct"/>
            <w:vAlign w:val="center"/>
          </w:tcPr>
          <w:p w14:paraId="723A1B54">
            <w:pPr>
              <w:spacing w:line="280" w:lineRule="exact"/>
              <w:jc w:val="center"/>
              <w:rPr>
                <w:rFonts w:ascii="宋体" w:hAnsi="宋体"/>
                <w:color w:val="auto"/>
                <w:highlight w:val="none"/>
              </w:rPr>
            </w:pPr>
            <w:r>
              <w:rPr>
                <w:rFonts w:ascii="宋体" w:hAnsi="宋体"/>
                <w:color w:val="auto"/>
                <w:highlight w:val="none"/>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highlight w:val="none"/>
              </w:rPr>
            </w:pPr>
            <w:r>
              <w:rPr>
                <w:rFonts w:ascii="宋体" w:hAnsi="宋体"/>
                <w:b/>
                <w:color w:val="auto"/>
                <w:highlight w:val="none"/>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highlight w:val="none"/>
              </w:rPr>
            </w:pPr>
            <w:r>
              <w:rPr>
                <w:rFonts w:hint="eastAsia" w:ascii="宋体" w:hAnsi="宋体"/>
                <w:color w:val="auto"/>
                <w:highlight w:val="none"/>
              </w:rPr>
              <w:t>1</w:t>
            </w:r>
          </w:p>
        </w:tc>
        <w:tc>
          <w:tcPr>
            <w:tcW w:w="3254" w:type="pct"/>
            <w:vAlign w:val="center"/>
          </w:tcPr>
          <w:p w14:paraId="535E6F0A">
            <w:pPr>
              <w:spacing w:line="280" w:lineRule="exact"/>
              <w:rPr>
                <w:rFonts w:ascii="宋体" w:hAnsi="宋体"/>
                <w:color w:val="auto"/>
                <w:highlight w:val="none"/>
              </w:rPr>
            </w:pPr>
            <w:r>
              <w:rPr>
                <w:rFonts w:ascii="宋体" w:hAnsi="宋体"/>
                <w:color w:val="auto"/>
                <w:highlight w:val="none"/>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highlight w:val="none"/>
              </w:rPr>
            </w:pPr>
            <w:r>
              <w:rPr>
                <w:rFonts w:ascii="宋体" w:hAnsi="宋体"/>
                <w:color w:val="auto"/>
                <w:highlight w:val="none"/>
              </w:rPr>
              <w:t>设置紧急切断系统</w:t>
            </w:r>
          </w:p>
        </w:tc>
        <w:tc>
          <w:tcPr>
            <w:tcW w:w="396" w:type="pct"/>
            <w:vAlign w:val="center"/>
          </w:tcPr>
          <w:p w14:paraId="6BA734A3">
            <w:pPr>
              <w:spacing w:line="280" w:lineRule="exact"/>
              <w:jc w:val="center"/>
              <w:rPr>
                <w:rFonts w:ascii="宋体" w:hAnsi="宋体"/>
                <w:color w:val="auto"/>
                <w:highlight w:val="none"/>
              </w:rPr>
            </w:pPr>
            <w:r>
              <w:rPr>
                <w:rFonts w:ascii="宋体" w:hAnsi="宋体"/>
                <w:color w:val="auto"/>
                <w:highlight w:val="none"/>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highlight w:val="none"/>
              </w:rPr>
            </w:pPr>
            <w:r>
              <w:rPr>
                <w:rFonts w:hint="eastAsia" w:ascii="宋体" w:hAnsi="宋体"/>
                <w:color w:val="auto"/>
                <w:highlight w:val="none"/>
              </w:rPr>
              <w:t>2</w:t>
            </w:r>
          </w:p>
        </w:tc>
        <w:tc>
          <w:tcPr>
            <w:tcW w:w="3254" w:type="pct"/>
            <w:vAlign w:val="center"/>
          </w:tcPr>
          <w:p w14:paraId="5457C566">
            <w:pPr>
              <w:spacing w:line="260" w:lineRule="exact"/>
              <w:rPr>
                <w:rFonts w:ascii="宋体" w:hAnsi="宋体"/>
                <w:color w:val="auto"/>
                <w:highlight w:val="none"/>
              </w:rPr>
            </w:pPr>
            <w:r>
              <w:rPr>
                <w:rFonts w:ascii="宋体" w:hAnsi="宋体"/>
                <w:color w:val="auto"/>
                <w:highlight w:val="none"/>
              </w:rPr>
              <w:t>13.5.2紧急切断系统应至少在下列位置设置紧急切断开关：</w:t>
            </w:r>
          </w:p>
          <w:p w14:paraId="13960BA6">
            <w:pPr>
              <w:spacing w:line="26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在汽车加油加气加氢站现场工作人员容易接近且较为安全的位置；</w:t>
            </w:r>
          </w:p>
          <w:p w14:paraId="10172E0F">
            <w:pPr>
              <w:spacing w:line="26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在控制室、值班室内或站房收银台等有人员值守的位置。</w:t>
            </w:r>
          </w:p>
        </w:tc>
        <w:tc>
          <w:tcPr>
            <w:tcW w:w="982" w:type="pct"/>
            <w:vAlign w:val="center"/>
          </w:tcPr>
          <w:p w14:paraId="56891A34">
            <w:pPr>
              <w:spacing w:line="260" w:lineRule="exact"/>
              <w:rPr>
                <w:rFonts w:ascii="宋体" w:hAnsi="宋体"/>
                <w:color w:val="auto"/>
                <w:highlight w:val="none"/>
              </w:rPr>
            </w:pPr>
            <w:r>
              <w:rPr>
                <w:rFonts w:hint="eastAsia"/>
                <w:color w:val="auto"/>
                <w:highlight w:val="none"/>
              </w:rPr>
              <w:t>设有紧急切断开关。</w:t>
            </w:r>
          </w:p>
        </w:tc>
        <w:tc>
          <w:tcPr>
            <w:tcW w:w="396" w:type="pct"/>
            <w:vAlign w:val="center"/>
          </w:tcPr>
          <w:p w14:paraId="6FA34AE3">
            <w:pPr>
              <w:spacing w:line="260" w:lineRule="exact"/>
              <w:jc w:val="center"/>
              <w:rPr>
                <w:rFonts w:ascii="宋体" w:hAnsi="宋体"/>
                <w:color w:val="auto"/>
                <w:highlight w:val="none"/>
              </w:rPr>
            </w:pPr>
            <w:r>
              <w:rPr>
                <w:rFonts w:ascii="宋体" w:hAnsi="宋体"/>
                <w:color w:val="auto"/>
                <w:highlight w:val="none"/>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highlight w:val="none"/>
              </w:rPr>
            </w:pPr>
            <w:r>
              <w:rPr>
                <w:rFonts w:hint="eastAsia" w:ascii="宋体" w:hAnsi="宋体"/>
                <w:color w:val="auto"/>
                <w:highlight w:val="none"/>
              </w:rPr>
              <w:t>3</w:t>
            </w:r>
          </w:p>
        </w:tc>
        <w:tc>
          <w:tcPr>
            <w:tcW w:w="3254" w:type="pct"/>
            <w:vAlign w:val="center"/>
          </w:tcPr>
          <w:p w14:paraId="48C85023">
            <w:pPr>
              <w:spacing w:line="260" w:lineRule="exact"/>
              <w:rPr>
                <w:rFonts w:ascii="宋体" w:hAnsi="宋体"/>
                <w:color w:val="auto"/>
                <w:highlight w:val="none"/>
              </w:rPr>
            </w:pPr>
            <w:r>
              <w:rPr>
                <w:rFonts w:ascii="宋体" w:hAnsi="宋体"/>
                <w:color w:val="auto"/>
                <w:highlight w:val="none"/>
              </w:rPr>
              <w:t>13.5.3工艺设备的电源和工艺管道上的紧急切断阀</w:t>
            </w:r>
            <w:r>
              <w:rPr>
                <w:rFonts w:hint="eastAsia" w:ascii="宋体" w:hAnsi="宋体"/>
                <w:color w:val="auto"/>
                <w:highlight w:val="none"/>
                <w:lang w:eastAsia="zh-CN"/>
              </w:rPr>
              <w:t>应</w:t>
            </w:r>
            <w:r>
              <w:rPr>
                <w:rFonts w:ascii="宋体" w:hAnsi="宋体"/>
                <w:color w:val="auto"/>
                <w:highlight w:val="none"/>
              </w:rPr>
              <w:t>由手动启动的远程控制切断系统操纵关闭。</w:t>
            </w:r>
          </w:p>
        </w:tc>
        <w:tc>
          <w:tcPr>
            <w:tcW w:w="982" w:type="pct"/>
            <w:vAlign w:val="center"/>
          </w:tcPr>
          <w:p w14:paraId="6336851E">
            <w:pPr>
              <w:spacing w:line="260" w:lineRule="exact"/>
              <w:rPr>
                <w:rFonts w:ascii="宋体" w:hAnsi="宋体"/>
                <w:color w:val="auto"/>
                <w:highlight w:val="none"/>
              </w:rPr>
            </w:pPr>
            <w:r>
              <w:rPr>
                <w:rFonts w:ascii="宋体" w:hAnsi="宋体"/>
                <w:color w:val="auto"/>
                <w:highlight w:val="none"/>
              </w:rPr>
              <w:t>能由手动启动的远程控制切断系统操纵关闭</w:t>
            </w:r>
          </w:p>
        </w:tc>
        <w:tc>
          <w:tcPr>
            <w:tcW w:w="396" w:type="pct"/>
            <w:vAlign w:val="center"/>
          </w:tcPr>
          <w:p w14:paraId="1488064C">
            <w:pPr>
              <w:spacing w:line="260" w:lineRule="exact"/>
              <w:jc w:val="center"/>
              <w:rPr>
                <w:rFonts w:ascii="宋体" w:hAnsi="宋体"/>
                <w:color w:val="auto"/>
                <w:highlight w:val="none"/>
              </w:rPr>
            </w:pPr>
            <w:r>
              <w:rPr>
                <w:rFonts w:ascii="宋体" w:hAnsi="宋体"/>
                <w:color w:val="auto"/>
                <w:highlight w:val="none"/>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6267A999">
            <w:pPr>
              <w:spacing w:line="260" w:lineRule="exact"/>
              <w:rPr>
                <w:rFonts w:ascii="宋体" w:hAnsi="宋体"/>
                <w:color w:val="auto"/>
                <w:highlight w:val="none"/>
              </w:rPr>
            </w:pPr>
            <w:r>
              <w:rPr>
                <w:rFonts w:ascii="宋体" w:hAnsi="宋体"/>
                <w:color w:val="auto"/>
                <w:highlight w:val="none"/>
              </w:rPr>
              <w:t>13.5.4紧急切断系统应只能手动复位。</w:t>
            </w:r>
          </w:p>
        </w:tc>
        <w:tc>
          <w:tcPr>
            <w:tcW w:w="982" w:type="pct"/>
            <w:vAlign w:val="center"/>
          </w:tcPr>
          <w:p w14:paraId="2AB680FF">
            <w:pPr>
              <w:spacing w:line="260" w:lineRule="exact"/>
              <w:rPr>
                <w:rFonts w:ascii="宋体" w:hAnsi="宋体"/>
                <w:color w:val="auto"/>
                <w:highlight w:val="none"/>
              </w:rPr>
            </w:pPr>
            <w:r>
              <w:rPr>
                <w:rFonts w:hint="eastAsia" w:ascii="宋体" w:hAnsi="宋体"/>
                <w:color w:val="auto"/>
                <w:highlight w:val="none"/>
              </w:rPr>
              <w:t>手动复位</w:t>
            </w:r>
          </w:p>
        </w:tc>
        <w:tc>
          <w:tcPr>
            <w:tcW w:w="396" w:type="pct"/>
            <w:vAlign w:val="center"/>
          </w:tcPr>
          <w:p w14:paraId="59A25DB0">
            <w:pPr>
              <w:spacing w:line="260" w:lineRule="exact"/>
              <w:jc w:val="center"/>
              <w:rPr>
                <w:rFonts w:ascii="宋体" w:hAnsi="宋体"/>
                <w:color w:val="auto"/>
                <w:highlight w:val="none"/>
              </w:rPr>
            </w:pPr>
            <w:r>
              <w:rPr>
                <w:rFonts w:ascii="宋体" w:hAnsi="宋体"/>
                <w:color w:val="auto"/>
                <w:highlight w:val="none"/>
              </w:rPr>
              <w:t>合格</w:t>
            </w:r>
          </w:p>
        </w:tc>
      </w:tr>
    </w:tbl>
    <w:p w14:paraId="2C0ECFBB">
      <w:pPr>
        <w:spacing w:line="600" w:lineRule="exact"/>
        <w:ind w:firstLine="570"/>
        <w:rPr>
          <w:rFonts w:ascii="宋体" w:hAnsi="宋体"/>
          <w:color w:val="auto"/>
          <w:spacing w:val="-6"/>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w:t>
      </w:r>
      <w:r>
        <w:rPr>
          <w:rFonts w:hint="eastAsia" w:ascii="宋体" w:hAnsi="宋体"/>
          <w:color w:val="auto"/>
          <w:spacing w:val="-11"/>
          <w:sz w:val="28"/>
          <w:szCs w:val="28"/>
          <w:highlight w:val="none"/>
        </w:rPr>
        <w:t>均符合要求。</w:t>
      </w:r>
    </w:p>
    <w:p w14:paraId="6D3521E7">
      <w:pPr>
        <w:pStyle w:val="3"/>
        <w:jc w:val="center"/>
        <w:rPr>
          <w:rFonts w:ascii="宋体" w:hAnsi="宋体"/>
          <w:color w:val="auto"/>
          <w:sz w:val="30"/>
          <w:szCs w:val="30"/>
          <w:highlight w:val="none"/>
        </w:rPr>
      </w:pPr>
      <w:bookmarkStart w:id="179" w:name="_Toc1576"/>
      <w:bookmarkStart w:id="180" w:name="_Toc29562"/>
      <w:bookmarkStart w:id="181" w:name="_Toc30531"/>
      <w:bookmarkStart w:id="182" w:name="_Toc92712596"/>
      <w:r>
        <w:rPr>
          <w:rFonts w:hint="eastAsia" w:ascii="宋体" w:hAnsi="宋体"/>
          <w:color w:val="auto"/>
          <w:sz w:val="30"/>
          <w:szCs w:val="30"/>
          <w:highlight w:val="none"/>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表5.9-1  采暖通风、建（构）筑物、绿化符合性评价</w:t>
      </w:r>
    </w:p>
    <w:tbl>
      <w:tblPr>
        <w:tblStyle w:val="25"/>
        <w:tblW w:w="5044" w:type="pct"/>
        <w:jc w:val="center"/>
        <w:tblLayout w:type="autofit"/>
        <w:tblCellMar>
          <w:top w:w="0" w:type="dxa"/>
          <w:left w:w="0" w:type="dxa"/>
          <w:bottom w:w="0" w:type="dxa"/>
          <w:right w:w="0" w:type="dxa"/>
        </w:tblCellMar>
      </w:tblPr>
      <w:tblGrid>
        <w:gridCol w:w="667"/>
        <w:gridCol w:w="6234"/>
        <w:gridCol w:w="1651"/>
        <w:gridCol w:w="610"/>
      </w:tblGrid>
      <w:tr w14:paraId="5FE259BF">
        <w:tblPrEx>
          <w:tblCellMar>
            <w:top w:w="0" w:type="dxa"/>
            <w:left w:w="0" w:type="dxa"/>
            <w:bottom w:w="0" w:type="dxa"/>
            <w:right w:w="0" w:type="dxa"/>
          </w:tblCellMar>
        </w:tblPrEx>
        <w:trPr>
          <w:trHeight w:val="41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highlight w:val="none"/>
              </w:rPr>
            </w:pPr>
            <w:r>
              <w:rPr>
                <w:rFonts w:ascii="宋体" w:hAnsi="宋体"/>
                <w:b/>
                <w:color w:val="auto"/>
                <w:highlight w:val="none"/>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highlight w:val="none"/>
              </w:rPr>
            </w:pPr>
            <w:r>
              <w:rPr>
                <w:rFonts w:ascii="宋体" w:hAnsi="宋体"/>
                <w:b/>
                <w:color w:val="auto"/>
                <w:highlight w:val="none"/>
              </w:rPr>
              <w:t>检查内容</w:t>
            </w:r>
          </w:p>
        </w:tc>
        <w:tc>
          <w:tcPr>
            <w:tcW w:w="901"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highlight w:val="none"/>
              </w:rPr>
            </w:pPr>
            <w:r>
              <w:rPr>
                <w:rFonts w:ascii="宋体" w:hAnsi="宋体"/>
                <w:b/>
                <w:color w:val="auto"/>
                <w:highlight w:val="none"/>
              </w:rPr>
              <w:t>检查记录</w:t>
            </w:r>
          </w:p>
        </w:tc>
        <w:tc>
          <w:tcPr>
            <w:tcW w:w="331"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highlight w:val="none"/>
              </w:rPr>
            </w:pPr>
            <w:r>
              <w:rPr>
                <w:rFonts w:ascii="宋体" w:hAnsi="宋体"/>
                <w:b/>
                <w:color w:val="auto"/>
                <w:highlight w:val="none"/>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highlight w:val="none"/>
              </w:rPr>
            </w:pPr>
            <w:r>
              <w:rPr>
                <w:rFonts w:ascii="宋体" w:hAnsi="宋体"/>
                <w:b/>
                <w:color w:val="auto"/>
                <w:highlight w:val="none"/>
              </w:rPr>
              <w:t>采暖通风</w:t>
            </w:r>
          </w:p>
        </w:tc>
      </w:tr>
      <w:tr w14:paraId="77F8FB7C">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highlight w:val="none"/>
              </w:rPr>
            </w:pPr>
            <w:r>
              <w:rPr>
                <w:rFonts w:ascii="宋体" w:hAnsi="宋体"/>
                <w:color w:val="auto"/>
                <w:highlight w:val="none"/>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14.1.1汽车加油加气加氢站内的各类房间应根据站场环境、生产工艺特点和运行管理需要进行采暖设计。采暖房间的室内计算温度不宜低于表14.1.1的规定。</w:t>
            </w:r>
          </w:p>
        </w:tc>
        <w:tc>
          <w:tcPr>
            <w:tcW w:w="901"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highlight w:val="none"/>
              </w:rPr>
            </w:pPr>
            <w:r>
              <w:rPr>
                <w:rFonts w:hint="eastAsia" w:ascii="宋体" w:hAnsi="宋体"/>
                <w:color w:val="auto"/>
                <w:highlight w:val="none"/>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highlight w:val="none"/>
              </w:rPr>
            </w:pPr>
            <w:r>
              <w:rPr>
                <w:rFonts w:hint="eastAsia" w:ascii="宋体" w:hAnsi="宋体"/>
                <w:color w:val="auto"/>
                <w:highlight w:val="none"/>
              </w:rPr>
              <w:t>合格</w:t>
            </w:r>
          </w:p>
        </w:tc>
      </w:tr>
      <w:tr w14:paraId="7C0B7F79">
        <w:tblPrEx>
          <w:tblCellMar>
            <w:top w:w="0" w:type="dxa"/>
            <w:left w:w="0" w:type="dxa"/>
            <w:bottom w:w="0" w:type="dxa"/>
            <w:right w:w="0" w:type="dxa"/>
          </w:tblCellMar>
        </w:tblPrEx>
        <w:trPr>
          <w:trHeight w:val="67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highlight w:val="none"/>
              </w:rPr>
            </w:pPr>
            <w:r>
              <w:rPr>
                <w:rFonts w:ascii="宋体" w:hAnsi="宋体"/>
                <w:color w:val="auto"/>
                <w:highlight w:val="none"/>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14.1.2车加油加气加氢站的采暖宜利用城市、小区或邻近单位的热源。无利用条件时，可在汽车加油加气加氢站内设置锅炉房。</w:t>
            </w:r>
          </w:p>
        </w:tc>
        <w:tc>
          <w:tcPr>
            <w:tcW w:w="901"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highlight w:val="none"/>
              </w:rPr>
            </w:pPr>
            <w:r>
              <w:rPr>
                <w:rFonts w:hint="eastAsia" w:ascii="宋体" w:hAnsi="宋体"/>
                <w:color w:val="auto"/>
                <w:highlight w:val="none"/>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highlight w:val="none"/>
              </w:rPr>
            </w:pPr>
            <w:r>
              <w:rPr>
                <w:rFonts w:hint="eastAsia" w:ascii="宋体" w:hAnsi="宋体"/>
                <w:color w:val="auto"/>
                <w:highlight w:val="none"/>
              </w:rPr>
              <w:t>合格</w:t>
            </w:r>
          </w:p>
        </w:tc>
      </w:tr>
      <w:tr w14:paraId="51A608D6">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14.1.4汽车加油加气加氢站内爆炸危险区域中的房间或箱体应采取通风措施，并应符合下列规定</w:t>
            </w:r>
            <w:r>
              <w:rPr>
                <w:rFonts w:hint="eastAsia" w:ascii="宋体" w:hAnsi="宋体"/>
                <w:color w:val="auto"/>
                <w:highlight w:val="none"/>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2、采用自然通风时，通风口总面积不应小于300c㎡/m（地面），通风口不应少于2个，且应靠近可燃气体积聚的部位设置。</w:t>
            </w:r>
          </w:p>
        </w:tc>
        <w:tc>
          <w:tcPr>
            <w:tcW w:w="901"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331"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2C0D691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14.1.5汽车加油加气加氢站室内外采暖管道宜直埋敷设，当采用管沟敷设时，管沟应充沙填实，进、出建筑物处应采取隔断措施。</w:t>
            </w:r>
          </w:p>
        </w:tc>
        <w:tc>
          <w:tcPr>
            <w:tcW w:w="901"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highlight w:val="none"/>
              </w:rPr>
            </w:pPr>
            <w:r>
              <w:rPr>
                <w:rFonts w:hint="eastAsia" w:ascii="宋体" w:hAnsi="宋体"/>
                <w:color w:val="auto"/>
                <w:highlight w:val="none"/>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highlight w:val="none"/>
              </w:rPr>
            </w:pPr>
            <w:r>
              <w:rPr>
                <w:rFonts w:hint="eastAsia" w:ascii="宋体" w:hAnsi="宋体"/>
                <w:color w:val="auto"/>
                <w:highlight w:val="none"/>
              </w:rPr>
              <w:t>-</w:t>
            </w:r>
          </w:p>
        </w:tc>
      </w:tr>
      <w:tr w14:paraId="68E6C21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s="Times New Roman"/>
                <w:color w:val="auto"/>
                <w:highlight w:val="none"/>
              </w:rPr>
              <w:t>GB50229-11.6.1 地下变电站采暖、通风和空气调节设计应符合下列规定：</w:t>
            </w:r>
            <w:r>
              <w:rPr>
                <w:rFonts w:hint="eastAsia" w:ascii="宋体" w:hAnsi="宋体" w:cs="Times New Roman"/>
                <w:color w:val="auto"/>
                <w:highlight w:val="none"/>
              </w:rPr>
              <w:br w:type="textWrapping"/>
            </w:r>
            <w:r>
              <w:rPr>
                <w:rFonts w:hint="eastAsia" w:ascii="宋体" w:hAnsi="宋体" w:cs="Times New Roman"/>
                <w:color w:val="auto"/>
                <w:highlight w:val="none"/>
              </w:rPr>
              <w:t>    1 所有采暖区域严禁采用明火取暖；</w:t>
            </w:r>
            <w:r>
              <w:rPr>
                <w:rFonts w:hint="eastAsia" w:ascii="宋体" w:hAnsi="宋体" w:cs="Times New Roman"/>
                <w:color w:val="auto"/>
                <w:highlight w:val="none"/>
              </w:rPr>
              <w:br w:type="textWrapping"/>
            </w:r>
            <w:r>
              <w:rPr>
                <w:rFonts w:hint="eastAsia" w:ascii="宋体" w:hAnsi="宋体" w:cs="Times New Roman"/>
                <w:color w:val="auto"/>
                <w:highlight w:val="none"/>
              </w:rPr>
              <w:t>    2 电气配电装置室应设置火灾后排风设施，其他房间的排烟设计应符合国家标准《建筑设计防火规范》GB 50016的规定；</w:t>
            </w:r>
            <w:r>
              <w:rPr>
                <w:rFonts w:hint="eastAsia" w:ascii="宋体" w:hAnsi="宋体" w:cs="Times New Roman"/>
                <w:color w:val="auto"/>
                <w:highlight w:val="none"/>
              </w:rPr>
              <w:br w:type="textWrapping"/>
            </w:r>
            <w:r>
              <w:rPr>
                <w:rFonts w:hint="eastAsia" w:ascii="宋体" w:hAnsi="宋体" w:cs="Times New Roman"/>
                <w:color w:val="auto"/>
                <w:highlight w:val="none"/>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highlight w:val="none"/>
              </w:rPr>
              <w:br w:type="textWrapping"/>
            </w:r>
            <w:r>
              <w:rPr>
                <w:rFonts w:hint="eastAsia" w:ascii="宋体" w:hAnsi="宋体" w:cs="Times New Roman"/>
                <w:color w:val="auto"/>
                <w:highlight w:val="none"/>
              </w:rPr>
              <w:t>GB50229-11.6.2 阀厅应设置火灾后排风设施。</w:t>
            </w:r>
            <w:r>
              <w:rPr>
                <w:rFonts w:hint="eastAsia" w:ascii="宋体" w:hAnsi="宋体" w:cs="Times New Roman"/>
                <w:color w:val="auto"/>
                <w:highlight w:val="none"/>
              </w:rPr>
              <w:br w:type="textWrapping"/>
            </w:r>
            <w:r>
              <w:rPr>
                <w:rFonts w:hint="eastAsia" w:ascii="宋体" w:hAnsi="宋体" w:cs="Times New Roman"/>
                <w:color w:val="auto"/>
                <w:highlight w:val="none"/>
              </w:rPr>
              <w:t>GB50229-11.6.3 地下变电站的空气调节，地上变电站的采暖、通风和空气调节，应符合本标准第8章的有关规定。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非地下变电站</w:t>
            </w:r>
          </w:p>
        </w:tc>
        <w:tc>
          <w:tcPr>
            <w:tcW w:w="331"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highlight w:val="none"/>
              </w:rPr>
            </w:pPr>
            <w:r>
              <w:rPr>
                <w:rFonts w:ascii="宋体" w:hAnsi="宋体"/>
                <w:b/>
                <w:color w:val="auto"/>
                <w:highlight w:val="none"/>
              </w:rPr>
              <w:t>建（构）筑物</w:t>
            </w:r>
          </w:p>
        </w:tc>
      </w:tr>
      <w:tr w14:paraId="52A9B390">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14.2.1作业区内的站房及其他附属建筑物的耐火等级不应低于二级。罩棚顶棚可采用无防火保护的钢结构。</w:t>
            </w:r>
          </w:p>
        </w:tc>
        <w:tc>
          <w:tcPr>
            <w:tcW w:w="901"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highlight w:val="none"/>
              </w:rPr>
            </w:pPr>
            <w:r>
              <w:rPr>
                <w:rFonts w:ascii="宋体" w:hAnsi="宋体"/>
                <w:color w:val="auto"/>
                <w:highlight w:val="none"/>
              </w:rPr>
              <w:t>站房及其他附属建筑物的耐火等级</w:t>
            </w:r>
            <w:r>
              <w:rPr>
                <w:rFonts w:hint="eastAsia" w:ascii="宋体" w:hAnsi="宋体"/>
                <w:color w:val="auto"/>
                <w:highlight w:val="none"/>
              </w:rPr>
              <w:t>为二级耐火</w:t>
            </w:r>
          </w:p>
        </w:tc>
        <w:tc>
          <w:tcPr>
            <w:tcW w:w="331"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highlight w:val="none"/>
              </w:rPr>
            </w:pPr>
            <w:r>
              <w:rPr>
                <w:rFonts w:ascii="宋体" w:hAnsi="宋体"/>
                <w:color w:val="auto"/>
                <w:highlight w:val="none"/>
              </w:rPr>
              <w:t>合格</w:t>
            </w:r>
          </w:p>
        </w:tc>
      </w:tr>
      <w:tr w14:paraId="08C5BE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14.2.2汽车加油加气加氢场地宜设罩棚，罩棚的设计应符合下</w:t>
            </w:r>
            <w:r>
              <w:rPr>
                <w:rFonts w:hint="eastAsia" w:ascii="宋体" w:hAnsi="宋体"/>
                <w:color w:val="auto"/>
                <w:highlight w:val="none"/>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w:t>
            </w:r>
            <w:r>
              <w:rPr>
                <w:rFonts w:ascii="宋体" w:hAnsi="宋体"/>
                <w:color w:val="auto"/>
                <w:highlight w:val="none"/>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w:t>
            </w:r>
            <w:r>
              <w:rPr>
                <w:rFonts w:ascii="宋体" w:hAnsi="宋体"/>
                <w:color w:val="auto"/>
                <w:highlight w:val="none"/>
              </w:rPr>
              <w:t>罩棚柱应有防止车辆碰撞的技术措施。</w:t>
            </w:r>
          </w:p>
        </w:tc>
        <w:tc>
          <w:tcPr>
            <w:tcW w:w="901"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罩棚采用不燃烧材料建造</w:t>
            </w:r>
            <w:r>
              <w:rPr>
                <w:rFonts w:hint="eastAsia" w:ascii="宋体" w:hAnsi="宋体"/>
                <w:color w:val="auto"/>
                <w:highlight w:val="none"/>
              </w:rPr>
              <w:t>，罩棚高</w:t>
            </w:r>
            <w:r>
              <w:rPr>
                <w:rFonts w:hint="eastAsia" w:ascii="宋体" w:hAnsi="宋体"/>
                <w:color w:val="auto"/>
                <w:highlight w:val="none"/>
                <w:lang w:val="en-US" w:eastAsia="zh-CN"/>
              </w:rPr>
              <w:t>89.6</w:t>
            </w:r>
            <w:r>
              <w:rPr>
                <w:rFonts w:hint="eastAsia" w:ascii="宋体" w:hAnsi="宋体"/>
                <w:color w:val="auto"/>
                <w:highlight w:val="none"/>
              </w:rPr>
              <w:t>米。</w:t>
            </w:r>
            <w:r>
              <w:rPr>
                <w:rFonts w:ascii="宋体" w:hAnsi="宋体"/>
                <w:color w:val="auto"/>
                <w:highlight w:val="none"/>
              </w:rPr>
              <w:t>罩棚遮盖加油机的平面投影距离</w:t>
            </w:r>
            <w:r>
              <w:rPr>
                <w:rFonts w:hint="eastAsia" w:ascii="宋体" w:hAnsi="宋体"/>
                <w:color w:val="auto"/>
                <w:highlight w:val="none"/>
              </w:rPr>
              <w:t>4</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罩棚柱有防止车辆碰撞的技术措施</w:t>
            </w:r>
            <w:r>
              <w:rPr>
                <w:rFonts w:hint="eastAsia" w:ascii="宋体" w:hAnsi="宋体"/>
                <w:color w:val="auto"/>
                <w:highlight w:val="none"/>
              </w:rPr>
              <w:t>；其他均按要求设置</w:t>
            </w:r>
          </w:p>
        </w:tc>
        <w:tc>
          <w:tcPr>
            <w:tcW w:w="331"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合格</w:t>
            </w:r>
          </w:p>
        </w:tc>
      </w:tr>
      <w:tr w14:paraId="3B075E7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highlight w:val="none"/>
              </w:rPr>
            </w:pPr>
            <w:r>
              <w:rPr>
                <w:rFonts w:hint="eastAsia" w:ascii="宋体" w:hAnsi="宋体"/>
                <w:color w:val="auto"/>
                <w:highlight w:val="none"/>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highlight w:val="none"/>
              </w:rPr>
              <w:t>小</w:t>
            </w:r>
            <w:r>
              <w:rPr>
                <w:rFonts w:ascii="宋体" w:hAnsi="宋体"/>
                <w:color w:val="auto"/>
                <w:highlight w:val="none"/>
              </w:rPr>
              <w:t>于0.5m，并应设置牢固。</w:t>
            </w:r>
          </w:p>
        </w:tc>
        <w:tc>
          <w:tcPr>
            <w:tcW w:w="901"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高出停车位的地坪0.20m</w:t>
            </w:r>
            <w:r>
              <w:rPr>
                <w:rFonts w:hint="eastAsia" w:ascii="宋体" w:hAnsi="宋体"/>
                <w:color w:val="auto"/>
                <w:highlight w:val="none"/>
              </w:rPr>
              <w:t>；</w:t>
            </w:r>
            <w:r>
              <w:rPr>
                <w:rFonts w:ascii="宋体" w:hAnsi="宋体"/>
                <w:color w:val="auto"/>
                <w:highlight w:val="none"/>
              </w:rPr>
              <w:t>两端的宽度1.2</w:t>
            </w:r>
            <w:r>
              <w:rPr>
                <w:rFonts w:hint="eastAsia" w:ascii="宋体" w:hAnsi="宋体"/>
                <w:color w:val="auto"/>
                <w:highlight w:val="none"/>
              </w:rPr>
              <w:t>m；</w:t>
            </w:r>
            <w:r>
              <w:rPr>
                <w:rFonts w:ascii="宋体" w:hAnsi="宋体"/>
                <w:color w:val="auto"/>
                <w:highlight w:val="none"/>
              </w:rPr>
              <w:t>罩棚立柱边缘距岛端部0.6m</w:t>
            </w:r>
            <w:r>
              <w:rPr>
                <w:rFonts w:hint="eastAsia" w:ascii="宋体" w:hAnsi="宋体"/>
                <w:color w:val="auto"/>
                <w:highlight w:val="none"/>
              </w:rPr>
              <w:t>；</w:t>
            </w:r>
            <w:r>
              <w:rPr>
                <w:rFonts w:ascii="宋体" w:hAnsi="宋体"/>
                <w:color w:val="auto"/>
                <w:highlight w:val="none"/>
              </w:rPr>
              <w:t>有防止车辆误碰撞的措施和警示标识</w:t>
            </w:r>
            <w:r>
              <w:rPr>
                <w:rFonts w:hint="eastAsia" w:ascii="宋体" w:hAnsi="宋体"/>
                <w:color w:val="auto"/>
                <w:highlight w:val="none"/>
              </w:rPr>
              <w:t>，</w:t>
            </w:r>
            <w:r>
              <w:rPr>
                <w:rFonts w:ascii="宋体" w:hAnsi="宋体"/>
                <w:color w:val="auto"/>
                <w:highlight w:val="none"/>
              </w:rPr>
              <w:t>高度0.</w:t>
            </w:r>
            <w:r>
              <w:rPr>
                <w:rFonts w:hint="eastAsia" w:ascii="宋体" w:hAnsi="宋体"/>
                <w:color w:val="auto"/>
                <w:highlight w:val="none"/>
              </w:rPr>
              <w:t>6</w:t>
            </w:r>
            <w:r>
              <w:rPr>
                <w:rFonts w:ascii="宋体" w:hAnsi="宋体"/>
                <w:color w:val="auto"/>
                <w:highlight w:val="none"/>
              </w:rPr>
              <w:t>m并设置牢固</w:t>
            </w:r>
          </w:p>
        </w:tc>
        <w:tc>
          <w:tcPr>
            <w:tcW w:w="331"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53FB1506">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14.2.4布置有可燃液体或可燃气体设备的建筑物的门、窗应向外开启，并应按现行国家标准《建筑设防火规范》GB50016的有关规定采取泄压措施。</w:t>
            </w:r>
          </w:p>
        </w:tc>
        <w:tc>
          <w:tcPr>
            <w:tcW w:w="901"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highlight w:val="none"/>
              </w:rPr>
            </w:pPr>
            <w:r>
              <w:rPr>
                <w:rFonts w:hint="eastAsia" w:ascii="宋体" w:hAnsi="宋体"/>
                <w:color w:val="auto"/>
                <w:highlight w:val="none"/>
              </w:rPr>
              <w:t>配电间门</w:t>
            </w:r>
            <w:r>
              <w:rPr>
                <w:rFonts w:ascii="宋体" w:hAnsi="宋体"/>
                <w:color w:val="auto"/>
                <w:highlight w:val="none"/>
              </w:rPr>
              <w:t>向外开启</w:t>
            </w:r>
          </w:p>
        </w:tc>
        <w:tc>
          <w:tcPr>
            <w:tcW w:w="331"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0922C5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1"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w:t>
            </w:r>
            <w:r>
              <w:rPr>
                <w:rFonts w:ascii="宋体" w:hAnsi="宋体"/>
                <w:color w:val="auto"/>
                <w:highlight w:val="none"/>
              </w:rPr>
              <w:t>布置在封闭的房间或箱体内</w:t>
            </w:r>
          </w:p>
        </w:tc>
        <w:tc>
          <w:tcPr>
            <w:tcW w:w="331"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4F1FCD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highlight w:val="none"/>
              </w:rPr>
            </w:pPr>
            <w:r>
              <w:rPr>
                <w:rFonts w:hint="eastAsia" w:ascii="宋体" w:hAnsi="宋体"/>
                <w:color w:val="auto"/>
                <w:highlight w:val="none"/>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14.2.9站房可由办公室、值班室、营业室、控制室、变</w:t>
            </w:r>
            <w:r>
              <w:rPr>
                <w:rFonts w:hint="eastAsia" w:ascii="宋体" w:hAnsi="宋体"/>
                <w:color w:val="auto"/>
                <w:highlight w:val="none"/>
              </w:rPr>
              <w:t>配发电间</w:t>
            </w:r>
            <w:r>
              <w:rPr>
                <w:rFonts w:ascii="宋体" w:hAnsi="宋体"/>
                <w:color w:val="auto"/>
                <w:highlight w:val="none"/>
              </w:rPr>
              <w:t>、卫生间和便利店等组成，站房内可设非明火餐厨设备。</w:t>
            </w:r>
          </w:p>
        </w:tc>
        <w:tc>
          <w:tcPr>
            <w:tcW w:w="901"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设有部分功能区域</w:t>
            </w:r>
          </w:p>
        </w:tc>
        <w:tc>
          <w:tcPr>
            <w:tcW w:w="331"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746F386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highlight w:val="none"/>
              </w:rPr>
            </w:pPr>
            <w:r>
              <w:rPr>
                <w:rFonts w:hint="eastAsia" w:ascii="宋体" w:hAnsi="宋体"/>
                <w:color w:val="auto"/>
                <w:highlight w:val="none"/>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14.2.10站房的一部分位于作业区内时，该站房的建筑面积不宜超过300</w:t>
            </w:r>
            <w:r>
              <w:rPr>
                <w:rFonts w:hint="eastAsia" w:ascii="宋体" w:hAnsi="宋体"/>
                <w:color w:val="auto"/>
                <w:highlight w:val="none"/>
              </w:rPr>
              <w:t>㎡</w:t>
            </w:r>
            <w:r>
              <w:rPr>
                <w:rFonts w:ascii="宋体" w:hAnsi="宋体"/>
                <w:color w:val="auto"/>
                <w:highlight w:val="none"/>
              </w:rPr>
              <w:t>，且该站房内不得有明火设备。</w:t>
            </w:r>
          </w:p>
        </w:tc>
        <w:tc>
          <w:tcPr>
            <w:tcW w:w="901"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不在作业区内</w:t>
            </w:r>
          </w:p>
        </w:tc>
        <w:tc>
          <w:tcPr>
            <w:tcW w:w="331"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7AFA8D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highlight w:val="none"/>
              </w:rPr>
            </w:pPr>
            <w:r>
              <w:rPr>
                <w:rFonts w:hint="eastAsia" w:ascii="宋体" w:hAnsi="宋体"/>
                <w:color w:val="auto"/>
                <w:highlight w:val="none"/>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14.2.11辅助服务区内建筑物的面积不应超过本标准附录B中三类保护物标准，消防设计应符合现行国家标准《建筑设计防火规范》GB50016的有关规定。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未超过</w:t>
            </w:r>
          </w:p>
        </w:tc>
        <w:tc>
          <w:tcPr>
            <w:tcW w:w="331"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4B4A338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highlight w:val="none"/>
              </w:rPr>
            </w:pPr>
            <w:r>
              <w:rPr>
                <w:rFonts w:hint="eastAsia" w:ascii="宋体" w:hAnsi="宋体"/>
                <w:color w:val="auto"/>
                <w:highlight w:val="none"/>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D1103CA">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highlight w:val="none"/>
              </w:rPr>
            </w:pPr>
            <w:r>
              <w:rPr>
                <w:rFonts w:hint="eastAsia" w:ascii="宋体" w:hAnsi="宋体"/>
                <w:color w:val="auto"/>
                <w:highlight w:val="none"/>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站房应单独开设通向汽车加</w:t>
            </w:r>
            <w:r>
              <w:rPr>
                <w:rFonts w:hint="eastAsia" w:ascii="宋体" w:hAnsi="宋体"/>
                <w:color w:val="auto"/>
                <w:highlight w:val="none"/>
              </w:rPr>
              <w:t>油</w:t>
            </w:r>
            <w:r>
              <w:rPr>
                <w:rFonts w:ascii="宋体" w:hAnsi="宋体"/>
                <w:color w:val="auto"/>
                <w:highlight w:val="none"/>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民用建筑物不得有直接通向汽车加油加气加氢站的出入口。</w:t>
            </w:r>
          </w:p>
        </w:tc>
        <w:tc>
          <w:tcPr>
            <w:tcW w:w="901"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3719126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highlight w:val="none"/>
              </w:rPr>
            </w:pPr>
            <w:r>
              <w:rPr>
                <w:rFonts w:hint="eastAsia" w:ascii="宋体" w:hAnsi="宋体"/>
                <w:color w:val="auto"/>
                <w:highlight w:val="none"/>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14.2.14站内的锅炉房、厨房等有明火设备的房间与工艺设备之间的距离符合表5.0.13的规定，但小于或等于25m时，朝向作业区的外墙应为无门窗洞口且耐火极限不低于3.00h的实体墙。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721159E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highlight w:val="none"/>
              </w:rPr>
            </w:pPr>
            <w:r>
              <w:rPr>
                <w:rFonts w:hint="eastAsia" w:ascii="宋体" w:hAnsi="宋体"/>
                <w:color w:val="auto"/>
                <w:highlight w:val="none"/>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14.2.16</w:t>
            </w:r>
            <w:r>
              <w:rPr>
                <w:rFonts w:hint="eastAsia" w:ascii="宋体" w:hAnsi="宋体"/>
                <w:color w:val="auto"/>
                <w:highlight w:val="none"/>
              </w:rPr>
              <w:t>埋</w:t>
            </w:r>
            <w:r>
              <w:rPr>
                <w:rFonts w:ascii="宋体" w:hAnsi="宋体"/>
                <w:color w:val="auto"/>
                <w:highlight w:val="none"/>
              </w:rPr>
              <w:t>地油罐和埋地LPG储罐的操作井、位于作业区的排水井应采取防渗漏措施，位于爆炸危险区域内的操作井和排水井应有防止产生火花的措施。</w:t>
            </w:r>
          </w:p>
        </w:tc>
        <w:tc>
          <w:tcPr>
            <w:tcW w:w="901"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设有相关安全措施</w:t>
            </w:r>
          </w:p>
        </w:tc>
        <w:tc>
          <w:tcPr>
            <w:tcW w:w="331"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highlight w:val="none"/>
              </w:rPr>
            </w:pPr>
            <w:r>
              <w:rPr>
                <w:rFonts w:hint="eastAsia" w:ascii="宋体" w:hAnsi="宋体"/>
                <w:b/>
                <w:color w:val="auto"/>
                <w:highlight w:val="none"/>
              </w:rPr>
              <w:t>绿化</w:t>
            </w:r>
          </w:p>
        </w:tc>
      </w:tr>
      <w:tr w14:paraId="0F98214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14.3.1汽车加油加气加氢站作业区内不得种植油性植物。</w:t>
            </w:r>
          </w:p>
        </w:tc>
        <w:tc>
          <w:tcPr>
            <w:tcW w:w="901"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未种植</w:t>
            </w:r>
            <w:r>
              <w:rPr>
                <w:rFonts w:ascii="宋体" w:hAnsi="宋体"/>
                <w:color w:val="auto"/>
                <w:highlight w:val="none"/>
              </w:rPr>
              <w:t>油性植物</w:t>
            </w:r>
          </w:p>
        </w:tc>
        <w:tc>
          <w:tcPr>
            <w:tcW w:w="331"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bl>
    <w:p w14:paraId="666FCB21">
      <w:pPr>
        <w:spacing w:line="600" w:lineRule="exact"/>
        <w:ind w:firstLine="570"/>
        <w:rPr>
          <w:rFonts w:ascii="宋体" w:hAnsi="宋体"/>
          <w:color w:val="auto"/>
          <w:sz w:val="30"/>
          <w:szCs w:val="30"/>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pacing w:val="-6"/>
          <w:sz w:val="28"/>
          <w:szCs w:val="28"/>
          <w:highlight w:val="none"/>
        </w:rPr>
        <w:t>均符合要求</w:t>
      </w:r>
      <w:r>
        <w:rPr>
          <w:rFonts w:hint="eastAsia" w:ascii="宋体" w:hAnsi="宋体"/>
          <w:color w:val="auto"/>
          <w:sz w:val="28"/>
          <w:szCs w:val="28"/>
          <w:highlight w:val="none"/>
        </w:rPr>
        <w:t>。</w:t>
      </w:r>
      <w:bookmarkStart w:id="183" w:name="_Toc32029"/>
      <w:bookmarkStart w:id="184" w:name="_Toc13874"/>
    </w:p>
    <w:p w14:paraId="74D9B514">
      <w:pPr>
        <w:pStyle w:val="3"/>
        <w:jc w:val="center"/>
        <w:rPr>
          <w:rFonts w:ascii="宋体" w:hAnsi="宋体"/>
          <w:color w:val="auto"/>
          <w:sz w:val="30"/>
          <w:szCs w:val="30"/>
          <w:highlight w:val="none"/>
        </w:rPr>
      </w:pPr>
      <w:bookmarkStart w:id="185" w:name="_Toc6094"/>
      <w:r>
        <w:rPr>
          <w:rFonts w:hint="eastAsia" w:ascii="宋体" w:hAnsi="宋体"/>
          <w:color w:val="auto"/>
          <w:sz w:val="30"/>
          <w:szCs w:val="30"/>
          <w:highlight w:val="none"/>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highlight w:val="none"/>
        </w:rPr>
      </w:pPr>
      <w:r>
        <w:rPr>
          <w:rFonts w:hint="eastAsia" w:ascii="宋体" w:hAnsi="宋体" w:cs="Times New Roman"/>
          <w:color w:val="auto"/>
          <w:sz w:val="28"/>
          <w:szCs w:val="28"/>
          <w:highlight w:val="none"/>
        </w:rPr>
        <w:t>评价小组根据《加油站作业安全规范》（</w:t>
      </w:r>
      <w:r>
        <w:rPr>
          <w:rFonts w:ascii="宋体" w:hAnsi="宋体" w:cs="Times New Roman"/>
          <w:color w:val="auto"/>
          <w:sz w:val="28"/>
          <w:szCs w:val="28"/>
          <w:highlight w:val="none"/>
        </w:rPr>
        <w:t>AQ</w:t>
      </w:r>
      <w:r>
        <w:rPr>
          <w:rFonts w:hint="eastAsia" w:ascii="宋体" w:hAnsi="宋体" w:cs="Times New Roman"/>
          <w:color w:val="auto"/>
          <w:sz w:val="28"/>
          <w:szCs w:val="28"/>
          <w:highlight w:val="none"/>
        </w:rPr>
        <w:t xml:space="preserve"> </w:t>
      </w:r>
      <w:r>
        <w:rPr>
          <w:rFonts w:ascii="宋体" w:hAnsi="宋体" w:cs="Times New Roman"/>
          <w:color w:val="auto"/>
          <w:sz w:val="28"/>
          <w:szCs w:val="28"/>
          <w:highlight w:val="none"/>
        </w:rPr>
        <w:t>3010-20</w:t>
      </w:r>
      <w:r>
        <w:rPr>
          <w:rFonts w:hint="eastAsia" w:ascii="宋体" w:hAnsi="宋体" w:cs="Times New Roman"/>
          <w:color w:val="auto"/>
          <w:sz w:val="28"/>
          <w:szCs w:val="28"/>
          <w:highlight w:val="none"/>
        </w:rPr>
        <w:t>22）制作的检查表对该加油站作业安全规范进行检查。</w:t>
      </w:r>
    </w:p>
    <w:p w14:paraId="4F1162EA">
      <w:pPr>
        <w:spacing w:line="600" w:lineRule="exact"/>
        <w:ind w:firstLine="570"/>
        <w:jc w:val="center"/>
        <w:rPr>
          <w:rFonts w:ascii="宋体" w:hAnsi="宋体" w:cs="Times New Roman"/>
          <w:color w:val="auto"/>
          <w:sz w:val="28"/>
          <w:szCs w:val="28"/>
          <w:highlight w:val="none"/>
        </w:rPr>
      </w:pPr>
      <w:r>
        <w:rPr>
          <w:rFonts w:hint="eastAsia" w:ascii="宋体" w:hAnsi="宋体" w:cs="Times New Roman"/>
          <w:color w:val="auto"/>
          <w:sz w:val="28"/>
          <w:szCs w:val="28"/>
          <w:highlight w:val="none"/>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highlight w:val="none"/>
              </w:rPr>
            </w:pPr>
            <w:r>
              <w:rPr>
                <w:rFonts w:hint="eastAsia" w:ascii="宋体" w:hAnsi="宋体" w:cs="宋体"/>
                <w:color w:val="auto"/>
                <w:highlight w:val="none"/>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highlight w:val="none"/>
              </w:rPr>
            </w:pPr>
            <w:r>
              <w:rPr>
                <w:rFonts w:hint="eastAsia" w:ascii="宋体" w:hAnsi="宋体" w:cs="宋体"/>
                <w:color w:val="auto"/>
                <w:highlight w:val="none"/>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highlight w:val="none"/>
              </w:rPr>
            </w:pPr>
            <w:r>
              <w:rPr>
                <w:rFonts w:hint="eastAsia" w:ascii="宋体" w:hAnsi="宋体" w:cs="宋体"/>
                <w:color w:val="auto"/>
                <w:highlight w:val="none"/>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highlight w:val="none"/>
              </w:rPr>
            </w:pPr>
            <w:r>
              <w:rPr>
                <w:rFonts w:hint="eastAsia" w:ascii="宋体" w:hAnsi="宋体" w:cs="宋体"/>
                <w:color w:val="auto"/>
                <w:highlight w:val="none"/>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highlight w:val="none"/>
              </w:rPr>
            </w:pPr>
            <w:r>
              <w:rPr>
                <w:rFonts w:hint="eastAsia" w:ascii="宋体" w:hAnsi="宋体" w:cs="宋体"/>
                <w:color w:val="auto"/>
                <w:highlight w:val="none"/>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highlight w:val="none"/>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highlight w:val="none"/>
              </w:rPr>
            </w:pPr>
            <w:r>
              <w:rPr>
                <w:rFonts w:hint="eastAsia" w:ascii="宋体" w:hAnsi="宋体" w:cs="宋体"/>
                <w:color w:val="auto"/>
                <w:highlight w:val="none"/>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highlight w:val="none"/>
              </w:rPr>
            </w:pPr>
            <w:r>
              <w:rPr>
                <w:rFonts w:hint="eastAsia" w:ascii="宋体" w:hAnsi="宋体" w:cs="宋体"/>
                <w:color w:val="auto"/>
                <w:highlight w:val="none"/>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highlight w:val="none"/>
              </w:rPr>
            </w:pPr>
            <w:r>
              <w:rPr>
                <w:rFonts w:hint="eastAsia" w:ascii="宋体" w:hAnsi="宋体" w:cs="宋体"/>
                <w:color w:val="auto"/>
                <w:highlight w:val="none"/>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highlight w:val="none"/>
              </w:rPr>
            </w:pPr>
            <w:r>
              <w:rPr>
                <w:rFonts w:hint="eastAsia" w:ascii="宋体" w:hAnsi="宋体" w:cs="宋体"/>
                <w:color w:val="auto"/>
                <w:highlight w:val="none"/>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highlight w:val="none"/>
              </w:rPr>
            </w:pPr>
            <w:r>
              <w:rPr>
                <w:rFonts w:hint="eastAsia" w:ascii="宋体" w:hAnsi="宋体" w:cs="宋体"/>
                <w:color w:val="auto"/>
                <w:highlight w:val="none"/>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highlight w:val="none"/>
              </w:rPr>
            </w:pPr>
            <w:r>
              <w:rPr>
                <w:rFonts w:hint="eastAsia" w:ascii="宋体" w:hAnsi="宋体" w:cs="宋体"/>
                <w:color w:val="auto"/>
                <w:highlight w:val="none"/>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highlight w:val="none"/>
              </w:rPr>
            </w:pPr>
            <w:r>
              <w:rPr>
                <w:rFonts w:hint="eastAsia" w:ascii="宋体" w:hAnsi="宋体" w:cs="宋体"/>
                <w:color w:val="auto"/>
                <w:highlight w:val="none"/>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highlight w:val="none"/>
              </w:rPr>
            </w:pPr>
            <w:r>
              <w:rPr>
                <w:rFonts w:hint="eastAsia" w:ascii="宋体" w:hAnsi="宋体" w:cs="宋体"/>
                <w:color w:val="auto"/>
                <w:highlight w:val="none"/>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highlight w:val="none"/>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highlight w:val="none"/>
              </w:rPr>
            </w:pPr>
            <w:r>
              <w:rPr>
                <w:rFonts w:hint="eastAsia" w:ascii="宋体" w:hAnsi="宋体" w:cs="宋体"/>
                <w:color w:val="auto"/>
                <w:highlight w:val="none"/>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油罐车停于卸油停车位，熄火并拉上手刹，车轮处宜放置与最大允许总质量和车轮尺寸相匹配的轮挡，车钥匙宜放</w:t>
            </w:r>
            <w:r>
              <w:rPr>
                <w:rFonts w:hint="eastAsia" w:ascii="宋体" w:hAnsi="宋体" w:cs="宋体"/>
                <w:color w:val="auto"/>
                <w:highlight w:val="none"/>
                <w:lang w:eastAsia="zh-CN"/>
              </w:rPr>
              <w:t>置在</w:t>
            </w:r>
            <w:r>
              <w:rPr>
                <w:rFonts w:hint="eastAsia" w:ascii="宋体" w:hAnsi="宋体" w:cs="宋体"/>
                <w:color w:val="auto"/>
                <w:highlight w:val="none"/>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highlight w:val="none"/>
              </w:rPr>
            </w:pPr>
            <w:r>
              <w:rPr>
                <w:rFonts w:hint="eastAsia" w:ascii="宋体" w:hAnsi="宋体" w:cs="宋体"/>
                <w:color w:val="auto"/>
                <w:highlight w:val="none"/>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highlight w:val="none"/>
              </w:rPr>
            </w:pPr>
            <w:r>
              <w:rPr>
                <w:rFonts w:hint="eastAsia" w:ascii="宋体" w:hAnsi="宋体" w:cs="宋体"/>
                <w:color w:val="auto"/>
                <w:highlight w:val="none"/>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highlight w:val="none"/>
              </w:rPr>
            </w:pPr>
            <w:r>
              <w:rPr>
                <w:rFonts w:hint="eastAsia" w:ascii="宋体" w:hAnsi="宋体" w:cs="宋体"/>
                <w:color w:val="auto"/>
                <w:highlight w:val="none"/>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highlight w:val="none"/>
              </w:rPr>
            </w:pPr>
            <w:r>
              <w:rPr>
                <w:rFonts w:hint="eastAsia" w:ascii="宋体" w:hAnsi="宋体" w:cs="宋体"/>
                <w:color w:val="auto"/>
                <w:highlight w:val="none"/>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highlight w:val="none"/>
              </w:rPr>
            </w:pPr>
            <w:r>
              <w:rPr>
                <w:rFonts w:hint="eastAsia" w:ascii="宋体" w:hAnsi="宋体" w:cs="宋体"/>
                <w:color w:val="auto"/>
                <w:highlight w:val="none"/>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highlight w:val="none"/>
              </w:rPr>
            </w:pPr>
            <w:r>
              <w:rPr>
                <w:rFonts w:hint="eastAsia" w:ascii="宋体" w:hAnsi="宋体" w:cs="宋体"/>
                <w:color w:val="auto"/>
                <w:highlight w:val="none"/>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highlight w:val="none"/>
              </w:rPr>
            </w:pPr>
            <w:r>
              <w:rPr>
                <w:rFonts w:hint="eastAsia" w:ascii="宋体" w:hAnsi="宋体" w:cs="宋体"/>
                <w:color w:val="auto"/>
                <w:highlight w:val="none"/>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highlight w:val="none"/>
              </w:rPr>
            </w:pPr>
            <w:r>
              <w:rPr>
                <w:rFonts w:hint="eastAsia" w:ascii="宋体" w:hAnsi="宋体" w:cs="宋体"/>
                <w:color w:val="auto"/>
                <w:highlight w:val="none"/>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highlight w:val="none"/>
              </w:rPr>
            </w:pPr>
            <w:r>
              <w:rPr>
                <w:rFonts w:hint="eastAsia" w:ascii="宋体" w:hAnsi="宋体" w:cs="宋体"/>
                <w:color w:val="auto"/>
                <w:highlight w:val="none"/>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highlight w:val="none"/>
              </w:rPr>
            </w:pPr>
            <w:r>
              <w:rPr>
                <w:rFonts w:hint="eastAsia" w:ascii="宋体" w:hAnsi="宋体" w:cs="宋体"/>
                <w:color w:val="auto"/>
                <w:highlight w:val="none"/>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highlight w:val="none"/>
              </w:rPr>
            </w:pPr>
            <w:r>
              <w:rPr>
                <w:rFonts w:hint="eastAsia" w:ascii="宋体" w:hAnsi="宋体" w:cs="宋体"/>
                <w:color w:val="auto"/>
                <w:highlight w:val="none"/>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highlight w:val="none"/>
              </w:rPr>
            </w:pPr>
            <w:r>
              <w:rPr>
                <w:rFonts w:hint="eastAsia" w:ascii="宋体" w:hAnsi="宋体" w:cs="宋体"/>
                <w:color w:val="auto"/>
                <w:highlight w:val="none"/>
              </w:rPr>
              <w:t>经双方检查确认具备开阀卸油条件后，将卸油口对应油罐进油阀门打开</w:t>
            </w:r>
            <w:r>
              <w:rPr>
                <w:rFonts w:hint="eastAsia" w:ascii="宋体" w:hAnsi="宋体" w:cs="宋体"/>
                <w:color w:val="auto"/>
                <w:highlight w:val="none"/>
                <w:lang w:eastAsia="zh-CN"/>
              </w:rPr>
              <w:t>（</w:t>
            </w:r>
            <w:r>
              <w:rPr>
                <w:rFonts w:hint="eastAsia" w:ascii="宋体" w:hAnsi="宋体" w:cs="宋体"/>
                <w:color w:val="auto"/>
                <w:highlight w:val="none"/>
              </w:rPr>
              <w:t>卸汽油时先打开气路 阀门</w:t>
            </w:r>
            <w:r>
              <w:rPr>
                <w:rFonts w:hint="eastAsia" w:ascii="宋体" w:hAnsi="宋体" w:cs="宋体"/>
                <w:color w:val="auto"/>
                <w:highlight w:val="none"/>
                <w:lang w:eastAsia="zh-CN"/>
              </w:rPr>
              <w:t>），</w:t>
            </w:r>
            <w:r>
              <w:rPr>
                <w:rFonts w:hint="eastAsia" w:ascii="宋体" w:hAnsi="宋体" w:cs="宋体"/>
                <w:color w:val="auto"/>
                <w:highlight w:val="none"/>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highlight w:val="none"/>
              </w:rPr>
            </w:pPr>
            <w:r>
              <w:rPr>
                <w:rFonts w:hint="eastAsia" w:ascii="宋体" w:hAnsi="宋体" w:cs="宋体"/>
                <w:color w:val="auto"/>
                <w:highlight w:val="none"/>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highlight w:val="none"/>
              </w:rPr>
            </w:pPr>
            <w:r>
              <w:rPr>
                <w:rFonts w:hint="eastAsia" w:ascii="宋体" w:hAnsi="宋体" w:cs="宋体"/>
                <w:color w:val="auto"/>
                <w:highlight w:val="none"/>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卸油作业过程中，不应开启计量孔，不应修理、擦洗油罐车，不应鸣笛；使用器具时要轻拿轻放；与该罐连接且无</w:t>
            </w:r>
            <w:r>
              <w:rPr>
                <w:rFonts w:hint="eastAsia" w:ascii="宋体" w:hAnsi="宋体" w:cs="宋体"/>
                <w:color w:val="auto"/>
                <w:highlight w:val="none"/>
                <w:lang w:eastAsia="zh-CN"/>
              </w:rPr>
              <w:t>防水</w:t>
            </w:r>
            <w:r>
              <w:rPr>
                <w:rFonts w:hint="eastAsia" w:ascii="宋体" w:hAnsi="宋体" w:cs="宋体"/>
                <w:color w:val="auto"/>
                <w:highlight w:val="none"/>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highlight w:val="none"/>
              </w:rPr>
            </w:pPr>
            <w:r>
              <w:rPr>
                <w:rFonts w:hint="eastAsia" w:ascii="宋体" w:hAnsi="宋体" w:cs="宋体"/>
                <w:color w:val="auto"/>
                <w:highlight w:val="none"/>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highlight w:val="none"/>
              </w:rPr>
            </w:pPr>
            <w:r>
              <w:rPr>
                <w:rFonts w:hint="eastAsia" w:ascii="宋体" w:hAnsi="宋体" w:cs="宋体"/>
                <w:color w:val="auto"/>
                <w:highlight w:val="none"/>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highlight w:val="none"/>
              </w:rPr>
            </w:pPr>
            <w:r>
              <w:rPr>
                <w:rFonts w:hint="eastAsia" w:ascii="宋体" w:hAnsi="宋体" w:cs="宋体"/>
                <w:color w:val="auto"/>
                <w:highlight w:val="none"/>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highlight w:val="none"/>
              </w:rPr>
            </w:pPr>
            <w:r>
              <w:rPr>
                <w:rFonts w:hint="eastAsia" w:ascii="宋体" w:hAnsi="宋体" w:cs="宋体"/>
                <w:color w:val="auto"/>
                <w:highlight w:val="none"/>
              </w:rPr>
              <w:t>卸至软管内无油后，应做好以下工作：</w:t>
            </w:r>
          </w:p>
          <w:p w14:paraId="160BBAD8">
            <w:pPr>
              <w:rPr>
                <w:rFonts w:ascii="宋体" w:hAnsi="宋体" w:cs="宋体"/>
                <w:color w:val="auto"/>
                <w:highlight w:val="none"/>
              </w:rPr>
            </w:pPr>
            <w:r>
              <w:rPr>
                <w:rFonts w:hint="eastAsia" w:ascii="宋体" w:hAnsi="宋体" w:cs="宋体"/>
                <w:color w:val="auto"/>
                <w:highlight w:val="none"/>
                <w:lang w:eastAsia="zh-CN"/>
              </w:rPr>
              <w:t>a）</w:t>
            </w:r>
            <w:r>
              <w:rPr>
                <w:rFonts w:hint="eastAsia" w:ascii="宋体" w:hAnsi="宋体" w:cs="宋体"/>
                <w:color w:val="auto"/>
                <w:highlight w:val="none"/>
              </w:rPr>
              <w:t>关闭软管两端阀门；</w:t>
            </w:r>
          </w:p>
          <w:p w14:paraId="546AC536">
            <w:pPr>
              <w:rPr>
                <w:rFonts w:ascii="宋体" w:hAnsi="宋体" w:cs="宋体"/>
                <w:color w:val="auto"/>
                <w:highlight w:val="none"/>
              </w:rPr>
            </w:pPr>
            <w:r>
              <w:rPr>
                <w:rFonts w:hint="eastAsia" w:ascii="宋体" w:hAnsi="宋体" w:cs="宋体"/>
                <w:color w:val="auto"/>
                <w:highlight w:val="none"/>
                <w:lang w:eastAsia="zh-CN"/>
              </w:rPr>
              <w:t>b）</w:t>
            </w:r>
            <w:r>
              <w:rPr>
                <w:rFonts w:hint="eastAsia" w:ascii="宋体" w:hAnsi="宋体" w:cs="宋体"/>
                <w:color w:val="auto"/>
                <w:highlight w:val="none"/>
              </w:rPr>
              <w:t>拆除软管，将卸油接口的密封盖盖紧并加锁；</w:t>
            </w:r>
          </w:p>
          <w:p w14:paraId="4F202364">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c）</w:t>
            </w:r>
            <w:r>
              <w:rPr>
                <w:rFonts w:hint="eastAsia" w:ascii="宋体" w:hAnsi="宋体" w:cs="宋体"/>
                <w:color w:val="auto"/>
                <w:highlight w:val="none"/>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highlight w:val="none"/>
              </w:rPr>
            </w:pPr>
            <w:r>
              <w:rPr>
                <w:rFonts w:hint="eastAsia" w:ascii="宋体" w:hAnsi="宋体" w:cs="宋体"/>
                <w:color w:val="auto"/>
                <w:highlight w:val="none"/>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highlight w:val="none"/>
              </w:rPr>
            </w:pPr>
            <w:r>
              <w:rPr>
                <w:rFonts w:hint="eastAsia" w:ascii="宋体" w:hAnsi="宋体" w:cs="宋体"/>
                <w:color w:val="auto"/>
                <w:highlight w:val="none"/>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highlight w:val="none"/>
              </w:rPr>
            </w:pPr>
            <w:r>
              <w:rPr>
                <w:rFonts w:hint="eastAsia" w:ascii="宋体" w:hAnsi="宋体" w:cs="宋体"/>
                <w:color w:val="auto"/>
                <w:highlight w:val="none"/>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highlight w:val="none"/>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highlight w:val="none"/>
              </w:rPr>
            </w:pPr>
            <w:r>
              <w:rPr>
                <w:rFonts w:hint="eastAsia" w:ascii="宋体" w:hAnsi="宋体" w:cs="宋体"/>
                <w:color w:val="auto"/>
                <w:highlight w:val="none"/>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highlight w:val="none"/>
              </w:rPr>
            </w:pPr>
            <w:r>
              <w:rPr>
                <w:rFonts w:hint="eastAsia" w:ascii="宋体" w:hAnsi="宋体" w:cs="宋体"/>
                <w:color w:val="auto"/>
                <w:highlight w:val="none"/>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highlight w:val="none"/>
              </w:rPr>
            </w:pPr>
            <w:r>
              <w:rPr>
                <w:rFonts w:hint="eastAsia" w:ascii="宋体" w:hAnsi="宋体" w:cs="宋体"/>
                <w:color w:val="auto"/>
                <w:highlight w:val="none"/>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highlight w:val="none"/>
              </w:rPr>
            </w:pPr>
            <w:r>
              <w:rPr>
                <w:rFonts w:hint="eastAsia" w:ascii="宋体" w:hAnsi="宋体" w:cs="宋体"/>
                <w:color w:val="auto"/>
                <w:highlight w:val="none"/>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highlight w:val="none"/>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highlight w:val="none"/>
              </w:rPr>
            </w:pPr>
            <w:r>
              <w:rPr>
                <w:rFonts w:hint="eastAsia" w:ascii="宋体" w:hAnsi="宋体" w:cs="宋体"/>
                <w:color w:val="auto"/>
                <w:highlight w:val="none"/>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highlight w:val="none"/>
              </w:rPr>
            </w:pPr>
            <w:r>
              <w:rPr>
                <w:rFonts w:hint="eastAsia" w:ascii="宋体" w:hAnsi="宋体" w:cs="宋体"/>
                <w:color w:val="auto"/>
                <w:highlight w:val="none"/>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highlight w:val="none"/>
              </w:rPr>
            </w:pPr>
            <w:r>
              <w:rPr>
                <w:rFonts w:hint="eastAsia" w:ascii="宋体" w:hAnsi="宋体" w:cs="宋体"/>
                <w:color w:val="auto"/>
                <w:highlight w:val="none"/>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highlight w:val="none"/>
              </w:rPr>
            </w:pPr>
            <w:r>
              <w:rPr>
                <w:rFonts w:hint="eastAsia" w:ascii="宋体" w:hAnsi="宋体" w:cs="宋体"/>
                <w:color w:val="auto"/>
                <w:highlight w:val="none"/>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highlight w:val="none"/>
              </w:rPr>
            </w:pPr>
            <w:r>
              <w:rPr>
                <w:rFonts w:hint="eastAsia" w:ascii="宋体" w:hAnsi="宋体" w:cs="宋体"/>
                <w:color w:val="auto"/>
                <w:highlight w:val="none"/>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highlight w:val="none"/>
              </w:rPr>
            </w:pPr>
            <w:r>
              <w:rPr>
                <w:rFonts w:hint="eastAsia" w:ascii="宋体" w:hAnsi="宋体" w:cs="宋体"/>
                <w:color w:val="auto"/>
                <w:highlight w:val="none"/>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highlight w:val="none"/>
              </w:rPr>
            </w:pPr>
            <w:r>
              <w:rPr>
                <w:rFonts w:hint="eastAsia" w:ascii="宋体" w:hAnsi="宋体" w:cs="宋体"/>
                <w:color w:val="auto"/>
                <w:highlight w:val="none"/>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highlight w:val="none"/>
              </w:rPr>
            </w:pPr>
            <w:r>
              <w:rPr>
                <w:rFonts w:hint="eastAsia" w:ascii="宋体" w:hAnsi="宋体" w:cs="宋体"/>
                <w:color w:val="auto"/>
                <w:highlight w:val="none"/>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highlight w:val="none"/>
              </w:rPr>
            </w:pPr>
            <w:r>
              <w:rPr>
                <w:rFonts w:hint="eastAsia" w:ascii="宋体" w:hAnsi="宋体" w:cs="宋体"/>
                <w:color w:val="auto"/>
                <w:highlight w:val="none"/>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highlight w:val="none"/>
              </w:rPr>
            </w:pPr>
            <w:r>
              <w:rPr>
                <w:rFonts w:hint="eastAsia" w:ascii="宋体" w:hAnsi="宋体" w:cs="宋体"/>
                <w:color w:val="auto"/>
                <w:highlight w:val="none"/>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highlight w:val="none"/>
              </w:rPr>
            </w:pPr>
            <w:r>
              <w:rPr>
                <w:rFonts w:hint="eastAsia" w:ascii="宋体" w:hAnsi="宋体" w:cs="宋体"/>
                <w:color w:val="auto"/>
                <w:highlight w:val="none"/>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highlight w:val="none"/>
              </w:rPr>
            </w:pPr>
            <w:r>
              <w:rPr>
                <w:rFonts w:hint="eastAsia" w:ascii="宋体" w:hAnsi="宋体" w:cs="宋体"/>
                <w:color w:val="auto"/>
                <w:highlight w:val="none"/>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highlight w:val="none"/>
              </w:rPr>
            </w:pPr>
            <w:r>
              <w:rPr>
                <w:rFonts w:hint="eastAsia" w:ascii="宋体" w:hAnsi="宋体" w:cs="宋体"/>
                <w:color w:val="auto"/>
                <w:highlight w:val="none"/>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highlight w:val="none"/>
              </w:rPr>
            </w:pPr>
            <w:r>
              <w:rPr>
                <w:rFonts w:hint="eastAsia" w:ascii="宋体" w:hAnsi="宋体" w:cs="宋体"/>
                <w:color w:val="auto"/>
                <w:highlight w:val="none"/>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highlight w:val="none"/>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highlight w:val="none"/>
              </w:rPr>
            </w:pPr>
            <w:r>
              <w:rPr>
                <w:rFonts w:hint="eastAsia" w:ascii="宋体" w:hAnsi="宋体" w:cs="宋体"/>
                <w:color w:val="auto"/>
                <w:highlight w:val="none"/>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highlight w:val="none"/>
              </w:rPr>
            </w:pPr>
            <w:r>
              <w:rPr>
                <w:rFonts w:hint="eastAsia" w:ascii="宋体" w:hAnsi="宋体" w:cs="宋体"/>
                <w:color w:val="auto"/>
                <w:highlight w:val="none"/>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highlight w:val="none"/>
              </w:rPr>
            </w:pPr>
            <w:r>
              <w:rPr>
                <w:rFonts w:hint="eastAsia" w:ascii="宋体" w:hAnsi="宋体" w:cs="宋体"/>
                <w:color w:val="auto"/>
                <w:highlight w:val="none"/>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highlight w:val="none"/>
              </w:rPr>
            </w:pPr>
            <w:r>
              <w:rPr>
                <w:rFonts w:hint="eastAsia" w:ascii="宋体" w:hAnsi="宋体" w:cs="宋体"/>
                <w:color w:val="auto"/>
                <w:highlight w:val="none"/>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highlight w:val="none"/>
              </w:rPr>
            </w:pPr>
            <w:r>
              <w:rPr>
                <w:rFonts w:hint="eastAsia" w:ascii="宋体" w:hAnsi="宋体" w:cs="宋体"/>
                <w:color w:val="auto"/>
                <w:highlight w:val="none"/>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highlight w:val="none"/>
              </w:rPr>
            </w:pPr>
            <w:r>
              <w:rPr>
                <w:rFonts w:hint="eastAsia" w:ascii="宋体" w:hAnsi="宋体" w:cs="宋体"/>
                <w:color w:val="auto"/>
                <w:highlight w:val="none"/>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highlight w:val="none"/>
              </w:rPr>
            </w:pPr>
            <w:r>
              <w:rPr>
                <w:rFonts w:hint="eastAsia" w:ascii="宋体" w:hAnsi="宋体" w:cs="宋体"/>
                <w:color w:val="auto"/>
                <w:highlight w:val="none"/>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highlight w:val="none"/>
              </w:rPr>
            </w:pPr>
            <w:r>
              <w:rPr>
                <w:rFonts w:hint="eastAsia" w:ascii="宋体" w:hAnsi="宋体" w:cs="宋体"/>
                <w:color w:val="auto"/>
                <w:highlight w:val="none"/>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highlight w:val="none"/>
              </w:rPr>
            </w:pPr>
            <w:r>
              <w:rPr>
                <w:rFonts w:hint="eastAsia" w:ascii="宋体" w:hAnsi="宋体" w:cs="宋体"/>
                <w:color w:val="auto"/>
                <w:highlight w:val="none"/>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highlight w:val="none"/>
                <w:lang w:eastAsia="zh-CN"/>
              </w:rPr>
              <w:t>进入</w:t>
            </w:r>
            <w:r>
              <w:rPr>
                <w:rFonts w:hint="eastAsia" w:ascii="宋体" w:hAnsi="宋体" w:cs="宋体"/>
                <w:color w:val="auto"/>
                <w:highlight w:val="none"/>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highlight w:val="none"/>
              </w:rPr>
            </w:pPr>
            <w:r>
              <w:rPr>
                <w:rFonts w:hint="eastAsia" w:ascii="宋体" w:hAnsi="宋体" w:cs="宋体"/>
                <w:color w:val="auto"/>
                <w:highlight w:val="none"/>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highlight w:val="none"/>
              </w:rPr>
            </w:pPr>
            <w:r>
              <w:rPr>
                <w:rFonts w:hint="eastAsia" w:ascii="宋体" w:hAnsi="宋体" w:cs="宋体"/>
                <w:color w:val="auto"/>
                <w:highlight w:val="none"/>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highlight w:val="none"/>
              </w:rPr>
            </w:pPr>
            <w:r>
              <w:rPr>
                <w:rFonts w:hint="eastAsia" w:ascii="宋体" w:hAnsi="宋体" w:cs="宋体"/>
                <w:color w:val="auto"/>
                <w:highlight w:val="none"/>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highlight w:val="none"/>
              </w:rPr>
            </w:pPr>
            <w:r>
              <w:rPr>
                <w:rFonts w:hint="eastAsia" w:ascii="宋体" w:hAnsi="宋体" w:cs="宋体"/>
                <w:color w:val="auto"/>
                <w:highlight w:val="none"/>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highlight w:val="none"/>
              </w:rPr>
            </w:pPr>
            <w:r>
              <w:rPr>
                <w:rFonts w:hint="eastAsia" w:ascii="宋体" w:hAnsi="宋体" w:cs="宋体"/>
                <w:color w:val="auto"/>
                <w:highlight w:val="none"/>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highlight w:val="none"/>
              </w:rPr>
            </w:pPr>
            <w:r>
              <w:rPr>
                <w:rFonts w:hint="eastAsia" w:ascii="宋体" w:hAnsi="宋体" w:cs="宋体"/>
                <w:color w:val="auto"/>
                <w:highlight w:val="none"/>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highlight w:val="none"/>
              </w:rPr>
            </w:pPr>
            <w:r>
              <w:rPr>
                <w:rFonts w:hint="eastAsia" w:ascii="宋体" w:hAnsi="宋体" w:cs="宋体"/>
                <w:color w:val="auto"/>
                <w:highlight w:val="none"/>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highlight w:val="none"/>
              </w:rPr>
            </w:pPr>
            <w:r>
              <w:rPr>
                <w:rFonts w:hint="eastAsia" w:ascii="宋体" w:hAnsi="宋体" w:cs="宋体"/>
                <w:color w:val="auto"/>
                <w:highlight w:val="none"/>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清除</w:t>
            </w:r>
            <w:r>
              <w:rPr>
                <w:rFonts w:hint="eastAsia" w:ascii="宋体" w:hAnsi="宋体" w:cs="宋体"/>
                <w:color w:val="auto"/>
                <w:highlight w:val="none"/>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highlight w:val="none"/>
              </w:rPr>
            </w:pPr>
            <w:r>
              <w:rPr>
                <w:rFonts w:hint="eastAsia" w:ascii="宋体" w:hAnsi="宋体" w:cs="宋体"/>
                <w:color w:val="auto"/>
                <w:highlight w:val="none"/>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p w14:paraId="1DCBE6E8">
            <w:pPr>
              <w:pStyle w:val="61"/>
              <w:spacing w:line="240" w:lineRule="auto"/>
              <w:rPr>
                <w:rFonts w:ascii="宋体" w:hAnsi="宋体" w:cs="宋体"/>
                <w:color w:val="auto"/>
                <w:highlight w:val="none"/>
              </w:rPr>
            </w:pPr>
            <w:r>
              <w:rPr>
                <w:rFonts w:hint="eastAsia" w:ascii="宋体" w:hAnsi="宋体" w:cs="宋体"/>
                <w:color w:val="auto"/>
                <w:highlight w:val="none"/>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highlight w:val="none"/>
              </w:rPr>
            </w:pPr>
            <w:r>
              <w:rPr>
                <w:rFonts w:hint="eastAsia" w:ascii="宋体" w:hAnsi="宋体" w:cs="宋体"/>
                <w:color w:val="auto"/>
                <w:highlight w:val="none"/>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highlight w:val="none"/>
              </w:rPr>
            </w:pPr>
            <w:r>
              <w:rPr>
                <w:rFonts w:hint="eastAsia" w:ascii="宋体" w:hAnsi="宋体" w:cs="宋体"/>
                <w:color w:val="auto"/>
                <w:highlight w:val="none"/>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highlight w:val="none"/>
              </w:rPr>
            </w:pPr>
            <w:r>
              <w:rPr>
                <w:rFonts w:hint="eastAsia" w:ascii="宋体" w:hAnsi="宋体" w:cs="宋体"/>
                <w:color w:val="auto"/>
                <w:highlight w:val="none"/>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highlight w:val="none"/>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highlight w:val="none"/>
              </w:rPr>
            </w:pPr>
            <w:r>
              <w:rPr>
                <w:rFonts w:hint="eastAsia" w:ascii="宋体" w:hAnsi="宋体" w:cs="宋体"/>
                <w:color w:val="auto"/>
                <w:highlight w:val="none"/>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highlight w:val="none"/>
              </w:rPr>
            </w:pPr>
            <w:r>
              <w:rPr>
                <w:rFonts w:hint="eastAsia" w:ascii="宋体" w:hAnsi="宋体" w:cs="宋体"/>
                <w:color w:val="auto"/>
                <w:highlight w:val="none"/>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highlight w:val="none"/>
              </w:rPr>
            </w:pPr>
            <w:r>
              <w:rPr>
                <w:rFonts w:hint="eastAsia" w:ascii="宋体" w:hAnsi="宋体" w:cs="宋体"/>
                <w:color w:val="auto"/>
                <w:highlight w:val="none"/>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highlight w:val="none"/>
              </w:rPr>
            </w:pPr>
            <w:r>
              <w:rPr>
                <w:rFonts w:hint="eastAsia" w:ascii="宋体" w:hAnsi="宋体" w:cs="宋体"/>
                <w:color w:val="auto"/>
                <w:highlight w:val="none"/>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highlight w:val="none"/>
              </w:rPr>
            </w:pPr>
            <w:r>
              <w:rPr>
                <w:rFonts w:hint="eastAsia" w:ascii="宋体" w:hAnsi="宋体" w:cs="宋体"/>
                <w:color w:val="auto"/>
                <w:highlight w:val="none"/>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highlight w:val="none"/>
              </w:rPr>
            </w:pPr>
            <w:r>
              <w:rPr>
                <w:rFonts w:hint="eastAsia" w:ascii="宋体" w:hAnsi="宋体" w:cs="宋体"/>
                <w:color w:val="auto"/>
                <w:highlight w:val="none"/>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highlight w:val="none"/>
              </w:rPr>
            </w:pPr>
            <w:r>
              <w:rPr>
                <w:rFonts w:hint="eastAsia" w:ascii="宋体" w:hAnsi="宋体" w:cs="宋体"/>
                <w:color w:val="auto"/>
                <w:highlight w:val="none"/>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highlight w:val="none"/>
              </w:rPr>
            </w:pPr>
            <w:r>
              <w:rPr>
                <w:rFonts w:hint="eastAsia" w:ascii="宋体" w:hAnsi="宋体" w:cs="宋体"/>
                <w:color w:val="auto"/>
                <w:highlight w:val="none"/>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highlight w:val="none"/>
              </w:rPr>
            </w:pPr>
            <w:r>
              <w:rPr>
                <w:rFonts w:hint="eastAsia" w:ascii="宋体" w:hAnsi="宋体" w:cs="宋体"/>
                <w:color w:val="auto"/>
                <w:highlight w:val="none"/>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highlight w:val="none"/>
              </w:rPr>
            </w:pPr>
            <w:r>
              <w:rPr>
                <w:rFonts w:hint="eastAsia" w:ascii="宋体" w:hAnsi="宋体" w:cs="宋体"/>
                <w:color w:val="auto"/>
                <w:highlight w:val="none"/>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highlight w:val="none"/>
              </w:rPr>
            </w:pPr>
            <w:r>
              <w:rPr>
                <w:rFonts w:hint="eastAsia" w:ascii="宋体" w:hAnsi="宋体" w:cs="宋体"/>
                <w:color w:val="auto"/>
                <w:highlight w:val="none"/>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highlight w:val="none"/>
              </w:rPr>
            </w:pPr>
            <w:r>
              <w:rPr>
                <w:rFonts w:hint="eastAsia" w:ascii="宋体" w:hAnsi="宋体" w:cs="宋体"/>
                <w:color w:val="auto"/>
                <w:highlight w:val="none"/>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highlight w:val="none"/>
              </w:rPr>
            </w:pPr>
            <w:r>
              <w:rPr>
                <w:rFonts w:hint="eastAsia" w:ascii="宋体" w:hAnsi="宋体" w:cs="宋体"/>
                <w:color w:val="auto"/>
                <w:highlight w:val="none"/>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highlight w:val="none"/>
              </w:rPr>
            </w:pPr>
            <w:r>
              <w:rPr>
                <w:rFonts w:hint="eastAsia" w:ascii="宋体" w:hAnsi="宋体" w:cs="宋体"/>
                <w:color w:val="auto"/>
                <w:highlight w:val="none"/>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highlight w:val="none"/>
              </w:rPr>
            </w:pPr>
            <w:r>
              <w:rPr>
                <w:rFonts w:hint="eastAsia" w:ascii="宋体" w:hAnsi="宋体" w:cs="宋体"/>
                <w:color w:val="auto"/>
                <w:highlight w:val="none"/>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highlight w:val="none"/>
              </w:rPr>
            </w:pPr>
            <w:r>
              <w:rPr>
                <w:rFonts w:hint="eastAsia" w:ascii="宋体" w:hAnsi="宋体" w:cs="宋体"/>
                <w:color w:val="auto"/>
                <w:highlight w:val="none"/>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highlight w:val="none"/>
              </w:rPr>
            </w:pPr>
            <w:r>
              <w:rPr>
                <w:rFonts w:hint="eastAsia" w:ascii="宋体" w:hAnsi="宋体" w:cs="宋体"/>
                <w:color w:val="auto"/>
                <w:highlight w:val="none"/>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highlight w:val="none"/>
              </w:rPr>
            </w:pPr>
            <w:r>
              <w:rPr>
                <w:rFonts w:hint="eastAsia" w:ascii="宋体" w:hAnsi="宋体" w:cs="宋体"/>
                <w:color w:val="auto"/>
                <w:highlight w:val="none"/>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highlight w:val="none"/>
              </w:rPr>
            </w:pPr>
            <w:r>
              <w:rPr>
                <w:rFonts w:hint="eastAsia" w:ascii="宋体" w:hAnsi="宋体" w:cs="宋体"/>
                <w:color w:val="auto"/>
                <w:highlight w:val="none"/>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highlight w:val="none"/>
              </w:rPr>
            </w:pPr>
            <w:r>
              <w:rPr>
                <w:rFonts w:hint="eastAsia" w:ascii="宋体" w:hAnsi="宋体" w:cs="宋体"/>
                <w:color w:val="auto"/>
                <w:highlight w:val="none"/>
              </w:rPr>
              <w:t>高处动火</w:t>
            </w:r>
            <w:r>
              <w:rPr>
                <w:rFonts w:hint="eastAsia" w:ascii="宋体" w:hAnsi="宋体" w:cs="宋体"/>
                <w:color w:val="auto"/>
                <w:highlight w:val="none"/>
                <w:lang w:eastAsia="zh-CN"/>
              </w:rPr>
              <w:t>（</w:t>
            </w:r>
            <w:r>
              <w:rPr>
                <w:rFonts w:hint="eastAsia" w:ascii="宋体" w:hAnsi="宋体" w:cs="宋体"/>
                <w:color w:val="auto"/>
                <w:highlight w:val="none"/>
              </w:rPr>
              <w:t>2 m 以上</w:t>
            </w:r>
            <w:r>
              <w:rPr>
                <w:rFonts w:hint="eastAsia" w:ascii="宋体" w:hAnsi="宋体" w:cs="宋体"/>
                <w:color w:val="auto"/>
                <w:highlight w:val="none"/>
                <w:lang w:eastAsia="zh-CN"/>
              </w:rPr>
              <w:t>）</w:t>
            </w:r>
            <w:r>
              <w:rPr>
                <w:rFonts w:hint="eastAsia" w:ascii="宋体" w:hAnsi="宋体" w:cs="宋体"/>
                <w:color w:val="auto"/>
                <w:highlight w:val="none"/>
              </w:rPr>
              <w:t>应采取防止火花飞溅措施，五级风以上</w:t>
            </w:r>
            <w:r>
              <w:rPr>
                <w:rFonts w:hint="eastAsia" w:ascii="宋体" w:hAnsi="宋体" w:cs="宋体"/>
                <w:color w:val="auto"/>
                <w:highlight w:val="none"/>
                <w:lang w:eastAsia="zh-CN"/>
              </w:rPr>
              <w:t>（</w:t>
            </w:r>
            <w:r>
              <w:rPr>
                <w:rFonts w:hint="eastAsia" w:ascii="宋体" w:hAnsi="宋体" w:cs="宋体"/>
                <w:color w:val="auto"/>
                <w:highlight w:val="none"/>
              </w:rPr>
              <w:t>含五级</w:t>
            </w:r>
            <w:r>
              <w:rPr>
                <w:rFonts w:hint="eastAsia" w:ascii="宋体" w:hAnsi="宋体" w:cs="宋体"/>
                <w:color w:val="auto"/>
                <w:highlight w:val="none"/>
                <w:lang w:eastAsia="zh-CN"/>
              </w:rPr>
              <w:t>）</w:t>
            </w:r>
            <w:r>
              <w:rPr>
                <w:rFonts w:hint="eastAsia" w:ascii="宋体" w:hAnsi="宋体" w:cs="宋体"/>
                <w:color w:val="auto"/>
                <w:highlight w:val="none"/>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bCs/>
                <w:color w:val="auto"/>
                <w:highlight w:val="none"/>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highlight w:val="none"/>
              </w:rPr>
            </w:pPr>
            <w:r>
              <w:rPr>
                <w:rFonts w:hint="eastAsia" w:ascii="宋体" w:hAnsi="宋体" w:cs="宋体"/>
                <w:color w:val="auto"/>
                <w:highlight w:val="none"/>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highlight w:val="none"/>
              </w:rPr>
            </w:pPr>
            <w:r>
              <w:rPr>
                <w:rFonts w:hint="eastAsia" w:ascii="宋体" w:hAnsi="宋体" w:cs="宋体"/>
                <w:color w:val="auto"/>
                <w:highlight w:val="none"/>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highlight w:val="none"/>
              </w:rPr>
            </w:pPr>
            <w:r>
              <w:rPr>
                <w:rFonts w:hint="eastAsia" w:ascii="宋体" w:hAnsi="宋体" w:cs="宋体"/>
                <w:color w:val="auto"/>
                <w:highlight w:val="none"/>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highlight w:val="none"/>
              </w:rPr>
            </w:pPr>
            <w:r>
              <w:rPr>
                <w:rFonts w:hint="eastAsia" w:ascii="宋体" w:hAnsi="宋体" w:cs="宋体"/>
                <w:color w:val="auto"/>
                <w:highlight w:val="none"/>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highlight w:val="none"/>
              </w:rPr>
            </w:pPr>
            <w:r>
              <w:rPr>
                <w:rFonts w:hint="eastAsia" w:ascii="宋体" w:hAnsi="宋体" w:cs="宋体"/>
                <w:color w:val="auto"/>
                <w:highlight w:val="none"/>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highlight w:val="none"/>
              </w:rPr>
            </w:pPr>
            <w:r>
              <w:rPr>
                <w:rFonts w:hint="eastAsia" w:ascii="宋体" w:hAnsi="宋体" w:cs="宋体"/>
                <w:color w:val="auto"/>
                <w:highlight w:val="none"/>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highlight w:val="none"/>
              </w:rPr>
            </w:pPr>
            <w:r>
              <w:rPr>
                <w:rFonts w:hint="eastAsia" w:ascii="宋体" w:hAnsi="宋体" w:cs="宋体"/>
                <w:color w:val="auto"/>
                <w:highlight w:val="none"/>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highlight w:val="none"/>
              </w:rPr>
            </w:pPr>
            <w:r>
              <w:rPr>
                <w:rFonts w:hint="eastAsia" w:ascii="宋体" w:hAnsi="宋体" w:cs="宋体"/>
                <w:color w:val="auto"/>
                <w:highlight w:val="none"/>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highlight w:val="none"/>
              </w:rPr>
            </w:pPr>
            <w:r>
              <w:rPr>
                <w:rFonts w:hint="eastAsia" w:ascii="宋体" w:hAnsi="宋体" w:cs="宋体"/>
                <w:color w:val="auto"/>
                <w:highlight w:val="none"/>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highlight w:val="none"/>
              </w:rPr>
            </w:pPr>
            <w:r>
              <w:rPr>
                <w:rFonts w:hint="eastAsia" w:ascii="宋体" w:hAnsi="宋体" w:cs="宋体"/>
                <w:color w:val="auto"/>
                <w:highlight w:val="none"/>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highlight w:val="none"/>
              </w:rPr>
            </w:pPr>
            <w:r>
              <w:rPr>
                <w:rFonts w:hint="eastAsia" w:ascii="宋体" w:hAnsi="宋体" w:cs="宋体"/>
                <w:color w:val="auto"/>
                <w:highlight w:val="none"/>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highlight w:val="none"/>
              </w:rPr>
            </w:pPr>
            <w:r>
              <w:rPr>
                <w:rFonts w:hint="eastAsia" w:ascii="宋体" w:hAnsi="宋体" w:cs="宋体"/>
                <w:color w:val="auto"/>
                <w:highlight w:val="none"/>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highlight w:val="none"/>
              </w:rPr>
            </w:pPr>
            <w:r>
              <w:rPr>
                <w:rFonts w:hint="eastAsia" w:ascii="宋体" w:hAnsi="宋体" w:cs="宋体"/>
                <w:color w:val="auto"/>
                <w:highlight w:val="none"/>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highlight w:val="none"/>
              </w:rPr>
            </w:pPr>
            <w:r>
              <w:rPr>
                <w:rFonts w:hint="eastAsia" w:ascii="宋体" w:hAnsi="宋体" w:cs="宋体"/>
                <w:color w:val="auto"/>
                <w:highlight w:val="none"/>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highlight w:val="none"/>
              </w:rPr>
            </w:pPr>
            <w:r>
              <w:rPr>
                <w:rFonts w:hint="eastAsia" w:ascii="宋体" w:hAnsi="宋体" w:cs="宋体"/>
                <w:color w:val="auto"/>
                <w:highlight w:val="none"/>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highlight w:val="none"/>
              </w:rPr>
            </w:pPr>
            <w:r>
              <w:rPr>
                <w:rFonts w:hint="eastAsia" w:ascii="宋体" w:hAnsi="宋体" w:cs="宋体"/>
                <w:color w:val="auto"/>
                <w:highlight w:val="none"/>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highlight w:val="none"/>
              </w:rPr>
            </w:pPr>
            <w:r>
              <w:rPr>
                <w:rFonts w:hint="eastAsia" w:ascii="宋体" w:hAnsi="宋体" w:cs="宋体"/>
                <w:color w:val="auto"/>
                <w:highlight w:val="none"/>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highlight w:val="none"/>
              </w:rPr>
            </w:pPr>
            <w:r>
              <w:rPr>
                <w:rFonts w:hint="eastAsia" w:ascii="宋体" w:hAnsi="宋体" w:cs="宋体"/>
                <w:color w:val="auto"/>
                <w:highlight w:val="none"/>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highlight w:val="none"/>
              </w:rPr>
            </w:pPr>
            <w:r>
              <w:rPr>
                <w:rFonts w:hint="eastAsia" w:ascii="宋体" w:hAnsi="宋体" w:cs="宋体"/>
                <w:color w:val="auto"/>
                <w:highlight w:val="none"/>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highlight w:val="none"/>
              </w:rPr>
            </w:pPr>
            <w:r>
              <w:rPr>
                <w:rFonts w:hint="eastAsia" w:ascii="宋体" w:hAnsi="宋体" w:cs="宋体"/>
                <w:color w:val="auto"/>
                <w:highlight w:val="none"/>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highlight w:val="none"/>
              </w:rPr>
            </w:pPr>
            <w:r>
              <w:rPr>
                <w:rFonts w:hint="eastAsia" w:ascii="宋体" w:hAnsi="宋体" w:cs="宋体"/>
                <w:color w:val="auto"/>
                <w:highlight w:val="none"/>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highlight w:val="none"/>
              </w:rPr>
            </w:pPr>
            <w:r>
              <w:rPr>
                <w:rFonts w:hint="eastAsia" w:ascii="宋体" w:hAnsi="宋体" w:cs="宋体"/>
                <w:color w:val="auto"/>
                <w:highlight w:val="none"/>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highlight w:val="none"/>
              </w:rPr>
            </w:pPr>
            <w:r>
              <w:rPr>
                <w:rFonts w:hint="eastAsia" w:ascii="宋体" w:hAnsi="宋体" w:cs="宋体"/>
                <w:color w:val="auto"/>
                <w:highlight w:val="none"/>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highlight w:val="none"/>
              </w:rPr>
            </w:pPr>
            <w:r>
              <w:rPr>
                <w:rFonts w:hint="eastAsia" w:ascii="宋体" w:hAnsi="宋体" w:cs="宋体"/>
                <w:color w:val="auto"/>
                <w:highlight w:val="none"/>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highlight w:val="none"/>
              </w:rPr>
            </w:pPr>
            <w:r>
              <w:rPr>
                <w:rFonts w:hint="eastAsia" w:ascii="宋体" w:hAnsi="宋体" w:cs="宋体"/>
                <w:color w:val="auto"/>
                <w:highlight w:val="none"/>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highlight w:val="none"/>
              </w:rPr>
            </w:pPr>
            <w:r>
              <w:rPr>
                <w:rFonts w:hint="eastAsia" w:ascii="宋体" w:hAnsi="宋体" w:cs="宋体"/>
                <w:color w:val="auto"/>
                <w:highlight w:val="none"/>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highlight w:val="none"/>
              </w:rPr>
            </w:pPr>
            <w:r>
              <w:rPr>
                <w:rFonts w:hint="eastAsia" w:ascii="宋体" w:hAnsi="宋体" w:cs="宋体"/>
                <w:color w:val="auto"/>
                <w:highlight w:val="none"/>
              </w:rPr>
              <w:t>当外线停电时，及时断开</w:t>
            </w:r>
            <w:r>
              <w:rPr>
                <w:rFonts w:hint="eastAsia" w:ascii="宋体" w:hAnsi="宋体" w:cs="宋体"/>
                <w:color w:val="auto"/>
                <w:highlight w:val="none"/>
                <w:lang w:eastAsia="zh-CN"/>
              </w:rPr>
              <w:t>配电箱</w:t>
            </w:r>
            <w:r>
              <w:rPr>
                <w:rFonts w:hint="eastAsia" w:ascii="宋体" w:hAnsi="宋体" w:cs="宋体"/>
                <w:color w:val="auto"/>
                <w:highlight w:val="none"/>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highlight w:val="none"/>
              </w:rPr>
            </w:pPr>
            <w:r>
              <w:rPr>
                <w:rFonts w:hint="eastAsia" w:ascii="宋体" w:hAnsi="宋体" w:cs="宋体"/>
                <w:color w:val="auto"/>
                <w:highlight w:val="none"/>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highlight w:val="none"/>
              </w:rPr>
            </w:pPr>
            <w:r>
              <w:rPr>
                <w:rFonts w:hint="eastAsia" w:ascii="宋体" w:hAnsi="宋体" w:cs="宋体"/>
                <w:color w:val="auto"/>
                <w:highlight w:val="none"/>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highlight w:val="none"/>
              </w:rPr>
            </w:pPr>
            <w:r>
              <w:rPr>
                <w:rFonts w:hint="eastAsia" w:ascii="宋体" w:hAnsi="宋体" w:cs="宋体"/>
                <w:color w:val="auto"/>
                <w:highlight w:val="none"/>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highlight w:val="none"/>
              </w:rPr>
            </w:pPr>
            <w:r>
              <w:rPr>
                <w:rFonts w:hint="eastAsia" w:ascii="宋体" w:hAnsi="宋体" w:cs="宋体"/>
                <w:color w:val="auto"/>
                <w:highlight w:val="none"/>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highlight w:val="none"/>
              </w:rPr>
            </w:pPr>
            <w:r>
              <w:rPr>
                <w:rFonts w:hint="eastAsia" w:ascii="宋体" w:hAnsi="宋体" w:cs="宋体"/>
                <w:color w:val="auto"/>
                <w:highlight w:val="none"/>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bl>
    <w:p w14:paraId="74F26104">
      <w:pPr>
        <w:pStyle w:val="55"/>
        <w:adjustRightInd w:val="0"/>
        <w:snapToGrid w:val="0"/>
        <w:spacing w:line="600" w:lineRule="exact"/>
        <w:ind w:left="0" w:leftChars="0" w:firstLine="560"/>
        <w:rPr>
          <w:rFonts w:ascii="宋体" w:hAnsi="宋体"/>
          <w:color w:val="auto"/>
          <w:kern w:val="2"/>
          <w:highlight w:val="none"/>
        </w:rPr>
      </w:pPr>
      <w:r>
        <w:rPr>
          <w:rFonts w:hint="eastAsia" w:ascii="宋体" w:hAnsi="宋体"/>
          <w:color w:val="auto"/>
          <w:kern w:val="2"/>
          <w:highlight w:val="none"/>
        </w:rPr>
        <w:t>评价结论：从上表可知。该加油站</w:t>
      </w:r>
      <w:r>
        <w:rPr>
          <w:rFonts w:hint="eastAsia" w:ascii="宋体" w:hAnsi="宋体"/>
          <w:color w:val="auto"/>
          <w:kern w:val="2"/>
          <w:highlight w:val="none"/>
          <w:lang w:eastAsia="zh-CN"/>
        </w:rPr>
        <w:t>符合</w:t>
      </w:r>
      <w:r>
        <w:rPr>
          <w:rFonts w:hint="eastAsia" w:ascii="宋体" w:hAnsi="宋体"/>
          <w:color w:val="auto"/>
          <w:kern w:val="2"/>
          <w:highlight w:val="none"/>
        </w:rPr>
        <w:t>相关的规定，严格执行加油站作业规范。</w:t>
      </w:r>
    </w:p>
    <w:p w14:paraId="121745A8">
      <w:pPr>
        <w:pStyle w:val="3"/>
        <w:jc w:val="center"/>
        <w:rPr>
          <w:rFonts w:ascii="宋体" w:hAnsi="宋体"/>
          <w:color w:val="auto"/>
          <w:sz w:val="30"/>
          <w:szCs w:val="30"/>
          <w:highlight w:val="none"/>
        </w:rPr>
      </w:pPr>
      <w:bookmarkStart w:id="186" w:name="_Toc23537"/>
      <w:bookmarkStart w:id="187" w:name="_Toc8060"/>
      <w:bookmarkStart w:id="188" w:name="_Toc92712597"/>
      <w:bookmarkStart w:id="189" w:name="_Toc9462"/>
      <w:r>
        <w:rPr>
          <w:rFonts w:hint="eastAsia" w:ascii="宋体" w:hAnsi="宋体"/>
          <w:color w:val="auto"/>
          <w:sz w:val="30"/>
          <w:szCs w:val="30"/>
          <w:highlight w:val="none"/>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w:t>
      </w:r>
      <w:r>
        <w:rPr>
          <w:rFonts w:hint="eastAsia" w:ascii="宋体" w:hAnsi="宋体"/>
          <w:color w:val="auto"/>
          <w:sz w:val="28"/>
          <w:szCs w:val="28"/>
          <w:highlight w:val="none"/>
        </w:rPr>
        <w:t>国家安全监管总局关于公布首批重点监管的危险化学品名录的通知</w:t>
      </w:r>
      <w:r>
        <w:rPr>
          <w:rFonts w:ascii="宋体" w:hAnsi="宋体"/>
          <w:color w:val="auto"/>
          <w:sz w:val="28"/>
          <w:szCs w:val="28"/>
          <w:highlight w:val="none"/>
        </w:rPr>
        <w:t>》</w:t>
      </w:r>
      <w:r>
        <w:rPr>
          <w:rFonts w:hint="eastAsia" w:ascii="宋体" w:hAnsi="宋体"/>
          <w:color w:val="auto"/>
          <w:sz w:val="28"/>
          <w:szCs w:val="28"/>
          <w:highlight w:val="none"/>
        </w:rPr>
        <w:t>（安监总管三〔2011〕95号</w:t>
      </w:r>
      <w:r>
        <w:rPr>
          <w:rFonts w:hint="eastAsia" w:ascii="宋体" w:hAnsi="宋体"/>
          <w:color w:val="auto"/>
          <w:sz w:val="28"/>
          <w:szCs w:val="28"/>
          <w:highlight w:val="none"/>
          <w:lang w:eastAsia="zh-CN"/>
        </w:rPr>
        <w:t>）和</w:t>
      </w:r>
      <w:r>
        <w:rPr>
          <w:rFonts w:hint="eastAsia" w:ascii="宋体" w:hAnsi="宋体"/>
          <w:color w:val="auto"/>
          <w:sz w:val="28"/>
          <w:szCs w:val="28"/>
          <w:highlight w:val="none"/>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highlight w:val="none"/>
        </w:rPr>
        <w:t>制定检查表，对</w:t>
      </w:r>
      <w:r>
        <w:rPr>
          <w:rFonts w:hint="eastAsia" w:ascii="宋体" w:hAnsi="宋体"/>
          <w:color w:val="auto"/>
          <w:sz w:val="28"/>
          <w:szCs w:val="28"/>
          <w:highlight w:val="none"/>
        </w:rPr>
        <w:t>该加油站重点监管的危险化学品的安全措施落实情况</w:t>
      </w:r>
      <w:r>
        <w:rPr>
          <w:rFonts w:ascii="宋体" w:hAnsi="宋体"/>
          <w:color w:val="auto"/>
          <w:sz w:val="28"/>
          <w:szCs w:val="28"/>
          <w:highlight w:val="none"/>
        </w:rPr>
        <w:t>进行评价，</w:t>
      </w:r>
      <w:r>
        <w:rPr>
          <w:rFonts w:hint="eastAsia" w:ascii="宋体" w:hAnsi="宋体"/>
          <w:color w:val="auto"/>
          <w:sz w:val="28"/>
          <w:szCs w:val="28"/>
          <w:highlight w:val="none"/>
        </w:rPr>
        <w:t>该站涉重点监管的危险化学品——汽油，</w:t>
      </w:r>
      <w:r>
        <w:rPr>
          <w:rFonts w:ascii="宋体" w:hAnsi="宋体"/>
          <w:color w:val="auto"/>
          <w:sz w:val="28"/>
          <w:szCs w:val="28"/>
          <w:highlight w:val="none"/>
        </w:rPr>
        <w:t>评价结果见下表</w:t>
      </w:r>
      <w:r>
        <w:rPr>
          <w:rFonts w:hint="eastAsia" w:ascii="宋体" w:hAnsi="宋体"/>
          <w:color w:val="auto"/>
          <w:sz w:val="28"/>
          <w:szCs w:val="28"/>
          <w:highlight w:val="none"/>
        </w:rPr>
        <w:t>5.10-1</w:t>
      </w:r>
      <w:r>
        <w:rPr>
          <w:rFonts w:ascii="宋体" w:hAnsi="宋体"/>
          <w:color w:val="auto"/>
          <w:sz w:val="28"/>
          <w:szCs w:val="28"/>
          <w:highlight w:val="none"/>
        </w:rPr>
        <w:t>。</w:t>
      </w:r>
    </w:p>
    <w:p w14:paraId="4E630382">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5.10-1 </w:t>
      </w:r>
      <w:r>
        <w:rPr>
          <w:rFonts w:ascii="宋体" w:hAnsi="宋体"/>
          <w:color w:val="auto"/>
          <w:sz w:val="28"/>
          <w:szCs w:val="28"/>
          <w:highlight w:val="none"/>
        </w:rPr>
        <w:t xml:space="preserve"> 重</w:t>
      </w:r>
      <w:r>
        <w:rPr>
          <w:rFonts w:hint="eastAsia" w:ascii="宋体" w:hAnsi="宋体"/>
          <w:color w:val="auto"/>
          <w:sz w:val="30"/>
          <w:szCs w:val="30"/>
          <w:highlight w:val="none"/>
        </w:rPr>
        <w:t>点监管的危险化学品安全措施落实情况</w:t>
      </w:r>
      <w:r>
        <w:rPr>
          <w:rFonts w:ascii="宋体" w:hAnsi="宋体"/>
          <w:color w:val="auto"/>
          <w:sz w:val="28"/>
          <w:szCs w:val="28"/>
          <w:highlight w:val="none"/>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highlight w:val="none"/>
              </w:rPr>
            </w:pPr>
            <w:r>
              <w:rPr>
                <w:rFonts w:hint="eastAsia" w:ascii="宋体" w:hAnsi="宋体"/>
                <w:b/>
                <w:color w:val="auto"/>
                <w:highlight w:val="none"/>
              </w:rPr>
              <w:t>序号</w:t>
            </w:r>
          </w:p>
        </w:tc>
        <w:tc>
          <w:tcPr>
            <w:tcW w:w="2898" w:type="pct"/>
            <w:vAlign w:val="center"/>
          </w:tcPr>
          <w:p w14:paraId="174F7B76">
            <w:pPr>
              <w:spacing w:line="260" w:lineRule="exact"/>
              <w:jc w:val="center"/>
              <w:rPr>
                <w:rFonts w:ascii="宋体" w:hAnsi="宋体"/>
                <w:b/>
                <w:color w:val="auto"/>
                <w:highlight w:val="none"/>
              </w:rPr>
            </w:pPr>
            <w:r>
              <w:rPr>
                <w:rFonts w:hint="eastAsia" w:ascii="宋体" w:hAnsi="宋体"/>
                <w:b/>
                <w:color w:val="auto"/>
                <w:highlight w:val="none"/>
              </w:rPr>
              <w:t>检查内容</w:t>
            </w:r>
          </w:p>
        </w:tc>
        <w:tc>
          <w:tcPr>
            <w:tcW w:w="1310" w:type="pct"/>
            <w:vAlign w:val="center"/>
          </w:tcPr>
          <w:p w14:paraId="2A8BCC42">
            <w:pPr>
              <w:spacing w:line="260" w:lineRule="exact"/>
              <w:jc w:val="center"/>
              <w:rPr>
                <w:rFonts w:ascii="宋体" w:hAnsi="宋体"/>
                <w:b/>
                <w:color w:val="auto"/>
                <w:highlight w:val="none"/>
              </w:rPr>
            </w:pPr>
            <w:r>
              <w:rPr>
                <w:rFonts w:hint="eastAsia" w:ascii="宋体" w:hAnsi="宋体"/>
                <w:b/>
                <w:color w:val="auto"/>
                <w:highlight w:val="none"/>
              </w:rPr>
              <w:t>检查记录</w:t>
            </w:r>
          </w:p>
        </w:tc>
        <w:tc>
          <w:tcPr>
            <w:tcW w:w="364" w:type="pct"/>
            <w:vAlign w:val="center"/>
          </w:tcPr>
          <w:p w14:paraId="54E0981C">
            <w:pPr>
              <w:spacing w:line="260" w:lineRule="exact"/>
              <w:jc w:val="center"/>
              <w:rPr>
                <w:rFonts w:ascii="宋体" w:hAnsi="宋体"/>
                <w:b/>
                <w:color w:val="auto"/>
                <w:highlight w:val="none"/>
              </w:rPr>
            </w:pPr>
            <w:r>
              <w:rPr>
                <w:rFonts w:hint="eastAsia" w:ascii="宋体" w:hAnsi="宋体"/>
                <w:b/>
                <w:color w:val="auto"/>
                <w:highlight w:val="none"/>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highlight w:val="none"/>
              </w:rPr>
            </w:pPr>
            <w:r>
              <w:rPr>
                <w:rFonts w:hint="eastAsia" w:ascii="宋体" w:hAnsi="宋体"/>
                <w:b/>
                <w:color w:val="auto"/>
                <w:highlight w:val="none"/>
              </w:rPr>
              <w:t>1</w:t>
            </w:r>
          </w:p>
        </w:tc>
        <w:tc>
          <w:tcPr>
            <w:tcW w:w="4573" w:type="pct"/>
            <w:gridSpan w:val="3"/>
            <w:vAlign w:val="center"/>
          </w:tcPr>
          <w:p w14:paraId="45ECEC12">
            <w:pPr>
              <w:spacing w:line="260" w:lineRule="exact"/>
              <w:rPr>
                <w:rFonts w:ascii="宋体" w:hAnsi="宋体"/>
                <w:b/>
                <w:color w:val="auto"/>
                <w:highlight w:val="none"/>
              </w:rPr>
            </w:pPr>
            <w:r>
              <w:rPr>
                <w:rFonts w:hint="eastAsia" w:ascii="宋体" w:hAnsi="宋体"/>
                <w:b/>
                <w:color w:val="auto"/>
                <w:highlight w:val="none"/>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highlight w:val="none"/>
              </w:rPr>
            </w:pPr>
            <w:r>
              <w:rPr>
                <w:rFonts w:hint="eastAsia" w:ascii="宋体" w:hAnsi="宋体"/>
                <w:color w:val="auto"/>
                <w:highlight w:val="none"/>
              </w:rPr>
              <w:t>1.1</w:t>
            </w:r>
          </w:p>
        </w:tc>
        <w:tc>
          <w:tcPr>
            <w:tcW w:w="4573" w:type="pct"/>
            <w:gridSpan w:val="3"/>
            <w:vAlign w:val="center"/>
          </w:tcPr>
          <w:p w14:paraId="0A56EE3F">
            <w:pPr>
              <w:spacing w:line="260" w:lineRule="exact"/>
              <w:rPr>
                <w:rFonts w:ascii="宋体" w:hAnsi="宋体"/>
                <w:color w:val="auto"/>
                <w:highlight w:val="none"/>
              </w:rPr>
            </w:pPr>
            <w:r>
              <w:rPr>
                <w:color w:val="auto"/>
                <w:highlight w:val="none"/>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highlight w:val="none"/>
              </w:rPr>
            </w:pPr>
            <w:r>
              <w:rPr>
                <w:rFonts w:hint="eastAsia" w:ascii="宋体" w:hAnsi="宋体"/>
                <w:color w:val="auto"/>
                <w:highlight w:val="none"/>
              </w:rPr>
              <w:t>1.1.1</w:t>
            </w:r>
          </w:p>
        </w:tc>
        <w:tc>
          <w:tcPr>
            <w:tcW w:w="2898" w:type="pct"/>
            <w:vAlign w:val="center"/>
          </w:tcPr>
          <w:p w14:paraId="67CA1BC2">
            <w:pPr>
              <w:spacing w:line="260" w:lineRule="exact"/>
              <w:rPr>
                <w:color w:val="auto"/>
                <w:highlight w:val="none"/>
              </w:rPr>
            </w:pPr>
            <w:r>
              <w:rPr>
                <w:color w:val="auto"/>
                <w:highlight w:val="none"/>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highlight w:val="none"/>
              </w:rPr>
            </w:pPr>
            <w:r>
              <w:rPr>
                <w:rFonts w:hint="eastAsia" w:ascii="宋体" w:hAnsi="宋体"/>
                <w:color w:val="auto"/>
                <w:highlight w:val="none"/>
              </w:rPr>
              <w:t>全员经过培训合格。</w:t>
            </w:r>
          </w:p>
        </w:tc>
        <w:tc>
          <w:tcPr>
            <w:tcW w:w="364" w:type="pct"/>
            <w:vAlign w:val="center"/>
          </w:tcPr>
          <w:p w14:paraId="45E430C8">
            <w:pPr>
              <w:spacing w:line="260" w:lineRule="exact"/>
              <w:jc w:val="center"/>
              <w:rPr>
                <w:rFonts w:ascii="宋体" w:hAnsi="宋体"/>
                <w:color w:val="auto"/>
                <w:highlight w:val="none"/>
              </w:rPr>
            </w:pPr>
            <w:r>
              <w:rPr>
                <w:rFonts w:hint="eastAsia" w:ascii="宋体" w:hAnsi="宋体"/>
                <w:color w:val="auto"/>
                <w:highlight w:val="none"/>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highlight w:val="none"/>
              </w:rPr>
            </w:pPr>
            <w:r>
              <w:rPr>
                <w:rFonts w:hint="eastAsia" w:ascii="宋体" w:hAnsi="宋体"/>
                <w:color w:val="auto"/>
                <w:highlight w:val="none"/>
              </w:rPr>
              <w:t>1.1.2</w:t>
            </w:r>
          </w:p>
        </w:tc>
        <w:tc>
          <w:tcPr>
            <w:tcW w:w="2898" w:type="pct"/>
            <w:vAlign w:val="center"/>
          </w:tcPr>
          <w:p w14:paraId="1A84DF42">
            <w:pPr>
              <w:spacing w:line="260" w:lineRule="exact"/>
              <w:rPr>
                <w:color w:val="auto"/>
                <w:highlight w:val="none"/>
              </w:rPr>
            </w:pPr>
            <w:r>
              <w:rPr>
                <w:color w:val="auto"/>
                <w:highlight w:val="none"/>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highlight w:val="none"/>
              </w:rPr>
            </w:pPr>
            <w:r>
              <w:rPr>
                <w:rFonts w:hint="eastAsia" w:ascii="宋体" w:hAnsi="宋体"/>
                <w:color w:val="auto"/>
                <w:highlight w:val="none"/>
              </w:rPr>
              <w:t>密闭卸油、密闭加油，有油气回收系统。</w:t>
            </w:r>
          </w:p>
        </w:tc>
        <w:tc>
          <w:tcPr>
            <w:tcW w:w="364" w:type="pct"/>
            <w:vAlign w:val="center"/>
          </w:tcPr>
          <w:p w14:paraId="5F552667">
            <w:pPr>
              <w:spacing w:line="260" w:lineRule="exact"/>
              <w:jc w:val="center"/>
              <w:rPr>
                <w:rFonts w:ascii="宋体" w:hAnsi="宋体"/>
                <w:color w:val="auto"/>
                <w:highlight w:val="none"/>
              </w:rPr>
            </w:pPr>
            <w:r>
              <w:rPr>
                <w:rFonts w:hint="eastAsia" w:ascii="宋体" w:hAnsi="宋体"/>
                <w:color w:val="auto"/>
                <w:highlight w:val="none"/>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highlight w:val="none"/>
              </w:rPr>
            </w:pPr>
            <w:r>
              <w:rPr>
                <w:rFonts w:hint="eastAsia" w:ascii="宋体" w:hAnsi="宋体"/>
                <w:color w:val="auto"/>
                <w:highlight w:val="none"/>
              </w:rPr>
              <w:t>1.1.3</w:t>
            </w:r>
          </w:p>
        </w:tc>
        <w:tc>
          <w:tcPr>
            <w:tcW w:w="2898" w:type="pct"/>
            <w:vAlign w:val="center"/>
          </w:tcPr>
          <w:p w14:paraId="4D08B907">
            <w:pPr>
              <w:spacing w:line="260" w:lineRule="exact"/>
              <w:rPr>
                <w:color w:val="auto"/>
                <w:highlight w:val="none"/>
              </w:rPr>
            </w:pPr>
            <w:r>
              <w:rPr>
                <w:color w:val="auto"/>
                <w:highlight w:val="none"/>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highlight w:val="none"/>
              </w:rPr>
            </w:pPr>
            <w:r>
              <w:rPr>
                <w:rFonts w:hint="eastAsia" w:ascii="宋体" w:hAnsi="宋体"/>
                <w:color w:val="auto"/>
                <w:highlight w:val="none"/>
              </w:rPr>
              <w:t>油罐配备有液位监视报警仪，监控储罐液位，并远传到站房。</w:t>
            </w:r>
          </w:p>
        </w:tc>
        <w:tc>
          <w:tcPr>
            <w:tcW w:w="364" w:type="pct"/>
            <w:vAlign w:val="center"/>
          </w:tcPr>
          <w:p w14:paraId="3CBA3940">
            <w:pPr>
              <w:spacing w:line="260" w:lineRule="exact"/>
              <w:jc w:val="center"/>
              <w:rPr>
                <w:rFonts w:ascii="宋体" w:hAnsi="宋体"/>
                <w:color w:val="auto"/>
                <w:highlight w:val="none"/>
              </w:rPr>
            </w:pPr>
            <w:r>
              <w:rPr>
                <w:rFonts w:hint="eastAsia" w:ascii="宋体" w:hAnsi="宋体"/>
                <w:color w:val="auto"/>
                <w:highlight w:val="none"/>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highlight w:val="none"/>
              </w:rPr>
            </w:pPr>
            <w:r>
              <w:rPr>
                <w:rFonts w:hint="eastAsia" w:ascii="宋体" w:hAnsi="宋体"/>
                <w:color w:val="auto"/>
                <w:highlight w:val="none"/>
              </w:rPr>
              <w:t>1.1.4</w:t>
            </w:r>
          </w:p>
        </w:tc>
        <w:tc>
          <w:tcPr>
            <w:tcW w:w="2898" w:type="pct"/>
            <w:vAlign w:val="center"/>
          </w:tcPr>
          <w:p w14:paraId="1883CBA6">
            <w:pPr>
              <w:spacing w:line="260" w:lineRule="exact"/>
              <w:rPr>
                <w:color w:val="auto"/>
                <w:highlight w:val="none"/>
              </w:rPr>
            </w:pPr>
            <w:r>
              <w:rPr>
                <w:color w:val="auto"/>
                <w:highlight w:val="none"/>
              </w:rPr>
              <w:t>避免与氧化剂接触。</w:t>
            </w:r>
          </w:p>
        </w:tc>
        <w:tc>
          <w:tcPr>
            <w:tcW w:w="1310" w:type="pct"/>
            <w:vAlign w:val="center"/>
          </w:tcPr>
          <w:p w14:paraId="5A1B333E">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E7F7B91">
            <w:pPr>
              <w:spacing w:line="260" w:lineRule="exact"/>
              <w:jc w:val="center"/>
              <w:rPr>
                <w:rFonts w:ascii="宋体" w:hAnsi="宋体"/>
                <w:color w:val="auto"/>
                <w:highlight w:val="none"/>
              </w:rPr>
            </w:pPr>
            <w:r>
              <w:rPr>
                <w:rFonts w:hint="eastAsia" w:ascii="宋体" w:hAnsi="宋体"/>
                <w:color w:val="auto"/>
                <w:highlight w:val="none"/>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highlight w:val="none"/>
              </w:rPr>
            </w:pPr>
            <w:r>
              <w:rPr>
                <w:rFonts w:hint="eastAsia" w:ascii="宋体" w:hAnsi="宋体"/>
                <w:color w:val="auto"/>
                <w:highlight w:val="none"/>
              </w:rPr>
              <w:t>1.1.5</w:t>
            </w:r>
          </w:p>
        </w:tc>
        <w:tc>
          <w:tcPr>
            <w:tcW w:w="2898" w:type="pct"/>
            <w:vAlign w:val="center"/>
          </w:tcPr>
          <w:p w14:paraId="7754FCEE">
            <w:pPr>
              <w:spacing w:line="260" w:lineRule="exact"/>
              <w:rPr>
                <w:color w:val="auto"/>
                <w:highlight w:val="none"/>
              </w:rPr>
            </w:pPr>
            <w:r>
              <w:rPr>
                <w:color w:val="auto"/>
                <w:highlight w:val="none"/>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highlight w:val="none"/>
              </w:rPr>
            </w:pPr>
            <w:r>
              <w:rPr>
                <w:rFonts w:hint="eastAsia" w:ascii="宋体" w:hAnsi="宋体"/>
                <w:color w:val="auto"/>
                <w:highlight w:val="none"/>
              </w:rPr>
              <w:t>有警示标志。有加油操作规程。静电接地完善。</w:t>
            </w:r>
          </w:p>
        </w:tc>
        <w:tc>
          <w:tcPr>
            <w:tcW w:w="364" w:type="pct"/>
            <w:vAlign w:val="center"/>
          </w:tcPr>
          <w:p w14:paraId="6120080C">
            <w:pPr>
              <w:spacing w:line="260" w:lineRule="exact"/>
              <w:jc w:val="center"/>
              <w:rPr>
                <w:rFonts w:ascii="宋体" w:hAnsi="宋体"/>
                <w:color w:val="auto"/>
                <w:highlight w:val="none"/>
              </w:rPr>
            </w:pPr>
            <w:r>
              <w:rPr>
                <w:rFonts w:hint="eastAsia" w:ascii="宋体" w:hAnsi="宋体"/>
                <w:color w:val="auto"/>
                <w:highlight w:val="none"/>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highlight w:val="none"/>
              </w:rPr>
            </w:pPr>
            <w:r>
              <w:rPr>
                <w:rFonts w:hint="eastAsia" w:ascii="宋体" w:hAnsi="宋体"/>
                <w:color w:val="auto"/>
                <w:highlight w:val="none"/>
              </w:rPr>
              <w:t>1.2</w:t>
            </w:r>
          </w:p>
        </w:tc>
        <w:tc>
          <w:tcPr>
            <w:tcW w:w="4573" w:type="pct"/>
            <w:gridSpan w:val="3"/>
            <w:vAlign w:val="center"/>
          </w:tcPr>
          <w:p w14:paraId="5C1CF958">
            <w:pPr>
              <w:spacing w:line="260" w:lineRule="exact"/>
              <w:rPr>
                <w:color w:val="auto"/>
                <w:highlight w:val="none"/>
              </w:rPr>
            </w:pPr>
            <w:r>
              <w:rPr>
                <w:color w:val="auto"/>
                <w:highlight w:val="none"/>
              </w:rPr>
              <w:t>【特殊要求】</w:t>
            </w:r>
          </w:p>
          <w:p w14:paraId="01545F0A">
            <w:pPr>
              <w:spacing w:line="260" w:lineRule="exact"/>
              <w:rPr>
                <w:rFonts w:ascii="宋体" w:hAnsi="宋体"/>
                <w:color w:val="auto"/>
                <w:highlight w:val="none"/>
              </w:rPr>
            </w:pPr>
            <w:r>
              <w:rPr>
                <w:rFonts w:hint="eastAsia"/>
                <w:color w:val="auto"/>
                <w:highlight w:val="none"/>
              </w:rPr>
              <w:t>无</w:t>
            </w:r>
            <w:r>
              <w:rPr>
                <w:color w:val="auto"/>
                <w:highlight w:val="none"/>
              </w:rPr>
              <w:t>特殊要求</w:t>
            </w:r>
            <w:r>
              <w:rPr>
                <w:rFonts w:hint="eastAsia"/>
                <w:color w:val="auto"/>
                <w:highlight w:val="none"/>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highlight w:val="none"/>
              </w:rPr>
            </w:pPr>
            <w:r>
              <w:rPr>
                <w:rFonts w:hint="eastAsia" w:ascii="宋体" w:hAnsi="宋体"/>
                <w:color w:val="auto"/>
                <w:highlight w:val="none"/>
              </w:rPr>
              <w:t>1.3</w:t>
            </w:r>
          </w:p>
        </w:tc>
        <w:tc>
          <w:tcPr>
            <w:tcW w:w="4573" w:type="pct"/>
            <w:gridSpan w:val="3"/>
            <w:vAlign w:val="center"/>
          </w:tcPr>
          <w:p w14:paraId="1763835D">
            <w:pPr>
              <w:spacing w:line="260" w:lineRule="exact"/>
              <w:rPr>
                <w:rFonts w:ascii="宋体" w:hAnsi="宋体"/>
                <w:color w:val="auto"/>
                <w:highlight w:val="none"/>
              </w:rPr>
            </w:pPr>
            <w:r>
              <w:rPr>
                <w:color w:val="auto"/>
                <w:highlight w:val="none"/>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highlight w:val="none"/>
              </w:rPr>
            </w:pPr>
            <w:r>
              <w:rPr>
                <w:rFonts w:hint="eastAsia" w:ascii="宋体" w:hAnsi="宋体"/>
                <w:color w:val="auto"/>
                <w:highlight w:val="none"/>
              </w:rPr>
              <w:t>1.3.1</w:t>
            </w:r>
          </w:p>
        </w:tc>
        <w:tc>
          <w:tcPr>
            <w:tcW w:w="2898" w:type="pct"/>
            <w:vAlign w:val="center"/>
          </w:tcPr>
          <w:p w14:paraId="1A602362">
            <w:pPr>
              <w:spacing w:line="260" w:lineRule="exact"/>
              <w:rPr>
                <w:color w:val="auto"/>
                <w:highlight w:val="none"/>
              </w:rPr>
            </w:pPr>
            <w:r>
              <w:rPr>
                <w:color w:val="auto"/>
                <w:highlight w:val="none"/>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039C337F">
            <w:pPr>
              <w:spacing w:line="260" w:lineRule="exact"/>
              <w:jc w:val="center"/>
              <w:rPr>
                <w:rFonts w:ascii="宋体" w:hAnsi="宋体"/>
                <w:color w:val="auto"/>
                <w:highlight w:val="none"/>
              </w:rPr>
            </w:pPr>
            <w:r>
              <w:rPr>
                <w:rFonts w:hint="eastAsia" w:ascii="宋体" w:hAnsi="宋体"/>
                <w:color w:val="auto"/>
                <w:highlight w:val="none"/>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highlight w:val="none"/>
              </w:rPr>
            </w:pPr>
            <w:r>
              <w:rPr>
                <w:rFonts w:hint="eastAsia" w:ascii="宋体" w:hAnsi="宋体"/>
                <w:color w:val="auto"/>
                <w:highlight w:val="none"/>
              </w:rPr>
              <w:t>1.3.2</w:t>
            </w:r>
          </w:p>
        </w:tc>
        <w:tc>
          <w:tcPr>
            <w:tcW w:w="2898" w:type="pct"/>
            <w:vAlign w:val="center"/>
          </w:tcPr>
          <w:p w14:paraId="521DA4C6">
            <w:pPr>
              <w:spacing w:line="260" w:lineRule="exact"/>
              <w:rPr>
                <w:color w:val="auto"/>
                <w:highlight w:val="none"/>
              </w:rPr>
            </w:pPr>
            <w:r>
              <w:rPr>
                <w:color w:val="auto"/>
                <w:highlight w:val="none"/>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highlight w:val="none"/>
              </w:rPr>
            </w:pPr>
            <w:r>
              <w:rPr>
                <w:rFonts w:hint="eastAsia" w:ascii="宋体" w:hAnsi="宋体"/>
                <w:color w:val="auto"/>
                <w:highlight w:val="none"/>
              </w:rPr>
              <w:t>进油管按规范设计。油手套等回收至指定地点。</w:t>
            </w:r>
          </w:p>
        </w:tc>
        <w:tc>
          <w:tcPr>
            <w:tcW w:w="364" w:type="pct"/>
            <w:vAlign w:val="center"/>
          </w:tcPr>
          <w:p w14:paraId="22D2CAA9">
            <w:pPr>
              <w:spacing w:line="260" w:lineRule="exact"/>
              <w:jc w:val="center"/>
              <w:rPr>
                <w:rFonts w:ascii="宋体" w:hAnsi="宋体"/>
                <w:color w:val="auto"/>
                <w:highlight w:val="none"/>
              </w:rPr>
            </w:pPr>
            <w:r>
              <w:rPr>
                <w:rFonts w:hint="eastAsia" w:ascii="宋体" w:hAnsi="宋体"/>
                <w:color w:val="auto"/>
                <w:highlight w:val="none"/>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highlight w:val="none"/>
              </w:rPr>
            </w:pPr>
            <w:r>
              <w:rPr>
                <w:rFonts w:hint="eastAsia" w:ascii="宋体" w:hAnsi="宋体"/>
                <w:color w:val="auto"/>
                <w:highlight w:val="none"/>
              </w:rPr>
              <w:t>1.3.3</w:t>
            </w:r>
          </w:p>
        </w:tc>
        <w:tc>
          <w:tcPr>
            <w:tcW w:w="2898" w:type="pct"/>
            <w:vAlign w:val="center"/>
          </w:tcPr>
          <w:p w14:paraId="019CFD29">
            <w:pPr>
              <w:spacing w:line="260" w:lineRule="exact"/>
              <w:rPr>
                <w:color w:val="auto"/>
                <w:highlight w:val="none"/>
              </w:rPr>
            </w:pPr>
            <w:r>
              <w:rPr>
                <w:color w:val="auto"/>
                <w:highlight w:val="none"/>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highlight w:val="none"/>
              </w:rPr>
            </w:pPr>
            <w:r>
              <w:rPr>
                <w:rFonts w:hint="eastAsia" w:ascii="宋体" w:hAnsi="宋体"/>
                <w:color w:val="auto"/>
                <w:highlight w:val="none"/>
              </w:rPr>
              <w:t>有加油操作规程并督促司机遵守。附近无汽修间。</w:t>
            </w:r>
          </w:p>
        </w:tc>
        <w:tc>
          <w:tcPr>
            <w:tcW w:w="364" w:type="pct"/>
            <w:vAlign w:val="center"/>
          </w:tcPr>
          <w:p w14:paraId="124F9749">
            <w:pPr>
              <w:spacing w:line="260" w:lineRule="exact"/>
              <w:jc w:val="center"/>
              <w:rPr>
                <w:rFonts w:ascii="宋体" w:hAnsi="宋体"/>
                <w:color w:val="auto"/>
                <w:highlight w:val="none"/>
              </w:rPr>
            </w:pPr>
            <w:r>
              <w:rPr>
                <w:rFonts w:hint="eastAsia" w:ascii="宋体" w:hAnsi="宋体"/>
                <w:color w:val="auto"/>
                <w:highlight w:val="none"/>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highlight w:val="none"/>
              </w:rPr>
            </w:pPr>
            <w:r>
              <w:rPr>
                <w:rFonts w:hint="eastAsia" w:ascii="宋体" w:hAnsi="宋体"/>
                <w:color w:val="auto"/>
                <w:highlight w:val="none"/>
              </w:rPr>
              <w:t>1.3.4</w:t>
            </w:r>
          </w:p>
        </w:tc>
        <w:tc>
          <w:tcPr>
            <w:tcW w:w="2898" w:type="pct"/>
            <w:vAlign w:val="center"/>
          </w:tcPr>
          <w:p w14:paraId="3F146132">
            <w:pPr>
              <w:spacing w:line="260" w:lineRule="exact"/>
              <w:rPr>
                <w:color w:val="auto"/>
                <w:highlight w:val="none"/>
              </w:rPr>
            </w:pPr>
            <w:r>
              <w:rPr>
                <w:color w:val="auto"/>
                <w:highlight w:val="none"/>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highlight w:val="none"/>
              </w:rPr>
            </w:pPr>
            <w:r>
              <w:rPr>
                <w:rFonts w:hint="eastAsia" w:ascii="宋体" w:hAnsi="宋体"/>
                <w:color w:val="auto"/>
                <w:highlight w:val="none"/>
              </w:rPr>
              <w:t>加油站上空无电线通过。</w:t>
            </w:r>
          </w:p>
        </w:tc>
        <w:tc>
          <w:tcPr>
            <w:tcW w:w="364" w:type="pct"/>
            <w:vAlign w:val="center"/>
          </w:tcPr>
          <w:p w14:paraId="6A0D7D4B">
            <w:pPr>
              <w:spacing w:line="260" w:lineRule="exact"/>
              <w:jc w:val="center"/>
              <w:rPr>
                <w:rFonts w:ascii="宋体" w:hAnsi="宋体"/>
                <w:color w:val="auto"/>
                <w:highlight w:val="none"/>
              </w:rPr>
            </w:pPr>
            <w:r>
              <w:rPr>
                <w:rFonts w:hint="eastAsia" w:ascii="宋体" w:hAnsi="宋体"/>
                <w:color w:val="auto"/>
                <w:highlight w:val="none"/>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highlight w:val="none"/>
              </w:rPr>
            </w:pPr>
            <w:r>
              <w:rPr>
                <w:rFonts w:hint="eastAsia" w:ascii="宋体" w:hAnsi="宋体"/>
                <w:color w:val="auto"/>
                <w:highlight w:val="none"/>
              </w:rPr>
              <w:t>1.3.5</w:t>
            </w:r>
          </w:p>
        </w:tc>
        <w:tc>
          <w:tcPr>
            <w:tcW w:w="2898" w:type="pct"/>
            <w:vAlign w:val="center"/>
          </w:tcPr>
          <w:p w14:paraId="5C1E85B6">
            <w:pPr>
              <w:spacing w:line="260" w:lineRule="exact"/>
              <w:rPr>
                <w:color w:val="auto"/>
                <w:highlight w:val="none"/>
              </w:rPr>
            </w:pPr>
            <w:r>
              <w:rPr>
                <w:color w:val="auto"/>
                <w:highlight w:val="none"/>
              </w:rPr>
              <w:t>（5）注意仓库及操作场所的通风，使油蒸气容易逸散。</w:t>
            </w:r>
          </w:p>
        </w:tc>
        <w:tc>
          <w:tcPr>
            <w:tcW w:w="1310" w:type="pct"/>
            <w:vAlign w:val="center"/>
          </w:tcPr>
          <w:p w14:paraId="734A0A1F">
            <w:pPr>
              <w:spacing w:line="260" w:lineRule="exact"/>
              <w:rPr>
                <w:rFonts w:ascii="宋体" w:hAnsi="宋体"/>
                <w:color w:val="auto"/>
                <w:highlight w:val="none"/>
              </w:rPr>
            </w:pPr>
            <w:r>
              <w:rPr>
                <w:rFonts w:hint="eastAsia" w:ascii="宋体" w:hAnsi="宋体"/>
                <w:color w:val="auto"/>
                <w:highlight w:val="none"/>
              </w:rPr>
              <w:t>加油区三面通风，罩棚高</w:t>
            </w:r>
            <w:r>
              <w:rPr>
                <w:rFonts w:hint="eastAsia" w:ascii="宋体" w:hAnsi="宋体"/>
                <w:color w:val="auto"/>
                <w:highlight w:val="none"/>
                <w:lang w:val="en-US" w:eastAsia="zh-CN"/>
              </w:rPr>
              <w:t>9.6</w:t>
            </w:r>
            <w:r>
              <w:rPr>
                <w:rFonts w:hint="eastAsia" w:ascii="宋体" w:hAnsi="宋体"/>
                <w:color w:val="auto"/>
                <w:highlight w:val="none"/>
              </w:rPr>
              <w:t>米。</w:t>
            </w:r>
          </w:p>
        </w:tc>
        <w:tc>
          <w:tcPr>
            <w:tcW w:w="364" w:type="pct"/>
            <w:vAlign w:val="center"/>
          </w:tcPr>
          <w:p w14:paraId="34E18217">
            <w:pPr>
              <w:spacing w:line="260" w:lineRule="exact"/>
              <w:jc w:val="center"/>
              <w:rPr>
                <w:rFonts w:ascii="宋体" w:hAnsi="宋体"/>
                <w:color w:val="auto"/>
                <w:highlight w:val="none"/>
              </w:rPr>
            </w:pPr>
            <w:r>
              <w:rPr>
                <w:rFonts w:hint="eastAsia" w:ascii="宋体" w:hAnsi="宋体"/>
                <w:color w:val="auto"/>
                <w:highlight w:val="none"/>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highlight w:val="none"/>
              </w:rPr>
            </w:pPr>
            <w:r>
              <w:rPr>
                <w:rFonts w:hint="eastAsia" w:ascii="宋体" w:hAnsi="宋体"/>
                <w:color w:val="auto"/>
                <w:highlight w:val="none"/>
              </w:rPr>
              <w:t>1.4</w:t>
            </w:r>
          </w:p>
        </w:tc>
        <w:tc>
          <w:tcPr>
            <w:tcW w:w="4573" w:type="pct"/>
            <w:gridSpan w:val="3"/>
            <w:vAlign w:val="center"/>
          </w:tcPr>
          <w:p w14:paraId="376F185B">
            <w:pPr>
              <w:spacing w:line="260" w:lineRule="exact"/>
              <w:rPr>
                <w:rFonts w:ascii="宋体" w:hAnsi="宋体"/>
                <w:color w:val="auto"/>
                <w:highlight w:val="none"/>
              </w:rPr>
            </w:pPr>
            <w:r>
              <w:rPr>
                <w:color w:val="auto"/>
                <w:highlight w:val="none"/>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highlight w:val="none"/>
              </w:rPr>
            </w:pPr>
          </w:p>
        </w:tc>
        <w:tc>
          <w:tcPr>
            <w:tcW w:w="2898" w:type="pct"/>
            <w:vAlign w:val="center"/>
          </w:tcPr>
          <w:p w14:paraId="0A8F86F3">
            <w:pPr>
              <w:spacing w:line="260" w:lineRule="exact"/>
              <w:rPr>
                <w:color w:val="auto"/>
                <w:highlight w:val="none"/>
              </w:rPr>
            </w:pPr>
            <w:r>
              <w:rPr>
                <w:color w:val="auto"/>
                <w:highlight w:val="none"/>
              </w:rPr>
              <w:t>（1）储存于阴凉、通风的库房。远离火种、热源。库房温度不宜超过 30</w:t>
            </w:r>
            <w:r>
              <w:rPr>
                <w:rFonts w:hint="eastAsia" w:ascii="宋体" w:hAnsi="宋体" w:cs="宋体"/>
                <w:color w:val="auto"/>
                <w:highlight w:val="none"/>
              </w:rPr>
              <w:t>℃</w:t>
            </w:r>
            <w:r>
              <w:rPr>
                <w:color w:val="auto"/>
                <w:highlight w:val="none"/>
              </w:rPr>
              <w:t>。炎热季节应采取喷淋、通风等降温措施。</w:t>
            </w:r>
          </w:p>
        </w:tc>
        <w:tc>
          <w:tcPr>
            <w:tcW w:w="1310" w:type="pct"/>
            <w:vAlign w:val="center"/>
          </w:tcPr>
          <w:p w14:paraId="7204812C">
            <w:pPr>
              <w:spacing w:line="260" w:lineRule="exact"/>
              <w:rPr>
                <w:rFonts w:ascii="宋体" w:hAnsi="宋体"/>
                <w:color w:val="auto"/>
                <w:highlight w:val="none"/>
              </w:rPr>
            </w:pPr>
            <w:r>
              <w:rPr>
                <w:rFonts w:hint="eastAsia" w:ascii="宋体" w:hAnsi="宋体"/>
                <w:color w:val="auto"/>
                <w:highlight w:val="none"/>
              </w:rPr>
              <w:t>无库房。埋地油罐储存，对油罐内温度监控报警。</w:t>
            </w:r>
          </w:p>
        </w:tc>
        <w:tc>
          <w:tcPr>
            <w:tcW w:w="364" w:type="pct"/>
            <w:vAlign w:val="center"/>
          </w:tcPr>
          <w:p w14:paraId="6A2CA69E">
            <w:pPr>
              <w:spacing w:line="260" w:lineRule="exact"/>
              <w:jc w:val="center"/>
              <w:rPr>
                <w:rFonts w:ascii="宋体" w:hAnsi="宋体"/>
                <w:color w:val="auto"/>
                <w:highlight w:val="none"/>
              </w:rPr>
            </w:pPr>
            <w:r>
              <w:rPr>
                <w:rFonts w:hint="eastAsia" w:ascii="宋体" w:hAnsi="宋体"/>
                <w:color w:val="auto"/>
                <w:highlight w:val="none"/>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highlight w:val="none"/>
              </w:rPr>
            </w:pPr>
          </w:p>
        </w:tc>
        <w:tc>
          <w:tcPr>
            <w:tcW w:w="2898" w:type="pct"/>
            <w:vAlign w:val="center"/>
          </w:tcPr>
          <w:p w14:paraId="667106F2">
            <w:pPr>
              <w:spacing w:line="260" w:lineRule="exact"/>
              <w:rPr>
                <w:color w:val="auto"/>
                <w:highlight w:val="none"/>
              </w:rPr>
            </w:pPr>
            <w:r>
              <w:rPr>
                <w:color w:val="auto"/>
                <w:highlight w:val="none"/>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3C44B64">
            <w:pPr>
              <w:spacing w:line="260" w:lineRule="exact"/>
              <w:jc w:val="center"/>
              <w:rPr>
                <w:rFonts w:ascii="宋体" w:hAnsi="宋体"/>
                <w:color w:val="auto"/>
                <w:highlight w:val="none"/>
              </w:rPr>
            </w:pPr>
            <w:r>
              <w:rPr>
                <w:rFonts w:hint="eastAsia" w:ascii="宋体" w:hAnsi="宋体"/>
                <w:color w:val="auto"/>
                <w:highlight w:val="none"/>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highlight w:val="none"/>
              </w:rPr>
            </w:pPr>
          </w:p>
        </w:tc>
        <w:tc>
          <w:tcPr>
            <w:tcW w:w="2898" w:type="pct"/>
            <w:tcBorders>
              <w:right w:val="single" w:color="auto" w:sz="4" w:space="0"/>
            </w:tcBorders>
            <w:vAlign w:val="center"/>
          </w:tcPr>
          <w:p w14:paraId="47DF0906">
            <w:pPr>
              <w:spacing w:line="260" w:lineRule="exact"/>
              <w:rPr>
                <w:color w:val="auto"/>
                <w:highlight w:val="none"/>
              </w:rPr>
            </w:pPr>
            <w:r>
              <w:rPr>
                <w:color w:val="auto"/>
                <w:highlight w:val="none"/>
              </w:rPr>
              <w:t>（3）采用防爆型照明、通风设施。禁止使用易产生火花的机械设备和工具。储存区应备有泄漏应急处理设备和合适的收容材料。罐储时要有防火防爆技术措施。对于 1000m</w:t>
            </w:r>
            <w:r>
              <w:rPr>
                <w:color w:val="auto"/>
                <w:highlight w:val="none"/>
                <w:vertAlign w:val="superscript"/>
              </w:rPr>
              <w:t>3</w:t>
            </w:r>
            <w:r>
              <w:rPr>
                <w:color w:val="auto"/>
                <w:highlight w:val="none"/>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highlight w:val="none"/>
              </w:rPr>
            </w:pPr>
            <w:r>
              <w:rPr>
                <w:rFonts w:hint="eastAsia" w:ascii="宋体" w:hAnsi="宋体"/>
                <w:color w:val="auto"/>
                <w:highlight w:val="none"/>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highlight w:val="none"/>
              </w:rPr>
            </w:pPr>
            <w:r>
              <w:rPr>
                <w:rFonts w:hint="eastAsia" w:ascii="宋体" w:hAnsi="宋体"/>
                <w:color w:val="auto"/>
                <w:highlight w:val="none"/>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highlight w:val="none"/>
              </w:rPr>
            </w:pPr>
            <w:r>
              <w:rPr>
                <w:rFonts w:hint="eastAsia" w:ascii="宋体" w:hAnsi="宋体"/>
                <w:color w:val="auto"/>
                <w:highlight w:val="none"/>
              </w:rPr>
              <w:t>1.4</w:t>
            </w:r>
          </w:p>
        </w:tc>
        <w:tc>
          <w:tcPr>
            <w:tcW w:w="2898" w:type="pct"/>
            <w:tcBorders>
              <w:right w:val="single" w:color="auto" w:sz="4" w:space="0"/>
            </w:tcBorders>
            <w:vAlign w:val="center"/>
          </w:tcPr>
          <w:p w14:paraId="61738D22">
            <w:pPr>
              <w:spacing w:line="260" w:lineRule="exact"/>
              <w:rPr>
                <w:rFonts w:ascii="宋体" w:hAnsi="宋体"/>
                <w:color w:val="auto"/>
                <w:highlight w:val="none"/>
              </w:rPr>
            </w:pPr>
            <w:r>
              <w:rPr>
                <w:color w:val="auto"/>
                <w:highlight w:val="none"/>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highlight w:val="none"/>
              </w:rPr>
            </w:pPr>
            <w:r>
              <w:rPr>
                <w:rFonts w:hint="eastAsia"/>
                <w:color w:val="auto"/>
                <w:highlight w:val="none"/>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highlight w:val="none"/>
              </w:rPr>
            </w:pPr>
            <w:r>
              <w:rPr>
                <w:rFonts w:hint="eastAsia" w:ascii="宋体" w:hAnsi="宋体"/>
                <w:color w:val="auto"/>
                <w:highlight w:val="none"/>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highlight w:val="none"/>
              </w:rPr>
            </w:pPr>
            <w:r>
              <w:rPr>
                <w:rFonts w:hint="eastAsia"/>
                <w:b/>
                <w:color w:val="auto"/>
                <w:highlight w:val="none"/>
              </w:rPr>
              <w:t>2</w:t>
            </w:r>
          </w:p>
        </w:tc>
        <w:tc>
          <w:tcPr>
            <w:tcW w:w="4573" w:type="pct"/>
            <w:gridSpan w:val="3"/>
            <w:vAlign w:val="center"/>
          </w:tcPr>
          <w:p w14:paraId="1D1B9FB8">
            <w:pPr>
              <w:spacing w:line="260" w:lineRule="exact"/>
              <w:rPr>
                <w:b/>
                <w:color w:val="auto"/>
                <w:highlight w:val="none"/>
              </w:rPr>
            </w:pPr>
            <w:r>
              <w:rPr>
                <w:rFonts w:hint="eastAsia" w:ascii="宋体" w:hAnsi="宋体"/>
                <w:b/>
                <w:color w:val="auto"/>
                <w:highlight w:val="none"/>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highlight w:val="none"/>
              </w:rPr>
            </w:pPr>
            <w:r>
              <w:rPr>
                <w:rFonts w:hint="eastAsia"/>
                <w:color w:val="auto"/>
                <w:highlight w:val="none"/>
              </w:rPr>
              <w:t>2.1</w:t>
            </w:r>
          </w:p>
        </w:tc>
        <w:tc>
          <w:tcPr>
            <w:tcW w:w="4573" w:type="pct"/>
            <w:gridSpan w:val="3"/>
            <w:vAlign w:val="center"/>
          </w:tcPr>
          <w:p w14:paraId="6E7A214F">
            <w:pPr>
              <w:spacing w:line="260" w:lineRule="exact"/>
              <w:rPr>
                <w:rFonts w:ascii="宋体" w:hAnsi="宋体"/>
                <w:color w:val="auto"/>
                <w:highlight w:val="none"/>
              </w:rPr>
            </w:pPr>
            <w:r>
              <w:rPr>
                <w:color w:val="auto"/>
                <w:highlight w:val="none"/>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highlight w:val="none"/>
              </w:rPr>
            </w:pPr>
            <w:r>
              <w:rPr>
                <w:rFonts w:hint="eastAsia"/>
                <w:color w:val="auto"/>
                <w:highlight w:val="none"/>
              </w:rPr>
              <w:t>2.1.1</w:t>
            </w:r>
          </w:p>
        </w:tc>
        <w:tc>
          <w:tcPr>
            <w:tcW w:w="2898" w:type="pct"/>
            <w:vAlign w:val="center"/>
          </w:tcPr>
          <w:p w14:paraId="1B11FB95">
            <w:pPr>
              <w:spacing w:line="260" w:lineRule="exact"/>
              <w:rPr>
                <w:rFonts w:ascii="宋体" w:hAnsi="宋体"/>
                <w:color w:val="auto"/>
                <w:highlight w:val="none"/>
              </w:rPr>
            </w:pPr>
            <w:r>
              <w:rPr>
                <w:color w:val="auto"/>
                <w:highlight w:val="none"/>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highlight w:val="none"/>
              </w:rPr>
            </w:pPr>
            <w:r>
              <w:rPr>
                <w:rFonts w:hint="eastAsia" w:ascii="宋体" w:hAnsi="宋体"/>
                <w:color w:val="auto"/>
                <w:highlight w:val="none"/>
              </w:rPr>
              <w:t>全员接受了救援、急救知识培训并演练。配有急救箱。</w:t>
            </w:r>
          </w:p>
        </w:tc>
        <w:tc>
          <w:tcPr>
            <w:tcW w:w="364" w:type="pct"/>
            <w:vAlign w:val="center"/>
          </w:tcPr>
          <w:p w14:paraId="652A54AD">
            <w:pPr>
              <w:spacing w:line="260" w:lineRule="exact"/>
              <w:jc w:val="center"/>
              <w:rPr>
                <w:rFonts w:ascii="宋体" w:hAnsi="宋体"/>
                <w:color w:val="auto"/>
                <w:highlight w:val="none"/>
              </w:rPr>
            </w:pPr>
            <w:r>
              <w:rPr>
                <w:rFonts w:hint="eastAsia" w:ascii="宋体" w:hAnsi="宋体"/>
                <w:color w:val="auto"/>
                <w:highlight w:val="none"/>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highlight w:val="none"/>
              </w:rPr>
            </w:pPr>
            <w:r>
              <w:rPr>
                <w:rFonts w:hint="eastAsia"/>
                <w:color w:val="auto"/>
                <w:highlight w:val="none"/>
              </w:rPr>
              <w:t>2.1.2</w:t>
            </w:r>
          </w:p>
        </w:tc>
        <w:tc>
          <w:tcPr>
            <w:tcW w:w="2898" w:type="pct"/>
            <w:vAlign w:val="center"/>
          </w:tcPr>
          <w:p w14:paraId="763D633F">
            <w:pPr>
              <w:spacing w:line="260" w:lineRule="exact"/>
              <w:rPr>
                <w:color w:val="auto"/>
                <w:highlight w:val="none"/>
              </w:rPr>
            </w:pPr>
            <w:r>
              <w:rPr>
                <w:color w:val="auto"/>
                <w:highlight w:val="none"/>
              </w:rPr>
              <w:t>食入：给饮牛奶或用植物油洗胃和灌肠。就医。</w:t>
            </w:r>
          </w:p>
        </w:tc>
        <w:tc>
          <w:tcPr>
            <w:tcW w:w="1310" w:type="pct"/>
            <w:vMerge w:val="continue"/>
            <w:vAlign w:val="center"/>
          </w:tcPr>
          <w:p w14:paraId="160CD082">
            <w:pPr>
              <w:spacing w:line="260" w:lineRule="exact"/>
              <w:rPr>
                <w:rFonts w:ascii="宋体" w:hAnsi="宋体"/>
                <w:color w:val="auto"/>
                <w:highlight w:val="none"/>
              </w:rPr>
            </w:pPr>
          </w:p>
        </w:tc>
        <w:tc>
          <w:tcPr>
            <w:tcW w:w="364" w:type="pct"/>
            <w:vAlign w:val="center"/>
          </w:tcPr>
          <w:p w14:paraId="752F473F">
            <w:pPr>
              <w:spacing w:line="260" w:lineRule="exact"/>
              <w:jc w:val="center"/>
              <w:rPr>
                <w:rFonts w:ascii="宋体" w:hAnsi="宋体"/>
                <w:color w:val="auto"/>
                <w:highlight w:val="none"/>
              </w:rPr>
            </w:pPr>
            <w:r>
              <w:rPr>
                <w:rFonts w:hint="eastAsia" w:ascii="宋体" w:hAnsi="宋体"/>
                <w:color w:val="auto"/>
                <w:highlight w:val="none"/>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highlight w:val="none"/>
              </w:rPr>
            </w:pPr>
            <w:r>
              <w:rPr>
                <w:rFonts w:hint="eastAsia"/>
                <w:color w:val="auto"/>
                <w:highlight w:val="none"/>
              </w:rPr>
              <w:t>2.1.3</w:t>
            </w:r>
          </w:p>
        </w:tc>
        <w:tc>
          <w:tcPr>
            <w:tcW w:w="2898" w:type="pct"/>
            <w:vAlign w:val="center"/>
          </w:tcPr>
          <w:p w14:paraId="031FC7C5">
            <w:pPr>
              <w:spacing w:line="260" w:lineRule="exact"/>
              <w:rPr>
                <w:color w:val="auto"/>
                <w:highlight w:val="none"/>
              </w:rPr>
            </w:pPr>
            <w:r>
              <w:rPr>
                <w:color w:val="auto"/>
                <w:highlight w:val="none"/>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highlight w:val="none"/>
              </w:rPr>
            </w:pPr>
          </w:p>
        </w:tc>
        <w:tc>
          <w:tcPr>
            <w:tcW w:w="364" w:type="pct"/>
            <w:vAlign w:val="center"/>
          </w:tcPr>
          <w:p w14:paraId="7805B4FC">
            <w:pPr>
              <w:spacing w:line="260" w:lineRule="exact"/>
              <w:jc w:val="center"/>
              <w:rPr>
                <w:rFonts w:ascii="宋体" w:hAnsi="宋体"/>
                <w:color w:val="auto"/>
                <w:highlight w:val="none"/>
              </w:rPr>
            </w:pPr>
            <w:r>
              <w:rPr>
                <w:rFonts w:hint="eastAsia" w:ascii="宋体" w:hAnsi="宋体"/>
                <w:color w:val="auto"/>
                <w:highlight w:val="none"/>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highlight w:val="none"/>
              </w:rPr>
            </w:pPr>
            <w:r>
              <w:rPr>
                <w:rFonts w:hint="eastAsia"/>
                <w:color w:val="auto"/>
                <w:highlight w:val="none"/>
              </w:rPr>
              <w:t>2.1.4</w:t>
            </w:r>
          </w:p>
        </w:tc>
        <w:tc>
          <w:tcPr>
            <w:tcW w:w="2898" w:type="pct"/>
            <w:vAlign w:val="center"/>
          </w:tcPr>
          <w:p w14:paraId="28F4B5EA">
            <w:pPr>
              <w:spacing w:line="260" w:lineRule="exact"/>
              <w:rPr>
                <w:color w:val="auto"/>
                <w:highlight w:val="none"/>
              </w:rPr>
            </w:pPr>
            <w:r>
              <w:rPr>
                <w:color w:val="auto"/>
                <w:highlight w:val="none"/>
              </w:rPr>
              <w:t>眼睛接触：立即提起眼睑，用大量流动清水或生理盐水彻底冲洗至少 15分钟。就医</w:t>
            </w:r>
            <w:r>
              <w:rPr>
                <w:rFonts w:hint="eastAsia"/>
                <w:color w:val="auto"/>
                <w:highlight w:val="none"/>
              </w:rPr>
              <w:t>。</w:t>
            </w:r>
          </w:p>
        </w:tc>
        <w:tc>
          <w:tcPr>
            <w:tcW w:w="1310" w:type="pct"/>
            <w:vMerge w:val="continue"/>
            <w:vAlign w:val="center"/>
          </w:tcPr>
          <w:p w14:paraId="50AFD50A">
            <w:pPr>
              <w:spacing w:line="260" w:lineRule="exact"/>
              <w:rPr>
                <w:rFonts w:ascii="宋体" w:hAnsi="宋体"/>
                <w:color w:val="auto"/>
                <w:highlight w:val="none"/>
              </w:rPr>
            </w:pPr>
          </w:p>
        </w:tc>
        <w:tc>
          <w:tcPr>
            <w:tcW w:w="364" w:type="pct"/>
            <w:vAlign w:val="center"/>
          </w:tcPr>
          <w:p w14:paraId="0C3951EC">
            <w:pPr>
              <w:spacing w:line="260" w:lineRule="exact"/>
              <w:jc w:val="center"/>
              <w:rPr>
                <w:rFonts w:ascii="宋体" w:hAnsi="宋体"/>
                <w:color w:val="auto"/>
                <w:highlight w:val="none"/>
              </w:rPr>
            </w:pPr>
            <w:r>
              <w:rPr>
                <w:rFonts w:hint="eastAsia" w:ascii="宋体" w:hAnsi="宋体"/>
                <w:color w:val="auto"/>
                <w:highlight w:val="none"/>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highlight w:val="none"/>
              </w:rPr>
            </w:pPr>
            <w:r>
              <w:rPr>
                <w:rFonts w:hint="eastAsia"/>
                <w:color w:val="auto"/>
                <w:highlight w:val="none"/>
              </w:rPr>
              <w:t>2.2</w:t>
            </w:r>
          </w:p>
        </w:tc>
        <w:tc>
          <w:tcPr>
            <w:tcW w:w="4573" w:type="pct"/>
            <w:gridSpan w:val="3"/>
            <w:vAlign w:val="center"/>
          </w:tcPr>
          <w:p w14:paraId="1551834E">
            <w:pPr>
              <w:spacing w:line="260" w:lineRule="exact"/>
              <w:rPr>
                <w:rFonts w:ascii="宋体" w:hAnsi="宋体"/>
                <w:color w:val="auto"/>
                <w:highlight w:val="none"/>
              </w:rPr>
            </w:pPr>
            <w:r>
              <w:rPr>
                <w:color w:val="auto"/>
                <w:highlight w:val="none"/>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highlight w:val="none"/>
              </w:rPr>
            </w:pPr>
            <w:r>
              <w:rPr>
                <w:rFonts w:hint="eastAsia"/>
                <w:color w:val="auto"/>
                <w:highlight w:val="none"/>
              </w:rPr>
              <w:t>2.2.1</w:t>
            </w:r>
          </w:p>
        </w:tc>
        <w:tc>
          <w:tcPr>
            <w:tcW w:w="2898" w:type="pct"/>
            <w:vAlign w:val="center"/>
          </w:tcPr>
          <w:p w14:paraId="79814F68">
            <w:pPr>
              <w:spacing w:line="260" w:lineRule="exact"/>
              <w:rPr>
                <w:color w:val="auto"/>
                <w:highlight w:val="none"/>
              </w:rPr>
            </w:pPr>
            <w:r>
              <w:rPr>
                <w:color w:val="auto"/>
                <w:highlight w:val="none"/>
              </w:rPr>
              <w:t>喷水冷却容器，尽可能将容器从火场移至空旷处。</w:t>
            </w:r>
          </w:p>
        </w:tc>
        <w:tc>
          <w:tcPr>
            <w:tcW w:w="1310" w:type="pct"/>
            <w:vAlign w:val="center"/>
          </w:tcPr>
          <w:p w14:paraId="2D3F5F46">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642D0B4F">
            <w:pPr>
              <w:spacing w:line="260" w:lineRule="exact"/>
              <w:jc w:val="center"/>
              <w:rPr>
                <w:rFonts w:ascii="宋体" w:hAnsi="宋体"/>
                <w:color w:val="auto"/>
                <w:highlight w:val="none"/>
              </w:rPr>
            </w:pPr>
            <w:r>
              <w:rPr>
                <w:rFonts w:hint="eastAsia" w:ascii="宋体" w:hAnsi="宋体"/>
                <w:color w:val="auto"/>
                <w:highlight w:val="none"/>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highlight w:val="none"/>
              </w:rPr>
            </w:pPr>
            <w:r>
              <w:rPr>
                <w:rFonts w:hint="eastAsia"/>
                <w:color w:val="auto"/>
                <w:highlight w:val="none"/>
              </w:rPr>
              <w:t>2.2.2</w:t>
            </w:r>
          </w:p>
        </w:tc>
        <w:tc>
          <w:tcPr>
            <w:tcW w:w="2898" w:type="pct"/>
            <w:vAlign w:val="center"/>
          </w:tcPr>
          <w:p w14:paraId="2E37A49C">
            <w:pPr>
              <w:spacing w:line="260" w:lineRule="exact"/>
              <w:rPr>
                <w:color w:val="auto"/>
                <w:highlight w:val="none"/>
              </w:rPr>
            </w:pPr>
            <w:r>
              <w:rPr>
                <w:color w:val="auto"/>
                <w:highlight w:val="none"/>
              </w:rPr>
              <w:t>灭火剂：泡沫、干粉、二氧化碳。用水灭火无效。</w:t>
            </w:r>
          </w:p>
        </w:tc>
        <w:tc>
          <w:tcPr>
            <w:tcW w:w="1310" w:type="pct"/>
            <w:vAlign w:val="center"/>
          </w:tcPr>
          <w:p w14:paraId="37996FF3">
            <w:pPr>
              <w:spacing w:line="260" w:lineRule="exact"/>
              <w:rPr>
                <w:rFonts w:ascii="宋体" w:hAnsi="宋体"/>
                <w:color w:val="auto"/>
                <w:highlight w:val="none"/>
              </w:rPr>
            </w:pPr>
            <w:r>
              <w:rPr>
                <w:rFonts w:hint="eastAsia" w:ascii="宋体" w:hAnsi="宋体"/>
                <w:color w:val="auto"/>
                <w:highlight w:val="none"/>
              </w:rPr>
              <w:t>油罐区、加油区配备了干粉灭火器。</w:t>
            </w:r>
          </w:p>
        </w:tc>
        <w:tc>
          <w:tcPr>
            <w:tcW w:w="364" w:type="pct"/>
            <w:vAlign w:val="center"/>
          </w:tcPr>
          <w:p w14:paraId="2629EC9F">
            <w:pPr>
              <w:spacing w:line="260" w:lineRule="exact"/>
              <w:jc w:val="center"/>
              <w:rPr>
                <w:rFonts w:ascii="宋体" w:hAnsi="宋体"/>
                <w:color w:val="auto"/>
                <w:highlight w:val="none"/>
              </w:rPr>
            </w:pPr>
            <w:r>
              <w:rPr>
                <w:rFonts w:hint="eastAsia" w:ascii="宋体" w:hAnsi="宋体"/>
                <w:color w:val="auto"/>
                <w:highlight w:val="none"/>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highlight w:val="none"/>
              </w:rPr>
            </w:pPr>
            <w:r>
              <w:rPr>
                <w:rFonts w:hint="eastAsia"/>
                <w:color w:val="auto"/>
                <w:highlight w:val="none"/>
              </w:rPr>
              <w:t>2.3</w:t>
            </w:r>
          </w:p>
        </w:tc>
        <w:tc>
          <w:tcPr>
            <w:tcW w:w="4573" w:type="pct"/>
            <w:gridSpan w:val="3"/>
            <w:vAlign w:val="center"/>
          </w:tcPr>
          <w:p w14:paraId="5DC16B38">
            <w:pPr>
              <w:spacing w:line="260" w:lineRule="exact"/>
              <w:rPr>
                <w:rFonts w:ascii="宋体" w:hAnsi="宋体"/>
                <w:color w:val="auto"/>
                <w:highlight w:val="none"/>
              </w:rPr>
            </w:pPr>
            <w:r>
              <w:rPr>
                <w:color w:val="auto"/>
                <w:highlight w:val="none"/>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highlight w:val="none"/>
              </w:rPr>
            </w:pPr>
            <w:r>
              <w:rPr>
                <w:rFonts w:hint="eastAsia"/>
                <w:color w:val="auto"/>
                <w:highlight w:val="none"/>
              </w:rPr>
              <w:t>2.3.1</w:t>
            </w:r>
          </w:p>
        </w:tc>
        <w:tc>
          <w:tcPr>
            <w:tcW w:w="2898" w:type="pct"/>
            <w:vAlign w:val="center"/>
          </w:tcPr>
          <w:p w14:paraId="5397F3E0">
            <w:pPr>
              <w:spacing w:line="260" w:lineRule="exact"/>
              <w:rPr>
                <w:color w:val="auto"/>
                <w:highlight w:val="none"/>
              </w:rPr>
            </w:pPr>
            <w:r>
              <w:rPr>
                <w:color w:val="auto"/>
                <w:highlight w: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highlight w:val="none"/>
              </w:rPr>
            </w:pPr>
            <w:r>
              <w:rPr>
                <w:rFonts w:hint="eastAsia" w:ascii="宋体" w:hAnsi="宋体"/>
                <w:color w:val="auto"/>
                <w:highlight w:val="none"/>
              </w:rPr>
              <w:t>制定了禁烟、禁火制度并有效实施。</w:t>
            </w:r>
          </w:p>
          <w:p w14:paraId="6281483F">
            <w:pPr>
              <w:spacing w:line="260" w:lineRule="exact"/>
              <w:rPr>
                <w:rFonts w:ascii="宋体" w:hAnsi="宋体"/>
                <w:color w:val="auto"/>
                <w:highlight w:val="none"/>
              </w:rPr>
            </w:pPr>
            <w:r>
              <w:rPr>
                <w:rFonts w:hint="eastAsia" w:ascii="宋体" w:hAnsi="宋体"/>
                <w:color w:val="auto"/>
                <w:highlight w:val="none"/>
              </w:rPr>
              <w:t>卸油、加油设备均配备了防拉脱设施。</w:t>
            </w:r>
          </w:p>
          <w:p w14:paraId="0EE133CD">
            <w:pPr>
              <w:spacing w:line="260" w:lineRule="exact"/>
              <w:rPr>
                <w:rFonts w:ascii="宋体" w:hAnsi="宋体"/>
                <w:color w:val="auto"/>
                <w:highlight w:val="none"/>
              </w:rPr>
            </w:pPr>
            <w:r>
              <w:rPr>
                <w:rFonts w:hint="eastAsia" w:ascii="宋体" w:hAnsi="宋体"/>
                <w:color w:val="auto"/>
                <w:highlight w:val="none"/>
              </w:rPr>
              <w:t>设置了消防器材柜。</w:t>
            </w:r>
          </w:p>
          <w:p w14:paraId="137F5AAE">
            <w:pPr>
              <w:spacing w:line="260" w:lineRule="exact"/>
              <w:rPr>
                <w:rFonts w:ascii="宋体" w:hAnsi="宋体"/>
                <w:color w:val="auto"/>
                <w:highlight w:val="none"/>
              </w:rPr>
            </w:pPr>
            <w:r>
              <w:rPr>
                <w:rFonts w:hint="eastAsia" w:ascii="宋体" w:hAnsi="宋体"/>
                <w:color w:val="auto"/>
                <w:highlight w:val="none"/>
              </w:rPr>
              <w:t>卸油区、加油区设置了环保沟，隔油池。</w:t>
            </w:r>
          </w:p>
        </w:tc>
        <w:tc>
          <w:tcPr>
            <w:tcW w:w="364" w:type="pct"/>
            <w:vAlign w:val="center"/>
          </w:tcPr>
          <w:p w14:paraId="27BB62DA">
            <w:pPr>
              <w:spacing w:line="260" w:lineRule="exact"/>
              <w:jc w:val="center"/>
              <w:rPr>
                <w:rFonts w:ascii="宋体" w:hAnsi="宋体"/>
                <w:color w:val="auto"/>
                <w:highlight w:val="none"/>
              </w:rPr>
            </w:pPr>
            <w:r>
              <w:rPr>
                <w:rFonts w:hint="eastAsia" w:ascii="宋体" w:hAnsi="宋体"/>
                <w:color w:val="auto"/>
                <w:highlight w:val="none"/>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highlight w:val="none"/>
              </w:rPr>
            </w:pPr>
            <w:r>
              <w:rPr>
                <w:rFonts w:hint="eastAsia"/>
                <w:color w:val="auto"/>
                <w:highlight w:val="none"/>
              </w:rPr>
              <w:t>2.3.2</w:t>
            </w:r>
          </w:p>
        </w:tc>
        <w:tc>
          <w:tcPr>
            <w:tcW w:w="2898" w:type="pct"/>
            <w:vAlign w:val="center"/>
          </w:tcPr>
          <w:p w14:paraId="53C5E142">
            <w:pPr>
              <w:spacing w:line="260" w:lineRule="exact"/>
              <w:rPr>
                <w:color w:val="auto"/>
                <w:highlight w:val="none"/>
              </w:rPr>
            </w:pPr>
            <w:r>
              <w:rPr>
                <w:color w:val="auto"/>
                <w:highlight w:val="none"/>
              </w:rPr>
              <w:t>小量泄漏：用砂土或</w:t>
            </w:r>
            <w:r>
              <w:rPr>
                <w:rFonts w:hint="eastAsia"/>
                <w:color w:val="auto"/>
                <w:highlight w:val="none"/>
                <w:lang w:eastAsia="zh-CN"/>
              </w:rPr>
              <w:t>其他不</w:t>
            </w:r>
            <w:r>
              <w:rPr>
                <w:color w:val="auto"/>
                <w:highlight w:val="none"/>
              </w:rPr>
              <w:t>燃材料吸收。使用洁净的无火花工具收集吸收材料。</w:t>
            </w:r>
          </w:p>
        </w:tc>
        <w:tc>
          <w:tcPr>
            <w:tcW w:w="1310" w:type="pct"/>
            <w:vAlign w:val="center"/>
          </w:tcPr>
          <w:p w14:paraId="15CDE692">
            <w:pPr>
              <w:spacing w:line="260" w:lineRule="exact"/>
              <w:rPr>
                <w:rFonts w:ascii="宋体" w:hAnsi="宋体"/>
                <w:color w:val="auto"/>
                <w:highlight w:val="none"/>
              </w:rPr>
            </w:pPr>
            <w:r>
              <w:rPr>
                <w:rFonts w:hint="eastAsia" w:ascii="宋体" w:hAnsi="宋体"/>
                <w:color w:val="auto"/>
                <w:highlight w:val="none"/>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highlight w:val="none"/>
              </w:rPr>
            </w:pPr>
            <w:r>
              <w:rPr>
                <w:rFonts w:hint="eastAsia" w:ascii="宋体" w:hAnsi="宋体"/>
                <w:color w:val="auto"/>
                <w:highlight w:val="none"/>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highlight w:val="none"/>
              </w:rPr>
            </w:pPr>
            <w:r>
              <w:rPr>
                <w:rFonts w:hint="eastAsia"/>
                <w:color w:val="auto"/>
                <w:highlight w:val="none"/>
              </w:rPr>
              <w:t>2.3.3</w:t>
            </w:r>
          </w:p>
        </w:tc>
        <w:tc>
          <w:tcPr>
            <w:tcW w:w="2898" w:type="pct"/>
            <w:vAlign w:val="center"/>
          </w:tcPr>
          <w:p w14:paraId="475FB6A7">
            <w:pPr>
              <w:spacing w:line="260" w:lineRule="exact"/>
              <w:rPr>
                <w:color w:val="auto"/>
                <w:highlight w:val="none"/>
              </w:rPr>
            </w:pPr>
            <w:r>
              <w:rPr>
                <w:color w:val="auto"/>
                <w:highlight w:val="none"/>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55DFAD7A">
            <w:pPr>
              <w:spacing w:line="260" w:lineRule="exact"/>
              <w:jc w:val="center"/>
              <w:rPr>
                <w:rFonts w:ascii="宋体" w:hAnsi="宋体"/>
                <w:color w:val="auto"/>
                <w:highlight w:val="none"/>
              </w:rPr>
            </w:pPr>
            <w:r>
              <w:rPr>
                <w:rFonts w:hint="eastAsia" w:ascii="宋体" w:hAnsi="宋体"/>
                <w:color w:val="auto"/>
                <w:highlight w:val="none"/>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highlight w:val="none"/>
              </w:rPr>
            </w:pPr>
            <w:r>
              <w:rPr>
                <w:rFonts w:hint="eastAsia"/>
                <w:color w:val="auto"/>
                <w:highlight w:val="none"/>
              </w:rPr>
              <w:t>2.3.4</w:t>
            </w:r>
          </w:p>
        </w:tc>
        <w:tc>
          <w:tcPr>
            <w:tcW w:w="2898" w:type="pct"/>
            <w:vAlign w:val="center"/>
          </w:tcPr>
          <w:p w14:paraId="1ADA9638">
            <w:pPr>
              <w:spacing w:line="260" w:lineRule="exact"/>
              <w:rPr>
                <w:color w:val="auto"/>
                <w:highlight w:val="none"/>
              </w:rPr>
            </w:pPr>
            <w:r>
              <w:rPr>
                <w:color w:val="auto"/>
                <w:highlight w:val="none"/>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highlight w:val="none"/>
              </w:rPr>
            </w:pPr>
            <w:r>
              <w:rPr>
                <w:rFonts w:hint="eastAsia" w:ascii="宋体" w:hAnsi="宋体"/>
                <w:color w:val="auto"/>
                <w:highlight w:val="none"/>
              </w:rPr>
              <w:t>制定了应急预案并备案，按要求定期组织了演练。</w:t>
            </w:r>
          </w:p>
        </w:tc>
        <w:tc>
          <w:tcPr>
            <w:tcW w:w="364" w:type="pct"/>
            <w:vAlign w:val="center"/>
          </w:tcPr>
          <w:p w14:paraId="34ABF537">
            <w:pPr>
              <w:spacing w:line="260" w:lineRule="exact"/>
              <w:jc w:val="center"/>
              <w:rPr>
                <w:rFonts w:ascii="宋体" w:hAnsi="宋体"/>
                <w:color w:val="auto"/>
                <w:highlight w:val="none"/>
              </w:rPr>
            </w:pPr>
            <w:r>
              <w:rPr>
                <w:rFonts w:hint="eastAsia" w:ascii="宋体" w:hAnsi="宋体"/>
                <w:color w:val="auto"/>
                <w:highlight w:val="none"/>
              </w:rPr>
              <w:t>符合</w:t>
            </w:r>
          </w:p>
        </w:tc>
      </w:tr>
    </w:tbl>
    <w:p w14:paraId="7E668DCC">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该站对重点监管的危险化学品汽油按规章要求落实了相关安全措施和应急处置要求。</w:t>
      </w:r>
    </w:p>
    <w:p w14:paraId="7413E044">
      <w:pPr>
        <w:pStyle w:val="3"/>
        <w:jc w:val="center"/>
        <w:rPr>
          <w:rFonts w:ascii="宋体" w:hAnsi="宋体"/>
          <w:color w:val="auto"/>
          <w:sz w:val="30"/>
          <w:szCs w:val="30"/>
          <w:highlight w:val="none"/>
        </w:rPr>
      </w:pPr>
      <w:bookmarkStart w:id="190" w:name="_Toc92712598"/>
      <w:bookmarkStart w:id="191" w:name="_Toc23136"/>
      <w:bookmarkStart w:id="192" w:name="_Toc8063"/>
      <w:r>
        <w:rPr>
          <w:rFonts w:hint="eastAsia" w:ascii="宋体" w:hAnsi="宋体"/>
          <w:color w:val="auto"/>
          <w:sz w:val="30"/>
          <w:szCs w:val="30"/>
          <w:highlight w:val="none"/>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根据《危险化学品生产经营单位和化工重大生产安全事故隐患判定标准（试行）》</w:t>
      </w:r>
      <w:r>
        <w:rPr>
          <w:rFonts w:hint="eastAsia" w:ascii="宋体" w:hAnsi="宋体"/>
          <w:color w:val="auto"/>
          <w:sz w:val="28"/>
          <w:szCs w:val="28"/>
          <w:highlight w:val="none"/>
        </w:rPr>
        <w:t>（安监总管三〔2017〕121号）</w:t>
      </w:r>
      <w:r>
        <w:rPr>
          <w:rFonts w:ascii="宋体" w:hAnsi="宋体"/>
          <w:color w:val="auto"/>
          <w:sz w:val="28"/>
          <w:szCs w:val="28"/>
          <w:highlight w:val="none"/>
        </w:rPr>
        <w:t>制定检查表，对</w:t>
      </w:r>
      <w:r>
        <w:rPr>
          <w:rFonts w:hint="eastAsia" w:ascii="宋体" w:hAnsi="宋体"/>
          <w:color w:val="auto"/>
          <w:sz w:val="28"/>
          <w:szCs w:val="28"/>
          <w:highlight w:val="none"/>
        </w:rPr>
        <w:t>该加油站</w:t>
      </w:r>
      <w:r>
        <w:rPr>
          <w:rFonts w:ascii="宋体" w:hAnsi="宋体"/>
          <w:color w:val="auto"/>
          <w:sz w:val="28"/>
          <w:szCs w:val="28"/>
          <w:highlight w:val="none"/>
        </w:rPr>
        <w:t>是否存在重大安全隐患项进行评价，评价结果见下表</w:t>
      </w:r>
      <w:r>
        <w:rPr>
          <w:rFonts w:hint="eastAsia" w:ascii="宋体" w:hAnsi="宋体"/>
          <w:color w:val="auto"/>
          <w:sz w:val="28"/>
          <w:szCs w:val="28"/>
          <w:highlight w:val="none"/>
        </w:rPr>
        <w:t>5.12-1</w:t>
      </w:r>
      <w:r>
        <w:rPr>
          <w:rFonts w:ascii="宋体" w:hAnsi="宋体"/>
          <w:color w:val="auto"/>
          <w:sz w:val="28"/>
          <w:szCs w:val="28"/>
          <w:highlight w:val="none"/>
        </w:rPr>
        <w:t>。</w:t>
      </w:r>
    </w:p>
    <w:p w14:paraId="4ADB61F9">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5.12-1 </w:t>
      </w:r>
      <w:r>
        <w:rPr>
          <w:rFonts w:ascii="宋体" w:hAnsi="宋体"/>
          <w:color w:val="auto"/>
          <w:sz w:val="28"/>
          <w:szCs w:val="28"/>
          <w:highlight w:val="none"/>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highlight w:val="none"/>
              </w:rPr>
            </w:pPr>
            <w:r>
              <w:rPr>
                <w:rFonts w:hint="eastAsia"/>
                <w:b/>
                <w:color w:val="auto"/>
                <w:highlight w:val="none"/>
              </w:rPr>
              <w:t>序号</w:t>
            </w:r>
          </w:p>
        </w:tc>
        <w:tc>
          <w:tcPr>
            <w:tcW w:w="2830" w:type="pct"/>
            <w:vAlign w:val="center"/>
          </w:tcPr>
          <w:p w14:paraId="4A3A04A2">
            <w:pPr>
              <w:spacing w:line="400" w:lineRule="exact"/>
              <w:jc w:val="center"/>
              <w:rPr>
                <w:b/>
                <w:color w:val="auto"/>
                <w:highlight w:val="none"/>
              </w:rPr>
            </w:pPr>
            <w:r>
              <w:rPr>
                <w:rFonts w:hint="eastAsia"/>
                <w:b/>
                <w:color w:val="auto"/>
                <w:highlight w:val="none"/>
              </w:rPr>
              <w:t>项目和内容</w:t>
            </w:r>
          </w:p>
        </w:tc>
        <w:tc>
          <w:tcPr>
            <w:tcW w:w="1374" w:type="pct"/>
            <w:vAlign w:val="center"/>
          </w:tcPr>
          <w:p w14:paraId="46039F7F">
            <w:pPr>
              <w:spacing w:line="400" w:lineRule="exact"/>
              <w:jc w:val="center"/>
              <w:rPr>
                <w:b/>
                <w:color w:val="auto"/>
                <w:highlight w:val="none"/>
              </w:rPr>
            </w:pPr>
            <w:r>
              <w:rPr>
                <w:rFonts w:hint="eastAsia"/>
                <w:b/>
                <w:color w:val="auto"/>
                <w:highlight w:val="none"/>
              </w:rPr>
              <w:t>检查情况记录</w:t>
            </w:r>
          </w:p>
        </w:tc>
        <w:tc>
          <w:tcPr>
            <w:tcW w:w="377" w:type="pct"/>
            <w:vAlign w:val="center"/>
          </w:tcPr>
          <w:p w14:paraId="5AD2D937">
            <w:pPr>
              <w:spacing w:line="400" w:lineRule="exact"/>
              <w:jc w:val="center"/>
              <w:rPr>
                <w:b/>
                <w:color w:val="auto"/>
                <w:highlight w:val="none"/>
              </w:rPr>
            </w:pPr>
            <w:r>
              <w:rPr>
                <w:rFonts w:hint="eastAsia"/>
                <w:b/>
                <w:color w:val="auto"/>
                <w:highlight w:val="none"/>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highlight w:val="none"/>
              </w:rPr>
            </w:pPr>
          </w:p>
        </w:tc>
        <w:tc>
          <w:tcPr>
            <w:tcW w:w="2830" w:type="pct"/>
            <w:vAlign w:val="center"/>
          </w:tcPr>
          <w:p w14:paraId="1B22D5ED">
            <w:pPr>
              <w:spacing w:line="400" w:lineRule="exact"/>
              <w:rPr>
                <w:rFonts w:ascii="宋体" w:hAnsi="宋体"/>
                <w:color w:val="auto"/>
                <w:highlight w:val="none"/>
              </w:rPr>
            </w:pPr>
            <w:r>
              <w:rPr>
                <w:rFonts w:hint="eastAsia" w:ascii="宋体" w:hAnsi="宋体"/>
                <w:color w:val="auto"/>
                <w:highlight w:val="none"/>
              </w:rPr>
              <w:t>一、危险化学品生产、经营单位主要负责人和安全生产管理人员未依法经考核合格。</w:t>
            </w:r>
          </w:p>
        </w:tc>
        <w:tc>
          <w:tcPr>
            <w:tcW w:w="1374" w:type="pct"/>
            <w:vAlign w:val="center"/>
          </w:tcPr>
          <w:p w14:paraId="614E36C9">
            <w:pPr>
              <w:spacing w:line="400" w:lineRule="exact"/>
              <w:rPr>
                <w:color w:val="auto"/>
                <w:highlight w:val="none"/>
              </w:rPr>
            </w:pPr>
            <w:r>
              <w:rPr>
                <w:rFonts w:hint="eastAsia" w:ascii="宋体" w:hAnsi="宋体"/>
                <w:color w:val="auto"/>
                <w:highlight w:val="none"/>
              </w:rPr>
              <w:t>主要负责人取证且在有效期内。</w:t>
            </w:r>
          </w:p>
        </w:tc>
        <w:tc>
          <w:tcPr>
            <w:tcW w:w="377" w:type="pct"/>
            <w:vAlign w:val="center"/>
          </w:tcPr>
          <w:p w14:paraId="57160CBC">
            <w:pPr>
              <w:spacing w:line="400" w:lineRule="exact"/>
              <w:jc w:val="center"/>
              <w:rPr>
                <w:rFonts w:ascii="宋体" w:hAnsi="宋体"/>
                <w:color w:val="auto"/>
                <w:highlight w:val="none"/>
              </w:rPr>
            </w:pPr>
            <w:r>
              <w:rPr>
                <w:rFonts w:hint="eastAsia" w:ascii="宋体" w:hAnsi="宋体"/>
                <w:color w:val="auto"/>
                <w:highlight w:val="none"/>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highlight w:val="none"/>
              </w:rPr>
            </w:pPr>
          </w:p>
        </w:tc>
        <w:tc>
          <w:tcPr>
            <w:tcW w:w="2830" w:type="pct"/>
            <w:vAlign w:val="center"/>
          </w:tcPr>
          <w:p w14:paraId="0AC75650">
            <w:pPr>
              <w:spacing w:line="400" w:lineRule="exact"/>
              <w:rPr>
                <w:rFonts w:ascii="宋体" w:hAnsi="宋体"/>
                <w:color w:val="auto"/>
                <w:highlight w:val="none"/>
              </w:rPr>
            </w:pPr>
            <w:r>
              <w:rPr>
                <w:rFonts w:hint="eastAsia" w:ascii="宋体" w:hAnsi="宋体"/>
                <w:color w:val="auto"/>
                <w:highlight w:val="none"/>
              </w:rPr>
              <w:t>二、特种作业人员未持证上岗。</w:t>
            </w:r>
          </w:p>
        </w:tc>
        <w:tc>
          <w:tcPr>
            <w:tcW w:w="1374" w:type="pct"/>
            <w:vAlign w:val="center"/>
          </w:tcPr>
          <w:p w14:paraId="368AB2ED">
            <w:pPr>
              <w:spacing w:line="400" w:lineRule="exact"/>
              <w:rPr>
                <w:rFonts w:ascii="宋体" w:hAnsi="宋体"/>
                <w:color w:val="auto"/>
                <w:highlight w:val="none"/>
              </w:rPr>
            </w:pPr>
            <w:r>
              <w:rPr>
                <w:rFonts w:hint="eastAsia" w:ascii="宋体" w:hAnsi="宋体"/>
                <w:color w:val="auto"/>
                <w:highlight w:val="none"/>
              </w:rPr>
              <w:t>站内无特种作业人员</w:t>
            </w:r>
          </w:p>
        </w:tc>
        <w:tc>
          <w:tcPr>
            <w:tcW w:w="377" w:type="pct"/>
            <w:vAlign w:val="center"/>
          </w:tcPr>
          <w:p w14:paraId="66415658">
            <w:pPr>
              <w:spacing w:line="400" w:lineRule="exact"/>
              <w:jc w:val="center"/>
              <w:rPr>
                <w:rFonts w:ascii="宋体" w:hAnsi="宋体"/>
                <w:color w:val="auto"/>
                <w:highlight w:val="none"/>
              </w:rPr>
            </w:pPr>
            <w:r>
              <w:rPr>
                <w:rFonts w:hint="eastAsia" w:ascii="宋体" w:hAnsi="宋体"/>
                <w:color w:val="auto"/>
                <w:highlight w:val="none"/>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highlight w:val="none"/>
              </w:rPr>
            </w:pPr>
          </w:p>
        </w:tc>
        <w:tc>
          <w:tcPr>
            <w:tcW w:w="2830" w:type="pct"/>
            <w:vAlign w:val="center"/>
          </w:tcPr>
          <w:p w14:paraId="188892F3">
            <w:pPr>
              <w:spacing w:line="400" w:lineRule="exact"/>
              <w:rPr>
                <w:rFonts w:ascii="宋体" w:hAnsi="宋体"/>
                <w:color w:val="auto"/>
                <w:highlight w:val="none"/>
              </w:rPr>
            </w:pPr>
            <w:r>
              <w:rPr>
                <w:rFonts w:hint="eastAsia" w:ascii="宋体" w:hAnsi="宋体"/>
                <w:color w:val="auto"/>
                <w:highlight w:val="none"/>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highlight w:val="none"/>
              </w:rPr>
            </w:pPr>
            <w:r>
              <w:rPr>
                <w:rFonts w:hint="eastAsia" w:ascii="宋体" w:hAnsi="宋体"/>
                <w:color w:val="auto"/>
                <w:highlight w:val="none"/>
              </w:rPr>
              <w:t>安全距离符合GB 50156-2021的要求</w:t>
            </w:r>
          </w:p>
        </w:tc>
        <w:tc>
          <w:tcPr>
            <w:tcW w:w="377" w:type="pct"/>
            <w:vAlign w:val="center"/>
          </w:tcPr>
          <w:p w14:paraId="56D0B4BB">
            <w:pPr>
              <w:spacing w:line="400" w:lineRule="exact"/>
              <w:jc w:val="center"/>
              <w:rPr>
                <w:rFonts w:ascii="宋体" w:hAnsi="宋体"/>
                <w:color w:val="auto"/>
                <w:highlight w:val="none"/>
              </w:rPr>
            </w:pPr>
            <w:r>
              <w:rPr>
                <w:rFonts w:hint="eastAsia" w:ascii="宋体" w:hAnsi="宋体"/>
                <w:color w:val="auto"/>
                <w:highlight w:val="none"/>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highlight w:val="none"/>
              </w:rPr>
            </w:pPr>
          </w:p>
        </w:tc>
        <w:tc>
          <w:tcPr>
            <w:tcW w:w="2830" w:type="pct"/>
            <w:vAlign w:val="center"/>
          </w:tcPr>
          <w:p w14:paraId="51DC6C90">
            <w:pPr>
              <w:spacing w:line="400" w:lineRule="exact"/>
              <w:rPr>
                <w:rFonts w:ascii="宋体" w:hAnsi="宋体"/>
                <w:color w:val="auto"/>
                <w:highlight w:val="none"/>
              </w:rPr>
            </w:pPr>
            <w:r>
              <w:rPr>
                <w:rFonts w:hint="eastAsia" w:ascii="宋体" w:hAnsi="宋体"/>
                <w:color w:val="auto"/>
                <w:highlight w:val="none"/>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highlight w:val="none"/>
              </w:rPr>
            </w:pPr>
            <w:r>
              <w:rPr>
                <w:rFonts w:hint="eastAsia" w:ascii="宋体" w:hAnsi="宋体"/>
                <w:color w:val="auto"/>
                <w:highlight w:val="none"/>
              </w:rPr>
              <w:t>不涉及重点监管危险化工工艺</w:t>
            </w:r>
          </w:p>
        </w:tc>
        <w:tc>
          <w:tcPr>
            <w:tcW w:w="377" w:type="pct"/>
            <w:vAlign w:val="center"/>
          </w:tcPr>
          <w:p w14:paraId="1EB90D59">
            <w:pPr>
              <w:spacing w:line="400" w:lineRule="exact"/>
              <w:jc w:val="center"/>
              <w:rPr>
                <w:rFonts w:ascii="宋体" w:hAnsi="宋体"/>
                <w:color w:val="auto"/>
                <w:highlight w:val="none"/>
              </w:rPr>
            </w:pPr>
            <w:r>
              <w:rPr>
                <w:rFonts w:hint="eastAsia" w:ascii="宋体" w:hAnsi="宋体"/>
                <w:color w:val="auto"/>
                <w:highlight w:val="none"/>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highlight w:val="none"/>
              </w:rPr>
            </w:pPr>
          </w:p>
        </w:tc>
        <w:tc>
          <w:tcPr>
            <w:tcW w:w="2830" w:type="pct"/>
            <w:vAlign w:val="center"/>
          </w:tcPr>
          <w:p w14:paraId="3CE5F0D9">
            <w:pPr>
              <w:spacing w:line="400" w:lineRule="exact"/>
              <w:rPr>
                <w:rFonts w:ascii="宋体" w:hAnsi="宋体"/>
                <w:color w:val="auto"/>
                <w:highlight w:val="none"/>
              </w:rPr>
            </w:pPr>
            <w:r>
              <w:rPr>
                <w:rFonts w:hint="eastAsia" w:ascii="宋体" w:hAnsi="宋体"/>
                <w:color w:val="auto"/>
                <w:highlight w:val="none"/>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highlight w:val="none"/>
              </w:rPr>
            </w:pPr>
            <w:r>
              <w:rPr>
                <w:rFonts w:hint="eastAsia" w:ascii="宋体" w:hAnsi="宋体"/>
                <w:color w:val="auto"/>
                <w:highlight w:val="none"/>
              </w:rPr>
              <w:t>不构成重大危险源</w:t>
            </w:r>
          </w:p>
        </w:tc>
        <w:tc>
          <w:tcPr>
            <w:tcW w:w="377" w:type="pct"/>
            <w:vAlign w:val="center"/>
          </w:tcPr>
          <w:p w14:paraId="666F500E">
            <w:pPr>
              <w:spacing w:line="400" w:lineRule="exact"/>
              <w:jc w:val="center"/>
              <w:rPr>
                <w:rFonts w:ascii="宋体" w:hAnsi="宋体"/>
                <w:color w:val="auto"/>
                <w:highlight w:val="none"/>
              </w:rPr>
            </w:pPr>
            <w:r>
              <w:rPr>
                <w:rFonts w:hint="eastAsia" w:ascii="宋体" w:hAnsi="宋体"/>
                <w:color w:val="auto"/>
                <w:highlight w:val="none"/>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highlight w:val="none"/>
              </w:rPr>
            </w:pPr>
          </w:p>
        </w:tc>
        <w:tc>
          <w:tcPr>
            <w:tcW w:w="2830" w:type="pct"/>
            <w:vAlign w:val="center"/>
          </w:tcPr>
          <w:p w14:paraId="77D02D9E">
            <w:pPr>
              <w:spacing w:line="400" w:lineRule="exact"/>
              <w:rPr>
                <w:rFonts w:ascii="宋体" w:hAnsi="宋体"/>
                <w:color w:val="auto"/>
                <w:highlight w:val="none"/>
              </w:rPr>
            </w:pPr>
            <w:r>
              <w:rPr>
                <w:rFonts w:hint="eastAsia" w:ascii="宋体" w:hAnsi="宋体"/>
                <w:color w:val="auto"/>
                <w:highlight w:val="none"/>
              </w:rPr>
              <w:t>六、全压力式液化烃储罐未按国家标准设置注水措施。</w:t>
            </w:r>
          </w:p>
        </w:tc>
        <w:tc>
          <w:tcPr>
            <w:tcW w:w="1374" w:type="pct"/>
            <w:vAlign w:val="center"/>
          </w:tcPr>
          <w:p w14:paraId="554291A9">
            <w:pPr>
              <w:spacing w:line="400" w:lineRule="exact"/>
              <w:rPr>
                <w:rFonts w:ascii="宋体" w:hAnsi="宋体"/>
                <w:color w:val="auto"/>
                <w:highlight w:val="none"/>
              </w:rPr>
            </w:pPr>
            <w:r>
              <w:rPr>
                <w:rFonts w:hint="eastAsia" w:ascii="宋体" w:hAnsi="宋体"/>
                <w:color w:val="auto"/>
                <w:highlight w:val="none"/>
              </w:rPr>
              <w:t>不涉及液化烃储罐</w:t>
            </w:r>
          </w:p>
        </w:tc>
        <w:tc>
          <w:tcPr>
            <w:tcW w:w="377" w:type="pct"/>
            <w:vAlign w:val="center"/>
          </w:tcPr>
          <w:p w14:paraId="263C1583">
            <w:pPr>
              <w:spacing w:line="400" w:lineRule="exact"/>
              <w:jc w:val="center"/>
              <w:rPr>
                <w:rFonts w:ascii="宋体" w:hAnsi="宋体"/>
                <w:color w:val="auto"/>
                <w:highlight w:val="none"/>
              </w:rPr>
            </w:pPr>
            <w:r>
              <w:rPr>
                <w:rFonts w:hint="eastAsia" w:ascii="宋体" w:hAnsi="宋体"/>
                <w:color w:val="auto"/>
                <w:highlight w:val="none"/>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highlight w:val="none"/>
              </w:rPr>
            </w:pPr>
          </w:p>
        </w:tc>
        <w:tc>
          <w:tcPr>
            <w:tcW w:w="2830" w:type="pct"/>
            <w:vAlign w:val="center"/>
          </w:tcPr>
          <w:p w14:paraId="6355B0FE">
            <w:pPr>
              <w:spacing w:line="400" w:lineRule="exact"/>
              <w:rPr>
                <w:rFonts w:ascii="宋体" w:hAnsi="宋体"/>
                <w:color w:val="auto"/>
                <w:highlight w:val="none"/>
              </w:rPr>
            </w:pPr>
            <w:r>
              <w:rPr>
                <w:rFonts w:hint="eastAsia" w:ascii="宋体" w:hAnsi="宋体"/>
                <w:color w:val="auto"/>
                <w:highlight w:val="none"/>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highlight w:val="none"/>
              </w:rPr>
            </w:pPr>
            <w:r>
              <w:rPr>
                <w:rFonts w:hint="eastAsia" w:ascii="宋体" w:hAnsi="宋体"/>
                <w:color w:val="auto"/>
                <w:highlight w:val="none"/>
              </w:rPr>
              <w:t>不涉及液化气体充装</w:t>
            </w:r>
          </w:p>
        </w:tc>
        <w:tc>
          <w:tcPr>
            <w:tcW w:w="377" w:type="pct"/>
            <w:vAlign w:val="center"/>
          </w:tcPr>
          <w:p w14:paraId="7EEA2567">
            <w:pPr>
              <w:spacing w:line="400" w:lineRule="exact"/>
              <w:jc w:val="center"/>
              <w:rPr>
                <w:rFonts w:ascii="宋体" w:hAnsi="宋体"/>
                <w:color w:val="auto"/>
                <w:highlight w:val="none"/>
              </w:rPr>
            </w:pPr>
            <w:r>
              <w:rPr>
                <w:rFonts w:hint="eastAsia" w:ascii="宋体" w:hAnsi="宋体"/>
                <w:color w:val="auto"/>
                <w:highlight w:val="none"/>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highlight w:val="none"/>
              </w:rPr>
            </w:pPr>
          </w:p>
        </w:tc>
        <w:tc>
          <w:tcPr>
            <w:tcW w:w="2830" w:type="pct"/>
            <w:vAlign w:val="center"/>
          </w:tcPr>
          <w:p w14:paraId="67D73BCB">
            <w:pPr>
              <w:spacing w:line="400" w:lineRule="exact"/>
              <w:rPr>
                <w:rFonts w:ascii="宋体" w:hAnsi="宋体"/>
                <w:color w:val="auto"/>
                <w:highlight w:val="none"/>
              </w:rPr>
            </w:pPr>
            <w:r>
              <w:rPr>
                <w:rFonts w:hint="eastAsia" w:ascii="宋体" w:hAnsi="宋体"/>
                <w:color w:val="auto"/>
                <w:highlight w:val="none"/>
              </w:rPr>
              <w:t>八、光气、氯气等剧毒气体及硫化氢气体管道穿越除厂区</w:t>
            </w:r>
            <w:r>
              <w:rPr>
                <w:rFonts w:hint="eastAsia" w:ascii="宋体" w:hAnsi="宋体"/>
                <w:color w:val="auto"/>
                <w:highlight w:val="none"/>
                <w:lang w:eastAsia="zh-CN"/>
              </w:rPr>
              <w:t>（</w:t>
            </w:r>
            <w:r>
              <w:rPr>
                <w:rFonts w:hint="eastAsia" w:ascii="宋体" w:hAnsi="宋体"/>
                <w:color w:val="auto"/>
                <w:highlight w:val="none"/>
              </w:rPr>
              <w:t>包括化工园区、工业园区）外的公共区域。</w:t>
            </w:r>
          </w:p>
        </w:tc>
        <w:tc>
          <w:tcPr>
            <w:tcW w:w="1374" w:type="pct"/>
            <w:vAlign w:val="center"/>
          </w:tcPr>
          <w:p w14:paraId="21D87AFC">
            <w:pPr>
              <w:spacing w:line="400" w:lineRule="exact"/>
              <w:rPr>
                <w:rFonts w:ascii="宋体" w:hAnsi="宋体"/>
                <w:color w:val="auto"/>
                <w:highlight w:val="none"/>
              </w:rPr>
            </w:pPr>
            <w:r>
              <w:rPr>
                <w:rFonts w:hint="eastAsia" w:ascii="宋体" w:hAnsi="宋体"/>
                <w:color w:val="auto"/>
                <w:highlight w:val="none"/>
              </w:rPr>
              <w:t>不涉及剧毒气体及硫化氢气体管道</w:t>
            </w:r>
          </w:p>
        </w:tc>
        <w:tc>
          <w:tcPr>
            <w:tcW w:w="377" w:type="pct"/>
            <w:vAlign w:val="center"/>
          </w:tcPr>
          <w:p w14:paraId="72CF812E">
            <w:pPr>
              <w:spacing w:line="400" w:lineRule="exact"/>
              <w:jc w:val="center"/>
              <w:rPr>
                <w:rFonts w:ascii="宋体" w:hAnsi="宋体"/>
                <w:color w:val="auto"/>
                <w:highlight w:val="none"/>
              </w:rPr>
            </w:pPr>
            <w:r>
              <w:rPr>
                <w:rFonts w:hint="eastAsia" w:ascii="宋体" w:hAnsi="宋体"/>
                <w:color w:val="auto"/>
                <w:highlight w:val="none"/>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highlight w:val="none"/>
              </w:rPr>
            </w:pPr>
          </w:p>
        </w:tc>
        <w:tc>
          <w:tcPr>
            <w:tcW w:w="2830" w:type="pct"/>
            <w:vAlign w:val="center"/>
          </w:tcPr>
          <w:p w14:paraId="279254A1">
            <w:pPr>
              <w:spacing w:line="400" w:lineRule="exact"/>
              <w:rPr>
                <w:rFonts w:ascii="宋体" w:hAnsi="宋体"/>
                <w:color w:val="auto"/>
                <w:highlight w:val="none"/>
              </w:rPr>
            </w:pPr>
            <w:r>
              <w:rPr>
                <w:rFonts w:hint="eastAsia" w:ascii="宋体" w:hAnsi="宋体"/>
                <w:color w:val="auto"/>
                <w:highlight w:val="none"/>
              </w:rPr>
              <w:t>九、地区架空电力线路穿越生产区且不符合国家标准要求。</w:t>
            </w:r>
          </w:p>
        </w:tc>
        <w:tc>
          <w:tcPr>
            <w:tcW w:w="1374" w:type="pct"/>
            <w:vAlign w:val="center"/>
          </w:tcPr>
          <w:p w14:paraId="08A294C3">
            <w:pPr>
              <w:spacing w:line="400" w:lineRule="exact"/>
              <w:rPr>
                <w:rFonts w:ascii="宋体" w:hAnsi="宋体"/>
                <w:color w:val="auto"/>
                <w:highlight w:val="none"/>
              </w:rPr>
            </w:pPr>
            <w:r>
              <w:rPr>
                <w:rFonts w:hint="eastAsia" w:ascii="宋体" w:hAnsi="宋体"/>
                <w:color w:val="auto"/>
                <w:highlight w:val="none"/>
              </w:rPr>
              <w:t>架空电力线从站外架空通过，未穿越生产区</w:t>
            </w:r>
          </w:p>
        </w:tc>
        <w:tc>
          <w:tcPr>
            <w:tcW w:w="377" w:type="pct"/>
            <w:vAlign w:val="center"/>
          </w:tcPr>
          <w:p w14:paraId="10FF5C3A">
            <w:pPr>
              <w:spacing w:line="400" w:lineRule="exact"/>
              <w:jc w:val="center"/>
              <w:rPr>
                <w:rFonts w:ascii="宋体" w:hAnsi="宋体"/>
                <w:color w:val="auto"/>
                <w:highlight w:val="none"/>
              </w:rPr>
            </w:pPr>
            <w:r>
              <w:rPr>
                <w:rFonts w:hint="eastAsia" w:ascii="宋体" w:hAnsi="宋体"/>
                <w:color w:val="auto"/>
                <w:highlight w:val="none"/>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highlight w:val="none"/>
              </w:rPr>
            </w:pPr>
          </w:p>
        </w:tc>
        <w:tc>
          <w:tcPr>
            <w:tcW w:w="2830" w:type="pct"/>
            <w:vAlign w:val="center"/>
          </w:tcPr>
          <w:p w14:paraId="6A8C1A8A">
            <w:pPr>
              <w:spacing w:line="400" w:lineRule="exact"/>
              <w:rPr>
                <w:rFonts w:ascii="宋体" w:hAnsi="宋体"/>
                <w:color w:val="auto"/>
                <w:highlight w:val="none"/>
              </w:rPr>
            </w:pPr>
            <w:r>
              <w:rPr>
                <w:rFonts w:hint="eastAsia" w:ascii="宋体" w:hAnsi="宋体"/>
                <w:color w:val="auto"/>
                <w:highlight w:val="none"/>
              </w:rPr>
              <w:t>十、在役化工装置未经正规设计且未进行安全设计诊断。</w:t>
            </w:r>
          </w:p>
        </w:tc>
        <w:tc>
          <w:tcPr>
            <w:tcW w:w="1374" w:type="pct"/>
            <w:vAlign w:val="center"/>
          </w:tcPr>
          <w:p w14:paraId="63A9D533">
            <w:pPr>
              <w:spacing w:line="40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77" w:type="pct"/>
            <w:vAlign w:val="center"/>
          </w:tcPr>
          <w:p w14:paraId="688091F7">
            <w:pPr>
              <w:spacing w:line="400" w:lineRule="exact"/>
              <w:jc w:val="center"/>
              <w:rPr>
                <w:rFonts w:ascii="宋体" w:hAnsi="宋体"/>
                <w:color w:val="auto"/>
                <w:highlight w:val="none"/>
              </w:rPr>
            </w:pPr>
            <w:r>
              <w:rPr>
                <w:rFonts w:hint="eastAsia" w:ascii="宋体" w:hAnsi="宋体"/>
                <w:color w:val="auto"/>
                <w:highlight w:val="none"/>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highlight w:val="none"/>
              </w:rPr>
            </w:pPr>
          </w:p>
        </w:tc>
        <w:tc>
          <w:tcPr>
            <w:tcW w:w="2830" w:type="pct"/>
            <w:vAlign w:val="center"/>
          </w:tcPr>
          <w:p w14:paraId="1599246E">
            <w:pPr>
              <w:spacing w:line="400" w:lineRule="exact"/>
              <w:rPr>
                <w:rFonts w:ascii="宋体" w:hAnsi="宋体"/>
                <w:color w:val="auto"/>
                <w:highlight w:val="none"/>
              </w:rPr>
            </w:pPr>
            <w:r>
              <w:rPr>
                <w:rFonts w:hint="eastAsia" w:ascii="宋体" w:hAnsi="宋体"/>
                <w:color w:val="auto"/>
                <w:highlight w:val="none"/>
              </w:rPr>
              <w:t>十一、使用淘汰落后安全技术工艺、设备目录列出的工艺、设备。</w:t>
            </w:r>
          </w:p>
        </w:tc>
        <w:tc>
          <w:tcPr>
            <w:tcW w:w="1374" w:type="pct"/>
            <w:vAlign w:val="center"/>
          </w:tcPr>
          <w:p w14:paraId="39DDD99B">
            <w:pPr>
              <w:spacing w:line="400" w:lineRule="exact"/>
              <w:rPr>
                <w:rFonts w:ascii="宋体" w:hAnsi="宋体"/>
                <w:color w:val="auto"/>
                <w:highlight w:val="none"/>
              </w:rPr>
            </w:pPr>
            <w:r>
              <w:rPr>
                <w:rFonts w:hint="eastAsia" w:ascii="宋体" w:hAnsi="宋体"/>
                <w:color w:val="auto"/>
                <w:highlight w:val="none"/>
              </w:rPr>
              <w:t>未使用淘汰落后安全技术工艺、设备目录列出的工艺、设备</w:t>
            </w:r>
          </w:p>
        </w:tc>
        <w:tc>
          <w:tcPr>
            <w:tcW w:w="377" w:type="pct"/>
            <w:vAlign w:val="center"/>
          </w:tcPr>
          <w:p w14:paraId="5DDC8408">
            <w:pPr>
              <w:spacing w:line="400" w:lineRule="exact"/>
              <w:jc w:val="center"/>
              <w:rPr>
                <w:rFonts w:ascii="宋体" w:hAnsi="宋体"/>
                <w:color w:val="auto"/>
                <w:highlight w:val="none"/>
              </w:rPr>
            </w:pPr>
            <w:r>
              <w:rPr>
                <w:rFonts w:hint="eastAsia" w:ascii="宋体" w:hAnsi="宋体"/>
                <w:color w:val="auto"/>
                <w:highlight w:val="none"/>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highlight w:val="none"/>
              </w:rPr>
            </w:pPr>
          </w:p>
        </w:tc>
        <w:tc>
          <w:tcPr>
            <w:tcW w:w="2830" w:type="pct"/>
            <w:vAlign w:val="center"/>
          </w:tcPr>
          <w:p w14:paraId="3D10D064">
            <w:pPr>
              <w:spacing w:line="400" w:lineRule="exact"/>
              <w:rPr>
                <w:rFonts w:ascii="宋体" w:hAnsi="宋体"/>
                <w:color w:val="auto"/>
                <w:highlight w:val="none"/>
              </w:rPr>
            </w:pPr>
            <w:r>
              <w:rPr>
                <w:rFonts w:hint="eastAsia" w:ascii="宋体" w:hAnsi="宋体"/>
                <w:color w:val="auto"/>
                <w:highlight w:val="none"/>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highlight w:val="none"/>
              </w:rPr>
            </w:pPr>
            <w:r>
              <w:rPr>
                <w:rFonts w:hint="eastAsia" w:ascii="宋体" w:hAnsi="宋体"/>
                <w:color w:val="auto"/>
                <w:highlight w:val="none"/>
              </w:rPr>
              <w:t>按国家标准设置检测报警装置，</w:t>
            </w:r>
            <w:r>
              <w:rPr>
                <w:rFonts w:ascii="宋体" w:hAnsi="宋体"/>
                <w:color w:val="auto"/>
                <w:highlight w:val="none"/>
              </w:rPr>
              <w:t>按照国家标准安装使用防爆电气设备</w:t>
            </w:r>
          </w:p>
        </w:tc>
        <w:tc>
          <w:tcPr>
            <w:tcW w:w="377" w:type="pct"/>
            <w:vAlign w:val="center"/>
          </w:tcPr>
          <w:p w14:paraId="420DFF12">
            <w:pPr>
              <w:spacing w:line="400" w:lineRule="exact"/>
              <w:jc w:val="center"/>
              <w:rPr>
                <w:rFonts w:ascii="宋体" w:hAnsi="宋体"/>
                <w:color w:val="auto"/>
                <w:highlight w:val="none"/>
              </w:rPr>
            </w:pPr>
            <w:r>
              <w:rPr>
                <w:rFonts w:hint="eastAsia" w:ascii="宋体" w:hAnsi="宋体"/>
                <w:color w:val="auto"/>
                <w:highlight w:val="none"/>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highlight w:val="none"/>
              </w:rPr>
            </w:pPr>
          </w:p>
        </w:tc>
        <w:tc>
          <w:tcPr>
            <w:tcW w:w="2830" w:type="pct"/>
            <w:vAlign w:val="center"/>
          </w:tcPr>
          <w:p w14:paraId="6648D32A">
            <w:pPr>
              <w:spacing w:line="400" w:lineRule="exact"/>
              <w:rPr>
                <w:rFonts w:ascii="宋体" w:hAnsi="宋体"/>
                <w:color w:val="auto"/>
                <w:highlight w:val="none"/>
              </w:rPr>
            </w:pPr>
            <w:r>
              <w:rPr>
                <w:rFonts w:hint="eastAsia" w:ascii="宋体" w:hAnsi="宋体"/>
                <w:color w:val="auto"/>
                <w:highlight w:val="none"/>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highlight w:val="none"/>
              </w:rPr>
            </w:pPr>
            <w:r>
              <w:rPr>
                <w:rFonts w:hint="eastAsia" w:ascii="宋体" w:hAnsi="宋体"/>
                <w:color w:val="auto"/>
                <w:highlight w:val="none"/>
              </w:rPr>
              <w:t>不涉及控制室或机柜间</w:t>
            </w:r>
          </w:p>
        </w:tc>
        <w:tc>
          <w:tcPr>
            <w:tcW w:w="377" w:type="pct"/>
            <w:vAlign w:val="center"/>
          </w:tcPr>
          <w:p w14:paraId="34B0023F">
            <w:pPr>
              <w:spacing w:line="400" w:lineRule="exact"/>
              <w:jc w:val="center"/>
              <w:rPr>
                <w:rFonts w:ascii="宋体" w:hAnsi="宋体"/>
                <w:color w:val="auto"/>
                <w:highlight w:val="none"/>
              </w:rPr>
            </w:pPr>
            <w:r>
              <w:rPr>
                <w:rFonts w:hint="eastAsia" w:ascii="宋体" w:hAnsi="宋体"/>
                <w:color w:val="auto"/>
                <w:highlight w:val="none"/>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highlight w:val="none"/>
              </w:rPr>
            </w:pPr>
          </w:p>
        </w:tc>
        <w:tc>
          <w:tcPr>
            <w:tcW w:w="2830" w:type="pct"/>
            <w:vAlign w:val="center"/>
          </w:tcPr>
          <w:p w14:paraId="1356FE1F">
            <w:pPr>
              <w:spacing w:line="400" w:lineRule="exact"/>
              <w:rPr>
                <w:rFonts w:ascii="宋体" w:hAnsi="宋体"/>
                <w:color w:val="auto"/>
                <w:highlight w:val="none"/>
              </w:rPr>
            </w:pPr>
            <w:r>
              <w:rPr>
                <w:rFonts w:hint="eastAsia" w:ascii="宋体" w:hAnsi="宋体"/>
                <w:color w:val="auto"/>
                <w:highlight w:val="none"/>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highlight w:val="none"/>
              </w:rPr>
            </w:pPr>
            <w:r>
              <w:rPr>
                <w:rFonts w:hint="eastAsia" w:ascii="宋体" w:hAnsi="宋体"/>
                <w:color w:val="auto"/>
                <w:highlight w:val="none"/>
              </w:rPr>
              <w:t>非生产装置配备UPS电源</w:t>
            </w:r>
          </w:p>
        </w:tc>
        <w:tc>
          <w:tcPr>
            <w:tcW w:w="377" w:type="pct"/>
            <w:vAlign w:val="center"/>
          </w:tcPr>
          <w:p w14:paraId="547930F7">
            <w:pPr>
              <w:spacing w:line="400" w:lineRule="exact"/>
              <w:jc w:val="center"/>
              <w:rPr>
                <w:rFonts w:ascii="宋体" w:hAnsi="宋体"/>
                <w:color w:val="auto"/>
                <w:highlight w:val="none"/>
              </w:rPr>
            </w:pPr>
            <w:r>
              <w:rPr>
                <w:rFonts w:hint="eastAsia" w:ascii="宋体" w:hAnsi="宋体"/>
                <w:color w:val="auto"/>
                <w:highlight w:val="none"/>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highlight w:val="none"/>
              </w:rPr>
            </w:pPr>
          </w:p>
        </w:tc>
        <w:tc>
          <w:tcPr>
            <w:tcW w:w="2830" w:type="pct"/>
            <w:vAlign w:val="center"/>
          </w:tcPr>
          <w:p w14:paraId="18080142">
            <w:pPr>
              <w:spacing w:line="400" w:lineRule="exact"/>
              <w:rPr>
                <w:rFonts w:ascii="宋体" w:hAnsi="宋体"/>
                <w:color w:val="auto"/>
                <w:highlight w:val="none"/>
              </w:rPr>
            </w:pPr>
            <w:r>
              <w:rPr>
                <w:rFonts w:hint="eastAsia" w:ascii="宋体" w:hAnsi="宋体"/>
                <w:color w:val="auto"/>
                <w:highlight w:val="none"/>
              </w:rPr>
              <w:t>十五、安全阀、爆破片等安全附件未正常投用。</w:t>
            </w:r>
          </w:p>
        </w:tc>
        <w:tc>
          <w:tcPr>
            <w:tcW w:w="1374" w:type="pct"/>
            <w:vAlign w:val="center"/>
          </w:tcPr>
          <w:p w14:paraId="2346A0DC">
            <w:pPr>
              <w:spacing w:line="400" w:lineRule="exact"/>
              <w:rPr>
                <w:rFonts w:ascii="宋体" w:hAnsi="宋体"/>
                <w:color w:val="auto"/>
                <w:highlight w:val="none"/>
              </w:rPr>
            </w:pPr>
            <w:r>
              <w:rPr>
                <w:rFonts w:hint="eastAsia" w:ascii="宋体" w:hAnsi="宋体"/>
                <w:color w:val="auto"/>
                <w:highlight w:val="none"/>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highlight w:val="none"/>
              </w:rPr>
            </w:pPr>
            <w:r>
              <w:rPr>
                <w:rFonts w:hint="eastAsia" w:ascii="宋体" w:hAnsi="宋体"/>
                <w:color w:val="auto"/>
                <w:highlight w:val="none"/>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highlight w:val="none"/>
              </w:rPr>
            </w:pPr>
          </w:p>
        </w:tc>
        <w:tc>
          <w:tcPr>
            <w:tcW w:w="2830" w:type="pct"/>
            <w:vAlign w:val="center"/>
          </w:tcPr>
          <w:p w14:paraId="0742A0AD">
            <w:pPr>
              <w:spacing w:line="400" w:lineRule="exact"/>
              <w:rPr>
                <w:rFonts w:ascii="宋体" w:hAnsi="宋体"/>
                <w:color w:val="auto"/>
                <w:highlight w:val="none"/>
              </w:rPr>
            </w:pPr>
            <w:r>
              <w:rPr>
                <w:rFonts w:hint="eastAsia" w:ascii="宋体" w:hAnsi="宋体"/>
                <w:color w:val="auto"/>
                <w:highlight w:val="none"/>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highlight w:val="none"/>
              </w:rPr>
            </w:pPr>
            <w:r>
              <w:rPr>
                <w:rFonts w:hint="eastAsia" w:ascii="宋体" w:hAnsi="宋体"/>
                <w:color w:val="auto"/>
                <w:highlight w:val="none"/>
              </w:rPr>
              <w:t>建立了与岗位相匹配的全员安全生产责任制，</w:t>
            </w:r>
            <w:r>
              <w:rPr>
                <w:rFonts w:hint="eastAsia" w:ascii="宋体" w:hAnsi="宋体"/>
                <w:color w:val="auto"/>
                <w:highlight w:val="none"/>
                <w:lang w:eastAsia="zh-CN"/>
              </w:rPr>
              <w:t>制定</w:t>
            </w:r>
            <w:r>
              <w:rPr>
                <w:rFonts w:hint="eastAsia" w:ascii="宋体" w:hAnsi="宋体"/>
                <w:color w:val="auto"/>
                <w:highlight w:val="none"/>
              </w:rPr>
              <w:t>并有效实施生产安全事故隐患排查治理制度。</w:t>
            </w:r>
          </w:p>
        </w:tc>
        <w:tc>
          <w:tcPr>
            <w:tcW w:w="377" w:type="pct"/>
            <w:vAlign w:val="center"/>
          </w:tcPr>
          <w:p w14:paraId="36C4C774">
            <w:pPr>
              <w:spacing w:line="400" w:lineRule="exact"/>
              <w:jc w:val="center"/>
              <w:rPr>
                <w:rFonts w:ascii="宋体" w:hAnsi="宋体"/>
                <w:color w:val="auto"/>
                <w:highlight w:val="none"/>
              </w:rPr>
            </w:pPr>
            <w:r>
              <w:rPr>
                <w:rFonts w:hint="eastAsia" w:ascii="宋体" w:hAnsi="宋体"/>
                <w:color w:val="auto"/>
                <w:highlight w:val="none"/>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highlight w:val="none"/>
              </w:rPr>
            </w:pPr>
          </w:p>
        </w:tc>
        <w:tc>
          <w:tcPr>
            <w:tcW w:w="2830" w:type="pct"/>
            <w:vAlign w:val="center"/>
          </w:tcPr>
          <w:p w14:paraId="443F7BF5">
            <w:pPr>
              <w:spacing w:line="400" w:lineRule="exact"/>
              <w:rPr>
                <w:rFonts w:ascii="宋体" w:hAnsi="宋体"/>
                <w:color w:val="auto"/>
                <w:highlight w:val="none"/>
              </w:rPr>
            </w:pPr>
            <w:r>
              <w:rPr>
                <w:rFonts w:hint="eastAsia" w:ascii="宋体" w:hAnsi="宋体"/>
                <w:color w:val="auto"/>
                <w:highlight w:val="none"/>
              </w:rPr>
              <w:t>十七、未制定操作规程和工艺控制指标。</w:t>
            </w:r>
          </w:p>
        </w:tc>
        <w:tc>
          <w:tcPr>
            <w:tcW w:w="1374" w:type="pct"/>
            <w:vAlign w:val="center"/>
          </w:tcPr>
          <w:p w14:paraId="1A0672E0">
            <w:pPr>
              <w:spacing w:line="400" w:lineRule="exact"/>
              <w:rPr>
                <w:rFonts w:ascii="宋体" w:hAnsi="宋体"/>
                <w:color w:val="auto"/>
                <w:highlight w:val="none"/>
              </w:rPr>
            </w:pPr>
            <w:r>
              <w:rPr>
                <w:rFonts w:hint="eastAsia" w:ascii="宋体" w:hAnsi="宋体"/>
                <w:color w:val="auto"/>
                <w:highlight w:val="none"/>
              </w:rPr>
              <w:t>制定了操作规程</w:t>
            </w:r>
          </w:p>
        </w:tc>
        <w:tc>
          <w:tcPr>
            <w:tcW w:w="377" w:type="pct"/>
            <w:vAlign w:val="center"/>
          </w:tcPr>
          <w:p w14:paraId="17BD5E91">
            <w:pPr>
              <w:spacing w:line="400" w:lineRule="exact"/>
              <w:jc w:val="center"/>
              <w:rPr>
                <w:rFonts w:ascii="宋体" w:hAnsi="宋体"/>
                <w:color w:val="auto"/>
                <w:highlight w:val="none"/>
              </w:rPr>
            </w:pPr>
            <w:r>
              <w:rPr>
                <w:rFonts w:hint="eastAsia" w:ascii="宋体" w:hAnsi="宋体"/>
                <w:color w:val="auto"/>
                <w:highlight w:val="none"/>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highlight w:val="none"/>
              </w:rPr>
            </w:pPr>
          </w:p>
        </w:tc>
        <w:tc>
          <w:tcPr>
            <w:tcW w:w="2830" w:type="pct"/>
            <w:vAlign w:val="center"/>
          </w:tcPr>
          <w:p w14:paraId="350BE93C">
            <w:pPr>
              <w:spacing w:line="400" w:lineRule="exact"/>
              <w:rPr>
                <w:rFonts w:ascii="宋体" w:hAnsi="宋体"/>
                <w:color w:val="auto"/>
                <w:highlight w:val="none"/>
              </w:rPr>
            </w:pPr>
            <w:r>
              <w:rPr>
                <w:rFonts w:hint="eastAsia" w:ascii="宋体" w:hAnsi="宋体"/>
                <w:color w:val="auto"/>
                <w:highlight w:val="none"/>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77" w:type="pct"/>
            <w:vAlign w:val="center"/>
          </w:tcPr>
          <w:p w14:paraId="3260B4F4">
            <w:pPr>
              <w:spacing w:line="400" w:lineRule="exact"/>
              <w:jc w:val="center"/>
              <w:rPr>
                <w:rFonts w:ascii="宋体" w:hAnsi="宋体"/>
                <w:color w:val="auto"/>
                <w:highlight w:val="none"/>
              </w:rPr>
            </w:pPr>
            <w:r>
              <w:rPr>
                <w:rFonts w:hint="eastAsia" w:ascii="宋体" w:hAnsi="宋体"/>
                <w:color w:val="auto"/>
                <w:highlight w:val="none"/>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highlight w:val="none"/>
              </w:rPr>
            </w:pPr>
          </w:p>
        </w:tc>
        <w:tc>
          <w:tcPr>
            <w:tcW w:w="2830" w:type="pct"/>
            <w:vAlign w:val="center"/>
          </w:tcPr>
          <w:p w14:paraId="7C4A3B86">
            <w:pPr>
              <w:spacing w:line="400" w:lineRule="exact"/>
              <w:rPr>
                <w:rFonts w:ascii="宋体" w:hAnsi="宋体"/>
                <w:color w:val="auto"/>
                <w:highlight w:val="none"/>
              </w:rPr>
            </w:pPr>
            <w:r>
              <w:rPr>
                <w:rFonts w:hint="eastAsia" w:ascii="宋体" w:hAnsi="宋体"/>
                <w:color w:val="auto"/>
                <w:highlight w:val="none"/>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highlight w:val="none"/>
              </w:rPr>
            </w:pPr>
            <w:r>
              <w:rPr>
                <w:rFonts w:hint="eastAsia" w:ascii="宋体" w:hAnsi="宋体"/>
                <w:color w:val="auto"/>
                <w:highlight w:val="none"/>
              </w:rPr>
              <w:t>不涉及生产工艺过程</w:t>
            </w:r>
          </w:p>
        </w:tc>
        <w:tc>
          <w:tcPr>
            <w:tcW w:w="377" w:type="pct"/>
            <w:vAlign w:val="center"/>
          </w:tcPr>
          <w:p w14:paraId="70D20F61">
            <w:pPr>
              <w:spacing w:line="400" w:lineRule="exact"/>
              <w:jc w:val="center"/>
              <w:rPr>
                <w:rFonts w:ascii="宋体" w:hAnsi="宋体"/>
                <w:color w:val="auto"/>
                <w:highlight w:val="none"/>
              </w:rPr>
            </w:pPr>
            <w:r>
              <w:rPr>
                <w:rFonts w:hint="eastAsia" w:ascii="宋体" w:hAnsi="宋体"/>
                <w:color w:val="auto"/>
                <w:highlight w:val="none"/>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highlight w:val="none"/>
              </w:rPr>
            </w:pPr>
          </w:p>
        </w:tc>
        <w:tc>
          <w:tcPr>
            <w:tcW w:w="2830" w:type="pct"/>
            <w:vAlign w:val="center"/>
          </w:tcPr>
          <w:p w14:paraId="798852F1">
            <w:pPr>
              <w:spacing w:line="400" w:lineRule="exact"/>
              <w:rPr>
                <w:rFonts w:ascii="宋体" w:hAnsi="宋体"/>
                <w:color w:val="auto"/>
                <w:highlight w:val="none"/>
              </w:rPr>
            </w:pPr>
            <w:r>
              <w:rPr>
                <w:rFonts w:hint="eastAsia" w:ascii="宋体" w:hAnsi="宋体"/>
                <w:color w:val="auto"/>
                <w:highlight w:val="none"/>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highlight w:val="none"/>
              </w:rPr>
            </w:pPr>
            <w:r>
              <w:rPr>
                <w:rFonts w:hint="eastAsia" w:ascii="宋体" w:hAnsi="宋体"/>
                <w:color w:val="auto"/>
                <w:highlight w:val="none"/>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highlight w:val="none"/>
              </w:rPr>
            </w:pPr>
            <w:r>
              <w:rPr>
                <w:rFonts w:hint="eastAsia" w:ascii="宋体" w:hAnsi="宋体"/>
                <w:color w:val="auto"/>
                <w:highlight w:val="none"/>
              </w:rPr>
              <w:t>符合</w:t>
            </w:r>
          </w:p>
        </w:tc>
      </w:tr>
    </w:tbl>
    <w:p w14:paraId="7CDAF34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该加油站未发现重大隐患</w:t>
      </w:r>
      <w:r>
        <w:rPr>
          <w:rFonts w:ascii="宋体" w:hAnsi="宋体"/>
          <w:color w:val="auto"/>
          <w:sz w:val="28"/>
          <w:szCs w:val="28"/>
          <w:highlight w:val="none"/>
        </w:rPr>
        <w:t>。</w:t>
      </w:r>
    </w:p>
    <w:p w14:paraId="68B07015">
      <w:pPr>
        <w:pStyle w:val="3"/>
        <w:jc w:val="center"/>
        <w:rPr>
          <w:rFonts w:ascii="宋体" w:hAnsi="宋体"/>
          <w:color w:val="auto"/>
          <w:sz w:val="30"/>
          <w:szCs w:val="30"/>
          <w:highlight w:val="none"/>
        </w:rPr>
      </w:pPr>
      <w:bookmarkStart w:id="193" w:name="_Toc25626"/>
      <w:bookmarkStart w:id="194" w:name="_Toc92712599"/>
      <w:bookmarkStart w:id="195" w:name="_Toc32166"/>
      <w:bookmarkStart w:id="196" w:name="_Toc14134"/>
      <w:r>
        <w:rPr>
          <w:rFonts w:hint="eastAsia" w:ascii="宋体" w:hAnsi="宋体"/>
          <w:color w:val="auto"/>
          <w:sz w:val="30"/>
          <w:szCs w:val="30"/>
          <w:highlight w:val="none"/>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5.13-1 </w:t>
      </w:r>
      <w:r>
        <w:rPr>
          <w:rFonts w:ascii="宋体" w:hAnsi="宋体"/>
          <w:color w:val="auto"/>
          <w:sz w:val="28"/>
          <w:szCs w:val="28"/>
          <w:highlight w:val="none"/>
        </w:rPr>
        <w:t xml:space="preserve"> </w:t>
      </w:r>
      <w:r>
        <w:rPr>
          <w:rFonts w:hint="eastAsia" w:ascii="宋体" w:hAnsi="宋体"/>
          <w:color w:val="auto"/>
          <w:sz w:val="28"/>
          <w:szCs w:val="28"/>
          <w:highlight w:val="none"/>
        </w:rPr>
        <w:t>危险化学品企业安全分类整治</w:t>
      </w:r>
      <w:r>
        <w:rPr>
          <w:rFonts w:ascii="宋体" w:hAnsi="宋体"/>
          <w:color w:val="auto"/>
          <w:sz w:val="28"/>
          <w:szCs w:val="28"/>
          <w:highlight w:val="none"/>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highlight w:val="none"/>
              </w:rPr>
            </w:pPr>
            <w:r>
              <w:rPr>
                <w:rFonts w:ascii="宋体" w:hAnsi="宋体"/>
                <w:b/>
                <w:color w:val="auto"/>
                <w:highlight w:val="none"/>
              </w:rPr>
              <w:t>序号</w:t>
            </w:r>
          </w:p>
        </w:tc>
        <w:tc>
          <w:tcPr>
            <w:tcW w:w="1319" w:type="pct"/>
            <w:vAlign w:val="center"/>
          </w:tcPr>
          <w:p w14:paraId="741CDBA3">
            <w:pPr>
              <w:spacing w:line="260" w:lineRule="exact"/>
              <w:jc w:val="center"/>
              <w:rPr>
                <w:rFonts w:ascii="宋体" w:hAnsi="宋体"/>
                <w:b/>
                <w:color w:val="auto"/>
                <w:highlight w:val="none"/>
              </w:rPr>
            </w:pPr>
            <w:r>
              <w:rPr>
                <w:rFonts w:ascii="宋体" w:hAnsi="宋体"/>
                <w:b/>
                <w:color w:val="auto"/>
                <w:highlight w:val="none"/>
              </w:rPr>
              <w:t>分类内容</w:t>
            </w:r>
          </w:p>
        </w:tc>
        <w:tc>
          <w:tcPr>
            <w:tcW w:w="1398" w:type="pct"/>
            <w:vAlign w:val="center"/>
          </w:tcPr>
          <w:p w14:paraId="358A24B9">
            <w:pPr>
              <w:spacing w:line="260" w:lineRule="exact"/>
              <w:jc w:val="center"/>
              <w:rPr>
                <w:rFonts w:ascii="宋体" w:hAnsi="宋体"/>
                <w:b/>
                <w:color w:val="auto"/>
                <w:highlight w:val="none"/>
              </w:rPr>
            </w:pPr>
            <w:r>
              <w:rPr>
                <w:rFonts w:ascii="宋体" w:hAnsi="宋体"/>
                <w:b/>
                <w:color w:val="auto"/>
                <w:highlight w:val="none"/>
              </w:rPr>
              <w:t>违法依据</w:t>
            </w:r>
          </w:p>
        </w:tc>
        <w:tc>
          <w:tcPr>
            <w:tcW w:w="886" w:type="pct"/>
            <w:vAlign w:val="center"/>
          </w:tcPr>
          <w:p w14:paraId="35FA6CF2">
            <w:pPr>
              <w:spacing w:line="260" w:lineRule="exact"/>
              <w:jc w:val="center"/>
              <w:rPr>
                <w:rFonts w:ascii="宋体" w:hAnsi="宋体"/>
                <w:b/>
                <w:color w:val="auto"/>
                <w:highlight w:val="none"/>
              </w:rPr>
            </w:pPr>
            <w:r>
              <w:rPr>
                <w:rFonts w:ascii="宋体" w:hAnsi="宋体"/>
                <w:b/>
                <w:color w:val="auto"/>
                <w:highlight w:val="none"/>
              </w:rPr>
              <w:t>处理依据</w:t>
            </w:r>
          </w:p>
        </w:tc>
        <w:tc>
          <w:tcPr>
            <w:tcW w:w="719" w:type="pct"/>
            <w:vAlign w:val="center"/>
          </w:tcPr>
          <w:p w14:paraId="4672CCBC">
            <w:pPr>
              <w:spacing w:line="260" w:lineRule="exact"/>
              <w:jc w:val="center"/>
              <w:rPr>
                <w:rFonts w:ascii="宋体" w:hAnsi="宋体"/>
                <w:b/>
                <w:color w:val="auto"/>
                <w:highlight w:val="none"/>
              </w:rPr>
            </w:pPr>
            <w:r>
              <w:rPr>
                <w:rFonts w:ascii="宋体" w:hAnsi="宋体"/>
                <w:b/>
                <w:color w:val="auto"/>
                <w:highlight w:val="none"/>
              </w:rPr>
              <w:t>检查</w:t>
            </w:r>
            <w:r>
              <w:rPr>
                <w:rFonts w:hint="eastAsia" w:ascii="宋体" w:hAnsi="宋体"/>
                <w:b/>
                <w:color w:val="auto"/>
                <w:highlight w:val="none"/>
              </w:rPr>
              <w:t>记录</w:t>
            </w:r>
          </w:p>
        </w:tc>
        <w:tc>
          <w:tcPr>
            <w:tcW w:w="388" w:type="pct"/>
            <w:vAlign w:val="center"/>
          </w:tcPr>
          <w:p w14:paraId="08ED62A6">
            <w:pPr>
              <w:spacing w:line="260" w:lineRule="exact"/>
              <w:jc w:val="center"/>
              <w:rPr>
                <w:rFonts w:ascii="宋体" w:hAnsi="宋体"/>
                <w:b/>
                <w:color w:val="auto"/>
                <w:highlight w:val="none"/>
              </w:rPr>
            </w:pPr>
            <w:r>
              <w:rPr>
                <w:rFonts w:ascii="宋体" w:hAnsi="宋体"/>
                <w:b/>
                <w:color w:val="auto"/>
                <w:highlight w:val="none"/>
              </w:rPr>
              <w:t>检查</w:t>
            </w:r>
          </w:p>
          <w:p w14:paraId="3A711164">
            <w:pPr>
              <w:spacing w:line="260" w:lineRule="exact"/>
              <w:jc w:val="center"/>
              <w:rPr>
                <w:rFonts w:ascii="宋体" w:hAnsi="宋体"/>
                <w:b/>
                <w:color w:val="auto"/>
                <w:highlight w:val="none"/>
              </w:rPr>
            </w:pPr>
            <w:r>
              <w:rPr>
                <w:rFonts w:hint="eastAsia" w:ascii="宋体" w:hAnsi="宋体"/>
                <w:b/>
                <w:color w:val="auto"/>
                <w:highlight w:val="none"/>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highlight w:val="none"/>
              </w:rPr>
            </w:pPr>
            <w:r>
              <w:rPr>
                <w:rFonts w:ascii="宋体" w:hAnsi="宋体"/>
                <w:b/>
                <w:color w:val="auto"/>
                <w:highlight w:val="none"/>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highlight w:val="none"/>
              </w:rPr>
            </w:pPr>
          </w:p>
        </w:tc>
        <w:tc>
          <w:tcPr>
            <w:tcW w:w="1319" w:type="pct"/>
            <w:vAlign w:val="center"/>
          </w:tcPr>
          <w:p w14:paraId="3F4CB70D">
            <w:pPr>
              <w:spacing w:line="260" w:lineRule="exact"/>
              <w:rPr>
                <w:rFonts w:ascii="宋体" w:hAnsi="宋体"/>
                <w:color w:val="auto"/>
                <w:highlight w:val="none"/>
              </w:rPr>
            </w:pPr>
            <w:r>
              <w:rPr>
                <w:rFonts w:ascii="宋体" w:hAnsi="宋体"/>
                <w:color w:val="auto"/>
                <w:spacing w:val="-11"/>
                <w:sz w:val="21"/>
                <w:highlight w:val="none"/>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w:t>
            </w:r>
          </w:p>
        </w:tc>
        <w:tc>
          <w:tcPr>
            <w:tcW w:w="886" w:type="pct"/>
            <w:vAlign w:val="center"/>
          </w:tcPr>
          <w:p w14:paraId="6D6588B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7ECE64B">
            <w:pPr>
              <w:spacing w:line="26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88" w:type="pct"/>
            <w:vAlign w:val="center"/>
          </w:tcPr>
          <w:p w14:paraId="75A05885">
            <w:pPr>
              <w:spacing w:line="260" w:lineRule="exact"/>
              <w:jc w:val="center"/>
              <w:rPr>
                <w:rFonts w:ascii="宋体" w:hAnsi="宋体"/>
                <w:color w:val="auto"/>
                <w:highlight w:val="none"/>
              </w:rPr>
            </w:pPr>
            <w:r>
              <w:rPr>
                <w:rFonts w:hint="eastAsia" w:ascii="宋体" w:hAnsi="宋体"/>
                <w:color w:val="auto"/>
                <w:highlight w:val="none"/>
              </w:rPr>
              <w:t>符合</w:t>
            </w:r>
          </w:p>
          <w:p w14:paraId="18A772EE">
            <w:pPr>
              <w:spacing w:line="260" w:lineRule="exact"/>
              <w:jc w:val="center"/>
              <w:rPr>
                <w:rFonts w:ascii="宋体" w:hAnsi="宋体"/>
                <w:color w:val="auto"/>
                <w:highlight w:val="none"/>
              </w:rPr>
            </w:pPr>
            <w:r>
              <w:rPr>
                <w:rFonts w:hint="eastAsia" w:ascii="宋体" w:hAnsi="宋体"/>
                <w:color w:val="auto"/>
                <w:highlight w:val="none"/>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highlight w:val="none"/>
              </w:rPr>
            </w:pPr>
          </w:p>
        </w:tc>
        <w:tc>
          <w:tcPr>
            <w:tcW w:w="1319" w:type="pct"/>
            <w:vAlign w:val="center"/>
          </w:tcPr>
          <w:p w14:paraId="7E0C3312">
            <w:pPr>
              <w:spacing w:line="260" w:lineRule="exact"/>
              <w:rPr>
                <w:rFonts w:ascii="宋体" w:hAnsi="宋体"/>
                <w:color w:val="auto"/>
                <w:highlight w:val="none"/>
              </w:rPr>
            </w:pPr>
            <w:r>
              <w:rPr>
                <w:rFonts w:ascii="宋体" w:hAnsi="宋体"/>
                <w:color w:val="auto"/>
                <w:highlight w:val="none"/>
              </w:rPr>
              <w:t>使用国家明令淘汰落后安全技术工艺、设备目录列出的工艺、设备。</w:t>
            </w:r>
          </w:p>
        </w:tc>
        <w:tc>
          <w:tcPr>
            <w:tcW w:w="1398" w:type="pct"/>
            <w:vAlign w:val="center"/>
          </w:tcPr>
          <w:p w14:paraId="6FE85BC4">
            <w:pPr>
              <w:spacing w:line="260" w:lineRule="exact"/>
              <w:rPr>
                <w:rFonts w:ascii="宋体" w:hAnsi="宋体"/>
                <w:color w:val="auto"/>
                <w:highlight w:val="none"/>
              </w:rPr>
            </w:pPr>
            <w:r>
              <w:rPr>
                <w:rFonts w:ascii="宋体" w:hAnsi="宋体"/>
                <w:color w:val="auto"/>
                <w:highlight w:val="none"/>
              </w:rPr>
              <w:t>《安全生产法》第三十五条；</w:t>
            </w:r>
          </w:p>
          <w:p w14:paraId="3C64F86E">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1A188D7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highlight w:val="none"/>
              </w:rPr>
            </w:pPr>
            <w:r>
              <w:rPr>
                <w:rFonts w:ascii="宋体" w:hAnsi="宋体"/>
                <w:color w:val="auto"/>
                <w:highlight w:val="none"/>
              </w:rPr>
              <w:t>《安全生产许可证条例》第十四条第二款；</w:t>
            </w:r>
          </w:p>
          <w:p w14:paraId="6D20D07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51B7594">
            <w:pPr>
              <w:spacing w:line="260" w:lineRule="exact"/>
              <w:rPr>
                <w:rFonts w:ascii="宋体" w:hAnsi="宋体"/>
                <w:color w:val="auto"/>
                <w:highlight w:val="none"/>
              </w:rPr>
            </w:pPr>
            <w:r>
              <w:rPr>
                <w:rFonts w:hint="eastAsia" w:ascii="宋体" w:hAnsi="宋体"/>
                <w:color w:val="auto"/>
                <w:highlight w:val="none"/>
              </w:rPr>
              <w:t>未使用</w:t>
            </w:r>
            <w:r>
              <w:rPr>
                <w:rFonts w:ascii="宋体" w:hAnsi="宋体"/>
                <w:color w:val="auto"/>
                <w:highlight w:val="none"/>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highlight w:val="none"/>
              </w:rPr>
            </w:pPr>
            <w:r>
              <w:rPr>
                <w:rFonts w:hint="eastAsia" w:ascii="宋体" w:hAnsi="宋体"/>
                <w:color w:val="auto"/>
                <w:highlight w:val="none"/>
              </w:rPr>
              <w:t>符合</w:t>
            </w:r>
          </w:p>
          <w:p w14:paraId="03CBABBB">
            <w:pPr>
              <w:spacing w:line="260" w:lineRule="exact"/>
              <w:jc w:val="center"/>
              <w:rPr>
                <w:rFonts w:ascii="宋体" w:hAnsi="宋体"/>
                <w:color w:val="auto"/>
                <w:highlight w:val="none"/>
              </w:rPr>
            </w:pPr>
            <w:r>
              <w:rPr>
                <w:rFonts w:hint="eastAsia" w:ascii="宋体" w:hAnsi="宋体"/>
                <w:color w:val="auto"/>
                <w:highlight w:val="none"/>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highlight w:val="none"/>
              </w:rPr>
            </w:pPr>
          </w:p>
        </w:tc>
        <w:tc>
          <w:tcPr>
            <w:tcW w:w="1319" w:type="pct"/>
            <w:vAlign w:val="center"/>
          </w:tcPr>
          <w:p w14:paraId="660D9F6F">
            <w:pPr>
              <w:spacing w:line="260" w:lineRule="exact"/>
              <w:rPr>
                <w:rFonts w:ascii="宋体" w:hAnsi="宋体"/>
                <w:color w:val="auto"/>
                <w:highlight w:val="none"/>
              </w:rPr>
            </w:pPr>
            <w:r>
              <w:rPr>
                <w:rFonts w:ascii="宋体" w:hAnsi="宋体"/>
                <w:color w:val="auto"/>
                <w:highlight w:val="none"/>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highlight w:val="none"/>
              </w:rPr>
            </w:pPr>
            <w:r>
              <w:rPr>
                <w:rFonts w:ascii="宋体" w:hAnsi="宋体"/>
                <w:color w:val="auto"/>
                <w:highlight w:val="none"/>
              </w:rPr>
              <w:t>《安全生产法》第十七条；</w:t>
            </w:r>
          </w:p>
          <w:p w14:paraId="108C5B2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《危险化学品生产企业安全生产许可证实施办法》第八条第二款、第九条第五款；</w:t>
            </w:r>
          </w:p>
          <w:p w14:paraId="37765BD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highlight w:val="none"/>
              </w:rPr>
            </w:pPr>
            <w:r>
              <w:rPr>
                <w:rFonts w:ascii="宋体" w:hAnsi="宋体"/>
                <w:color w:val="auto"/>
                <w:highlight w:val="none"/>
              </w:rPr>
              <w:t>《安全生产许可证条例》第十四条第二款；</w:t>
            </w:r>
          </w:p>
          <w:p w14:paraId="3D00DDD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3A13860">
            <w:pPr>
              <w:spacing w:line="260" w:lineRule="exact"/>
              <w:rPr>
                <w:rFonts w:ascii="宋体" w:hAnsi="宋体"/>
                <w:color w:val="auto"/>
                <w:highlight w:val="none"/>
              </w:rPr>
            </w:pPr>
            <w:r>
              <w:rPr>
                <w:rFonts w:ascii="宋体" w:hAnsi="宋体"/>
                <w:color w:val="auto"/>
                <w:highlight w:val="none"/>
              </w:rPr>
              <w:t>安全距离符合</w:t>
            </w:r>
            <w:r>
              <w:rPr>
                <w:rFonts w:hint="eastAsia" w:ascii="宋体" w:hAnsi="宋体"/>
                <w:color w:val="auto"/>
                <w:highlight w:val="none"/>
              </w:rPr>
              <w:t>GB 50156-2021的</w:t>
            </w:r>
            <w:r>
              <w:rPr>
                <w:rFonts w:ascii="宋体" w:hAnsi="宋体"/>
                <w:color w:val="auto"/>
                <w:highlight w:val="none"/>
              </w:rPr>
              <w:t>要求</w:t>
            </w:r>
          </w:p>
        </w:tc>
        <w:tc>
          <w:tcPr>
            <w:tcW w:w="388" w:type="pct"/>
            <w:vAlign w:val="center"/>
          </w:tcPr>
          <w:p w14:paraId="55939777">
            <w:pPr>
              <w:spacing w:line="260" w:lineRule="exact"/>
              <w:jc w:val="center"/>
              <w:rPr>
                <w:rFonts w:ascii="宋体" w:hAnsi="宋体"/>
                <w:color w:val="auto"/>
                <w:highlight w:val="none"/>
              </w:rPr>
            </w:pPr>
            <w:r>
              <w:rPr>
                <w:rFonts w:hint="eastAsia" w:ascii="宋体" w:hAnsi="宋体"/>
                <w:color w:val="auto"/>
                <w:highlight w:val="none"/>
              </w:rPr>
              <w:t>符合</w:t>
            </w:r>
          </w:p>
          <w:p w14:paraId="02B72C79">
            <w:pPr>
              <w:spacing w:line="260" w:lineRule="exact"/>
              <w:jc w:val="center"/>
              <w:rPr>
                <w:rFonts w:ascii="宋体" w:hAnsi="宋体"/>
                <w:color w:val="auto"/>
                <w:highlight w:val="none"/>
              </w:rPr>
            </w:pPr>
            <w:r>
              <w:rPr>
                <w:rFonts w:hint="eastAsia" w:ascii="宋体" w:hAnsi="宋体"/>
                <w:color w:val="auto"/>
                <w:highlight w:val="none"/>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highlight w:val="none"/>
              </w:rPr>
            </w:pPr>
          </w:p>
        </w:tc>
        <w:tc>
          <w:tcPr>
            <w:tcW w:w="1319" w:type="pct"/>
            <w:vAlign w:val="center"/>
          </w:tcPr>
          <w:p w14:paraId="3140EF55">
            <w:pPr>
              <w:spacing w:line="260" w:lineRule="exact"/>
              <w:rPr>
                <w:rFonts w:ascii="宋体" w:hAnsi="宋体"/>
                <w:color w:val="auto"/>
                <w:highlight w:val="none"/>
              </w:rPr>
            </w:pPr>
            <w:r>
              <w:rPr>
                <w:rFonts w:ascii="宋体" w:hAnsi="宋体"/>
                <w:color w:val="auto"/>
                <w:highlight w:val="none"/>
              </w:rPr>
              <w:t>涉及重点监管危险化工工艺的装置未装设自动化控制系统。</w:t>
            </w:r>
          </w:p>
        </w:tc>
        <w:tc>
          <w:tcPr>
            <w:tcW w:w="1398" w:type="pct"/>
            <w:vAlign w:val="center"/>
          </w:tcPr>
          <w:p w14:paraId="56D8B4C3">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7B09CB3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highlight w:val="none"/>
              </w:rPr>
            </w:pPr>
            <w:r>
              <w:rPr>
                <w:rFonts w:ascii="宋体" w:hAnsi="宋体"/>
                <w:color w:val="auto"/>
                <w:highlight w:val="none"/>
              </w:rPr>
              <w:t>《安全生产许可证条例》第十四条第二款；</w:t>
            </w:r>
          </w:p>
          <w:p w14:paraId="2466DF70">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30B16B2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0F5C544F">
            <w:pPr>
              <w:spacing w:line="260" w:lineRule="exact"/>
              <w:jc w:val="center"/>
              <w:rPr>
                <w:rFonts w:ascii="宋体" w:hAnsi="宋体"/>
                <w:color w:val="auto"/>
                <w:highlight w:val="none"/>
              </w:rPr>
            </w:pPr>
            <w:r>
              <w:rPr>
                <w:rFonts w:hint="eastAsia" w:ascii="宋体" w:hAnsi="宋体"/>
                <w:color w:val="auto"/>
                <w:highlight w:val="none"/>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highlight w:val="none"/>
              </w:rPr>
            </w:pPr>
            <w:r>
              <w:rPr>
                <w:rFonts w:ascii="宋体" w:hAnsi="宋体"/>
                <w:b/>
                <w:color w:val="auto"/>
                <w:highlight w:val="none"/>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highlight w:val="none"/>
              </w:rPr>
            </w:pPr>
          </w:p>
        </w:tc>
        <w:tc>
          <w:tcPr>
            <w:tcW w:w="1319" w:type="pct"/>
            <w:vAlign w:val="center"/>
          </w:tcPr>
          <w:p w14:paraId="648BD178">
            <w:pPr>
              <w:spacing w:line="260" w:lineRule="exact"/>
              <w:rPr>
                <w:rFonts w:ascii="宋体" w:hAnsi="宋体"/>
                <w:color w:val="auto"/>
                <w:highlight w:val="none"/>
              </w:rPr>
            </w:pPr>
            <w:r>
              <w:rPr>
                <w:rFonts w:ascii="宋体" w:hAnsi="宋体"/>
                <w:color w:val="auto"/>
                <w:highlight w:val="none"/>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highlight w:val="none"/>
              </w:rPr>
            </w:pPr>
            <w:r>
              <w:rPr>
                <w:rFonts w:ascii="宋体" w:hAnsi="宋体"/>
                <w:color w:val="auto"/>
                <w:highlight w:val="none"/>
              </w:rPr>
              <w:t>《危险化学品安全管理条例》第十四条、第二十九条、第三十三条。</w:t>
            </w:r>
          </w:p>
        </w:tc>
        <w:tc>
          <w:tcPr>
            <w:tcW w:w="886" w:type="pct"/>
            <w:vAlign w:val="center"/>
          </w:tcPr>
          <w:p w14:paraId="371B5FC2">
            <w:pPr>
              <w:spacing w:line="260" w:lineRule="exact"/>
              <w:rPr>
                <w:rFonts w:ascii="宋体" w:hAnsi="宋体"/>
                <w:color w:val="auto"/>
                <w:highlight w:val="none"/>
              </w:rPr>
            </w:pPr>
            <w:r>
              <w:rPr>
                <w:rFonts w:ascii="宋体" w:hAnsi="宋体"/>
                <w:color w:val="auto"/>
                <w:highlight w:val="none"/>
              </w:rPr>
              <w:t>《危险化学品安全管理条例》第七十七条；</w:t>
            </w:r>
          </w:p>
          <w:p w14:paraId="78F1354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《危险化学品生产企业安全生产许可证实施办法》第四十五条；</w:t>
            </w:r>
          </w:p>
          <w:p w14:paraId="2F2526EE">
            <w:pPr>
              <w:spacing w:line="260" w:lineRule="exact"/>
              <w:rPr>
                <w:rFonts w:ascii="宋体" w:hAnsi="宋体"/>
                <w:color w:val="auto"/>
                <w:highlight w:val="none"/>
              </w:rPr>
            </w:pPr>
            <w:r>
              <w:rPr>
                <w:rFonts w:ascii="宋体" w:hAnsi="宋体"/>
                <w:color w:val="auto"/>
                <w:highlight w:val="none"/>
              </w:rPr>
              <w:t>《危险化学品安全使用许可证管理办法》第三十七条。</w:t>
            </w:r>
          </w:p>
        </w:tc>
        <w:tc>
          <w:tcPr>
            <w:tcW w:w="719" w:type="pct"/>
            <w:vAlign w:val="center"/>
          </w:tcPr>
          <w:p w14:paraId="01196472">
            <w:pPr>
              <w:spacing w:line="260" w:lineRule="exact"/>
              <w:rPr>
                <w:rFonts w:ascii="宋体" w:hAnsi="宋体"/>
                <w:color w:val="auto"/>
                <w:highlight w:val="none"/>
              </w:rPr>
            </w:pPr>
            <w:r>
              <w:rPr>
                <w:rFonts w:hint="eastAsia" w:ascii="宋体" w:hAnsi="宋体"/>
                <w:color w:val="auto"/>
                <w:highlight w:val="none"/>
              </w:rPr>
              <w:t>取得</w:t>
            </w:r>
            <w:r>
              <w:rPr>
                <w:rFonts w:ascii="宋体" w:hAnsi="宋体"/>
                <w:color w:val="auto"/>
                <w:highlight w:val="none"/>
              </w:rPr>
              <w:t>危险化学品经营许可证</w:t>
            </w:r>
            <w:r>
              <w:rPr>
                <w:rFonts w:hint="eastAsia" w:ascii="宋体" w:hAnsi="宋体"/>
                <w:color w:val="auto"/>
                <w:highlight w:val="none"/>
              </w:rPr>
              <w:t>，未超出</w:t>
            </w:r>
            <w:r>
              <w:rPr>
                <w:rFonts w:ascii="宋体" w:hAnsi="宋体"/>
                <w:color w:val="auto"/>
                <w:highlight w:val="none"/>
              </w:rPr>
              <w:t>许可范围</w:t>
            </w:r>
          </w:p>
        </w:tc>
        <w:tc>
          <w:tcPr>
            <w:tcW w:w="388" w:type="pct"/>
            <w:vAlign w:val="center"/>
          </w:tcPr>
          <w:p w14:paraId="6D94CDA9">
            <w:pPr>
              <w:spacing w:line="260" w:lineRule="exact"/>
              <w:rPr>
                <w:rFonts w:ascii="宋体" w:hAnsi="宋体"/>
                <w:color w:val="auto"/>
                <w:highlight w:val="none"/>
              </w:rPr>
            </w:pPr>
            <w:r>
              <w:rPr>
                <w:rFonts w:hint="eastAsia" w:ascii="宋体" w:hAnsi="宋体"/>
                <w:color w:val="auto"/>
                <w:highlight w:val="none"/>
              </w:rPr>
              <w:t>符合</w:t>
            </w:r>
          </w:p>
          <w:p w14:paraId="1E40E764">
            <w:pPr>
              <w:spacing w:line="260" w:lineRule="exact"/>
              <w:rPr>
                <w:rFonts w:ascii="宋体" w:hAnsi="宋体"/>
                <w:color w:val="auto"/>
                <w:highlight w:val="none"/>
              </w:rPr>
            </w:pPr>
            <w:r>
              <w:rPr>
                <w:rFonts w:hint="eastAsia" w:ascii="宋体" w:hAnsi="宋体"/>
                <w:color w:val="auto"/>
                <w:highlight w:val="none"/>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highlight w:val="none"/>
              </w:rPr>
            </w:pPr>
          </w:p>
        </w:tc>
        <w:tc>
          <w:tcPr>
            <w:tcW w:w="1319" w:type="pct"/>
            <w:vAlign w:val="center"/>
          </w:tcPr>
          <w:p w14:paraId="3A1E7814">
            <w:pPr>
              <w:spacing w:line="260" w:lineRule="exact"/>
              <w:rPr>
                <w:rFonts w:ascii="宋体" w:hAnsi="宋体"/>
                <w:color w:val="auto"/>
                <w:spacing w:val="-11"/>
                <w:sz w:val="21"/>
                <w:highlight w:val="none"/>
              </w:rPr>
            </w:pPr>
            <w:r>
              <w:rPr>
                <w:rFonts w:ascii="宋体" w:hAnsi="宋体"/>
                <w:color w:val="auto"/>
                <w:spacing w:val="-11"/>
                <w:sz w:val="21"/>
                <w:highlight w:val="none"/>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highlight w:val="none"/>
              </w:rPr>
            </w:pPr>
            <w:r>
              <w:rPr>
                <w:rFonts w:ascii="宋体" w:hAnsi="宋体"/>
                <w:color w:val="auto"/>
                <w:highlight w:val="none"/>
              </w:rPr>
              <w:t>《安全生产法》第六十二条；</w:t>
            </w:r>
          </w:p>
          <w:p w14:paraId="5A7D7176">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43AA33EC">
            <w:pPr>
              <w:spacing w:line="260" w:lineRule="exact"/>
              <w:rPr>
                <w:rFonts w:ascii="宋体" w:hAnsi="宋体"/>
                <w:color w:val="auto"/>
                <w:highlight w:val="none"/>
              </w:rPr>
            </w:pPr>
            <w:r>
              <w:rPr>
                <w:rFonts w:ascii="宋体" w:hAnsi="宋体"/>
                <w:color w:val="auto"/>
                <w:highlight w:val="none"/>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A4D0AD8">
            <w:pPr>
              <w:spacing w:line="260" w:lineRule="exact"/>
              <w:rPr>
                <w:rFonts w:ascii="宋体" w:hAnsi="宋体"/>
                <w:color w:val="auto"/>
                <w:highlight w:val="none"/>
              </w:rPr>
            </w:pPr>
            <w:r>
              <w:rPr>
                <w:rFonts w:hint="eastAsia" w:ascii="宋体" w:hAnsi="宋体"/>
                <w:color w:val="auto"/>
                <w:highlight w:val="none"/>
              </w:rPr>
              <w:t>不涉及生产工艺过程</w:t>
            </w:r>
          </w:p>
        </w:tc>
        <w:tc>
          <w:tcPr>
            <w:tcW w:w="388" w:type="pct"/>
            <w:vAlign w:val="center"/>
          </w:tcPr>
          <w:p w14:paraId="43401434">
            <w:pPr>
              <w:spacing w:line="260" w:lineRule="exact"/>
              <w:rPr>
                <w:rFonts w:ascii="宋体" w:hAnsi="宋体"/>
                <w:color w:val="auto"/>
                <w:highlight w:val="none"/>
              </w:rPr>
            </w:pPr>
            <w:r>
              <w:rPr>
                <w:rFonts w:hint="eastAsia" w:ascii="宋体" w:hAnsi="宋体"/>
                <w:color w:val="auto"/>
                <w:highlight w:val="none"/>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highlight w:val="none"/>
              </w:rPr>
            </w:pPr>
          </w:p>
        </w:tc>
        <w:tc>
          <w:tcPr>
            <w:tcW w:w="1319" w:type="pct"/>
            <w:vAlign w:val="center"/>
          </w:tcPr>
          <w:p w14:paraId="118F27E2">
            <w:pPr>
              <w:spacing w:line="260" w:lineRule="exact"/>
              <w:rPr>
                <w:rFonts w:ascii="宋体" w:hAnsi="宋体"/>
                <w:color w:val="auto"/>
                <w:spacing w:val="-11"/>
                <w:sz w:val="21"/>
                <w:highlight w:val="none"/>
              </w:rPr>
            </w:pPr>
            <w:r>
              <w:rPr>
                <w:rFonts w:ascii="宋体" w:hAnsi="宋体"/>
                <w:color w:val="auto"/>
                <w:spacing w:val="-11"/>
                <w:sz w:val="21"/>
                <w:highlight w:val="none"/>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highlight w:val="none"/>
              </w:rPr>
            </w:pPr>
            <w:r>
              <w:rPr>
                <w:rFonts w:ascii="宋体" w:hAnsi="宋体"/>
                <w:color w:val="auto"/>
                <w:highlight w:val="none"/>
              </w:rPr>
              <w:t>《安全生产法》第六十二条；</w:t>
            </w:r>
          </w:p>
          <w:p w14:paraId="5A8C916C">
            <w:pPr>
              <w:spacing w:line="260" w:lineRule="exact"/>
              <w:rPr>
                <w:rFonts w:ascii="宋体" w:hAnsi="宋体"/>
                <w:color w:val="auto"/>
                <w:highlight w:val="none"/>
              </w:rPr>
            </w:pPr>
            <w:r>
              <w:rPr>
                <w:rFonts w:ascii="宋体" w:hAnsi="宋体"/>
                <w:color w:val="auto"/>
                <w:highlight w:val="none"/>
              </w:rPr>
              <w:t>《危险化学品重大危险源监督管理暂行规定》第十三条；</w:t>
            </w:r>
          </w:p>
          <w:p w14:paraId="7A389892">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A237255">
            <w:pPr>
              <w:spacing w:line="260" w:lineRule="exact"/>
              <w:rPr>
                <w:rFonts w:ascii="宋体" w:hAnsi="宋体"/>
                <w:color w:val="auto"/>
                <w:highlight w:val="none"/>
              </w:rPr>
            </w:pPr>
            <w:r>
              <w:rPr>
                <w:rFonts w:hint="eastAsia" w:ascii="宋体" w:hAnsi="宋体"/>
                <w:color w:val="auto"/>
                <w:highlight w:val="none"/>
              </w:rPr>
              <w:t>不涉及重大危险源</w:t>
            </w:r>
          </w:p>
        </w:tc>
        <w:tc>
          <w:tcPr>
            <w:tcW w:w="388" w:type="pct"/>
            <w:vAlign w:val="center"/>
          </w:tcPr>
          <w:p w14:paraId="2A70DDCE">
            <w:pPr>
              <w:spacing w:line="260" w:lineRule="exact"/>
              <w:rPr>
                <w:rFonts w:ascii="宋体" w:hAnsi="宋体"/>
                <w:color w:val="auto"/>
                <w:highlight w:val="none"/>
              </w:rPr>
            </w:pPr>
            <w:r>
              <w:rPr>
                <w:rFonts w:hint="eastAsia" w:ascii="宋体" w:hAnsi="宋体"/>
                <w:color w:val="auto"/>
                <w:highlight w:val="none"/>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highlight w:val="none"/>
              </w:rPr>
            </w:pPr>
          </w:p>
        </w:tc>
        <w:tc>
          <w:tcPr>
            <w:tcW w:w="1319" w:type="pct"/>
            <w:vAlign w:val="center"/>
          </w:tcPr>
          <w:p w14:paraId="224C97EB">
            <w:pPr>
              <w:spacing w:line="260" w:lineRule="exact"/>
              <w:rPr>
                <w:rFonts w:ascii="宋体" w:hAnsi="宋体"/>
                <w:color w:val="auto"/>
                <w:highlight w:val="none"/>
              </w:rPr>
            </w:pPr>
            <w:r>
              <w:rPr>
                <w:rFonts w:ascii="宋体" w:hAnsi="宋体"/>
                <w:color w:val="auto"/>
                <w:highlight w:val="none"/>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highlight w:val="none"/>
              </w:rPr>
            </w:pPr>
            <w:r>
              <w:rPr>
                <w:rFonts w:ascii="宋体" w:hAnsi="宋体"/>
                <w:color w:val="auto"/>
                <w:highlight w:val="none"/>
              </w:rPr>
              <w:t>《安全生产法》第六十二条；</w:t>
            </w:r>
          </w:p>
          <w:p w14:paraId="3C194C77">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1A3AD92F">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p w14:paraId="693AAA3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highlight w:val="none"/>
              </w:rPr>
            </w:pPr>
            <w:r>
              <w:rPr>
                <w:rFonts w:ascii="宋体" w:hAnsi="宋体"/>
                <w:color w:val="auto"/>
                <w:highlight w:val="none"/>
              </w:rPr>
              <w:t>《安全生产法》第六十二条；</w:t>
            </w:r>
          </w:p>
          <w:p w14:paraId="0585ACD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F7DB942">
            <w:pPr>
              <w:spacing w:line="260" w:lineRule="exact"/>
              <w:rPr>
                <w:rFonts w:ascii="宋体" w:hAnsi="宋体"/>
                <w:color w:val="auto"/>
                <w:highlight w:val="none"/>
              </w:rPr>
            </w:pPr>
          </w:p>
        </w:tc>
        <w:tc>
          <w:tcPr>
            <w:tcW w:w="719" w:type="pct"/>
            <w:vAlign w:val="center"/>
          </w:tcPr>
          <w:p w14:paraId="6A495BA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1CE89335">
            <w:pPr>
              <w:spacing w:line="260" w:lineRule="exact"/>
              <w:rPr>
                <w:rFonts w:ascii="宋体" w:hAnsi="宋体"/>
                <w:color w:val="auto"/>
                <w:highlight w:val="none"/>
              </w:rPr>
            </w:pPr>
            <w:r>
              <w:rPr>
                <w:rFonts w:hint="eastAsia" w:ascii="宋体" w:hAnsi="宋体"/>
                <w:color w:val="auto"/>
                <w:highlight w:val="none"/>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highlight w:val="none"/>
              </w:rPr>
            </w:pPr>
          </w:p>
        </w:tc>
        <w:tc>
          <w:tcPr>
            <w:tcW w:w="1319" w:type="pct"/>
            <w:vAlign w:val="center"/>
          </w:tcPr>
          <w:p w14:paraId="771DED35">
            <w:pPr>
              <w:spacing w:line="260" w:lineRule="exact"/>
              <w:rPr>
                <w:rFonts w:ascii="宋体" w:hAnsi="宋体"/>
                <w:color w:val="auto"/>
                <w:highlight w:val="none"/>
              </w:rPr>
            </w:pPr>
            <w:r>
              <w:rPr>
                <w:rFonts w:ascii="宋体" w:hAnsi="宋体"/>
                <w:color w:val="auto"/>
                <w:highlight w:val="none"/>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《危险化学品生产企业安全生产许可证实施办法》第八条第一款第三项；</w:t>
            </w:r>
          </w:p>
          <w:p w14:paraId="68CA00F0">
            <w:pPr>
              <w:spacing w:line="260" w:lineRule="exact"/>
              <w:rPr>
                <w:rFonts w:ascii="宋体" w:hAnsi="宋体"/>
                <w:color w:val="auto"/>
                <w:highlight w:val="none"/>
              </w:rPr>
            </w:pPr>
            <w:r>
              <w:rPr>
                <w:rFonts w:ascii="宋体" w:hAnsi="宋体"/>
                <w:color w:val="auto"/>
                <w:highlight w:val="none"/>
              </w:rPr>
              <w:t>《石油化工企业设计防火标准》（GB 50160-2008）（2018年版）5.2.16。</w:t>
            </w:r>
          </w:p>
        </w:tc>
        <w:tc>
          <w:tcPr>
            <w:tcW w:w="886" w:type="pct"/>
            <w:vAlign w:val="center"/>
          </w:tcPr>
          <w:p w14:paraId="50580D7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BE4749D">
            <w:pPr>
              <w:spacing w:line="260" w:lineRule="exact"/>
              <w:rPr>
                <w:rFonts w:ascii="宋体" w:hAnsi="宋体"/>
                <w:color w:val="auto"/>
                <w:highlight w:val="none"/>
              </w:rPr>
            </w:pPr>
            <w:r>
              <w:rPr>
                <w:rFonts w:hint="eastAsia" w:ascii="宋体" w:hAnsi="宋体"/>
                <w:color w:val="auto"/>
                <w:highlight w:val="none"/>
              </w:rPr>
              <w:t>配电间、站房未</w:t>
            </w:r>
            <w:r>
              <w:rPr>
                <w:rFonts w:ascii="宋体" w:hAnsi="宋体"/>
                <w:color w:val="auto"/>
                <w:highlight w:val="none"/>
              </w:rPr>
              <w:t>与设有甲、乙</w:t>
            </w:r>
            <w:r>
              <w:rPr>
                <w:rFonts w:ascii="宋体" w:hAnsi="宋体"/>
                <w:color w:val="auto"/>
                <w:highlight w:val="none"/>
                <w:vertAlign w:val="subscript"/>
              </w:rPr>
              <w:t>A</w:t>
            </w:r>
            <w:r>
              <w:rPr>
                <w:rFonts w:ascii="宋体" w:hAnsi="宋体"/>
                <w:color w:val="auto"/>
                <w:highlight w:val="none"/>
              </w:rPr>
              <w:t>类设备的房间布置在同一建筑物内</w:t>
            </w:r>
          </w:p>
        </w:tc>
        <w:tc>
          <w:tcPr>
            <w:tcW w:w="388" w:type="pct"/>
            <w:vAlign w:val="center"/>
          </w:tcPr>
          <w:p w14:paraId="53568241">
            <w:pPr>
              <w:spacing w:line="260" w:lineRule="exact"/>
              <w:rPr>
                <w:rFonts w:ascii="宋体" w:hAnsi="宋体"/>
                <w:color w:val="auto"/>
                <w:highlight w:val="none"/>
              </w:rPr>
            </w:pPr>
            <w:r>
              <w:rPr>
                <w:rFonts w:hint="eastAsia" w:ascii="宋体" w:hAnsi="宋体"/>
                <w:color w:val="auto"/>
                <w:highlight w:val="none"/>
              </w:rPr>
              <w:t>符合</w:t>
            </w:r>
          </w:p>
          <w:p w14:paraId="1361D502">
            <w:pPr>
              <w:spacing w:line="260" w:lineRule="exact"/>
              <w:rPr>
                <w:rFonts w:ascii="宋体" w:hAnsi="宋体"/>
                <w:color w:val="auto"/>
                <w:highlight w:val="none"/>
              </w:rPr>
            </w:pPr>
            <w:r>
              <w:rPr>
                <w:rFonts w:hint="eastAsia" w:ascii="宋体" w:hAnsi="宋体"/>
                <w:color w:val="auto"/>
                <w:highlight w:val="none"/>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highlight w:val="none"/>
              </w:rPr>
            </w:pPr>
          </w:p>
        </w:tc>
        <w:tc>
          <w:tcPr>
            <w:tcW w:w="1319" w:type="pct"/>
            <w:vAlign w:val="center"/>
          </w:tcPr>
          <w:p w14:paraId="260ACDD0">
            <w:pPr>
              <w:spacing w:line="260" w:lineRule="exact"/>
              <w:rPr>
                <w:rFonts w:ascii="宋体" w:hAnsi="宋体"/>
                <w:color w:val="auto"/>
                <w:highlight w:val="none"/>
              </w:rPr>
            </w:pPr>
            <w:r>
              <w:rPr>
                <w:rFonts w:ascii="宋体" w:hAnsi="宋体"/>
                <w:color w:val="auto"/>
                <w:highlight w:val="none"/>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highlight w:val="none"/>
              </w:rPr>
            </w:pPr>
            <w:r>
              <w:rPr>
                <w:rFonts w:ascii="宋体" w:hAnsi="宋体"/>
                <w:color w:val="auto"/>
                <w:highlight w:val="none"/>
              </w:rPr>
              <w:t>《安全生产法》第六十二条；</w:t>
            </w:r>
          </w:p>
          <w:p w14:paraId="214AD3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58B11A1">
            <w:pPr>
              <w:spacing w:line="260" w:lineRule="exact"/>
              <w:rPr>
                <w:rFonts w:ascii="宋体" w:hAnsi="宋体"/>
                <w:color w:val="auto"/>
                <w:highlight w:val="none"/>
              </w:rPr>
            </w:pPr>
            <w:r>
              <w:rPr>
                <w:rFonts w:hint="eastAsia" w:ascii="宋体" w:hAnsi="宋体"/>
                <w:color w:val="auto"/>
                <w:highlight w:val="none"/>
              </w:rPr>
              <w:t>加油机等</w:t>
            </w:r>
            <w:r>
              <w:rPr>
                <w:rFonts w:ascii="宋体" w:hAnsi="宋体"/>
                <w:color w:val="auto"/>
                <w:highlight w:val="none"/>
              </w:rPr>
              <w:t>按照国家标准安装使用防爆电气设备</w:t>
            </w:r>
          </w:p>
        </w:tc>
        <w:tc>
          <w:tcPr>
            <w:tcW w:w="388" w:type="pct"/>
            <w:vAlign w:val="center"/>
          </w:tcPr>
          <w:p w14:paraId="35DEE835">
            <w:pPr>
              <w:spacing w:line="260" w:lineRule="exact"/>
              <w:rPr>
                <w:rFonts w:ascii="宋体" w:hAnsi="宋体"/>
                <w:color w:val="auto"/>
                <w:highlight w:val="none"/>
              </w:rPr>
            </w:pPr>
            <w:r>
              <w:rPr>
                <w:rFonts w:hint="eastAsia" w:ascii="宋体" w:hAnsi="宋体"/>
                <w:color w:val="auto"/>
                <w:highlight w:val="none"/>
              </w:rPr>
              <w:t>符合</w:t>
            </w:r>
          </w:p>
          <w:p w14:paraId="40C29F48">
            <w:pPr>
              <w:spacing w:line="260" w:lineRule="exact"/>
              <w:rPr>
                <w:rFonts w:ascii="宋体" w:hAnsi="宋体"/>
                <w:color w:val="auto"/>
                <w:highlight w:val="none"/>
              </w:rPr>
            </w:pPr>
            <w:r>
              <w:rPr>
                <w:rFonts w:hint="eastAsia" w:ascii="宋体" w:hAnsi="宋体"/>
                <w:color w:val="auto"/>
                <w:highlight w:val="none"/>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highlight w:val="none"/>
              </w:rPr>
            </w:pPr>
          </w:p>
        </w:tc>
        <w:tc>
          <w:tcPr>
            <w:tcW w:w="1319" w:type="pct"/>
            <w:vAlign w:val="center"/>
          </w:tcPr>
          <w:p w14:paraId="30279779">
            <w:pPr>
              <w:spacing w:line="260" w:lineRule="exact"/>
              <w:rPr>
                <w:rFonts w:ascii="宋体" w:hAnsi="宋体"/>
                <w:color w:val="auto"/>
                <w:highlight w:val="none"/>
              </w:rPr>
            </w:pPr>
            <w:r>
              <w:rPr>
                <w:rFonts w:ascii="宋体" w:hAnsi="宋体"/>
                <w:color w:val="auto"/>
                <w:highlight w:val="none"/>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highlight w:val="none"/>
              </w:rPr>
            </w:pPr>
            <w:r>
              <w:rPr>
                <w:rFonts w:ascii="宋体" w:hAnsi="宋体"/>
                <w:color w:val="auto"/>
                <w:highlight w:val="none"/>
              </w:rPr>
              <w:t>《安全生产法》第六十二条；</w:t>
            </w:r>
          </w:p>
          <w:p w14:paraId="7754FD18">
            <w:pPr>
              <w:spacing w:line="260" w:lineRule="exact"/>
              <w:rPr>
                <w:rFonts w:ascii="宋体" w:hAnsi="宋体"/>
                <w:color w:val="auto"/>
                <w:highlight w:val="none"/>
              </w:rPr>
            </w:pPr>
            <w:r>
              <w:rPr>
                <w:rFonts w:ascii="宋体" w:hAnsi="宋体"/>
                <w:color w:val="auto"/>
                <w:highlight w:val="none"/>
              </w:rPr>
              <w:t>《危险化学品输送管道安全管理规定》第七条；</w:t>
            </w:r>
          </w:p>
          <w:p w14:paraId="074CE53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54C029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光气、氯气、硫化氢等剧毒气体管道</w:t>
            </w:r>
          </w:p>
        </w:tc>
        <w:tc>
          <w:tcPr>
            <w:tcW w:w="388" w:type="pct"/>
            <w:vAlign w:val="center"/>
          </w:tcPr>
          <w:p w14:paraId="7A3BF047">
            <w:pPr>
              <w:spacing w:line="260" w:lineRule="exact"/>
              <w:rPr>
                <w:rFonts w:ascii="宋体" w:hAnsi="宋体"/>
                <w:color w:val="auto"/>
                <w:highlight w:val="none"/>
              </w:rPr>
            </w:pPr>
            <w:r>
              <w:rPr>
                <w:rFonts w:hint="eastAsia" w:ascii="宋体" w:hAnsi="宋体"/>
                <w:color w:val="auto"/>
                <w:highlight w:val="none"/>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highlight w:val="none"/>
              </w:rPr>
            </w:pPr>
          </w:p>
        </w:tc>
        <w:tc>
          <w:tcPr>
            <w:tcW w:w="1319" w:type="pct"/>
            <w:vAlign w:val="center"/>
          </w:tcPr>
          <w:p w14:paraId="3B9FCC1E">
            <w:pPr>
              <w:spacing w:line="260" w:lineRule="exact"/>
              <w:rPr>
                <w:rFonts w:ascii="宋体" w:hAnsi="宋体"/>
                <w:color w:val="auto"/>
                <w:highlight w:val="none"/>
              </w:rPr>
            </w:pPr>
            <w:r>
              <w:rPr>
                <w:rFonts w:ascii="宋体" w:hAnsi="宋体"/>
                <w:color w:val="auto"/>
                <w:highlight w:val="none"/>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highlight w:val="none"/>
              </w:rPr>
            </w:pPr>
            <w:r>
              <w:rPr>
                <w:rFonts w:ascii="宋体" w:hAnsi="宋体"/>
                <w:color w:val="auto"/>
                <w:highlight w:val="none"/>
              </w:rPr>
              <w:t>《安全生产法》第六十二条；</w:t>
            </w:r>
          </w:p>
          <w:p w14:paraId="056472D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36A35D2">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液化烃球形储罐</w:t>
            </w:r>
          </w:p>
        </w:tc>
        <w:tc>
          <w:tcPr>
            <w:tcW w:w="388" w:type="pct"/>
            <w:vAlign w:val="center"/>
          </w:tcPr>
          <w:p w14:paraId="4FB4C0BC">
            <w:pPr>
              <w:spacing w:line="260" w:lineRule="exact"/>
              <w:rPr>
                <w:rFonts w:ascii="宋体" w:hAnsi="宋体"/>
                <w:color w:val="auto"/>
                <w:highlight w:val="none"/>
              </w:rPr>
            </w:pPr>
            <w:r>
              <w:rPr>
                <w:rFonts w:hint="eastAsia" w:ascii="宋体" w:hAnsi="宋体"/>
                <w:color w:val="auto"/>
                <w:highlight w:val="none"/>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highlight w:val="none"/>
              </w:rPr>
            </w:pPr>
          </w:p>
        </w:tc>
        <w:tc>
          <w:tcPr>
            <w:tcW w:w="1319" w:type="pct"/>
            <w:vAlign w:val="center"/>
          </w:tcPr>
          <w:p w14:paraId="341B5F7C">
            <w:pPr>
              <w:spacing w:line="260" w:lineRule="exact"/>
              <w:rPr>
                <w:rFonts w:ascii="宋体" w:hAnsi="宋体"/>
                <w:color w:val="auto"/>
                <w:highlight w:val="none"/>
              </w:rPr>
            </w:pPr>
            <w:r>
              <w:rPr>
                <w:rFonts w:ascii="宋体" w:hAnsi="宋体"/>
                <w:color w:val="auto"/>
                <w:highlight w:val="none"/>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highlight w:val="none"/>
              </w:rPr>
            </w:pPr>
            <w:r>
              <w:rPr>
                <w:rFonts w:ascii="宋体" w:hAnsi="宋体"/>
                <w:color w:val="auto"/>
                <w:highlight w:val="none"/>
              </w:rPr>
              <w:t>《安全生产法》第六十二条；</w:t>
            </w:r>
          </w:p>
          <w:p w14:paraId="6CC56B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8439ED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液化烃、液氨、液氯等易燃易爆、有毒有害液化气体</w:t>
            </w:r>
          </w:p>
        </w:tc>
        <w:tc>
          <w:tcPr>
            <w:tcW w:w="388" w:type="pct"/>
            <w:vAlign w:val="center"/>
          </w:tcPr>
          <w:p w14:paraId="0CD3509D">
            <w:pPr>
              <w:spacing w:line="260" w:lineRule="exact"/>
              <w:rPr>
                <w:rFonts w:ascii="宋体" w:hAnsi="宋体"/>
                <w:color w:val="auto"/>
                <w:highlight w:val="none"/>
              </w:rPr>
            </w:pPr>
            <w:r>
              <w:rPr>
                <w:rFonts w:hint="eastAsia" w:ascii="宋体" w:hAnsi="宋体"/>
                <w:color w:val="auto"/>
                <w:highlight w:val="none"/>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highlight w:val="none"/>
              </w:rPr>
            </w:pPr>
          </w:p>
        </w:tc>
        <w:tc>
          <w:tcPr>
            <w:tcW w:w="1319" w:type="pct"/>
            <w:vAlign w:val="center"/>
          </w:tcPr>
          <w:p w14:paraId="66CFE747">
            <w:pPr>
              <w:spacing w:line="260" w:lineRule="exact"/>
              <w:rPr>
                <w:rFonts w:ascii="宋体" w:hAnsi="宋体"/>
                <w:color w:val="auto"/>
                <w:highlight w:val="none"/>
              </w:rPr>
            </w:pPr>
            <w:r>
              <w:rPr>
                <w:rFonts w:ascii="宋体" w:hAnsi="宋体"/>
                <w:color w:val="auto"/>
                <w:highlight w:val="none"/>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highlight w:val="none"/>
              </w:rPr>
            </w:pPr>
            <w:r>
              <w:rPr>
                <w:rFonts w:ascii="宋体" w:hAnsi="宋体"/>
                <w:color w:val="auto"/>
                <w:highlight w:val="none"/>
              </w:rPr>
              <w:t>《危险化学品重大危险源监督管理暂行规定》第十三条第二、三项；</w:t>
            </w:r>
          </w:p>
          <w:p w14:paraId="29F1500C">
            <w:pPr>
              <w:spacing w:line="260" w:lineRule="exact"/>
              <w:rPr>
                <w:rFonts w:ascii="宋体" w:hAnsi="宋体"/>
                <w:color w:val="auto"/>
                <w:highlight w:val="none"/>
              </w:rPr>
            </w:pPr>
            <w:r>
              <w:rPr>
                <w:rFonts w:ascii="宋体" w:hAnsi="宋体"/>
                <w:color w:val="auto"/>
                <w:highlight w:val="none"/>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highlight w:val="none"/>
              </w:rPr>
            </w:pPr>
            <w:r>
              <w:rPr>
                <w:rFonts w:ascii="宋体" w:hAnsi="宋体"/>
                <w:color w:val="auto"/>
                <w:highlight w:val="none"/>
              </w:rPr>
              <w:t>《安全生产法》第九十六条。</w:t>
            </w:r>
          </w:p>
        </w:tc>
        <w:tc>
          <w:tcPr>
            <w:tcW w:w="719" w:type="pct"/>
            <w:vAlign w:val="center"/>
          </w:tcPr>
          <w:p w14:paraId="6F53446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氯乙烯</w:t>
            </w:r>
          </w:p>
        </w:tc>
        <w:tc>
          <w:tcPr>
            <w:tcW w:w="388" w:type="pct"/>
            <w:vAlign w:val="center"/>
          </w:tcPr>
          <w:p w14:paraId="495F1929">
            <w:pPr>
              <w:spacing w:line="260" w:lineRule="exact"/>
              <w:rPr>
                <w:rFonts w:ascii="宋体" w:hAnsi="宋体"/>
                <w:color w:val="auto"/>
                <w:highlight w:val="none"/>
              </w:rPr>
            </w:pPr>
            <w:r>
              <w:rPr>
                <w:rFonts w:hint="eastAsia" w:ascii="宋体" w:hAnsi="宋体"/>
                <w:color w:val="auto"/>
                <w:highlight w:val="none"/>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highlight w:val="none"/>
              </w:rPr>
            </w:pPr>
          </w:p>
        </w:tc>
        <w:tc>
          <w:tcPr>
            <w:tcW w:w="1319" w:type="pct"/>
            <w:vAlign w:val="center"/>
          </w:tcPr>
          <w:p w14:paraId="363B3570">
            <w:pPr>
              <w:spacing w:line="260" w:lineRule="exact"/>
              <w:rPr>
                <w:rFonts w:ascii="宋体" w:hAnsi="宋体"/>
                <w:color w:val="auto"/>
                <w:highlight w:val="none"/>
              </w:rPr>
            </w:pPr>
            <w:r>
              <w:rPr>
                <w:rFonts w:ascii="宋体" w:hAnsi="宋体"/>
                <w:color w:val="auto"/>
                <w:highlight w:val="none"/>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highlight w:val="none"/>
              </w:rPr>
            </w:pPr>
            <w:r>
              <w:rPr>
                <w:rFonts w:ascii="宋体" w:hAnsi="宋体"/>
                <w:color w:val="auto"/>
                <w:highlight w:val="none"/>
              </w:rPr>
              <w:t>《安全生产法》第六十二条；</w:t>
            </w:r>
          </w:p>
          <w:p w14:paraId="1E174A9E">
            <w:pPr>
              <w:spacing w:line="260" w:lineRule="exact"/>
              <w:rPr>
                <w:rFonts w:ascii="宋体" w:hAnsi="宋体"/>
                <w:color w:val="auto"/>
                <w:highlight w:val="none"/>
              </w:rPr>
            </w:pPr>
            <w:r>
              <w:rPr>
                <w:rFonts w:ascii="宋体" w:hAnsi="宋体"/>
                <w:color w:val="auto"/>
                <w:highlight w:val="none"/>
              </w:rPr>
              <w:t>《危险化学品生产企业安全生产许可证实施办法》第十六条；</w:t>
            </w:r>
          </w:p>
          <w:p w14:paraId="33F78DEB">
            <w:pPr>
              <w:spacing w:line="260" w:lineRule="exact"/>
              <w:rPr>
                <w:rFonts w:ascii="宋体" w:hAnsi="宋体"/>
                <w:color w:val="auto"/>
                <w:highlight w:val="none"/>
              </w:rPr>
            </w:pPr>
            <w:r>
              <w:rPr>
                <w:rFonts w:ascii="宋体" w:hAnsi="宋体"/>
                <w:color w:val="auto"/>
                <w:highlight w:val="none"/>
              </w:rPr>
              <w:t>《危险化学品经营许可证管理办法》第六条第一款第二项；</w:t>
            </w:r>
          </w:p>
          <w:p w14:paraId="2B92BF61">
            <w:pPr>
              <w:spacing w:line="260" w:lineRule="exact"/>
              <w:rPr>
                <w:rFonts w:ascii="宋体" w:hAnsi="宋体"/>
                <w:color w:val="auto"/>
                <w:highlight w:val="none"/>
              </w:rPr>
            </w:pPr>
            <w:r>
              <w:rPr>
                <w:rFonts w:ascii="宋体" w:hAnsi="宋体"/>
                <w:color w:val="auto"/>
                <w:highlight w:val="none"/>
              </w:rPr>
              <w:t>《危险化学品安全使用许可证管理办法》第九条；</w:t>
            </w:r>
          </w:p>
          <w:p w14:paraId="2998769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highlight w:val="none"/>
              </w:rPr>
            </w:pPr>
            <w:r>
              <w:rPr>
                <w:rFonts w:ascii="宋体" w:hAnsi="宋体"/>
                <w:color w:val="auto"/>
                <w:highlight w:val="none"/>
              </w:rPr>
              <w:t>《安全生产法》第六十二条；</w:t>
            </w:r>
          </w:p>
          <w:p w14:paraId="47D42CE6">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26952D5">
            <w:pPr>
              <w:spacing w:line="260" w:lineRule="exact"/>
              <w:rPr>
                <w:rFonts w:ascii="宋体" w:hAnsi="宋体"/>
                <w:color w:val="auto"/>
                <w:highlight w:val="none"/>
              </w:rPr>
            </w:pPr>
            <w:r>
              <w:rPr>
                <w:rFonts w:hint="eastAsia" w:ascii="宋体" w:hAnsi="宋体"/>
                <w:color w:val="auto"/>
                <w:highlight w:val="none"/>
              </w:rPr>
              <w:t>主要负责人</w:t>
            </w:r>
            <w:r>
              <w:rPr>
                <w:rFonts w:ascii="宋体" w:hAnsi="宋体"/>
                <w:color w:val="auto"/>
                <w:highlight w:val="none"/>
              </w:rPr>
              <w:t>依法经考核合格</w:t>
            </w:r>
            <w:r>
              <w:rPr>
                <w:rFonts w:hint="eastAsia" w:ascii="宋体" w:hAnsi="宋体"/>
                <w:color w:val="auto"/>
                <w:highlight w:val="none"/>
              </w:rPr>
              <w:t>取证</w:t>
            </w:r>
          </w:p>
        </w:tc>
        <w:tc>
          <w:tcPr>
            <w:tcW w:w="388" w:type="pct"/>
            <w:vAlign w:val="center"/>
          </w:tcPr>
          <w:p w14:paraId="079960EA">
            <w:pPr>
              <w:spacing w:line="260" w:lineRule="exact"/>
              <w:rPr>
                <w:rFonts w:ascii="宋体" w:hAnsi="宋体"/>
                <w:color w:val="auto"/>
                <w:highlight w:val="none"/>
              </w:rPr>
            </w:pPr>
            <w:r>
              <w:rPr>
                <w:rFonts w:hint="eastAsia" w:ascii="宋体" w:hAnsi="宋体"/>
                <w:color w:val="auto"/>
                <w:highlight w:val="none"/>
              </w:rPr>
              <w:t>符合</w:t>
            </w:r>
          </w:p>
          <w:p w14:paraId="6F8C67EA">
            <w:pPr>
              <w:spacing w:line="260" w:lineRule="exact"/>
              <w:rPr>
                <w:rFonts w:ascii="宋体" w:hAnsi="宋体"/>
                <w:color w:val="auto"/>
                <w:highlight w:val="none"/>
              </w:rPr>
            </w:pPr>
            <w:r>
              <w:rPr>
                <w:rFonts w:hint="eastAsia" w:ascii="宋体" w:hAnsi="宋体"/>
                <w:color w:val="auto"/>
                <w:highlight w:val="none"/>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highlight w:val="none"/>
              </w:rPr>
            </w:pPr>
          </w:p>
        </w:tc>
        <w:tc>
          <w:tcPr>
            <w:tcW w:w="1319" w:type="pct"/>
            <w:vAlign w:val="center"/>
          </w:tcPr>
          <w:p w14:paraId="0E41E4C8">
            <w:pPr>
              <w:spacing w:line="260" w:lineRule="exact"/>
              <w:rPr>
                <w:rFonts w:ascii="宋体" w:hAnsi="宋体"/>
                <w:color w:val="auto"/>
                <w:highlight w:val="none"/>
              </w:rPr>
            </w:pPr>
            <w:r>
              <w:rPr>
                <w:rFonts w:ascii="宋体" w:hAnsi="宋体"/>
                <w:color w:val="auto"/>
                <w:highlight w:val="none"/>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highlight w:val="none"/>
              </w:rPr>
            </w:pPr>
            <w:r>
              <w:rPr>
                <w:rFonts w:ascii="宋体" w:hAnsi="宋体"/>
                <w:color w:val="auto"/>
                <w:highlight w:val="none"/>
              </w:rPr>
              <w:t>《安全生产法》第六十二条；</w:t>
            </w:r>
          </w:p>
          <w:p w14:paraId="37C912E3">
            <w:pPr>
              <w:spacing w:line="260" w:lineRule="exact"/>
              <w:rPr>
                <w:rFonts w:ascii="宋体" w:hAnsi="宋体"/>
                <w:color w:val="auto"/>
                <w:highlight w:val="none"/>
              </w:rPr>
            </w:pPr>
            <w:r>
              <w:rPr>
                <w:rFonts w:ascii="宋体" w:hAnsi="宋体"/>
                <w:color w:val="auto"/>
                <w:highlight w:val="none"/>
              </w:rPr>
              <w:t>《特种作业人员安全技术培训考核管理规定》第五条；</w:t>
            </w:r>
          </w:p>
          <w:p w14:paraId="012D8498">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CE3E61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危险化工工艺</w:t>
            </w:r>
          </w:p>
        </w:tc>
        <w:tc>
          <w:tcPr>
            <w:tcW w:w="388" w:type="pct"/>
            <w:vAlign w:val="center"/>
          </w:tcPr>
          <w:p w14:paraId="25253EDE">
            <w:pPr>
              <w:spacing w:line="260" w:lineRule="exact"/>
              <w:rPr>
                <w:rFonts w:ascii="宋体" w:hAnsi="宋体"/>
                <w:color w:val="auto"/>
                <w:highlight w:val="none"/>
              </w:rPr>
            </w:pPr>
            <w:r>
              <w:rPr>
                <w:rFonts w:hint="eastAsia" w:ascii="宋体" w:hAnsi="宋体"/>
                <w:color w:val="auto"/>
                <w:highlight w:val="none"/>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highlight w:val="none"/>
              </w:rPr>
            </w:pPr>
          </w:p>
        </w:tc>
        <w:tc>
          <w:tcPr>
            <w:tcW w:w="1319" w:type="pct"/>
            <w:vAlign w:val="center"/>
          </w:tcPr>
          <w:p w14:paraId="2084C191">
            <w:pPr>
              <w:spacing w:line="260" w:lineRule="exact"/>
              <w:rPr>
                <w:rFonts w:ascii="宋体" w:hAnsi="宋体"/>
                <w:color w:val="auto"/>
                <w:highlight w:val="none"/>
              </w:rPr>
            </w:pPr>
            <w:r>
              <w:rPr>
                <w:rFonts w:ascii="宋体" w:hAnsi="宋体"/>
                <w:color w:val="auto"/>
                <w:highlight w:val="none"/>
              </w:rPr>
              <w:t>未建立安全生产责任制。</w:t>
            </w:r>
          </w:p>
        </w:tc>
        <w:tc>
          <w:tcPr>
            <w:tcW w:w="1398" w:type="pct"/>
            <w:vAlign w:val="center"/>
          </w:tcPr>
          <w:p w14:paraId="448AA041">
            <w:pPr>
              <w:spacing w:line="260" w:lineRule="exact"/>
              <w:rPr>
                <w:rFonts w:ascii="宋体" w:hAnsi="宋体"/>
                <w:color w:val="auto"/>
                <w:highlight w:val="none"/>
              </w:rPr>
            </w:pPr>
            <w:r>
              <w:rPr>
                <w:rFonts w:ascii="宋体" w:hAnsi="宋体"/>
                <w:color w:val="auto"/>
                <w:highlight w:val="none"/>
              </w:rPr>
              <w:t>《安全生产法》第六十二条；</w:t>
            </w:r>
          </w:p>
          <w:p w14:paraId="1460B28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3F7BCE62">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安全生产责任制</w:t>
            </w:r>
          </w:p>
        </w:tc>
        <w:tc>
          <w:tcPr>
            <w:tcW w:w="388" w:type="pct"/>
            <w:vAlign w:val="center"/>
          </w:tcPr>
          <w:p w14:paraId="1A5DF7B4">
            <w:pPr>
              <w:spacing w:line="260" w:lineRule="exact"/>
              <w:rPr>
                <w:rFonts w:ascii="宋体" w:hAnsi="宋体"/>
                <w:color w:val="auto"/>
                <w:highlight w:val="none"/>
              </w:rPr>
            </w:pPr>
            <w:r>
              <w:rPr>
                <w:rFonts w:hint="eastAsia" w:ascii="宋体" w:hAnsi="宋体"/>
                <w:color w:val="auto"/>
                <w:highlight w:val="none"/>
              </w:rPr>
              <w:t>符合</w:t>
            </w:r>
          </w:p>
          <w:p w14:paraId="4A83F7F7">
            <w:pPr>
              <w:spacing w:line="260" w:lineRule="exact"/>
              <w:rPr>
                <w:rFonts w:ascii="宋体" w:hAnsi="宋体"/>
                <w:color w:val="auto"/>
                <w:highlight w:val="none"/>
              </w:rPr>
            </w:pPr>
            <w:r>
              <w:rPr>
                <w:rFonts w:hint="eastAsia" w:ascii="宋体" w:hAnsi="宋体"/>
                <w:color w:val="auto"/>
                <w:highlight w:val="none"/>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highlight w:val="none"/>
              </w:rPr>
            </w:pPr>
          </w:p>
        </w:tc>
        <w:tc>
          <w:tcPr>
            <w:tcW w:w="1319" w:type="pct"/>
            <w:vAlign w:val="center"/>
          </w:tcPr>
          <w:p w14:paraId="4242690A">
            <w:pPr>
              <w:spacing w:line="260" w:lineRule="exact"/>
              <w:rPr>
                <w:rFonts w:ascii="宋体" w:hAnsi="宋体"/>
                <w:color w:val="auto"/>
                <w:highlight w:val="none"/>
              </w:rPr>
            </w:pPr>
            <w:r>
              <w:rPr>
                <w:rFonts w:ascii="宋体" w:hAnsi="宋体"/>
                <w:color w:val="auto"/>
                <w:highlight w:val="none"/>
              </w:rPr>
              <w:t>未编制岗位操作规程，未明确关键工艺控制指标。</w:t>
            </w:r>
          </w:p>
        </w:tc>
        <w:tc>
          <w:tcPr>
            <w:tcW w:w="1398" w:type="pct"/>
            <w:vAlign w:val="center"/>
          </w:tcPr>
          <w:p w14:paraId="3C68728E">
            <w:pPr>
              <w:spacing w:line="260" w:lineRule="exact"/>
              <w:rPr>
                <w:rFonts w:ascii="宋体" w:hAnsi="宋体"/>
                <w:color w:val="auto"/>
                <w:highlight w:val="none"/>
              </w:rPr>
            </w:pPr>
            <w:r>
              <w:rPr>
                <w:rFonts w:ascii="宋体" w:hAnsi="宋体"/>
                <w:color w:val="auto"/>
                <w:highlight w:val="none"/>
              </w:rPr>
              <w:t>《安全生产法》第六十二条；</w:t>
            </w:r>
          </w:p>
          <w:p w14:paraId="19992DF4">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526D28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highlight w:val="none"/>
              </w:rPr>
            </w:pPr>
            <w:r>
              <w:rPr>
                <w:rFonts w:ascii="宋体" w:hAnsi="宋体"/>
                <w:color w:val="auto"/>
                <w:highlight w:val="none"/>
              </w:rPr>
              <w:t>《安全生产法》第六十二条；</w:t>
            </w:r>
          </w:p>
          <w:p w14:paraId="6434AA2C">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7ABB60C4">
            <w:pPr>
              <w:spacing w:line="260" w:lineRule="exact"/>
              <w:rPr>
                <w:rFonts w:ascii="宋体" w:hAnsi="宋体"/>
                <w:color w:val="auto"/>
                <w:highlight w:val="none"/>
              </w:rPr>
            </w:pPr>
            <w:r>
              <w:rPr>
                <w:rFonts w:ascii="宋体" w:hAnsi="宋体"/>
                <w:color w:val="auto"/>
                <w:highlight w:val="none"/>
              </w:rPr>
              <w:t>编制</w:t>
            </w:r>
            <w:r>
              <w:rPr>
                <w:rFonts w:hint="eastAsia" w:ascii="宋体" w:hAnsi="宋体"/>
                <w:color w:val="auto"/>
                <w:highlight w:val="none"/>
              </w:rPr>
              <w:t>了</w:t>
            </w:r>
            <w:r>
              <w:rPr>
                <w:rFonts w:ascii="宋体" w:hAnsi="宋体"/>
                <w:color w:val="auto"/>
                <w:highlight w:val="none"/>
              </w:rPr>
              <w:t>岗位操作规程</w:t>
            </w:r>
          </w:p>
        </w:tc>
        <w:tc>
          <w:tcPr>
            <w:tcW w:w="388" w:type="pct"/>
            <w:vAlign w:val="center"/>
          </w:tcPr>
          <w:p w14:paraId="51CF2D65">
            <w:pPr>
              <w:spacing w:line="260" w:lineRule="exact"/>
              <w:rPr>
                <w:rFonts w:ascii="宋体" w:hAnsi="宋体"/>
                <w:color w:val="auto"/>
                <w:highlight w:val="none"/>
              </w:rPr>
            </w:pPr>
            <w:r>
              <w:rPr>
                <w:rFonts w:hint="eastAsia" w:ascii="宋体" w:hAnsi="宋体"/>
                <w:color w:val="auto"/>
                <w:highlight w:val="none"/>
              </w:rPr>
              <w:t>符合</w:t>
            </w:r>
          </w:p>
          <w:p w14:paraId="6B99A8FE">
            <w:pPr>
              <w:spacing w:line="260" w:lineRule="exact"/>
              <w:rPr>
                <w:rFonts w:ascii="宋体" w:hAnsi="宋体"/>
                <w:color w:val="auto"/>
                <w:highlight w:val="none"/>
              </w:rPr>
            </w:pPr>
            <w:r>
              <w:rPr>
                <w:rFonts w:hint="eastAsia" w:ascii="宋体" w:hAnsi="宋体"/>
                <w:color w:val="auto"/>
                <w:highlight w:val="none"/>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highlight w:val="none"/>
              </w:rPr>
            </w:pPr>
          </w:p>
        </w:tc>
        <w:tc>
          <w:tcPr>
            <w:tcW w:w="1319" w:type="pct"/>
            <w:vAlign w:val="center"/>
          </w:tcPr>
          <w:p w14:paraId="5FA421D0">
            <w:pPr>
              <w:spacing w:line="260" w:lineRule="exact"/>
              <w:rPr>
                <w:rFonts w:ascii="宋体" w:hAnsi="宋体"/>
                <w:color w:val="auto"/>
                <w:highlight w:val="none"/>
              </w:rPr>
            </w:pPr>
            <w:r>
              <w:rPr>
                <w:rFonts w:ascii="宋体" w:hAnsi="宋体"/>
                <w:color w:val="auto"/>
                <w:highlight w:val="none"/>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highlight w:val="none"/>
              </w:rPr>
            </w:pPr>
            <w:r>
              <w:rPr>
                <w:rFonts w:ascii="宋体" w:hAnsi="宋体"/>
                <w:color w:val="auto"/>
                <w:highlight w:val="none"/>
              </w:rPr>
              <w:t>《安全生产法》第六十二条；</w:t>
            </w:r>
          </w:p>
          <w:p w14:paraId="2843B30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BF18B35">
            <w:pPr>
              <w:spacing w:line="26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88" w:type="pct"/>
            <w:vAlign w:val="center"/>
          </w:tcPr>
          <w:p w14:paraId="5549CCCC">
            <w:pPr>
              <w:spacing w:line="260" w:lineRule="exact"/>
              <w:rPr>
                <w:rFonts w:ascii="宋体" w:hAnsi="宋体"/>
                <w:color w:val="auto"/>
                <w:highlight w:val="none"/>
              </w:rPr>
            </w:pPr>
            <w:r>
              <w:rPr>
                <w:rFonts w:hint="eastAsia" w:ascii="宋体" w:hAnsi="宋体"/>
                <w:color w:val="auto"/>
                <w:highlight w:val="none"/>
              </w:rPr>
              <w:t>符合</w:t>
            </w:r>
          </w:p>
          <w:p w14:paraId="103A937F">
            <w:pPr>
              <w:spacing w:line="260" w:lineRule="exact"/>
              <w:rPr>
                <w:rFonts w:ascii="宋体" w:hAnsi="宋体"/>
                <w:color w:val="auto"/>
                <w:highlight w:val="none"/>
              </w:rPr>
            </w:pPr>
            <w:r>
              <w:rPr>
                <w:rFonts w:hint="eastAsia" w:ascii="宋体" w:hAnsi="宋体"/>
                <w:color w:val="auto"/>
                <w:highlight w:val="none"/>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highlight w:val="none"/>
              </w:rPr>
            </w:pPr>
          </w:p>
        </w:tc>
        <w:tc>
          <w:tcPr>
            <w:tcW w:w="1319" w:type="pct"/>
            <w:vAlign w:val="center"/>
          </w:tcPr>
          <w:p w14:paraId="146898FF">
            <w:pPr>
              <w:spacing w:line="260" w:lineRule="exact"/>
              <w:rPr>
                <w:rFonts w:ascii="宋体" w:hAnsi="宋体"/>
                <w:color w:val="auto"/>
                <w:highlight w:val="none"/>
              </w:rPr>
            </w:pPr>
            <w:r>
              <w:rPr>
                <w:rFonts w:ascii="宋体" w:hAnsi="宋体"/>
                <w:color w:val="auto"/>
                <w:highlight w:val="none"/>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highlight w:val="none"/>
              </w:rPr>
            </w:pPr>
            <w:r>
              <w:rPr>
                <w:rFonts w:ascii="宋体" w:hAnsi="宋体"/>
                <w:color w:val="auto"/>
                <w:highlight w:val="none"/>
              </w:rPr>
              <w:t>《安全生产法》第六十二条；</w:t>
            </w:r>
          </w:p>
          <w:p w14:paraId="324D072D">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FF1E89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精细化工生产装置</w:t>
            </w:r>
          </w:p>
        </w:tc>
        <w:tc>
          <w:tcPr>
            <w:tcW w:w="388" w:type="pct"/>
            <w:vAlign w:val="center"/>
          </w:tcPr>
          <w:p w14:paraId="2585A43A">
            <w:pPr>
              <w:spacing w:line="260" w:lineRule="exact"/>
              <w:rPr>
                <w:rFonts w:ascii="宋体" w:hAnsi="宋体"/>
                <w:color w:val="auto"/>
                <w:highlight w:val="none"/>
              </w:rPr>
            </w:pPr>
            <w:r>
              <w:rPr>
                <w:rFonts w:hint="eastAsia" w:ascii="宋体" w:hAnsi="宋体"/>
                <w:color w:val="auto"/>
                <w:highlight w:val="none"/>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highlight w:val="none"/>
              </w:rPr>
            </w:pPr>
          </w:p>
        </w:tc>
        <w:tc>
          <w:tcPr>
            <w:tcW w:w="1319" w:type="pct"/>
            <w:vAlign w:val="center"/>
          </w:tcPr>
          <w:p w14:paraId="4DD532D3">
            <w:pPr>
              <w:spacing w:line="260" w:lineRule="exact"/>
              <w:rPr>
                <w:rFonts w:ascii="宋体" w:hAnsi="宋体"/>
                <w:color w:val="auto"/>
                <w:highlight w:val="none"/>
              </w:rPr>
            </w:pPr>
            <w:r>
              <w:rPr>
                <w:rFonts w:ascii="宋体" w:hAnsi="宋体"/>
                <w:color w:val="auto"/>
                <w:highlight w:val="none"/>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highlight w:val="none"/>
              </w:rPr>
            </w:pPr>
            <w:r>
              <w:rPr>
                <w:rFonts w:ascii="宋体" w:hAnsi="宋体"/>
                <w:color w:val="auto"/>
                <w:highlight w:val="none"/>
              </w:rPr>
              <w:t>《安全生产法》第六十二条；</w:t>
            </w:r>
          </w:p>
          <w:p w14:paraId="065A377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highlight w:val="none"/>
              </w:rPr>
            </w:pPr>
            <w:r>
              <w:rPr>
                <w:rFonts w:ascii="宋体" w:hAnsi="宋体"/>
                <w:color w:val="auto"/>
                <w:highlight w:val="none"/>
              </w:rPr>
              <w:t>《安全生产法》第六十二条；</w:t>
            </w:r>
          </w:p>
          <w:p w14:paraId="17F8B521">
            <w:pPr>
              <w:spacing w:line="260" w:lineRule="exact"/>
              <w:rPr>
                <w:rFonts w:ascii="宋体" w:hAnsi="宋体"/>
                <w:color w:val="auto"/>
                <w:highlight w:val="none"/>
              </w:rPr>
            </w:pPr>
            <w:r>
              <w:rPr>
                <w:rFonts w:ascii="宋体" w:hAnsi="宋体"/>
                <w:color w:val="auto"/>
                <w:highlight w:val="none"/>
              </w:rPr>
              <w:t>《危险化学品安全管理条例》第八十条第五款。</w:t>
            </w:r>
          </w:p>
        </w:tc>
        <w:tc>
          <w:tcPr>
            <w:tcW w:w="719" w:type="pct"/>
            <w:vAlign w:val="center"/>
          </w:tcPr>
          <w:p w14:paraId="1CBF3D4C">
            <w:pPr>
              <w:spacing w:line="260" w:lineRule="exact"/>
              <w:rPr>
                <w:rFonts w:ascii="宋体" w:hAnsi="宋体"/>
                <w:color w:val="auto"/>
                <w:highlight w:val="none"/>
              </w:rPr>
            </w:pPr>
            <w:r>
              <w:rPr>
                <w:rFonts w:hint="eastAsia" w:ascii="宋体" w:hAnsi="宋体"/>
                <w:color w:val="auto"/>
                <w:highlight w:val="none"/>
                <w:lang w:eastAsia="zh-CN"/>
              </w:rPr>
              <w:t>现场勘查</w:t>
            </w:r>
            <w:r>
              <w:rPr>
                <w:rFonts w:hint="eastAsia" w:ascii="宋体" w:hAnsi="宋体"/>
                <w:color w:val="auto"/>
                <w:highlight w:val="none"/>
              </w:rPr>
              <w:t>未发现</w:t>
            </w:r>
            <w:r>
              <w:rPr>
                <w:rFonts w:ascii="宋体" w:hAnsi="宋体"/>
                <w:color w:val="auto"/>
                <w:highlight w:val="none"/>
              </w:rPr>
              <w:t>超量、超品种储存危险化学品，相互禁配物质混放混存</w:t>
            </w:r>
          </w:p>
        </w:tc>
        <w:tc>
          <w:tcPr>
            <w:tcW w:w="388" w:type="pct"/>
            <w:vAlign w:val="center"/>
          </w:tcPr>
          <w:p w14:paraId="3EF8F19F">
            <w:pPr>
              <w:spacing w:line="260" w:lineRule="exact"/>
              <w:rPr>
                <w:rFonts w:ascii="宋体" w:hAnsi="宋体"/>
                <w:color w:val="auto"/>
                <w:highlight w:val="none"/>
              </w:rPr>
            </w:pPr>
            <w:r>
              <w:rPr>
                <w:rFonts w:hint="eastAsia" w:ascii="宋体" w:hAnsi="宋体"/>
                <w:color w:val="auto"/>
                <w:highlight w:val="none"/>
              </w:rPr>
              <w:t>符合</w:t>
            </w:r>
          </w:p>
          <w:p w14:paraId="779CDAB8">
            <w:pPr>
              <w:spacing w:line="260" w:lineRule="exact"/>
              <w:rPr>
                <w:rFonts w:ascii="宋体" w:hAnsi="宋体"/>
                <w:color w:val="auto"/>
                <w:highlight w:val="none"/>
              </w:rPr>
            </w:pPr>
            <w:r>
              <w:rPr>
                <w:rFonts w:hint="eastAsia" w:ascii="宋体" w:hAnsi="宋体"/>
                <w:color w:val="auto"/>
                <w:highlight w:val="none"/>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highlight w:val="none"/>
              </w:rPr>
            </w:pPr>
            <w:r>
              <w:rPr>
                <w:rFonts w:ascii="宋体" w:hAnsi="宋体"/>
                <w:b/>
                <w:color w:val="auto"/>
                <w:highlight w:val="none"/>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highlight w:val="none"/>
              </w:rPr>
            </w:pPr>
          </w:p>
        </w:tc>
        <w:tc>
          <w:tcPr>
            <w:tcW w:w="1319" w:type="pct"/>
            <w:vAlign w:val="center"/>
          </w:tcPr>
          <w:p w14:paraId="3742432D">
            <w:pPr>
              <w:spacing w:line="260" w:lineRule="exact"/>
              <w:rPr>
                <w:rFonts w:ascii="宋体" w:hAnsi="宋体"/>
                <w:color w:val="auto"/>
                <w:highlight w:val="none"/>
              </w:rPr>
            </w:pPr>
            <w:r>
              <w:rPr>
                <w:rFonts w:ascii="宋体" w:hAnsi="宋体"/>
                <w:color w:val="auto"/>
                <w:highlight w:val="none"/>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highlight w:val="none"/>
              </w:rPr>
            </w:pPr>
            <w:r>
              <w:rPr>
                <w:rFonts w:ascii="宋体" w:hAnsi="宋体"/>
                <w:color w:val="auto"/>
                <w:highlight w:val="none"/>
              </w:rPr>
              <w:t>《安全生产法》第三十八条；</w:t>
            </w:r>
          </w:p>
          <w:p w14:paraId="4E68AB73">
            <w:pPr>
              <w:spacing w:line="260" w:lineRule="exact"/>
              <w:rPr>
                <w:rFonts w:ascii="宋体" w:hAnsi="宋体"/>
                <w:color w:val="auto"/>
                <w:highlight w:val="none"/>
              </w:rPr>
            </w:pPr>
            <w:r>
              <w:rPr>
                <w:rFonts w:ascii="宋体" w:hAnsi="宋体"/>
                <w:color w:val="auto"/>
                <w:highlight w:val="none"/>
              </w:rPr>
              <w:t>《危险化学品企业安全风险隐患排查治理导则》3.2.3。</w:t>
            </w:r>
          </w:p>
        </w:tc>
        <w:tc>
          <w:tcPr>
            <w:tcW w:w="886" w:type="pct"/>
            <w:vAlign w:val="center"/>
          </w:tcPr>
          <w:p w14:paraId="60EA168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6FB32C54">
            <w:pPr>
              <w:spacing w:line="260" w:lineRule="exact"/>
              <w:rPr>
                <w:rFonts w:ascii="宋体" w:hAnsi="宋体"/>
                <w:color w:val="auto"/>
                <w:highlight w:val="none"/>
              </w:rPr>
            </w:pPr>
            <w:r>
              <w:rPr>
                <w:rFonts w:hint="eastAsia" w:ascii="宋体" w:hAnsi="宋体"/>
                <w:color w:val="auto"/>
                <w:highlight w:val="none"/>
              </w:rPr>
              <w:t>涉及重点监管危险化学品汽油，但加油站不涉及生产工艺过程</w:t>
            </w:r>
          </w:p>
        </w:tc>
        <w:tc>
          <w:tcPr>
            <w:tcW w:w="388" w:type="pct"/>
            <w:vAlign w:val="center"/>
          </w:tcPr>
          <w:p w14:paraId="7008020D">
            <w:pPr>
              <w:spacing w:line="260" w:lineRule="exact"/>
              <w:rPr>
                <w:rFonts w:ascii="宋体" w:hAnsi="宋体"/>
                <w:color w:val="auto"/>
                <w:highlight w:val="none"/>
              </w:rPr>
            </w:pPr>
            <w:r>
              <w:rPr>
                <w:rFonts w:hint="eastAsia" w:ascii="宋体" w:hAnsi="宋体"/>
                <w:color w:val="auto"/>
                <w:highlight w:val="none"/>
              </w:rPr>
              <w:t>符合</w:t>
            </w:r>
          </w:p>
          <w:p w14:paraId="3CA583F3">
            <w:pPr>
              <w:spacing w:line="260" w:lineRule="exact"/>
              <w:rPr>
                <w:rFonts w:ascii="宋体" w:hAnsi="宋体"/>
                <w:color w:val="auto"/>
                <w:highlight w:val="none"/>
              </w:rPr>
            </w:pPr>
            <w:r>
              <w:rPr>
                <w:rFonts w:hint="eastAsia" w:ascii="宋体" w:hAnsi="宋体"/>
                <w:color w:val="auto"/>
                <w:highlight w:val="none"/>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highlight w:val="none"/>
              </w:rPr>
            </w:pPr>
          </w:p>
        </w:tc>
        <w:tc>
          <w:tcPr>
            <w:tcW w:w="1319" w:type="pct"/>
            <w:vAlign w:val="center"/>
          </w:tcPr>
          <w:p w14:paraId="0E2C7356">
            <w:pPr>
              <w:spacing w:line="260" w:lineRule="exact"/>
              <w:rPr>
                <w:rFonts w:ascii="宋体" w:hAnsi="宋体"/>
                <w:color w:val="auto"/>
                <w:highlight w:val="none"/>
              </w:rPr>
            </w:pPr>
            <w:r>
              <w:rPr>
                <w:rFonts w:ascii="宋体" w:hAnsi="宋体"/>
                <w:color w:val="auto"/>
                <w:highlight w:val="none"/>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highlight w:val="none"/>
              </w:rPr>
            </w:pPr>
            <w:r>
              <w:rPr>
                <w:rFonts w:ascii="宋体" w:hAnsi="宋体"/>
                <w:color w:val="auto"/>
                <w:highlight w:val="none"/>
              </w:rPr>
              <w:t>《危险化学品重大危险源监督管理暂行规定》第十三条第一项。</w:t>
            </w:r>
          </w:p>
        </w:tc>
        <w:tc>
          <w:tcPr>
            <w:tcW w:w="886" w:type="pct"/>
            <w:vAlign w:val="center"/>
          </w:tcPr>
          <w:p w14:paraId="2A382A0E">
            <w:pPr>
              <w:spacing w:line="260" w:lineRule="exact"/>
              <w:rPr>
                <w:rFonts w:ascii="宋体" w:hAnsi="宋体"/>
                <w:color w:val="auto"/>
                <w:highlight w:val="none"/>
              </w:rPr>
            </w:pPr>
            <w:r>
              <w:rPr>
                <w:rFonts w:ascii="宋体" w:hAnsi="宋体"/>
                <w:color w:val="auto"/>
                <w:highlight w:val="none"/>
              </w:rPr>
              <w:t>《危险化学品重大危险源监督管理暂行规定》第三十二条第三项。</w:t>
            </w:r>
          </w:p>
        </w:tc>
        <w:tc>
          <w:tcPr>
            <w:tcW w:w="719" w:type="pct"/>
            <w:vAlign w:val="center"/>
          </w:tcPr>
          <w:p w14:paraId="6D1B013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重大危险源</w:t>
            </w:r>
          </w:p>
        </w:tc>
        <w:tc>
          <w:tcPr>
            <w:tcW w:w="388" w:type="pct"/>
            <w:vAlign w:val="center"/>
          </w:tcPr>
          <w:p w14:paraId="35D93FA8">
            <w:pPr>
              <w:spacing w:line="260" w:lineRule="exact"/>
              <w:rPr>
                <w:rFonts w:ascii="宋体" w:hAnsi="宋体"/>
                <w:color w:val="auto"/>
                <w:highlight w:val="none"/>
              </w:rPr>
            </w:pPr>
            <w:r>
              <w:rPr>
                <w:rFonts w:hint="eastAsia" w:ascii="宋体" w:hAnsi="宋体"/>
                <w:color w:val="auto"/>
                <w:highlight w:val="none"/>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highlight w:val="none"/>
              </w:rPr>
            </w:pPr>
          </w:p>
        </w:tc>
        <w:tc>
          <w:tcPr>
            <w:tcW w:w="1319" w:type="pct"/>
            <w:vAlign w:val="center"/>
          </w:tcPr>
          <w:p w14:paraId="0BAE37AC">
            <w:pPr>
              <w:spacing w:line="260" w:lineRule="exact"/>
              <w:rPr>
                <w:rFonts w:ascii="宋体" w:hAnsi="宋体"/>
                <w:color w:val="auto"/>
                <w:highlight w:val="none"/>
              </w:rPr>
            </w:pPr>
            <w:r>
              <w:rPr>
                <w:rFonts w:ascii="宋体" w:hAnsi="宋体"/>
                <w:color w:val="auto"/>
                <w:spacing w:val="-6"/>
                <w:sz w:val="21"/>
                <w:highlight w:val="none"/>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highlight w:val="none"/>
              </w:rPr>
            </w:pPr>
            <w:r>
              <w:rPr>
                <w:rFonts w:ascii="宋体" w:hAnsi="宋体"/>
                <w:color w:val="auto"/>
                <w:highlight w:val="none"/>
              </w:rPr>
              <w:t>《安全生产法》第六十二条；</w:t>
            </w:r>
          </w:p>
          <w:p w14:paraId="78CA4D0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5C9856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310D909F">
            <w:pPr>
              <w:spacing w:line="260" w:lineRule="exact"/>
              <w:rPr>
                <w:rFonts w:ascii="宋体" w:hAnsi="宋体"/>
                <w:color w:val="auto"/>
                <w:highlight w:val="none"/>
              </w:rPr>
            </w:pPr>
            <w:r>
              <w:rPr>
                <w:rFonts w:hint="eastAsia" w:ascii="宋体" w:hAnsi="宋体"/>
                <w:color w:val="auto"/>
                <w:highlight w:val="none"/>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highlight w:val="none"/>
              </w:rPr>
            </w:pPr>
          </w:p>
        </w:tc>
        <w:tc>
          <w:tcPr>
            <w:tcW w:w="1319" w:type="pct"/>
            <w:vAlign w:val="center"/>
          </w:tcPr>
          <w:p w14:paraId="463F9B67">
            <w:pPr>
              <w:spacing w:line="260" w:lineRule="exact"/>
              <w:rPr>
                <w:rFonts w:ascii="宋体" w:hAnsi="宋体"/>
                <w:color w:val="auto"/>
                <w:highlight w:val="none"/>
              </w:rPr>
            </w:pPr>
            <w:r>
              <w:rPr>
                <w:rFonts w:ascii="宋体" w:hAnsi="宋体"/>
                <w:color w:val="auto"/>
                <w:highlight w:val="none"/>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highlight w:val="none"/>
              </w:rPr>
            </w:pPr>
            <w:r>
              <w:rPr>
                <w:rFonts w:ascii="宋体" w:hAnsi="宋体"/>
                <w:color w:val="auto"/>
                <w:highlight w:val="none"/>
              </w:rPr>
              <w:t>《安全生产法》第三十八条；</w:t>
            </w:r>
          </w:p>
          <w:p w14:paraId="1B8D2464">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《危险化学品生产企业安全生产许可证实施办法》第八条第三款，第九条第四</w:t>
            </w:r>
            <w:r>
              <w:rPr>
                <w:rFonts w:hint="eastAsia" w:ascii="宋体" w:hAnsi="宋体"/>
                <w:color w:val="auto"/>
                <w:highlight w:val="none"/>
                <w:lang w:eastAsia="zh-CN"/>
              </w:rPr>
              <w:t>、第</w:t>
            </w:r>
            <w:r>
              <w:rPr>
                <w:rFonts w:ascii="宋体" w:hAnsi="宋体"/>
                <w:color w:val="auto"/>
                <w:highlight w:val="none"/>
              </w:rPr>
              <w:t>五款；</w:t>
            </w:r>
          </w:p>
          <w:p w14:paraId="2D888C8F">
            <w:pPr>
              <w:spacing w:line="260" w:lineRule="exact"/>
              <w:rPr>
                <w:rFonts w:ascii="宋体" w:hAnsi="宋体"/>
                <w:color w:val="auto"/>
                <w:highlight w:val="none"/>
              </w:rPr>
            </w:pPr>
            <w:r>
              <w:rPr>
                <w:rFonts w:ascii="宋体" w:hAnsi="宋体"/>
                <w:color w:val="auto"/>
                <w:highlight w:val="none"/>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5B7B6760">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装置</w:t>
            </w:r>
          </w:p>
        </w:tc>
        <w:tc>
          <w:tcPr>
            <w:tcW w:w="388" w:type="pct"/>
            <w:vAlign w:val="center"/>
          </w:tcPr>
          <w:p w14:paraId="5ECB46F0">
            <w:pPr>
              <w:spacing w:line="260" w:lineRule="exact"/>
              <w:rPr>
                <w:rFonts w:ascii="宋体" w:hAnsi="宋体"/>
                <w:color w:val="auto"/>
                <w:highlight w:val="none"/>
              </w:rPr>
            </w:pPr>
            <w:r>
              <w:rPr>
                <w:rFonts w:hint="eastAsia" w:ascii="宋体" w:hAnsi="宋体"/>
                <w:color w:val="auto"/>
                <w:highlight w:val="none"/>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highlight w:val="none"/>
              </w:rPr>
            </w:pPr>
          </w:p>
        </w:tc>
        <w:tc>
          <w:tcPr>
            <w:tcW w:w="1319" w:type="pct"/>
            <w:vAlign w:val="center"/>
          </w:tcPr>
          <w:p w14:paraId="7DE0BEDA">
            <w:pPr>
              <w:spacing w:line="260" w:lineRule="exact"/>
              <w:rPr>
                <w:rFonts w:ascii="宋体" w:hAnsi="宋体"/>
                <w:color w:val="auto"/>
                <w:highlight w:val="none"/>
              </w:rPr>
            </w:pPr>
            <w:r>
              <w:rPr>
                <w:rFonts w:ascii="宋体" w:hAnsi="宋体"/>
                <w:color w:val="auto"/>
                <w:highlight w:val="none"/>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highlight w:val="none"/>
              </w:rPr>
            </w:pPr>
            <w:r>
              <w:rPr>
                <w:rFonts w:ascii="宋体" w:hAnsi="宋体"/>
                <w:color w:val="auto"/>
                <w:highlight w:val="none"/>
              </w:rPr>
              <w:t>《安全生产法》第三十八条；</w:t>
            </w:r>
          </w:p>
          <w:p w14:paraId="3968B93C">
            <w:pPr>
              <w:spacing w:line="260" w:lineRule="exact"/>
              <w:rPr>
                <w:rFonts w:ascii="宋体" w:hAnsi="宋体"/>
                <w:color w:val="auto"/>
                <w:highlight w:val="none"/>
              </w:rPr>
            </w:pPr>
            <w:r>
              <w:rPr>
                <w:rFonts w:ascii="宋体" w:hAnsi="宋体"/>
                <w:color w:val="auto"/>
                <w:highlight w:val="none"/>
              </w:rPr>
              <w:t>《危险化学品生产企业安全生产许可证实施办法》第九条；</w:t>
            </w:r>
          </w:p>
          <w:p w14:paraId="4AA354AB">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tc>
        <w:tc>
          <w:tcPr>
            <w:tcW w:w="886" w:type="pct"/>
            <w:vAlign w:val="center"/>
          </w:tcPr>
          <w:p w14:paraId="13D27140">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31618C7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6601ECFB">
            <w:pPr>
              <w:spacing w:line="260" w:lineRule="exact"/>
              <w:rPr>
                <w:rFonts w:ascii="宋体" w:hAnsi="宋体"/>
                <w:color w:val="auto"/>
                <w:highlight w:val="none"/>
              </w:rPr>
            </w:pPr>
            <w:r>
              <w:rPr>
                <w:rFonts w:hint="eastAsia" w:ascii="宋体" w:hAnsi="宋体"/>
                <w:color w:val="auto"/>
                <w:highlight w:val="none"/>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highlight w:val="none"/>
              </w:rPr>
            </w:pPr>
          </w:p>
        </w:tc>
        <w:tc>
          <w:tcPr>
            <w:tcW w:w="1319" w:type="pct"/>
            <w:vAlign w:val="center"/>
          </w:tcPr>
          <w:p w14:paraId="71E83E1C">
            <w:pPr>
              <w:spacing w:line="260" w:lineRule="exact"/>
              <w:rPr>
                <w:rFonts w:ascii="宋体" w:hAnsi="宋体"/>
                <w:color w:val="auto"/>
                <w:highlight w:val="none"/>
              </w:rPr>
            </w:pPr>
            <w:r>
              <w:rPr>
                <w:rFonts w:ascii="宋体" w:hAnsi="宋体"/>
                <w:color w:val="auto"/>
                <w:highlight w:val="none"/>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highlight w:val="none"/>
              </w:rPr>
            </w:pPr>
            <w:r>
              <w:rPr>
                <w:rFonts w:ascii="宋体" w:hAnsi="宋体"/>
                <w:color w:val="auto"/>
                <w:highlight w:val="none"/>
              </w:rPr>
              <w:t>《安全生产法》第六十二条；</w:t>
            </w:r>
          </w:p>
          <w:p w14:paraId="0DACAC5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E869B7F">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控制室或机柜间</w:t>
            </w:r>
          </w:p>
        </w:tc>
        <w:tc>
          <w:tcPr>
            <w:tcW w:w="388" w:type="pct"/>
            <w:vAlign w:val="center"/>
          </w:tcPr>
          <w:p w14:paraId="4B4866A7">
            <w:pPr>
              <w:spacing w:line="260" w:lineRule="exact"/>
              <w:rPr>
                <w:rFonts w:ascii="宋体" w:hAnsi="宋体"/>
                <w:color w:val="auto"/>
                <w:highlight w:val="none"/>
              </w:rPr>
            </w:pPr>
            <w:r>
              <w:rPr>
                <w:rFonts w:hint="eastAsia" w:ascii="宋体" w:hAnsi="宋体"/>
                <w:color w:val="auto"/>
                <w:highlight w:val="none"/>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highlight w:val="none"/>
              </w:rPr>
            </w:pPr>
          </w:p>
        </w:tc>
        <w:tc>
          <w:tcPr>
            <w:tcW w:w="1319" w:type="pct"/>
            <w:vAlign w:val="center"/>
          </w:tcPr>
          <w:p w14:paraId="18858391">
            <w:pPr>
              <w:spacing w:line="260" w:lineRule="exact"/>
              <w:rPr>
                <w:rFonts w:ascii="宋体" w:hAnsi="宋体"/>
                <w:color w:val="auto"/>
                <w:highlight w:val="none"/>
              </w:rPr>
            </w:pPr>
            <w:r>
              <w:rPr>
                <w:rFonts w:ascii="宋体" w:hAnsi="宋体"/>
                <w:color w:val="auto"/>
                <w:highlight w:val="none"/>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highlight w:val="none"/>
              </w:rPr>
            </w:pPr>
            <w:r>
              <w:rPr>
                <w:rFonts w:ascii="宋体" w:hAnsi="宋体"/>
                <w:color w:val="auto"/>
                <w:highlight w:val="none"/>
              </w:rPr>
              <w:t>《安全生产法》第六十二条；</w:t>
            </w:r>
          </w:p>
          <w:p w14:paraId="6E9DD5A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《危险化学品生产企业安全生产许可证实施办法》第九条第一款第三项；</w:t>
            </w:r>
          </w:p>
          <w:p w14:paraId="70EEDB5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18AFE6A">
            <w:pPr>
              <w:spacing w:line="260" w:lineRule="exact"/>
              <w:rPr>
                <w:rFonts w:ascii="宋体" w:hAnsi="宋体"/>
                <w:color w:val="auto"/>
                <w:highlight w:val="none"/>
              </w:rPr>
            </w:pPr>
            <w:r>
              <w:rPr>
                <w:rFonts w:ascii="宋体" w:hAnsi="宋体"/>
                <w:color w:val="auto"/>
                <w:highlight w:val="none"/>
              </w:rPr>
              <w:t>按照标准设置</w:t>
            </w:r>
            <w:r>
              <w:rPr>
                <w:rFonts w:hint="eastAsia" w:ascii="宋体" w:hAnsi="宋体"/>
                <w:color w:val="auto"/>
                <w:highlight w:val="none"/>
              </w:rPr>
              <w:t>了油气</w:t>
            </w:r>
            <w:r>
              <w:rPr>
                <w:rFonts w:ascii="宋体" w:hAnsi="宋体"/>
                <w:color w:val="auto"/>
                <w:highlight w:val="none"/>
              </w:rPr>
              <w:t>泄漏检测报警系统</w:t>
            </w:r>
            <w:r>
              <w:rPr>
                <w:rFonts w:hint="eastAsia" w:ascii="宋体" w:hAnsi="宋体"/>
                <w:color w:val="auto"/>
                <w:highlight w:val="none"/>
              </w:rPr>
              <w:t>，</w:t>
            </w:r>
            <w:r>
              <w:rPr>
                <w:rFonts w:ascii="宋体" w:hAnsi="宋体"/>
                <w:color w:val="auto"/>
                <w:highlight w:val="none"/>
              </w:rPr>
              <w:t>信号</w:t>
            </w:r>
            <w:r>
              <w:rPr>
                <w:rFonts w:hint="eastAsia" w:ascii="宋体" w:hAnsi="宋体"/>
                <w:color w:val="auto"/>
                <w:highlight w:val="none"/>
              </w:rPr>
              <w:t>远传至站房内</w:t>
            </w:r>
          </w:p>
        </w:tc>
        <w:tc>
          <w:tcPr>
            <w:tcW w:w="388" w:type="pct"/>
            <w:vAlign w:val="center"/>
          </w:tcPr>
          <w:p w14:paraId="328897C3">
            <w:pPr>
              <w:spacing w:line="260" w:lineRule="exact"/>
              <w:rPr>
                <w:rFonts w:ascii="宋体" w:hAnsi="宋体"/>
                <w:color w:val="auto"/>
                <w:highlight w:val="none"/>
              </w:rPr>
            </w:pPr>
            <w:r>
              <w:rPr>
                <w:rFonts w:hint="eastAsia" w:ascii="宋体" w:hAnsi="宋体"/>
                <w:color w:val="auto"/>
                <w:highlight w:val="none"/>
              </w:rPr>
              <w:t>符合</w:t>
            </w:r>
          </w:p>
          <w:p w14:paraId="50BFBB09">
            <w:pPr>
              <w:spacing w:line="260" w:lineRule="exact"/>
              <w:rPr>
                <w:rFonts w:ascii="宋体" w:hAnsi="宋体"/>
                <w:color w:val="auto"/>
                <w:highlight w:val="none"/>
              </w:rPr>
            </w:pPr>
            <w:r>
              <w:rPr>
                <w:rFonts w:hint="eastAsia" w:ascii="宋体" w:hAnsi="宋体"/>
                <w:color w:val="auto"/>
                <w:highlight w:val="none"/>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highlight w:val="none"/>
              </w:rPr>
            </w:pPr>
          </w:p>
        </w:tc>
        <w:tc>
          <w:tcPr>
            <w:tcW w:w="1319" w:type="pct"/>
            <w:vAlign w:val="center"/>
          </w:tcPr>
          <w:p w14:paraId="1E3E082B">
            <w:pPr>
              <w:spacing w:line="260" w:lineRule="exact"/>
              <w:rPr>
                <w:rFonts w:ascii="宋体" w:hAnsi="宋体"/>
                <w:color w:val="auto"/>
                <w:highlight w:val="none"/>
              </w:rPr>
            </w:pPr>
            <w:r>
              <w:rPr>
                <w:rFonts w:ascii="宋体" w:hAnsi="宋体"/>
                <w:color w:val="auto"/>
                <w:highlight w:val="none"/>
              </w:rPr>
              <w:t>地区架空电力线路穿越生产区且不符合国家标准要求。</w:t>
            </w:r>
          </w:p>
        </w:tc>
        <w:tc>
          <w:tcPr>
            <w:tcW w:w="1398" w:type="pct"/>
            <w:vAlign w:val="center"/>
          </w:tcPr>
          <w:p w14:paraId="650C4A21">
            <w:pPr>
              <w:spacing w:line="260" w:lineRule="exact"/>
              <w:rPr>
                <w:rFonts w:ascii="宋体" w:hAnsi="宋体"/>
                <w:color w:val="auto"/>
                <w:highlight w:val="none"/>
              </w:rPr>
            </w:pPr>
            <w:r>
              <w:rPr>
                <w:rFonts w:ascii="宋体" w:hAnsi="宋体"/>
                <w:color w:val="auto"/>
                <w:highlight w:val="none"/>
              </w:rPr>
              <w:t>《安全生产法》第六十二条；</w:t>
            </w:r>
          </w:p>
          <w:p w14:paraId="1ADD276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6A2F138">
            <w:pPr>
              <w:spacing w:line="260" w:lineRule="exact"/>
              <w:rPr>
                <w:rFonts w:ascii="宋体" w:hAnsi="宋体"/>
                <w:color w:val="auto"/>
                <w:highlight w:val="none"/>
              </w:rPr>
            </w:pPr>
            <w:r>
              <w:rPr>
                <w:rFonts w:ascii="宋体" w:hAnsi="宋体"/>
                <w:color w:val="auto"/>
                <w:highlight w:val="none"/>
              </w:rPr>
              <w:t>架空电力线路</w:t>
            </w:r>
            <w:r>
              <w:rPr>
                <w:rFonts w:hint="eastAsia" w:ascii="宋体" w:hAnsi="宋体"/>
                <w:color w:val="auto"/>
                <w:highlight w:val="none"/>
              </w:rPr>
              <w:t>未</w:t>
            </w:r>
            <w:r>
              <w:rPr>
                <w:rFonts w:ascii="宋体" w:hAnsi="宋体"/>
                <w:color w:val="auto"/>
                <w:highlight w:val="none"/>
              </w:rPr>
              <w:t>穿越</w:t>
            </w:r>
            <w:r>
              <w:rPr>
                <w:rFonts w:hint="eastAsia" w:ascii="宋体" w:hAnsi="宋体"/>
                <w:color w:val="auto"/>
                <w:highlight w:val="none"/>
              </w:rPr>
              <w:t>加油站</w:t>
            </w:r>
          </w:p>
        </w:tc>
        <w:tc>
          <w:tcPr>
            <w:tcW w:w="388" w:type="pct"/>
            <w:vAlign w:val="center"/>
          </w:tcPr>
          <w:p w14:paraId="5419CC71">
            <w:pPr>
              <w:spacing w:line="260" w:lineRule="exact"/>
              <w:rPr>
                <w:rFonts w:ascii="宋体" w:hAnsi="宋体"/>
                <w:color w:val="auto"/>
                <w:highlight w:val="none"/>
              </w:rPr>
            </w:pPr>
            <w:r>
              <w:rPr>
                <w:rFonts w:hint="eastAsia" w:ascii="宋体" w:hAnsi="宋体"/>
                <w:color w:val="auto"/>
                <w:highlight w:val="none"/>
              </w:rPr>
              <w:t>符合</w:t>
            </w:r>
          </w:p>
          <w:p w14:paraId="01CF3F6C">
            <w:pPr>
              <w:spacing w:line="260" w:lineRule="exact"/>
              <w:rPr>
                <w:rFonts w:ascii="宋体" w:hAnsi="宋体"/>
                <w:color w:val="auto"/>
                <w:highlight w:val="none"/>
              </w:rPr>
            </w:pPr>
            <w:r>
              <w:rPr>
                <w:rFonts w:hint="eastAsia" w:ascii="宋体" w:hAnsi="宋体"/>
                <w:color w:val="auto"/>
                <w:highlight w:val="none"/>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highlight w:val="none"/>
              </w:rPr>
            </w:pPr>
          </w:p>
        </w:tc>
        <w:tc>
          <w:tcPr>
            <w:tcW w:w="1319" w:type="pct"/>
            <w:vAlign w:val="center"/>
          </w:tcPr>
          <w:p w14:paraId="2B5035FA">
            <w:pPr>
              <w:spacing w:line="260" w:lineRule="exact"/>
              <w:rPr>
                <w:rFonts w:ascii="宋体" w:hAnsi="宋体"/>
                <w:color w:val="auto"/>
                <w:highlight w:val="none"/>
              </w:rPr>
            </w:pPr>
            <w:r>
              <w:rPr>
                <w:rFonts w:ascii="宋体" w:hAnsi="宋体"/>
                <w:color w:val="auto"/>
                <w:highlight w:val="none"/>
              </w:rPr>
              <w:t>化工生产装置未按国家标准要求设置双重电源供电。</w:t>
            </w:r>
          </w:p>
        </w:tc>
        <w:tc>
          <w:tcPr>
            <w:tcW w:w="1398" w:type="pct"/>
            <w:vAlign w:val="center"/>
          </w:tcPr>
          <w:p w14:paraId="7CEE6C03">
            <w:pPr>
              <w:spacing w:line="260" w:lineRule="exact"/>
              <w:rPr>
                <w:rFonts w:ascii="宋体" w:hAnsi="宋体"/>
                <w:color w:val="auto"/>
                <w:highlight w:val="none"/>
              </w:rPr>
            </w:pPr>
            <w:r>
              <w:rPr>
                <w:rFonts w:ascii="宋体" w:hAnsi="宋体"/>
                <w:color w:val="auto"/>
                <w:highlight w:val="none"/>
              </w:rPr>
              <w:t>《安全生产法》第六十二条；</w:t>
            </w:r>
          </w:p>
          <w:p w14:paraId="4B5FBDB1">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《化工和危险化学品生产经营单位重大生产安全事故隐患判定标准（试行）》第十四条；</w:t>
            </w:r>
          </w:p>
          <w:p w14:paraId="62A8DED4">
            <w:pPr>
              <w:spacing w:line="260" w:lineRule="exact"/>
              <w:rPr>
                <w:rFonts w:ascii="宋体" w:hAnsi="宋体"/>
                <w:color w:val="auto"/>
                <w:highlight w:val="none"/>
              </w:rPr>
            </w:pPr>
            <w:r>
              <w:rPr>
                <w:rFonts w:ascii="宋体" w:hAnsi="宋体"/>
                <w:color w:val="auto"/>
                <w:highlight w:val="none"/>
              </w:rPr>
              <w:t>《供配电系统设计规范》（GB50052-2009）3.0.2；</w:t>
            </w:r>
          </w:p>
          <w:p w14:paraId="3CF5D967">
            <w:pPr>
              <w:spacing w:line="260" w:lineRule="exact"/>
              <w:rPr>
                <w:rFonts w:ascii="宋体" w:hAnsi="宋体"/>
                <w:color w:val="auto"/>
                <w:highlight w:val="none"/>
              </w:rPr>
            </w:pPr>
            <w:r>
              <w:rPr>
                <w:rFonts w:ascii="宋体" w:hAnsi="宋体"/>
                <w:color w:val="auto"/>
                <w:highlight w:val="none"/>
              </w:rPr>
              <w:t>《石油化工企业生产装置电力设计技术规范》（SH3038-2000）4.1、4.2。</w:t>
            </w:r>
          </w:p>
        </w:tc>
        <w:tc>
          <w:tcPr>
            <w:tcW w:w="886" w:type="pct"/>
            <w:vAlign w:val="center"/>
          </w:tcPr>
          <w:p w14:paraId="15703A4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221F6B29">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化工生产装置</w:t>
            </w:r>
          </w:p>
        </w:tc>
        <w:tc>
          <w:tcPr>
            <w:tcW w:w="388" w:type="pct"/>
            <w:vAlign w:val="center"/>
          </w:tcPr>
          <w:p w14:paraId="7D04EB35">
            <w:pPr>
              <w:spacing w:line="260" w:lineRule="exact"/>
              <w:rPr>
                <w:rFonts w:ascii="宋体" w:hAnsi="宋体"/>
                <w:color w:val="auto"/>
                <w:highlight w:val="none"/>
              </w:rPr>
            </w:pPr>
            <w:r>
              <w:rPr>
                <w:rFonts w:hint="eastAsia" w:ascii="宋体" w:hAnsi="宋体"/>
                <w:color w:val="auto"/>
                <w:highlight w:val="none"/>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highlight w:val="none"/>
              </w:rPr>
            </w:pPr>
          </w:p>
        </w:tc>
        <w:tc>
          <w:tcPr>
            <w:tcW w:w="1319" w:type="pct"/>
            <w:vAlign w:val="center"/>
          </w:tcPr>
          <w:p w14:paraId="13D58709">
            <w:pPr>
              <w:spacing w:line="260" w:lineRule="exact"/>
              <w:rPr>
                <w:rFonts w:ascii="宋体" w:hAnsi="宋体"/>
                <w:color w:val="auto"/>
                <w:highlight w:val="none"/>
              </w:rPr>
            </w:pPr>
            <w:r>
              <w:rPr>
                <w:rFonts w:ascii="宋体" w:hAnsi="宋体"/>
                <w:color w:val="auto"/>
                <w:highlight w:val="none"/>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highlight w:val="none"/>
              </w:rPr>
            </w:pPr>
            <w:r>
              <w:rPr>
                <w:rFonts w:ascii="宋体" w:hAnsi="宋体"/>
                <w:color w:val="auto"/>
                <w:highlight w:val="none"/>
              </w:rPr>
              <w:t>《危险化学品企业安全风险隐患排查治理导则》4.1.5。</w:t>
            </w:r>
          </w:p>
        </w:tc>
        <w:tc>
          <w:tcPr>
            <w:tcW w:w="886" w:type="pct"/>
            <w:vAlign w:val="center"/>
          </w:tcPr>
          <w:p w14:paraId="72C5902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21F51AEF">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安全风险研判与承诺公告制度，每天作出安全承诺并向社会公告</w:t>
            </w:r>
          </w:p>
        </w:tc>
        <w:tc>
          <w:tcPr>
            <w:tcW w:w="388" w:type="pct"/>
            <w:vAlign w:val="center"/>
          </w:tcPr>
          <w:p w14:paraId="2DF95ADD">
            <w:pPr>
              <w:spacing w:line="260" w:lineRule="exact"/>
              <w:rPr>
                <w:rFonts w:ascii="宋体" w:hAnsi="宋体"/>
                <w:color w:val="auto"/>
                <w:highlight w:val="none"/>
              </w:rPr>
            </w:pPr>
            <w:r>
              <w:rPr>
                <w:rFonts w:hint="eastAsia" w:ascii="宋体" w:hAnsi="宋体"/>
                <w:color w:val="auto"/>
                <w:highlight w:val="none"/>
              </w:rPr>
              <w:t>符合</w:t>
            </w:r>
          </w:p>
          <w:p w14:paraId="78AE8686">
            <w:pPr>
              <w:spacing w:line="260" w:lineRule="exact"/>
              <w:rPr>
                <w:rFonts w:ascii="宋体" w:hAnsi="宋体"/>
                <w:color w:val="auto"/>
                <w:highlight w:val="none"/>
              </w:rPr>
            </w:pPr>
            <w:r>
              <w:rPr>
                <w:rFonts w:hint="eastAsia" w:ascii="宋体" w:hAnsi="宋体"/>
                <w:color w:val="auto"/>
                <w:highlight w:val="none"/>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highlight w:val="none"/>
              </w:rPr>
            </w:pPr>
          </w:p>
        </w:tc>
        <w:tc>
          <w:tcPr>
            <w:tcW w:w="1319" w:type="pct"/>
            <w:vAlign w:val="center"/>
          </w:tcPr>
          <w:p w14:paraId="0F76E75A">
            <w:pPr>
              <w:spacing w:line="260" w:lineRule="exact"/>
              <w:rPr>
                <w:rFonts w:ascii="宋体" w:hAnsi="宋体"/>
                <w:color w:val="auto"/>
                <w:highlight w:val="none"/>
              </w:rPr>
            </w:pPr>
            <w:r>
              <w:rPr>
                <w:rFonts w:ascii="宋体" w:hAnsi="宋体"/>
                <w:color w:val="auto"/>
                <w:highlight w:val="none"/>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highlight w:val="none"/>
              </w:rPr>
            </w:pPr>
            <w:r>
              <w:rPr>
                <w:rFonts w:ascii="宋体" w:hAnsi="宋体"/>
                <w:color w:val="auto"/>
                <w:highlight w:val="none"/>
              </w:rPr>
              <w:t>《危险化学品安全管理条例》第十五条。</w:t>
            </w:r>
          </w:p>
        </w:tc>
        <w:tc>
          <w:tcPr>
            <w:tcW w:w="886" w:type="pct"/>
            <w:vAlign w:val="center"/>
          </w:tcPr>
          <w:p w14:paraId="5650402A">
            <w:pPr>
              <w:spacing w:line="260" w:lineRule="exact"/>
              <w:rPr>
                <w:rFonts w:ascii="宋体" w:hAnsi="宋体"/>
                <w:color w:val="auto"/>
                <w:highlight w:val="none"/>
              </w:rPr>
            </w:pPr>
            <w:r>
              <w:rPr>
                <w:rFonts w:ascii="宋体" w:hAnsi="宋体"/>
                <w:color w:val="auto"/>
                <w:highlight w:val="none"/>
              </w:rPr>
              <w:t>《危险化学品安全管理条例》第七十八条。</w:t>
            </w:r>
          </w:p>
        </w:tc>
        <w:tc>
          <w:tcPr>
            <w:tcW w:w="719" w:type="pct"/>
            <w:vAlign w:val="center"/>
          </w:tcPr>
          <w:p w14:paraId="22B9D06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工艺过程</w:t>
            </w:r>
          </w:p>
        </w:tc>
        <w:tc>
          <w:tcPr>
            <w:tcW w:w="388" w:type="pct"/>
            <w:vAlign w:val="center"/>
          </w:tcPr>
          <w:p w14:paraId="617CEE06">
            <w:pPr>
              <w:spacing w:line="260" w:lineRule="exact"/>
              <w:rPr>
                <w:rFonts w:ascii="宋体" w:hAnsi="宋体"/>
                <w:color w:val="auto"/>
                <w:highlight w:val="none"/>
              </w:rPr>
            </w:pPr>
            <w:r>
              <w:rPr>
                <w:rFonts w:hint="eastAsia" w:ascii="宋体" w:hAnsi="宋体"/>
                <w:color w:val="auto"/>
                <w:highlight w:val="none"/>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highlight w:val="none"/>
              </w:rPr>
            </w:pPr>
          </w:p>
        </w:tc>
        <w:tc>
          <w:tcPr>
            <w:tcW w:w="1319" w:type="pct"/>
            <w:vAlign w:val="center"/>
          </w:tcPr>
          <w:p w14:paraId="72F29B09">
            <w:pPr>
              <w:spacing w:line="260" w:lineRule="exact"/>
              <w:rPr>
                <w:rFonts w:ascii="宋体" w:hAnsi="宋体"/>
                <w:color w:val="auto"/>
                <w:highlight w:val="none"/>
              </w:rPr>
            </w:pPr>
            <w:r>
              <w:rPr>
                <w:rFonts w:ascii="宋体" w:hAnsi="宋体"/>
                <w:color w:val="auto"/>
                <w:highlight w:val="none"/>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highlight w:val="none"/>
              </w:rPr>
            </w:pPr>
            <w:r>
              <w:rPr>
                <w:rFonts w:ascii="宋体" w:hAnsi="宋体"/>
                <w:color w:val="auto"/>
                <w:highlight w:val="none"/>
              </w:rPr>
              <w:t>《危险化学品企业安全风险隐患排查治理导则》4.12。</w:t>
            </w:r>
          </w:p>
        </w:tc>
        <w:tc>
          <w:tcPr>
            <w:tcW w:w="886" w:type="pct"/>
            <w:vAlign w:val="center"/>
          </w:tcPr>
          <w:p w14:paraId="70FE70B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4B7E130A">
            <w:pPr>
              <w:spacing w:line="260" w:lineRule="exact"/>
              <w:rPr>
                <w:rFonts w:ascii="宋体" w:hAnsi="宋体"/>
                <w:color w:val="auto"/>
                <w:highlight w:val="none"/>
              </w:rPr>
            </w:pPr>
            <w:r>
              <w:rPr>
                <w:rFonts w:hint="eastAsia" w:ascii="宋体" w:hAnsi="宋体"/>
                <w:color w:val="auto"/>
                <w:highlight w:val="none"/>
              </w:rPr>
              <w:t>设有变更</w:t>
            </w:r>
            <w:r>
              <w:rPr>
                <w:rFonts w:ascii="宋体" w:hAnsi="宋体"/>
                <w:color w:val="auto"/>
                <w:highlight w:val="none"/>
              </w:rPr>
              <w:t>管理</w:t>
            </w:r>
            <w:r>
              <w:rPr>
                <w:rFonts w:hint="eastAsia" w:ascii="宋体" w:hAnsi="宋体"/>
                <w:color w:val="auto"/>
                <w:highlight w:val="none"/>
              </w:rPr>
              <w:t>制度和安全风险评价管理制度</w:t>
            </w:r>
          </w:p>
        </w:tc>
        <w:tc>
          <w:tcPr>
            <w:tcW w:w="388" w:type="pct"/>
            <w:vAlign w:val="center"/>
          </w:tcPr>
          <w:p w14:paraId="55AAF6DE">
            <w:pPr>
              <w:spacing w:line="260" w:lineRule="exact"/>
              <w:rPr>
                <w:rFonts w:ascii="宋体" w:hAnsi="宋体"/>
                <w:color w:val="auto"/>
                <w:highlight w:val="none"/>
              </w:rPr>
            </w:pPr>
            <w:r>
              <w:rPr>
                <w:rFonts w:hint="eastAsia" w:ascii="宋体" w:hAnsi="宋体"/>
                <w:color w:val="auto"/>
                <w:highlight w:val="none"/>
              </w:rPr>
              <w:t>符合</w:t>
            </w:r>
          </w:p>
          <w:p w14:paraId="262B522A">
            <w:pPr>
              <w:spacing w:line="260" w:lineRule="exact"/>
              <w:rPr>
                <w:rFonts w:ascii="宋体" w:hAnsi="宋体"/>
                <w:color w:val="auto"/>
                <w:highlight w:val="none"/>
              </w:rPr>
            </w:pPr>
            <w:r>
              <w:rPr>
                <w:rFonts w:hint="eastAsia" w:ascii="宋体" w:hAnsi="宋体"/>
                <w:color w:val="auto"/>
                <w:highlight w:val="none"/>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highlight w:val="none"/>
              </w:rPr>
            </w:pPr>
          </w:p>
        </w:tc>
        <w:tc>
          <w:tcPr>
            <w:tcW w:w="1319" w:type="pct"/>
            <w:vAlign w:val="center"/>
          </w:tcPr>
          <w:p w14:paraId="53E8A780">
            <w:pPr>
              <w:spacing w:line="260" w:lineRule="exact"/>
              <w:rPr>
                <w:rFonts w:ascii="宋体" w:hAnsi="宋体"/>
                <w:color w:val="auto"/>
                <w:highlight w:val="none"/>
              </w:rPr>
            </w:pPr>
            <w:r>
              <w:rPr>
                <w:rFonts w:ascii="宋体" w:hAnsi="宋体"/>
                <w:color w:val="auto"/>
                <w:highlight w:val="none"/>
              </w:rPr>
              <w:t>未按照《危险化学品单位应急救援物资配备要求》配备应急救援物资。</w:t>
            </w:r>
          </w:p>
        </w:tc>
        <w:tc>
          <w:tcPr>
            <w:tcW w:w="1398" w:type="pct"/>
            <w:vAlign w:val="center"/>
          </w:tcPr>
          <w:p w14:paraId="42989ED9">
            <w:pPr>
              <w:spacing w:line="260" w:lineRule="exact"/>
              <w:rPr>
                <w:rFonts w:ascii="宋体" w:hAnsi="宋体"/>
                <w:color w:val="auto"/>
                <w:highlight w:val="none"/>
              </w:rPr>
            </w:pPr>
            <w:r>
              <w:rPr>
                <w:rFonts w:ascii="宋体" w:hAnsi="宋体"/>
                <w:color w:val="auto"/>
                <w:highlight w:val="none"/>
              </w:rPr>
              <w:t>《安全生产法》第七十九条；</w:t>
            </w:r>
          </w:p>
          <w:p w14:paraId="29301506">
            <w:pPr>
              <w:spacing w:line="260" w:lineRule="exact"/>
              <w:rPr>
                <w:rFonts w:ascii="宋体" w:hAnsi="宋体"/>
                <w:color w:val="auto"/>
                <w:highlight w:val="none"/>
              </w:rPr>
            </w:pPr>
            <w:r>
              <w:rPr>
                <w:rFonts w:ascii="宋体" w:hAnsi="宋体"/>
                <w:color w:val="auto"/>
                <w:highlight w:val="none"/>
              </w:rPr>
              <w:t>《危险化学品单位应急救援物资配备要求》（GB 30077-2013）。</w:t>
            </w:r>
          </w:p>
        </w:tc>
        <w:tc>
          <w:tcPr>
            <w:tcW w:w="886" w:type="pct"/>
            <w:vAlign w:val="center"/>
          </w:tcPr>
          <w:p w14:paraId="4E59E0C7">
            <w:pPr>
              <w:spacing w:line="260" w:lineRule="exact"/>
              <w:rPr>
                <w:rFonts w:ascii="宋体" w:hAnsi="宋体"/>
                <w:color w:val="auto"/>
                <w:highlight w:val="none"/>
              </w:rPr>
            </w:pPr>
            <w:r>
              <w:rPr>
                <w:rFonts w:ascii="宋体" w:hAnsi="宋体"/>
                <w:color w:val="auto"/>
                <w:highlight w:val="none"/>
              </w:rPr>
              <w:t>《生产安全事故应急预案管理办法》第四十四条第七款。</w:t>
            </w:r>
          </w:p>
        </w:tc>
        <w:tc>
          <w:tcPr>
            <w:tcW w:w="719" w:type="pct"/>
            <w:vAlign w:val="center"/>
          </w:tcPr>
          <w:p w14:paraId="0C1500CF">
            <w:pPr>
              <w:spacing w:line="260" w:lineRule="exact"/>
              <w:rPr>
                <w:rFonts w:ascii="宋体" w:hAnsi="宋体"/>
                <w:color w:val="auto"/>
                <w:highlight w:val="none"/>
              </w:rPr>
            </w:pPr>
            <w:r>
              <w:rPr>
                <w:rFonts w:ascii="宋体" w:hAnsi="宋体"/>
                <w:color w:val="auto"/>
                <w:highlight w:val="none"/>
              </w:rPr>
              <w:t>配备</w:t>
            </w:r>
            <w:r>
              <w:rPr>
                <w:rFonts w:hint="eastAsia" w:ascii="宋体" w:hAnsi="宋体"/>
                <w:color w:val="auto"/>
                <w:highlight w:val="none"/>
              </w:rPr>
              <w:t>相关</w:t>
            </w:r>
            <w:r>
              <w:rPr>
                <w:rFonts w:ascii="宋体" w:hAnsi="宋体"/>
                <w:color w:val="auto"/>
                <w:highlight w:val="none"/>
              </w:rPr>
              <w:t>应急救援物资</w:t>
            </w:r>
          </w:p>
        </w:tc>
        <w:tc>
          <w:tcPr>
            <w:tcW w:w="388" w:type="pct"/>
            <w:vAlign w:val="center"/>
          </w:tcPr>
          <w:p w14:paraId="602EE156">
            <w:pPr>
              <w:spacing w:line="260" w:lineRule="exact"/>
              <w:rPr>
                <w:rFonts w:ascii="宋体" w:hAnsi="宋体"/>
                <w:color w:val="auto"/>
                <w:highlight w:val="none"/>
              </w:rPr>
            </w:pPr>
            <w:r>
              <w:rPr>
                <w:rFonts w:hint="eastAsia" w:ascii="宋体" w:hAnsi="宋体"/>
                <w:color w:val="auto"/>
                <w:highlight w:val="none"/>
              </w:rPr>
              <w:t>符合</w:t>
            </w:r>
          </w:p>
          <w:p w14:paraId="3AF7B870">
            <w:pPr>
              <w:spacing w:line="260" w:lineRule="exact"/>
              <w:rPr>
                <w:rFonts w:ascii="宋体" w:hAnsi="宋体"/>
                <w:color w:val="auto"/>
                <w:highlight w:val="none"/>
              </w:rPr>
            </w:pPr>
            <w:r>
              <w:rPr>
                <w:rFonts w:hint="eastAsia" w:ascii="宋体" w:hAnsi="宋体"/>
                <w:color w:val="auto"/>
                <w:highlight w:val="none"/>
              </w:rPr>
              <w:t>要求</w:t>
            </w:r>
          </w:p>
        </w:tc>
      </w:tr>
    </w:tbl>
    <w:p w14:paraId="754F5433">
      <w:pPr>
        <w:spacing w:line="560" w:lineRule="exact"/>
        <w:ind w:firstLine="560" w:firstLineChars="200"/>
        <w:rPr>
          <w:rFonts w:ascii="宋体" w:hAnsi="宋体"/>
          <w:color w:val="auto"/>
          <w:sz w:val="30"/>
          <w:szCs w:val="30"/>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，均符合要求</w:t>
      </w:r>
      <w:r>
        <w:rPr>
          <w:rFonts w:ascii="宋体" w:hAnsi="宋体"/>
          <w:color w:val="auto"/>
          <w:sz w:val="28"/>
          <w:szCs w:val="28"/>
          <w:highlight w:val="none"/>
        </w:rPr>
        <w:t>。</w:t>
      </w:r>
      <w:bookmarkStart w:id="197" w:name="_Toc25641"/>
      <w:bookmarkStart w:id="198" w:name="_Toc92712600"/>
      <w:bookmarkStart w:id="199" w:name="_Toc12089"/>
    </w:p>
    <w:p w14:paraId="5392B596">
      <w:pPr>
        <w:pStyle w:val="3"/>
        <w:spacing w:line="560" w:lineRule="exact"/>
        <w:jc w:val="center"/>
        <w:rPr>
          <w:rFonts w:ascii="宋体" w:hAnsi="宋体"/>
          <w:color w:val="auto"/>
          <w:sz w:val="30"/>
          <w:szCs w:val="30"/>
          <w:highlight w:val="none"/>
        </w:rPr>
      </w:pPr>
      <w:bookmarkStart w:id="200" w:name="_Toc18221"/>
      <w:r>
        <w:rPr>
          <w:rFonts w:hint="eastAsia" w:ascii="宋体" w:hAnsi="宋体"/>
          <w:color w:val="auto"/>
          <w:sz w:val="30"/>
          <w:szCs w:val="30"/>
          <w:highlight w:val="none"/>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根据</w:t>
      </w:r>
      <w:r>
        <w:rPr>
          <w:rFonts w:ascii="宋体" w:hAnsi="宋体"/>
          <w:color w:val="auto"/>
          <w:sz w:val="28"/>
          <w:szCs w:val="28"/>
          <w:highlight w:val="none"/>
        </w:rPr>
        <w:t>《危险化学品经营许可证管理办法》</w:t>
      </w:r>
      <w:r>
        <w:rPr>
          <w:rFonts w:hint="eastAsia" w:ascii="宋体" w:hAnsi="宋体"/>
          <w:color w:val="auto"/>
          <w:sz w:val="28"/>
          <w:szCs w:val="28"/>
          <w:highlight w:val="none"/>
        </w:rPr>
        <w:t>（</w:t>
      </w:r>
      <w:r>
        <w:rPr>
          <w:rFonts w:ascii="宋体" w:hAnsi="宋体"/>
          <w:color w:val="auto"/>
          <w:sz w:val="28"/>
          <w:szCs w:val="28"/>
          <w:highlight w:val="none"/>
        </w:rPr>
        <w:t>安监总局55号令</w:t>
      </w:r>
      <w:r>
        <w:rPr>
          <w:rFonts w:hint="eastAsia" w:ascii="宋体" w:hAnsi="宋体"/>
          <w:color w:val="auto"/>
          <w:sz w:val="28"/>
          <w:szCs w:val="28"/>
          <w:highlight w:val="none"/>
        </w:rPr>
        <w:t>，</w:t>
      </w:r>
      <w:r>
        <w:rPr>
          <w:rFonts w:ascii="宋体" w:hAnsi="宋体"/>
          <w:color w:val="auto"/>
          <w:sz w:val="28"/>
          <w:szCs w:val="28"/>
          <w:highlight w:val="none"/>
        </w:rPr>
        <w:t>第79号修正</w:t>
      </w:r>
      <w:r>
        <w:rPr>
          <w:rFonts w:hint="eastAsia" w:ascii="宋体" w:hAnsi="宋体"/>
          <w:color w:val="auto"/>
          <w:sz w:val="28"/>
          <w:szCs w:val="28"/>
          <w:highlight w:val="none"/>
        </w:rPr>
        <w:t>）</w:t>
      </w:r>
      <w:r>
        <w:rPr>
          <w:rFonts w:ascii="宋体" w:hAnsi="宋体"/>
          <w:color w:val="auto"/>
          <w:sz w:val="28"/>
          <w:szCs w:val="28"/>
          <w:highlight w:val="none"/>
        </w:rPr>
        <w:t>的要求</w:t>
      </w:r>
      <w:r>
        <w:rPr>
          <w:rFonts w:hint="eastAsia" w:ascii="宋体" w:hAnsi="宋体"/>
          <w:color w:val="auto"/>
          <w:sz w:val="28"/>
          <w:szCs w:val="28"/>
          <w:highlight w:val="none"/>
        </w:rPr>
        <w:t>编制如下</w:t>
      </w:r>
      <w:r>
        <w:rPr>
          <w:rFonts w:ascii="宋体" w:hAnsi="宋体"/>
          <w:color w:val="auto"/>
          <w:sz w:val="28"/>
          <w:szCs w:val="28"/>
          <w:highlight w:val="none"/>
        </w:rPr>
        <w:t>安全</w:t>
      </w:r>
      <w:r>
        <w:rPr>
          <w:rFonts w:hint="eastAsia" w:ascii="宋体" w:hAnsi="宋体"/>
          <w:color w:val="auto"/>
          <w:sz w:val="28"/>
          <w:szCs w:val="28"/>
          <w:highlight w:val="none"/>
        </w:rPr>
        <w:t>经营</w:t>
      </w:r>
      <w:r>
        <w:rPr>
          <w:rFonts w:ascii="宋体" w:hAnsi="宋体"/>
          <w:color w:val="auto"/>
          <w:sz w:val="28"/>
          <w:szCs w:val="28"/>
          <w:highlight w:val="none"/>
        </w:rPr>
        <w:t>条件</w:t>
      </w:r>
      <w:r>
        <w:rPr>
          <w:rFonts w:hint="eastAsia" w:ascii="宋体" w:hAnsi="宋体"/>
          <w:color w:val="auto"/>
          <w:sz w:val="28"/>
          <w:szCs w:val="28"/>
          <w:highlight w:val="none"/>
        </w:rPr>
        <w:t>检查</w:t>
      </w:r>
      <w:r>
        <w:rPr>
          <w:rFonts w:ascii="宋体" w:hAnsi="宋体"/>
          <w:color w:val="auto"/>
          <w:sz w:val="28"/>
          <w:szCs w:val="28"/>
          <w:highlight w:val="none"/>
        </w:rPr>
        <w:t>表</w:t>
      </w:r>
      <w:r>
        <w:rPr>
          <w:rFonts w:hint="eastAsia" w:ascii="宋体" w:hAnsi="宋体"/>
          <w:color w:val="auto"/>
          <w:sz w:val="28"/>
          <w:szCs w:val="28"/>
          <w:highlight w:val="none"/>
        </w:rPr>
        <w:t>5.14-1</w:t>
      </w:r>
      <w:r>
        <w:rPr>
          <w:rFonts w:ascii="宋体" w:hAnsi="宋体"/>
          <w:color w:val="auto"/>
          <w:sz w:val="28"/>
          <w:szCs w:val="28"/>
          <w:highlight w:val="none"/>
        </w:rPr>
        <w:t>。</w:t>
      </w:r>
    </w:p>
    <w:p w14:paraId="5F1C13A1">
      <w:pPr>
        <w:spacing w:line="56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5.14-1  安全经营条件评价</w:t>
      </w:r>
      <w:r>
        <w:rPr>
          <w:rFonts w:ascii="宋体" w:hAnsi="宋体"/>
          <w:color w:val="auto"/>
          <w:sz w:val="28"/>
          <w:szCs w:val="28"/>
          <w:highlight w:val="none"/>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highlight w:val="none"/>
              </w:rPr>
            </w:pPr>
            <w:r>
              <w:rPr>
                <w:rFonts w:ascii="宋体" w:hAnsi="宋体"/>
                <w:b/>
                <w:color w:val="auto"/>
                <w:highlight w:val="none"/>
              </w:rPr>
              <w:t>序号</w:t>
            </w:r>
          </w:p>
        </w:tc>
        <w:tc>
          <w:tcPr>
            <w:tcW w:w="2818" w:type="pct"/>
            <w:vAlign w:val="center"/>
          </w:tcPr>
          <w:p w14:paraId="29430C48">
            <w:pPr>
              <w:jc w:val="center"/>
              <w:rPr>
                <w:rFonts w:ascii="宋体" w:hAnsi="宋体"/>
                <w:b/>
                <w:color w:val="auto"/>
                <w:highlight w:val="none"/>
              </w:rPr>
            </w:pPr>
            <w:r>
              <w:rPr>
                <w:rFonts w:ascii="宋体" w:hAnsi="宋体"/>
                <w:b/>
                <w:color w:val="auto"/>
                <w:highlight w:val="none"/>
              </w:rPr>
              <w:t>检查内容</w:t>
            </w:r>
          </w:p>
        </w:tc>
        <w:tc>
          <w:tcPr>
            <w:tcW w:w="603" w:type="pct"/>
            <w:vAlign w:val="center"/>
          </w:tcPr>
          <w:p w14:paraId="53BE3B94">
            <w:pPr>
              <w:jc w:val="center"/>
              <w:rPr>
                <w:rFonts w:ascii="宋体" w:hAnsi="宋体"/>
                <w:b/>
                <w:color w:val="auto"/>
                <w:highlight w:val="none"/>
              </w:rPr>
            </w:pPr>
            <w:r>
              <w:rPr>
                <w:rFonts w:hint="eastAsia" w:ascii="宋体" w:hAnsi="宋体"/>
                <w:b/>
                <w:color w:val="auto"/>
                <w:highlight w:val="none"/>
              </w:rPr>
              <w:t>检查依据</w:t>
            </w:r>
          </w:p>
        </w:tc>
        <w:tc>
          <w:tcPr>
            <w:tcW w:w="881" w:type="pct"/>
            <w:vAlign w:val="center"/>
          </w:tcPr>
          <w:p w14:paraId="096762F2">
            <w:pPr>
              <w:jc w:val="center"/>
              <w:rPr>
                <w:rFonts w:ascii="宋体" w:hAnsi="宋体"/>
                <w:b/>
                <w:color w:val="auto"/>
                <w:highlight w:val="none"/>
              </w:rPr>
            </w:pPr>
            <w:r>
              <w:rPr>
                <w:rFonts w:ascii="宋体" w:hAnsi="宋体"/>
                <w:b/>
                <w:color w:val="auto"/>
                <w:highlight w:val="none"/>
              </w:rPr>
              <w:t>检查记录</w:t>
            </w:r>
          </w:p>
        </w:tc>
        <w:tc>
          <w:tcPr>
            <w:tcW w:w="326" w:type="pct"/>
            <w:vAlign w:val="center"/>
          </w:tcPr>
          <w:p w14:paraId="3DBB2730">
            <w:pPr>
              <w:jc w:val="center"/>
              <w:rPr>
                <w:rFonts w:ascii="宋体" w:hAnsi="宋体"/>
                <w:b/>
                <w:color w:val="auto"/>
                <w:highlight w:val="none"/>
              </w:rPr>
            </w:pPr>
            <w:r>
              <w:rPr>
                <w:rFonts w:ascii="宋体" w:hAnsi="宋体"/>
                <w:b/>
                <w:color w:val="auto"/>
                <w:highlight w:val="none"/>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highlight w:val="none"/>
              </w:rPr>
            </w:pPr>
            <w:r>
              <w:rPr>
                <w:rFonts w:ascii="宋体" w:hAnsi="宋体"/>
                <w:color w:val="auto"/>
                <w:highlight w:val="none"/>
              </w:rPr>
              <w:t>1</w:t>
            </w:r>
          </w:p>
        </w:tc>
        <w:tc>
          <w:tcPr>
            <w:tcW w:w="2818" w:type="pct"/>
            <w:vAlign w:val="center"/>
          </w:tcPr>
          <w:p w14:paraId="6CACCC5E">
            <w:pPr>
              <w:rPr>
                <w:rFonts w:ascii="宋体" w:hAnsi="宋体"/>
                <w:color w:val="auto"/>
                <w:highlight w:val="none"/>
              </w:rPr>
            </w:pPr>
            <w:r>
              <w:rPr>
                <w:rFonts w:hint="eastAsia" w:ascii="宋体" w:hAnsi="宋体"/>
                <w:color w:val="auto"/>
                <w:highlight w:val="none"/>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highlight w:val="none"/>
              </w:rPr>
            </w:pPr>
            <w:r>
              <w:rPr>
                <w:rFonts w:hint="eastAsia" w:ascii="宋体" w:hAnsi="宋体"/>
                <w:color w:val="auto"/>
                <w:highlight w:val="none"/>
              </w:rPr>
              <w:t>第六条</w:t>
            </w:r>
          </w:p>
        </w:tc>
        <w:tc>
          <w:tcPr>
            <w:tcW w:w="1208" w:type="pct"/>
            <w:gridSpan w:val="2"/>
            <w:vAlign w:val="center"/>
          </w:tcPr>
          <w:p w14:paraId="2E2E4B08">
            <w:pPr>
              <w:rPr>
                <w:rFonts w:ascii="宋体" w:hAnsi="宋体"/>
                <w:color w:val="auto"/>
                <w:highlight w:val="none"/>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highlight w:val="none"/>
              </w:rPr>
            </w:pPr>
            <w:r>
              <w:rPr>
                <w:rFonts w:hint="eastAsia" w:ascii="宋体" w:hAnsi="宋体"/>
                <w:color w:val="auto"/>
                <w:highlight w:val="none"/>
              </w:rPr>
              <w:t>1.1</w:t>
            </w:r>
          </w:p>
        </w:tc>
        <w:tc>
          <w:tcPr>
            <w:tcW w:w="2818" w:type="pct"/>
            <w:vAlign w:val="center"/>
          </w:tcPr>
          <w:p w14:paraId="63E4FBDB">
            <w:pPr>
              <w:spacing w:line="340" w:lineRule="exact"/>
              <w:rPr>
                <w:rFonts w:ascii="宋体" w:hAnsi="宋体"/>
                <w:color w:val="auto"/>
                <w:highlight w:val="none"/>
              </w:rPr>
            </w:pPr>
            <w:r>
              <w:rPr>
                <w:rFonts w:hint="eastAsia" w:ascii="宋体" w:hAnsi="宋体"/>
                <w:color w:val="auto"/>
                <w:highlight w:val="none"/>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highlight w:val="none"/>
              </w:rPr>
            </w:pPr>
          </w:p>
        </w:tc>
        <w:tc>
          <w:tcPr>
            <w:tcW w:w="881" w:type="pct"/>
            <w:vAlign w:val="center"/>
          </w:tcPr>
          <w:p w14:paraId="436495DF">
            <w:pPr>
              <w:spacing w:line="340" w:lineRule="exact"/>
              <w:rPr>
                <w:rFonts w:ascii="宋体" w:hAnsi="宋体"/>
                <w:color w:val="auto"/>
                <w:highlight w:val="none"/>
              </w:rPr>
            </w:pPr>
            <w:r>
              <w:rPr>
                <w:rFonts w:hint="eastAsia" w:ascii="宋体" w:hAnsi="宋体"/>
                <w:color w:val="auto"/>
                <w:highlight w:val="none"/>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highlight w:val="none"/>
              </w:rPr>
            </w:pPr>
            <w:r>
              <w:rPr>
                <w:rFonts w:hint="eastAsia" w:ascii="宋体" w:hAnsi="宋体"/>
                <w:color w:val="auto"/>
                <w:highlight w:val="none"/>
              </w:rPr>
              <w:t>1.2</w:t>
            </w:r>
          </w:p>
        </w:tc>
        <w:tc>
          <w:tcPr>
            <w:tcW w:w="2818" w:type="pct"/>
            <w:vAlign w:val="center"/>
          </w:tcPr>
          <w:p w14:paraId="0C1EE977">
            <w:pPr>
              <w:spacing w:line="340" w:lineRule="exact"/>
              <w:rPr>
                <w:rFonts w:ascii="宋体" w:hAnsi="宋体"/>
                <w:color w:val="auto"/>
                <w:highlight w:val="none"/>
              </w:rPr>
            </w:pPr>
            <w:r>
              <w:rPr>
                <w:rFonts w:hint="eastAsia" w:ascii="宋体" w:hAnsi="宋体"/>
                <w:color w:val="auto"/>
                <w:highlight w:val="none"/>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highlight w:val="none"/>
              </w:rPr>
            </w:pPr>
          </w:p>
        </w:tc>
        <w:tc>
          <w:tcPr>
            <w:tcW w:w="881" w:type="pct"/>
            <w:vAlign w:val="center"/>
          </w:tcPr>
          <w:p w14:paraId="5D055394">
            <w:pPr>
              <w:spacing w:line="340" w:lineRule="exact"/>
              <w:rPr>
                <w:rFonts w:ascii="宋体" w:hAnsi="宋体"/>
                <w:color w:val="auto"/>
                <w:highlight w:val="none"/>
              </w:rPr>
            </w:pPr>
            <w:r>
              <w:rPr>
                <w:rFonts w:hint="eastAsia" w:ascii="宋体" w:hAnsi="宋体"/>
                <w:color w:val="auto"/>
                <w:highlight w:val="none"/>
              </w:rPr>
              <w:t>主要负责人和安全生产管理人员考核合格并取证</w:t>
            </w:r>
          </w:p>
        </w:tc>
        <w:tc>
          <w:tcPr>
            <w:tcW w:w="326" w:type="pct"/>
            <w:vAlign w:val="center"/>
          </w:tcPr>
          <w:p w14:paraId="5ABF1833">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highlight w:val="none"/>
              </w:rPr>
            </w:pPr>
            <w:r>
              <w:rPr>
                <w:rFonts w:hint="eastAsia" w:ascii="宋体" w:hAnsi="宋体"/>
                <w:color w:val="auto"/>
                <w:highlight w:val="none"/>
              </w:rPr>
              <w:t>1.3</w:t>
            </w:r>
          </w:p>
        </w:tc>
        <w:tc>
          <w:tcPr>
            <w:tcW w:w="2818" w:type="pct"/>
            <w:vAlign w:val="center"/>
          </w:tcPr>
          <w:p w14:paraId="2E4F8D10">
            <w:pPr>
              <w:rPr>
                <w:rFonts w:ascii="宋体" w:hAnsi="宋体"/>
                <w:color w:val="auto"/>
                <w:highlight w:val="none"/>
              </w:rPr>
            </w:pPr>
            <w:r>
              <w:rPr>
                <w:rFonts w:hint="eastAsia" w:ascii="宋体" w:hAnsi="宋体"/>
                <w:color w:val="auto"/>
                <w:highlight w:val="none"/>
              </w:rPr>
              <w:t>（三）有健全的安全生产规章制度和岗位操作规程。</w:t>
            </w:r>
          </w:p>
        </w:tc>
        <w:tc>
          <w:tcPr>
            <w:tcW w:w="603" w:type="pct"/>
            <w:vMerge w:val="continue"/>
            <w:vAlign w:val="center"/>
          </w:tcPr>
          <w:p w14:paraId="0C229489">
            <w:pPr>
              <w:jc w:val="center"/>
              <w:rPr>
                <w:rFonts w:ascii="宋体" w:hAnsi="宋体"/>
                <w:color w:val="auto"/>
                <w:highlight w:val="none"/>
              </w:rPr>
            </w:pPr>
          </w:p>
        </w:tc>
        <w:tc>
          <w:tcPr>
            <w:tcW w:w="881" w:type="pct"/>
            <w:vAlign w:val="center"/>
          </w:tcPr>
          <w:p w14:paraId="4B5659A9">
            <w:pPr>
              <w:rPr>
                <w:rFonts w:ascii="宋体" w:hAnsi="宋体"/>
                <w:color w:val="auto"/>
                <w:highlight w:val="none"/>
              </w:rPr>
            </w:pPr>
            <w:r>
              <w:rPr>
                <w:rFonts w:hint="eastAsia" w:ascii="宋体" w:hAnsi="宋体"/>
                <w:color w:val="auto"/>
                <w:highlight w:val="none"/>
              </w:rPr>
              <w:t>建立了制度和规程</w:t>
            </w:r>
          </w:p>
        </w:tc>
        <w:tc>
          <w:tcPr>
            <w:tcW w:w="326" w:type="pct"/>
            <w:vAlign w:val="center"/>
          </w:tcPr>
          <w:p w14:paraId="20BDD44D">
            <w:pPr>
              <w:jc w:val="center"/>
              <w:rPr>
                <w:rFonts w:ascii="宋体" w:hAnsi="宋体"/>
                <w:color w:val="auto"/>
                <w:highlight w:val="none"/>
              </w:rPr>
            </w:pPr>
            <w:r>
              <w:rPr>
                <w:rFonts w:hint="eastAsia" w:ascii="宋体" w:hAnsi="宋体"/>
                <w:color w:val="auto"/>
                <w:highlight w:val="none"/>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highlight w:val="none"/>
              </w:rPr>
            </w:pPr>
            <w:r>
              <w:rPr>
                <w:rFonts w:hint="eastAsia" w:ascii="宋体" w:hAnsi="宋体"/>
                <w:color w:val="auto"/>
                <w:highlight w:val="none"/>
              </w:rPr>
              <w:t>1.4</w:t>
            </w:r>
          </w:p>
        </w:tc>
        <w:tc>
          <w:tcPr>
            <w:tcW w:w="2818" w:type="pct"/>
            <w:vAlign w:val="center"/>
          </w:tcPr>
          <w:p w14:paraId="37E3C2A3">
            <w:pPr>
              <w:rPr>
                <w:rFonts w:ascii="宋体" w:hAnsi="宋体"/>
                <w:color w:val="auto"/>
                <w:highlight w:val="none"/>
              </w:rPr>
            </w:pPr>
            <w:r>
              <w:rPr>
                <w:rFonts w:hint="eastAsia" w:ascii="宋体" w:hAnsi="宋体"/>
                <w:color w:val="auto"/>
                <w:highlight w:val="none"/>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highlight w:val="none"/>
              </w:rPr>
            </w:pPr>
          </w:p>
        </w:tc>
        <w:tc>
          <w:tcPr>
            <w:tcW w:w="881" w:type="pct"/>
            <w:vAlign w:val="center"/>
          </w:tcPr>
          <w:p w14:paraId="78F3412A">
            <w:pPr>
              <w:rPr>
                <w:rFonts w:ascii="宋体" w:hAnsi="宋体"/>
                <w:color w:val="auto"/>
                <w:highlight w:val="none"/>
              </w:rPr>
            </w:pPr>
            <w:r>
              <w:rPr>
                <w:rFonts w:hint="eastAsia" w:ascii="宋体" w:hAnsi="宋体"/>
                <w:color w:val="auto"/>
                <w:highlight w:val="none"/>
              </w:rPr>
              <w:t>有事故应急预案并备案，配备必要的应急救援器材、设备</w:t>
            </w:r>
          </w:p>
        </w:tc>
        <w:tc>
          <w:tcPr>
            <w:tcW w:w="326" w:type="pct"/>
            <w:vAlign w:val="center"/>
          </w:tcPr>
          <w:p w14:paraId="20EB6509">
            <w:pPr>
              <w:jc w:val="center"/>
              <w:rPr>
                <w:rFonts w:ascii="宋体" w:hAnsi="宋体"/>
                <w:color w:val="auto"/>
                <w:highlight w:val="none"/>
              </w:rPr>
            </w:pPr>
            <w:r>
              <w:rPr>
                <w:rFonts w:hint="eastAsia" w:ascii="宋体" w:hAnsi="宋体"/>
                <w:color w:val="auto"/>
                <w:highlight w:val="none"/>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highlight w:val="none"/>
              </w:rPr>
            </w:pPr>
            <w:r>
              <w:rPr>
                <w:rFonts w:hint="eastAsia" w:ascii="宋体" w:hAnsi="宋体"/>
                <w:color w:val="auto"/>
                <w:highlight w:val="none"/>
              </w:rPr>
              <w:t>1.5</w:t>
            </w:r>
          </w:p>
        </w:tc>
        <w:tc>
          <w:tcPr>
            <w:tcW w:w="2818" w:type="pct"/>
            <w:vAlign w:val="center"/>
          </w:tcPr>
          <w:p w14:paraId="24947EAF">
            <w:pPr>
              <w:rPr>
                <w:rFonts w:ascii="宋体" w:hAnsi="宋体"/>
                <w:color w:val="auto"/>
                <w:highlight w:val="none"/>
              </w:rPr>
            </w:pPr>
            <w:r>
              <w:rPr>
                <w:rFonts w:hint="eastAsia" w:ascii="宋体" w:hAnsi="宋体"/>
                <w:color w:val="auto"/>
                <w:highlight w:val="none"/>
              </w:rPr>
              <w:t>（五）法律、法规和国家标准或者行业标准规定的其他安全生产条件。</w:t>
            </w:r>
          </w:p>
          <w:p w14:paraId="6E03130F">
            <w:pPr>
              <w:rPr>
                <w:rFonts w:ascii="宋体" w:hAnsi="宋体"/>
                <w:color w:val="auto"/>
                <w:highlight w:val="none"/>
              </w:rPr>
            </w:pPr>
            <w:r>
              <w:rPr>
                <w:rFonts w:hint="eastAsia" w:ascii="宋体" w:hAnsi="宋体"/>
                <w:color w:val="auto"/>
                <w:highlight w:val="none"/>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highlight w:val="none"/>
              </w:rPr>
            </w:pPr>
          </w:p>
        </w:tc>
        <w:tc>
          <w:tcPr>
            <w:tcW w:w="881" w:type="pct"/>
            <w:vAlign w:val="center"/>
          </w:tcPr>
          <w:p w14:paraId="292FE841">
            <w:pPr>
              <w:rPr>
                <w:rFonts w:ascii="宋体" w:hAnsi="宋体"/>
                <w:color w:val="auto"/>
                <w:highlight w:val="none"/>
              </w:rPr>
            </w:pPr>
            <w:r>
              <w:rPr>
                <w:rFonts w:hint="eastAsia" w:ascii="宋体" w:hAnsi="宋体"/>
                <w:color w:val="auto"/>
                <w:highlight w:val="none"/>
              </w:rPr>
              <w:t>有相关安全生产规章制度</w:t>
            </w:r>
          </w:p>
        </w:tc>
        <w:tc>
          <w:tcPr>
            <w:tcW w:w="326" w:type="pct"/>
            <w:vAlign w:val="center"/>
          </w:tcPr>
          <w:p w14:paraId="71351305">
            <w:pPr>
              <w:jc w:val="center"/>
              <w:rPr>
                <w:rFonts w:ascii="宋体" w:hAnsi="宋体"/>
                <w:color w:val="auto"/>
                <w:highlight w:val="none"/>
              </w:rPr>
            </w:pPr>
            <w:r>
              <w:rPr>
                <w:rFonts w:hint="eastAsia" w:ascii="宋体" w:hAnsi="宋体"/>
                <w:color w:val="auto"/>
                <w:highlight w:val="none"/>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highlight w:val="none"/>
              </w:rPr>
            </w:pPr>
            <w:r>
              <w:rPr>
                <w:rFonts w:hint="eastAsia" w:ascii="宋体" w:hAnsi="宋体"/>
                <w:color w:val="auto"/>
                <w:highlight w:val="none"/>
              </w:rPr>
              <w:t>2</w:t>
            </w:r>
          </w:p>
        </w:tc>
        <w:tc>
          <w:tcPr>
            <w:tcW w:w="2818" w:type="pct"/>
            <w:vAlign w:val="center"/>
          </w:tcPr>
          <w:p w14:paraId="6D432DF7">
            <w:pPr>
              <w:rPr>
                <w:rFonts w:ascii="宋体" w:hAnsi="宋体"/>
                <w:color w:val="auto"/>
                <w:highlight w:val="none"/>
              </w:rPr>
            </w:pPr>
            <w:r>
              <w:rPr>
                <w:rFonts w:hint="eastAsia" w:ascii="宋体" w:hAnsi="宋体"/>
                <w:color w:val="auto"/>
                <w:highlight w:val="none"/>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highlight w:val="none"/>
              </w:rPr>
            </w:pPr>
            <w:r>
              <w:rPr>
                <w:rFonts w:hint="eastAsia" w:ascii="宋体" w:hAnsi="宋体"/>
                <w:color w:val="auto"/>
                <w:highlight w:val="none"/>
              </w:rPr>
              <w:t>第七条</w:t>
            </w:r>
          </w:p>
        </w:tc>
        <w:tc>
          <w:tcPr>
            <w:tcW w:w="881" w:type="pct"/>
            <w:vAlign w:val="center"/>
          </w:tcPr>
          <w:p w14:paraId="3AA88267">
            <w:pPr>
              <w:rPr>
                <w:rFonts w:ascii="宋体" w:hAnsi="宋体"/>
                <w:color w:val="auto"/>
                <w:highlight w:val="none"/>
              </w:rPr>
            </w:pPr>
            <w:r>
              <w:rPr>
                <w:rFonts w:hint="eastAsia" w:ascii="宋体" w:hAnsi="宋体"/>
                <w:color w:val="auto"/>
                <w:highlight w:val="none"/>
              </w:rPr>
              <w:t>不涉及经营剧毒化学品</w:t>
            </w:r>
          </w:p>
        </w:tc>
        <w:tc>
          <w:tcPr>
            <w:tcW w:w="326" w:type="pct"/>
            <w:vAlign w:val="center"/>
          </w:tcPr>
          <w:p w14:paraId="338081EF">
            <w:pPr>
              <w:jc w:val="center"/>
              <w:rPr>
                <w:rFonts w:ascii="宋体" w:hAnsi="宋体"/>
                <w:color w:val="auto"/>
                <w:highlight w:val="none"/>
              </w:rPr>
            </w:pPr>
            <w:r>
              <w:rPr>
                <w:rFonts w:hint="eastAsia" w:ascii="宋体" w:hAnsi="宋体"/>
                <w:color w:val="auto"/>
                <w:highlight w:val="none"/>
              </w:rPr>
              <w:t>符合要求</w:t>
            </w:r>
          </w:p>
        </w:tc>
      </w:tr>
    </w:tbl>
    <w:p w14:paraId="0E5CFF6C">
      <w:pPr>
        <w:spacing w:line="56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该加油站的安全经营条件评价符合要求</w:t>
      </w:r>
      <w:r>
        <w:rPr>
          <w:rFonts w:ascii="宋体" w:hAnsi="宋体"/>
          <w:color w:val="auto"/>
          <w:sz w:val="28"/>
          <w:szCs w:val="28"/>
          <w:highlight w:val="none"/>
        </w:rPr>
        <w:t>。</w:t>
      </w:r>
    </w:p>
    <w:p w14:paraId="4CF4D4EA">
      <w:pPr>
        <w:pStyle w:val="3"/>
        <w:spacing w:line="560" w:lineRule="exact"/>
        <w:jc w:val="center"/>
        <w:rPr>
          <w:rFonts w:ascii="宋体" w:hAnsi="宋体"/>
          <w:color w:val="auto"/>
          <w:sz w:val="30"/>
          <w:szCs w:val="30"/>
          <w:highlight w:val="none"/>
        </w:rPr>
      </w:pPr>
      <w:bookmarkStart w:id="201" w:name="_Toc20194"/>
      <w:bookmarkStart w:id="202" w:name="_Toc15085"/>
      <w:r>
        <w:rPr>
          <w:rFonts w:hint="eastAsia" w:ascii="宋体" w:hAnsi="宋体"/>
          <w:color w:val="auto"/>
          <w:sz w:val="30"/>
          <w:szCs w:val="30"/>
          <w:highlight w:val="none"/>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对照《中国石化销售股份有限公司江西赣州</w:t>
      </w:r>
      <w:r>
        <w:rPr>
          <w:rFonts w:hint="eastAsia" w:ascii="Times New Roman" w:hAnsi="Times New Roman" w:cs="宋体"/>
          <w:color w:val="auto"/>
          <w:sz w:val="28"/>
          <w:szCs w:val="28"/>
          <w:highlight w:val="none"/>
          <w:lang w:eastAsia="zh-CN"/>
        </w:rPr>
        <w:t>龙南石油分公司大广高速渡江服务区西加油站</w:t>
      </w:r>
      <w:r>
        <w:rPr>
          <w:rFonts w:hint="eastAsia" w:ascii="Times New Roman" w:hAnsi="Times New Roman" w:cs="宋体"/>
          <w:color w:val="auto"/>
          <w:sz w:val="28"/>
          <w:szCs w:val="28"/>
          <w:highlight w:val="none"/>
        </w:rPr>
        <w:t>安全设施符合性诊断及整改设计》，项目诊断及整改设计中提出的安全对策措施采纳情况见下表。</w:t>
      </w:r>
    </w:p>
    <w:p w14:paraId="4298E6A5">
      <w:pPr>
        <w:jc w:val="center"/>
        <w:rPr>
          <w:rFonts w:ascii="宋体" w:hAnsi="宋体" w:cs="宋体"/>
          <w:b/>
          <w:bCs/>
          <w:color w:val="auto"/>
          <w:highlight w:val="none"/>
        </w:rPr>
      </w:pPr>
      <w:r>
        <w:rPr>
          <w:rFonts w:hint="eastAsia" w:ascii="宋体" w:hAnsi="宋体" w:cs="宋体"/>
          <w:b/>
          <w:bCs/>
          <w:color w:val="auto"/>
          <w:highlight w:val="none"/>
        </w:rPr>
        <w:t>表</w:t>
      </w:r>
      <w:r>
        <w:rPr>
          <w:rFonts w:hint="eastAsia" w:ascii="Times New Roman" w:hAnsi="Times New Roman" w:cs="Times New Roman"/>
          <w:b/>
          <w:bCs/>
          <w:color w:val="auto"/>
          <w:highlight w:val="none"/>
        </w:rPr>
        <w:t>5</w:t>
      </w:r>
      <w:r>
        <w:rPr>
          <w:rFonts w:ascii="Times New Roman" w:hAnsi="Times New Roman" w:cs="Times New Roman"/>
          <w:b/>
          <w:bCs/>
          <w:color w:val="auto"/>
          <w:highlight w:val="none"/>
        </w:rPr>
        <w:t>.</w:t>
      </w:r>
      <w:r>
        <w:rPr>
          <w:rFonts w:hint="eastAsia" w:ascii="Times New Roman" w:hAnsi="Times New Roman" w:cs="Times New Roman"/>
          <w:b/>
          <w:bCs/>
          <w:color w:val="auto"/>
          <w:highlight w:val="none"/>
        </w:rPr>
        <w:t>15-1</w:t>
      </w:r>
      <w:r>
        <w:rPr>
          <w:rFonts w:ascii="Times New Roman" w:hAnsi="Times New Roman" w:cs="Times New Roman"/>
          <w:b/>
          <w:bCs/>
          <w:color w:val="auto"/>
          <w:highlight w:val="none"/>
        </w:rPr>
        <w:t xml:space="preserve"> </w:t>
      </w:r>
      <w:r>
        <w:rPr>
          <w:rFonts w:hint="eastAsia" w:ascii="宋体" w:hAnsi="宋体" w:cs="宋体"/>
          <w:b/>
          <w:bCs/>
          <w:color w:val="auto"/>
          <w:highlight w:val="none"/>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highlight w:val="none"/>
              </w:rPr>
            </w:pPr>
            <w:r>
              <w:rPr>
                <w:rFonts w:hint="eastAsia" w:cs="宋体"/>
                <w:b/>
                <w:bCs/>
                <w:color w:val="auto"/>
                <w:sz w:val="18"/>
                <w:szCs w:val="18"/>
                <w:highlight w:val="none"/>
              </w:rPr>
              <w:t>序号</w:t>
            </w:r>
          </w:p>
        </w:tc>
        <w:tc>
          <w:tcPr>
            <w:tcW w:w="5930" w:type="dxa"/>
            <w:vAlign w:val="center"/>
          </w:tcPr>
          <w:p w14:paraId="7F90B3E7">
            <w:pPr>
              <w:spacing w:line="240" w:lineRule="exact"/>
              <w:jc w:val="center"/>
              <w:rPr>
                <w:rFonts w:cs="Times New Roman"/>
                <w:b/>
                <w:bCs/>
                <w:color w:val="auto"/>
                <w:sz w:val="18"/>
                <w:szCs w:val="18"/>
                <w:highlight w:val="none"/>
              </w:rPr>
            </w:pPr>
            <w:r>
              <w:rPr>
                <w:rFonts w:hint="eastAsia" w:cs="宋体"/>
                <w:b/>
                <w:bCs/>
                <w:color w:val="auto"/>
                <w:sz w:val="18"/>
                <w:szCs w:val="18"/>
                <w:highlight w:val="none"/>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highlight w:val="none"/>
              </w:rPr>
            </w:pPr>
            <w:r>
              <w:rPr>
                <w:rFonts w:hint="eastAsia" w:cs="宋体"/>
                <w:b/>
                <w:bCs/>
                <w:color w:val="auto"/>
                <w:sz w:val="18"/>
                <w:szCs w:val="18"/>
                <w:highlight w:val="none"/>
              </w:rPr>
              <w:t>现场情况</w:t>
            </w:r>
          </w:p>
        </w:tc>
        <w:tc>
          <w:tcPr>
            <w:tcW w:w="870" w:type="dxa"/>
            <w:vAlign w:val="center"/>
          </w:tcPr>
          <w:p w14:paraId="18D71528">
            <w:pPr>
              <w:spacing w:line="240" w:lineRule="exact"/>
              <w:jc w:val="center"/>
              <w:rPr>
                <w:rFonts w:cs="Times New Roman"/>
                <w:b/>
                <w:bCs/>
                <w:color w:val="auto"/>
                <w:sz w:val="18"/>
                <w:szCs w:val="18"/>
                <w:highlight w:val="none"/>
              </w:rPr>
            </w:pPr>
            <w:r>
              <w:rPr>
                <w:rFonts w:hint="eastAsia" w:cs="宋体"/>
                <w:b/>
                <w:bCs/>
                <w:color w:val="auto"/>
                <w:sz w:val="18"/>
                <w:szCs w:val="18"/>
                <w:highlight w:val="none"/>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highlight w:val="none"/>
              </w:rPr>
            </w:pPr>
          </w:p>
        </w:tc>
        <w:tc>
          <w:tcPr>
            <w:tcW w:w="8380" w:type="dxa"/>
            <w:gridSpan w:val="3"/>
            <w:vAlign w:val="center"/>
          </w:tcPr>
          <w:p w14:paraId="65BDB14D">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 </w:t>
            </w:r>
            <w:r>
              <w:rPr>
                <w:rFonts w:hint="eastAsia" w:ascii="宋体" w:hAnsi="宋体" w:cs="宋体"/>
                <w:b/>
                <w:bCs/>
                <w:color w:val="auto"/>
                <w:sz w:val="18"/>
                <w:szCs w:val="18"/>
                <w:highlight w:val="none"/>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highlight w:val="none"/>
              </w:rPr>
            </w:pPr>
          </w:p>
        </w:tc>
        <w:tc>
          <w:tcPr>
            <w:tcW w:w="8380" w:type="dxa"/>
            <w:gridSpan w:val="3"/>
            <w:vAlign w:val="center"/>
          </w:tcPr>
          <w:p w14:paraId="61D55316">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.1.1 </w:t>
            </w:r>
            <w:r>
              <w:rPr>
                <w:rFonts w:hint="eastAsia" w:ascii="宋体" w:hAnsi="宋体" w:cs="宋体"/>
                <w:b/>
                <w:bCs/>
                <w:color w:val="auto"/>
                <w:sz w:val="18"/>
                <w:szCs w:val="18"/>
                <w:highlight w:val="none"/>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highlight w:val="none"/>
              </w:rPr>
            </w:pPr>
            <w:r>
              <w:rPr>
                <w:color w:val="auto"/>
                <w:sz w:val="18"/>
                <w:szCs w:val="18"/>
                <w:highlight w:val="none"/>
              </w:rPr>
              <w:t>1</w:t>
            </w:r>
            <w:r>
              <w:rPr>
                <w:rFonts w:hint="eastAsia" w:ascii="宋体" w:hAnsi="宋体" w:cs="宋体"/>
                <w:color w:val="auto"/>
                <w:sz w:val="18"/>
                <w:szCs w:val="18"/>
                <w:highlight w:val="none"/>
              </w:rPr>
              <w:t>）防泄漏措施</w:t>
            </w:r>
          </w:p>
        </w:tc>
        <w:tc>
          <w:tcPr>
            <w:tcW w:w="5930" w:type="dxa"/>
            <w:vAlign w:val="center"/>
          </w:tcPr>
          <w:p w14:paraId="068E2F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highlight w:val="none"/>
              </w:rPr>
            </w:pPr>
            <w:r>
              <w:rPr>
                <w:rFonts w:hint="eastAsia" w:cs="Times New Roman"/>
                <w:color w:val="auto"/>
                <w:sz w:val="18"/>
                <w:szCs w:val="18"/>
                <w:highlight w:val="none"/>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highlight w:val="none"/>
              </w:rPr>
            </w:pPr>
          </w:p>
        </w:tc>
        <w:tc>
          <w:tcPr>
            <w:tcW w:w="5930" w:type="dxa"/>
            <w:vAlign w:val="center"/>
          </w:tcPr>
          <w:p w14:paraId="12BBBAA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2)对于设备及管道严格按规范要求确定设计压力及设计温度，按规范要求进行设备选型，本项目油罐区分两部分，V</w:t>
            </w:r>
            <w:r>
              <w:rPr>
                <w:rFonts w:hint="eastAsia" w:ascii="宋体" w:cs="Times New Roman"/>
                <w:color w:val="auto"/>
                <w:sz w:val="18"/>
                <w:szCs w:val="18"/>
                <w:highlight w:val="none"/>
                <w:lang w:val="en-US" w:eastAsia="zh-CN"/>
              </w:rPr>
              <w:t>0</w:t>
            </w:r>
            <w:r>
              <w:rPr>
                <w:rFonts w:hint="eastAsia" w:ascii="宋体" w:cs="Times New Roman"/>
                <w:color w:val="auto"/>
                <w:sz w:val="18"/>
                <w:szCs w:val="18"/>
                <w:highlight w:val="none"/>
              </w:rPr>
              <w:t>1-V04为4台单层埋地卧式油罐(2.6X10.4m，V=50m3)，置于防渗罐池内，直埋敷设。钢制罐体的厚度至少为7mm，封头厚度至少为8mm，钢制油罐的设计内压不低于0.08MPa，满足规范要求。油罐有质量合格证，防渗罐池内设置渗漏检测立管，并配备防渗漏检测仪。VO5储罐采用内钢外玻璃纤维增强塑料双层油罐(2.6X10.4m，V=50m2)，内层钢制罐体的厚度至少为7mm，封头厚度至少为8mm，且外层玻璃纤维增强塑料的外层壁厚不小于5mm，封头厚度至少为6mm;内层钢制油罐的设计内压不低于0.08MPa，双层油罐上设置设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highlight w:val="none"/>
              </w:rPr>
            </w:pPr>
            <w:r>
              <w:rPr>
                <w:rFonts w:hint="eastAsia" w:ascii="宋体" w:cs="Times New Roman"/>
                <w:color w:val="auto"/>
                <w:sz w:val="18"/>
                <w:szCs w:val="18"/>
                <w:highlight w:val="none"/>
              </w:rPr>
              <w:t>V</w:t>
            </w:r>
            <w:r>
              <w:rPr>
                <w:rFonts w:hint="eastAsia" w:ascii="宋体" w:cs="Times New Roman"/>
                <w:color w:val="auto"/>
                <w:sz w:val="18"/>
                <w:szCs w:val="18"/>
                <w:highlight w:val="none"/>
                <w:lang w:val="en-US" w:eastAsia="zh-CN"/>
              </w:rPr>
              <w:t>0</w:t>
            </w:r>
            <w:r>
              <w:rPr>
                <w:rFonts w:hint="eastAsia" w:ascii="宋体" w:cs="Times New Roman"/>
                <w:color w:val="auto"/>
                <w:sz w:val="18"/>
                <w:szCs w:val="18"/>
                <w:highlight w:val="none"/>
              </w:rPr>
              <w:t>1-V04</w:t>
            </w:r>
            <w:r>
              <w:rPr>
                <w:rFonts w:hint="eastAsia" w:cs="Times New Roman"/>
                <w:color w:val="auto"/>
                <w:sz w:val="18"/>
                <w:szCs w:val="18"/>
                <w:highlight w:val="none"/>
              </w:rPr>
              <w:t>单层钢制油罐设置防渗池</w:t>
            </w:r>
          </w:p>
        </w:tc>
        <w:tc>
          <w:tcPr>
            <w:tcW w:w="870" w:type="dxa"/>
            <w:vAlign w:val="center"/>
          </w:tcPr>
          <w:p w14:paraId="1887BDB0">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highlight w:val="none"/>
              </w:rPr>
            </w:pPr>
          </w:p>
        </w:tc>
        <w:tc>
          <w:tcPr>
            <w:tcW w:w="5930" w:type="dxa"/>
            <w:vAlign w:val="center"/>
          </w:tcPr>
          <w:p w14:paraId="04B9BFB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3)输油管道整改设计选用双层复合管线(无孔隙聚乙烯材料)。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按要求设置；工艺管道按要求进行选型</w:t>
            </w:r>
          </w:p>
        </w:tc>
        <w:tc>
          <w:tcPr>
            <w:tcW w:w="870" w:type="dxa"/>
            <w:vAlign w:val="center"/>
          </w:tcPr>
          <w:p w14:paraId="25FB112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highlight w:val="none"/>
              </w:rPr>
            </w:pPr>
          </w:p>
        </w:tc>
        <w:tc>
          <w:tcPr>
            <w:tcW w:w="5930" w:type="dxa"/>
            <w:vAlign w:val="center"/>
          </w:tcPr>
          <w:p w14:paraId="43DE56D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highlight w:val="none"/>
              </w:rPr>
            </w:pPr>
            <w:r>
              <w:rPr>
                <w:rFonts w:hint="eastAsia" w:cs="Times New Roman"/>
                <w:color w:val="auto"/>
                <w:sz w:val="18"/>
                <w:szCs w:val="18"/>
                <w:highlight w:val="none"/>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highlight w:val="none"/>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highlight w:val="none"/>
              </w:rPr>
            </w:pPr>
          </w:p>
        </w:tc>
        <w:tc>
          <w:tcPr>
            <w:tcW w:w="5930" w:type="dxa"/>
            <w:vAlign w:val="center"/>
          </w:tcPr>
          <w:p w14:paraId="3ADB10D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highlight w:val="none"/>
                <w:lang w:eastAsia="zh-CN"/>
              </w:rPr>
              <w:t>时</w:t>
            </w:r>
            <w:r>
              <w:rPr>
                <w:rFonts w:hint="eastAsia" w:ascii="宋体" w:cs="Times New Roman"/>
                <w:color w:val="auto"/>
                <w:sz w:val="18"/>
                <w:szCs w:val="18"/>
                <w:highlight w:val="none"/>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highlight w:val="none"/>
              </w:rPr>
            </w:pPr>
            <w:r>
              <w:rPr>
                <w:rFonts w:hint="eastAsia" w:cs="Times New Roman"/>
                <w:color w:val="auto"/>
                <w:sz w:val="18"/>
                <w:szCs w:val="18"/>
                <w:highlight w:val="none"/>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highlight w:val="none"/>
              </w:rPr>
            </w:pPr>
          </w:p>
        </w:tc>
        <w:tc>
          <w:tcPr>
            <w:tcW w:w="5930" w:type="dxa"/>
            <w:vAlign w:val="center"/>
          </w:tcPr>
          <w:p w14:paraId="4D155CF9">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highlight w:val="none"/>
              </w:rPr>
            </w:pPr>
            <w:r>
              <w:rPr>
                <w:rFonts w:hint="eastAsia" w:cs="Times New Roman"/>
                <w:color w:val="auto"/>
                <w:sz w:val="18"/>
                <w:szCs w:val="18"/>
                <w:highlight w:val="none"/>
              </w:rPr>
              <w:t>油罐设置液位仪，高限报警，高高限停止进料</w:t>
            </w:r>
          </w:p>
        </w:tc>
        <w:tc>
          <w:tcPr>
            <w:tcW w:w="870" w:type="dxa"/>
            <w:vAlign w:val="center"/>
          </w:tcPr>
          <w:p w14:paraId="2E62584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highlight w:val="none"/>
              </w:rPr>
            </w:pPr>
          </w:p>
        </w:tc>
        <w:tc>
          <w:tcPr>
            <w:tcW w:w="5930" w:type="dxa"/>
            <w:vAlign w:val="center"/>
          </w:tcPr>
          <w:p w14:paraId="0D4860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vAlign w:val="center"/>
          </w:tcPr>
          <w:p w14:paraId="6F723F4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highlight w:val="none"/>
              </w:rPr>
            </w:pPr>
          </w:p>
        </w:tc>
        <w:tc>
          <w:tcPr>
            <w:tcW w:w="5930" w:type="dxa"/>
            <w:vAlign w:val="center"/>
          </w:tcPr>
          <w:p w14:paraId="331CE55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highlight w:val="none"/>
              </w:rPr>
            </w:pPr>
            <w:r>
              <w:rPr>
                <w:rFonts w:hint="eastAsia" w:cs="宋体"/>
                <w:color w:val="auto"/>
                <w:sz w:val="18"/>
                <w:szCs w:val="18"/>
                <w:highlight w:val="none"/>
              </w:rPr>
              <w:t>该项目采用卸油及加油油气回收系统。</w:t>
            </w:r>
          </w:p>
        </w:tc>
        <w:tc>
          <w:tcPr>
            <w:tcW w:w="870" w:type="dxa"/>
            <w:vAlign w:val="center"/>
          </w:tcPr>
          <w:p w14:paraId="120FCF5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highlight w:val="none"/>
              </w:rPr>
            </w:pPr>
          </w:p>
        </w:tc>
        <w:tc>
          <w:tcPr>
            <w:tcW w:w="5930" w:type="dxa"/>
            <w:vAlign w:val="center"/>
          </w:tcPr>
          <w:p w14:paraId="764F55B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highlight w:val="none"/>
              </w:rPr>
            </w:pPr>
            <w:r>
              <w:rPr>
                <w:rFonts w:hint="eastAsia" w:cs="Times New Roman"/>
                <w:color w:val="auto"/>
                <w:sz w:val="18"/>
                <w:szCs w:val="18"/>
                <w:highlight w:val="none"/>
              </w:rPr>
              <w:t>易发生油罐渗漏的部位进行防渗处理。</w:t>
            </w:r>
          </w:p>
        </w:tc>
        <w:tc>
          <w:tcPr>
            <w:tcW w:w="870" w:type="dxa"/>
            <w:vAlign w:val="center"/>
          </w:tcPr>
          <w:p w14:paraId="2B51C3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highlight w:val="none"/>
              </w:rPr>
            </w:pPr>
          </w:p>
        </w:tc>
        <w:tc>
          <w:tcPr>
            <w:tcW w:w="5930" w:type="dxa"/>
            <w:vAlign w:val="center"/>
          </w:tcPr>
          <w:p w14:paraId="735E911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highlight w:val="none"/>
              </w:rPr>
            </w:pPr>
            <w:r>
              <w:rPr>
                <w:rFonts w:hint="eastAsia" w:cs="宋体"/>
                <w:color w:val="auto"/>
                <w:sz w:val="18"/>
                <w:szCs w:val="18"/>
                <w:highlight w:val="none"/>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highlight w:val="none"/>
              </w:rPr>
            </w:pPr>
          </w:p>
        </w:tc>
        <w:tc>
          <w:tcPr>
            <w:tcW w:w="5930" w:type="dxa"/>
            <w:vAlign w:val="center"/>
          </w:tcPr>
          <w:p w14:paraId="3F8A1B6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highlight w:val="none"/>
              </w:rPr>
            </w:pPr>
            <w:r>
              <w:rPr>
                <w:rFonts w:hint="eastAsia" w:cs="宋体"/>
                <w:color w:val="auto"/>
                <w:sz w:val="18"/>
                <w:szCs w:val="18"/>
                <w:highlight w:val="none"/>
              </w:rPr>
              <w:t>企业制定相应的管理制度</w:t>
            </w:r>
          </w:p>
        </w:tc>
        <w:tc>
          <w:tcPr>
            <w:tcW w:w="870" w:type="dxa"/>
            <w:vAlign w:val="center"/>
          </w:tcPr>
          <w:p w14:paraId="7099868E">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highlight w:val="none"/>
              </w:rPr>
            </w:pPr>
          </w:p>
        </w:tc>
        <w:tc>
          <w:tcPr>
            <w:tcW w:w="5930" w:type="dxa"/>
            <w:vAlign w:val="center"/>
          </w:tcPr>
          <w:p w14:paraId="0DE1FEC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highlight w:val="none"/>
              </w:rPr>
            </w:pPr>
          </w:p>
        </w:tc>
        <w:tc>
          <w:tcPr>
            <w:tcW w:w="5930" w:type="dxa"/>
            <w:vAlign w:val="center"/>
          </w:tcPr>
          <w:p w14:paraId="430DE0A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本加油站设置了</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highlight w:val="none"/>
              </w:rPr>
            </w:pPr>
            <w:r>
              <w:rPr>
                <w:rFonts w:hint="eastAsia" w:cs="Times New Roman"/>
                <w:color w:val="auto"/>
                <w:sz w:val="18"/>
                <w:szCs w:val="18"/>
                <w:highlight w:val="none"/>
              </w:rPr>
              <w:t>设置</w:t>
            </w:r>
            <w:r>
              <w:rPr>
                <w:rFonts w:hint="eastAsia" w:cs="Times New Roman"/>
                <w:color w:val="auto"/>
                <w:sz w:val="18"/>
                <w:szCs w:val="18"/>
                <w:highlight w:val="none"/>
                <w:lang w:val="en-US" w:eastAsia="zh-CN"/>
              </w:rPr>
              <w:t>3</w:t>
            </w:r>
            <w:r>
              <w:rPr>
                <w:rFonts w:hint="eastAsia" w:cs="Times New Roman"/>
                <w:color w:val="auto"/>
                <w:sz w:val="18"/>
                <w:szCs w:val="18"/>
                <w:highlight w:val="none"/>
              </w:rPr>
              <w:t>个紧急停车按钮，只能手动复位</w:t>
            </w:r>
          </w:p>
        </w:tc>
        <w:tc>
          <w:tcPr>
            <w:tcW w:w="870" w:type="dxa"/>
            <w:vAlign w:val="center"/>
          </w:tcPr>
          <w:p w14:paraId="06137CA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highlight w:val="none"/>
              </w:rPr>
            </w:pPr>
            <w:r>
              <w:rPr>
                <w:color w:val="auto"/>
                <w:sz w:val="18"/>
                <w:szCs w:val="18"/>
                <w:highlight w:val="none"/>
              </w:rPr>
              <w:t>2</w:t>
            </w:r>
            <w:r>
              <w:rPr>
                <w:rFonts w:hint="eastAsia" w:ascii="宋体" w:hAnsi="宋体" w:cs="宋体"/>
                <w:color w:val="auto"/>
                <w:sz w:val="18"/>
                <w:szCs w:val="18"/>
                <w:highlight w:val="none"/>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highlight w:val="none"/>
              </w:rPr>
            </w:pPr>
            <w:r>
              <w:rPr>
                <w:rFonts w:hint="eastAsia" w:cs="Times New Roman"/>
                <w:color w:val="auto"/>
                <w:sz w:val="18"/>
                <w:szCs w:val="18"/>
                <w:highlight w:val="none"/>
              </w:rPr>
              <w:t>埋地油罐</w:t>
            </w:r>
          </w:p>
        </w:tc>
        <w:tc>
          <w:tcPr>
            <w:tcW w:w="870" w:type="dxa"/>
            <w:vAlign w:val="center"/>
          </w:tcPr>
          <w:p w14:paraId="48241E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highlight w:val="none"/>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highlight w:val="none"/>
              </w:rPr>
            </w:pPr>
            <w:r>
              <w:rPr>
                <w:rFonts w:hint="eastAsia" w:cs="Times New Roman"/>
                <w:color w:val="auto"/>
                <w:sz w:val="18"/>
                <w:szCs w:val="18"/>
                <w:highlight w:val="none"/>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highlight w:val="none"/>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highlight w:val="none"/>
              </w:rPr>
            </w:pPr>
            <w:r>
              <w:rPr>
                <w:rFonts w:hint="eastAsia"/>
                <w:color w:val="auto"/>
                <w:sz w:val="18"/>
                <w:szCs w:val="18"/>
                <w:highlight w:val="none"/>
              </w:rPr>
              <w:t>选用合适管径</w:t>
            </w:r>
          </w:p>
        </w:tc>
        <w:tc>
          <w:tcPr>
            <w:tcW w:w="870" w:type="dxa"/>
            <w:shd w:val="clear" w:color="auto" w:fill="auto"/>
            <w:vAlign w:val="center"/>
          </w:tcPr>
          <w:p w14:paraId="320EC1F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highlight w:val="none"/>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highlight w:val="none"/>
              </w:rPr>
            </w:pPr>
            <w:r>
              <w:rPr>
                <w:rFonts w:hint="eastAsia" w:cs="Times New Roman"/>
                <w:color w:val="auto"/>
                <w:sz w:val="18"/>
                <w:szCs w:val="18"/>
                <w:highlight w:val="none"/>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highlight w:val="none"/>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加油机两侧设置防撞柱</w:t>
            </w:r>
          </w:p>
        </w:tc>
        <w:tc>
          <w:tcPr>
            <w:tcW w:w="870" w:type="dxa"/>
            <w:vAlign w:val="center"/>
          </w:tcPr>
          <w:p w14:paraId="3B6AD87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highlight w:val="none"/>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加油软管设置安全拉断阀</w:t>
            </w:r>
          </w:p>
        </w:tc>
        <w:tc>
          <w:tcPr>
            <w:tcW w:w="870" w:type="dxa"/>
            <w:vAlign w:val="center"/>
          </w:tcPr>
          <w:p w14:paraId="7625936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highlight w:val="none"/>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highlight w:val="none"/>
              </w:rPr>
            </w:pPr>
            <w:r>
              <w:rPr>
                <w:rFonts w:hint="eastAsia" w:cs="Times New Roman"/>
                <w:color w:val="auto"/>
                <w:sz w:val="18"/>
                <w:szCs w:val="18"/>
                <w:highlight w:val="none"/>
              </w:rPr>
              <w:t>底部设置自动切断阀</w:t>
            </w:r>
          </w:p>
        </w:tc>
        <w:tc>
          <w:tcPr>
            <w:tcW w:w="870" w:type="dxa"/>
            <w:vAlign w:val="center"/>
          </w:tcPr>
          <w:p w14:paraId="2C91B53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highlight w:val="none"/>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highlight w:val="none"/>
              </w:rPr>
            </w:pPr>
            <w:r>
              <w:rPr>
                <w:rFonts w:hint="eastAsia" w:cs="Times New Roman"/>
                <w:color w:val="auto"/>
                <w:sz w:val="18"/>
                <w:szCs w:val="18"/>
                <w:highlight w:val="none"/>
              </w:rPr>
              <w:t>油罐底部进料</w:t>
            </w:r>
          </w:p>
        </w:tc>
        <w:tc>
          <w:tcPr>
            <w:tcW w:w="870" w:type="dxa"/>
            <w:vAlign w:val="center"/>
          </w:tcPr>
          <w:p w14:paraId="2819D90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highlight w:val="none"/>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0DEF11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highlight w:val="none"/>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本加油站设置了</w:t>
            </w:r>
            <w:r>
              <w:rPr>
                <w:rFonts w:hint="eastAsia" w:ascii="Times New Roman" w:hAnsi="Times New Roman" w:cs="Times New Roman"/>
                <w:color w:val="auto"/>
                <w:sz w:val="18"/>
                <w:szCs w:val="18"/>
                <w:highlight w:val="none"/>
                <w:lang w:val="en-US" w:eastAsia="zh-CN"/>
              </w:rPr>
              <w:t>3</w:t>
            </w:r>
            <w:r>
              <w:rPr>
                <w:rFonts w:ascii="Times New Roman" w:hAnsi="Times New Roman" w:cs="Times New Roman"/>
                <w:color w:val="auto"/>
                <w:sz w:val="18"/>
                <w:szCs w:val="18"/>
                <w:highlight w:val="none"/>
              </w:rPr>
              <w:t>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highlight w:val="none"/>
              </w:rPr>
            </w:pPr>
            <w:r>
              <w:rPr>
                <w:rFonts w:hint="eastAsia" w:cs="Times New Roman"/>
                <w:color w:val="auto"/>
                <w:sz w:val="18"/>
                <w:szCs w:val="18"/>
                <w:highlight w:val="none"/>
              </w:rPr>
              <w:t>设置</w:t>
            </w:r>
            <w:r>
              <w:rPr>
                <w:rFonts w:hint="eastAsia" w:cs="Times New Roman"/>
                <w:color w:val="auto"/>
                <w:sz w:val="18"/>
                <w:szCs w:val="18"/>
                <w:highlight w:val="none"/>
                <w:lang w:val="en-US" w:eastAsia="zh-CN"/>
              </w:rPr>
              <w:t>3</w:t>
            </w:r>
            <w:r>
              <w:rPr>
                <w:rFonts w:hint="eastAsia" w:cs="Times New Roman"/>
                <w:color w:val="auto"/>
                <w:sz w:val="18"/>
                <w:szCs w:val="18"/>
                <w:highlight w:val="none"/>
              </w:rPr>
              <w:t>个紧急停车按钮，只能手动复位</w:t>
            </w:r>
          </w:p>
        </w:tc>
        <w:tc>
          <w:tcPr>
            <w:tcW w:w="870" w:type="dxa"/>
            <w:vAlign w:val="center"/>
          </w:tcPr>
          <w:p w14:paraId="01A07B2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highlight w:val="none"/>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highlight w:val="none"/>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highlight w:val="none"/>
              </w:rPr>
            </w:pPr>
            <w:r>
              <w:rPr>
                <w:rFonts w:hint="eastAsia" w:cs="Times New Roman"/>
                <w:color w:val="auto"/>
                <w:sz w:val="18"/>
                <w:szCs w:val="18"/>
                <w:highlight w:val="none"/>
              </w:rPr>
              <w:t>设置</w:t>
            </w:r>
            <w:r>
              <w:rPr>
                <w:rFonts w:ascii="Times New Roman" w:hAnsi="Times New Roman" w:cs="Times New Roman"/>
                <w:color w:val="auto"/>
                <w:sz w:val="18"/>
                <w:szCs w:val="18"/>
                <w:highlight w:val="none"/>
              </w:rPr>
              <w:t>人体静电导除装置及静电接地报警装置</w:t>
            </w:r>
            <w:r>
              <w:rPr>
                <w:rFonts w:hint="eastAsia" w:ascii="Times New Roman" w:hAnsi="Times New Roman" w:cs="Times New Roman"/>
                <w:color w:val="auto"/>
                <w:sz w:val="18"/>
                <w:szCs w:val="18"/>
                <w:highlight w:val="none"/>
              </w:rPr>
              <w:t>，未设置在爆炸1区；进行静电跨接</w:t>
            </w:r>
          </w:p>
        </w:tc>
        <w:tc>
          <w:tcPr>
            <w:tcW w:w="870" w:type="dxa"/>
            <w:vAlign w:val="center"/>
          </w:tcPr>
          <w:p w14:paraId="11AC8D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highlight w:val="none"/>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highlight w:val="none"/>
              </w:rPr>
            </w:pPr>
          </w:p>
        </w:tc>
        <w:tc>
          <w:tcPr>
            <w:tcW w:w="5930" w:type="dxa"/>
            <w:vAlign w:val="center"/>
          </w:tcPr>
          <w:p w14:paraId="520D3E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highlight w:val="none"/>
              </w:rPr>
            </w:pPr>
          </w:p>
        </w:tc>
        <w:tc>
          <w:tcPr>
            <w:tcW w:w="5930" w:type="dxa"/>
            <w:vAlign w:val="center"/>
          </w:tcPr>
          <w:p w14:paraId="2B6D8A4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highlight w:val="none"/>
              </w:rPr>
            </w:pPr>
            <w:r>
              <w:rPr>
                <w:rFonts w:hint="eastAsia" w:cs="Times New Roman"/>
                <w:color w:val="auto"/>
                <w:sz w:val="18"/>
                <w:szCs w:val="18"/>
                <w:highlight w:val="none"/>
              </w:rPr>
              <w:t>采用不发火花地面</w:t>
            </w:r>
          </w:p>
        </w:tc>
        <w:tc>
          <w:tcPr>
            <w:tcW w:w="870" w:type="dxa"/>
            <w:vAlign w:val="center"/>
          </w:tcPr>
          <w:p w14:paraId="772C73E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highlight w:val="none"/>
              </w:rPr>
            </w:pPr>
            <w:r>
              <w:rPr>
                <w:rFonts w:hint="eastAsia"/>
                <w:color w:val="auto"/>
                <w:sz w:val="18"/>
                <w:szCs w:val="18"/>
                <w:highlight w:val="none"/>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highlight w:val="none"/>
              </w:rPr>
            </w:pPr>
            <w:r>
              <w:rPr>
                <w:rFonts w:hint="eastAsia" w:cs="Times New Roman"/>
                <w:color w:val="auto"/>
                <w:sz w:val="18"/>
                <w:szCs w:val="18"/>
                <w:highlight w:val="none"/>
              </w:rPr>
              <w:t>清罐作业由专业的公司进行清洗；</w:t>
            </w:r>
            <w:r>
              <w:rPr>
                <w:rFonts w:ascii="Times New Roman" w:hAnsi="Times New Roman" w:cs="Times New Roman"/>
                <w:color w:val="auto"/>
                <w:sz w:val="18"/>
                <w:szCs w:val="18"/>
                <w:highlight w:val="none"/>
              </w:rPr>
              <w:t>油罐清洗前加油站停止加油</w:t>
            </w:r>
            <w:r>
              <w:rPr>
                <w:rFonts w:hint="eastAsia" w:ascii="Times New Roman" w:hAnsi="Times New Roman" w:cs="Times New Roman"/>
                <w:color w:val="auto"/>
                <w:sz w:val="18"/>
                <w:szCs w:val="18"/>
                <w:highlight w:val="none"/>
              </w:rPr>
              <w:t>，并划出警戒区域</w:t>
            </w:r>
          </w:p>
        </w:tc>
        <w:tc>
          <w:tcPr>
            <w:tcW w:w="870" w:type="dxa"/>
            <w:vAlign w:val="center"/>
          </w:tcPr>
          <w:p w14:paraId="4966521A">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highlight w:val="none"/>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highlight w:val="none"/>
              </w:rPr>
            </w:pPr>
            <w:r>
              <w:rPr>
                <w:rFonts w:hint="eastAsia" w:cs="Times New Roman"/>
                <w:color w:val="auto"/>
                <w:sz w:val="18"/>
                <w:szCs w:val="18"/>
                <w:highlight w:val="none"/>
              </w:rPr>
              <w:t>罐区干净整洁</w:t>
            </w:r>
          </w:p>
        </w:tc>
        <w:tc>
          <w:tcPr>
            <w:tcW w:w="870" w:type="dxa"/>
            <w:vAlign w:val="center"/>
          </w:tcPr>
          <w:p w14:paraId="0ECFCA6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highlight w:val="none"/>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highlight w:val="none"/>
              </w:rPr>
            </w:pPr>
            <w:r>
              <w:rPr>
                <w:rFonts w:hint="eastAsia" w:cs="Times New Roman"/>
                <w:color w:val="auto"/>
                <w:sz w:val="18"/>
                <w:szCs w:val="18"/>
                <w:highlight w:val="none"/>
              </w:rPr>
              <w:t>现场禁止明火作业，禁止吸烟和使用手机</w:t>
            </w:r>
          </w:p>
        </w:tc>
        <w:tc>
          <w:tcPr>
            <w:tcW w:w="870" w:type="dxa"/>
            <w:vAlign w:val="center"/>
          </w:tcPr>
          <w:p w14:paraId="7050EB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highlight w:val="none"/>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highlight w:val="none"/>
              </w:rPr>
            </w:pPr>
            <w:r>
              <w:rPr>
                <w:rFonts w:hint="eastAsia" w:cs="Times New Roman"/>
                <w:color w:val="auto"/>
                <w:sz w:val="18"/>
                <w:szCs w:val="18"/>
                <w:highlight w:val="none"/>
              </w:rPr>
              <w:t>控制流速</w:t>
            </w:r>
          </w:p>
        </w:tc>
        <w:tc>
          <w:tcPr>
            <w:tcW w:w="870" w:type="dxa"/>
            <w:vAlign w:val="center"/>
          </w:tcPr>
          <w:p w14:paraId="7340D97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highlight w:val="none"/>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使用防爆工具和设备</w:t>
            </w:r>
          </w:p>
        </w:tc>
        <w:tc>
          <w:tcPr>
            <w:tcW w:w="1580" w:type="dxa"/>
            <w:vAlign w:val="center"/>
          </w:tcPr>
          <w:p w14:paraId="1C4E88C8">
            <w:pPr>
              <w:spacing w:line="240" w:lineRule="exact"/>
              <w:jc w:val="center"/>
              <w:rPr>
                <w:rFonts w:cs="Times New Roman"/>
                <w:color w:val="auto"/>
                <w:sz w:val="18"/>
                <w:szCs w:val="18"/>
                <w:highlight w:val="none"/>
              </w:rPr>
            </w:pPr>
            <w:r>
              <w:rPr>
                <w:rFonts w:hint="eastAsia" w:cs="Times New Roman"/>
                <w:color w:val="auto"/>
                <w:sz w:val="18"/>
                <w:szCs w:val="18"/>
                <w:highlight w:val="none"/>
              </w:rPr>
              <w:t>使用防爆工具及设备</w:t>
            </w:r>
          </w:p>
        </w:tc>
        <w:tc>
          <w:tcPr>
            <w:tcW w:w="870" w:type="dxa"/>
            <w:vAlign w:val="center"/>
          </w:tcPr>
          <w:p w14:paraId="64234BA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highlight w:val="none"/>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564CD0A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highlight w:val="none"/>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4940EB0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highlight w:val="none"/>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339E37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highlight w:val="none"/>
              </w:rPr>
            </w:pPr>
            <w:r>
              <w:rPr>
                <w:rFonts w:hint="eastAsia"/>
                <w:color w:val="auto"/>
                <w:sz w:val="18"/>
                <w:szCs w:val="18"/>
                <w:highlight w:val="none"/>
              </w:rPr>
              <w:t>4</w:t>
            </w:r>
            <w:r>
              <w:rPr>
                <w:rFonts w:hint="eastAsia" w:ascii="宋体" w:hAnsi="宋体" w:cs="宋体"/>
                <w:color w:val="auto"/>
                <w:sz w:val="18"/>
                <w:szCs w:val="18"/>
                <w:highlight w:val="none"/>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highlight w:val="none"/>
              </w:rPr>
            </w:pPr>
            <w:r>
              <w:rPr>
                <w:rFonts w:hint="eastAsia" w:cs="Times New Roman"/>
                <w:color w:val="auto"/>
                <w:sz w:val="18"/>
                <w:szCs w:val="18"/>
                <w:highlight w:val="none"/>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highlight w:val="none"/>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highlight w:val="none"/>
              </w:rPr>
            </w:pPr>
            <w:r>
              <w:rPr>
                <w:rFonts w:hint="eastAsia" w:cs="宋体"/>
                <w:color w:val="auto"/>
                <w:sz w:val="18"/>
                <w:szCs w:val="18"/>
                <w:highlight w:val="none"/>
              </w:rPr>
              <w:t>配备相应的防护器具</w:t>
            </w:r>
          </w:p>
        </w:tc>
        <w:tc>
          <w:tcPr>
            <w:tcW w:w="870" w:type="dxa"/>
            <w:vAlign w:val="center"/>
          </w:tcPr>
          <w:p w14:paraId="508D14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highlight w:val="none"/>
              </w:rPr>
            </w:pPr>
            <w:r>
              <w:rPr>
                <w:rFonts w:hint="eastAsia"/>
                <w:color w:val="auto"/>
                <w:sz w:val="18"/>
                <w:szCs w:val="18"/>
                <w:highlight w:val="none"/>
              </w:rPr>
              <w:t>5</w:t>
            </w:r>
            <w:r>
              <w:rPr>
                <w:rFonts w:hint="eastAsia" w:ascii="宋体" w:hAnsi="宋体" w:cs="宋体"/>
                <w:color w:val="auto"/>
                <w:sz w:val="18"/>
                <w:szCs w:val="18"/>
                <w:highlight w:val="none"/>
              </w:rPr>
              <w:t>）防腐蚀</w:t>
            </w:r>
            <w:r>
              <w:rPr>
                <w:rFonts w:ascii="宋体" w:hAnsi="宋体" w:cs="宋体"/>
                <w:color w:val="auto"/>
                <w:sz w:val="18"/>
                <w:szCs w:val="18"/>
                <w:highlight w:val="none"/>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highlight w:val="none"/>
              </w:rPr>
            </w:pPr>
            <w:r>
              <w:rPr>
                <w:rFonts w:hint="eastAsia" w:cs="Times New Roman"/>
                <w:color w:val="auto"/>
                <w:sz w:val="18"/>
                <w:szCs w:val="18"/>
                <w:highlight w:val="none"/>
              </w:rPr>
              <w:t>进行相应的防腐</w:t>
            </w:r>
          </w:p>
        </w:tc>
        <w:tc>
          <w:tcPr>
            <w:tcW w:w="870" w:type="dxa"/>
            <w:vAlign w:val="center"/>
          </w:tcPr>
          <w:p w14:paraId="42772810">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highlight w:val="none"/>
              </w:rPr>
            </w:pPr>
          </w:p>
        </w:tc>
        <w:tc>
          <w:tcPr>
            <w:tcW w:w="8380" w:type="dxa"/>
            <w:gridSpan w:val="3"/>
            <w:vAlign w:val="center"/>
          </w:tcPr>
          <w:p w14:paraId="31652D47">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.1.2 </w:t>
            </w:r>
            <w:r>
              <w:rPr>
                <w:rFonts w:hint="eastAsia" w:ascii="宋体" w:hAnsi="宋体" w:cs="宋体"/>
                <w:b/>
                <w:bCs/>
                <w:color w:val="auto"/>
                <w:sz w:val="18"/>
                <w:szCs w:val="18"/>
                <w:highlight w:val="none"/>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highlight w:val="none"/>
              </w:rPr>
            </w:pPr>
          </w:p>
        </w:tc>
        <w:tc>
          <w:tcPr>
            <w:tcW w:w="5930" w:type="dxa"/>
            <w:vAlign w:val="center"/>
          </w:tcPr>
          <w:p w14:paraId="1E672D0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highlight w:val="none"/>
              </w:rPr>
            </w:pPr>
            <w:r>
              <w:rPr>
                <w:rFonts w:hint="eastAsia" w:cs="Times New Roman"/>
                <w:color w:val="auto"/>
                <w:sz w:val="18"/>
                <w:szCs w:val="18"/>
                <w:highlight w:val="none"/>
              </w:rPr>
              <w:t>密闭卸油，卸油口设有快速接头和密封盖</w:t>
            </w:r>
          </w:p>
        </w:tc>
        <w:tc>
          <w:tcPr>
            <w:tcW w:w="870" w:type="dxa"/>
            <w:vAlign w:val="center"/>
          </w:tcPr>
          <w:p w14:paraId="77FBECDA">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highlight w:val="none"/>
              </w:rPr>
            </w:pPr>
          </w:p>
        </w:tc>
        <w:tc>
          <w:tcPr>
            <w:tcW w:w="5930" w:type="dxa"/>
            <w:vAlign w:val="center"/>
          </w:tcPr>
          <w:p w14:paraId="1B8EA95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汽油罐车向站内油罐卸油采用平衡式密闭油气回收系统，各汽油罐共用一根卸油油气回收主管，回收主管的公称直径为</w:t>
            </w:r>
            <w:r>
              <w:rPr>
                <w:rFonts w:hint="eastAsia" w:ascii="宋体" w:cs="Times New Roman"/>
                <w:color w:val="auto"/>
                <w:sz w:val="18"/>
                <w:szCs w:val="18"/>
                <w:highlight w:val="none"/>
                <w:lang w:val="en-US" w:eastAsia="zh-CN"/>
              </w:rPr>
              <w:t>90</w:t>
            </w:r>
            <w:r>
              <w:rPr>
                <w:rFonts w:hint="eastAsia" w:ascii="宋体" w:cs="Times New Roman"/>
                <w:color w:val="auto"/>
                <w:sz w:val="18"/>
                <w:szCs w:val="18"/>
                <w:highlight w:val="none"/>
              </w:rPr>
              <w:t>mm；卸油油气回收管道的接口采用自闭式快速接头。</w:t>
            </w:r>
          </w:p>
        </w:tc>
        <w:tc>
          <w:tcPr>
            <w:tcW w:w="1580" w:type="dxa"/>
            <w:vAlign w:val="center"/>
          </w:tcPr>
          <w:p w14:paraId="6D1D2071">
            <w:pPr>
              <w:spacing w:line="240" w:lineRule="exact"/>
              <w:jc w:val="center"/>
              <w:rPr>
                <w:rFonts w:hint="default" w:eastAsia="宋体" w:cs="Times New Roman"/>
                <w:color w:val="auto"/>
                <w:sz w:val="18"/>
                <w:szCs w:val="18"/>
                <w:highlight w:val="none"/>
                <w:lang w:val="en-US" w:eastAsia="zh-CN"/>
              </w:rPr>
            </w:pPr>
            <w:r>
              <w:rPr>
                <w:rFonts w:hint="eastAsia" w:cs="Times New Roman"/>
                <w:color w:val="auto"/>
                <w:sz w:val="18"/>
                <w:szCs w:val="18"/>
                <w:highlight w:val="none"/>
              </w:rPr>
              <w:t>卸油、加油均设有油气回收系统，卸油油气回收主管直径DN</w:t>
            </w:r>
            <w:r>
              <w:rPr>
                <w:rFonts w:hint="eastAsia" w:cs="Times New Roman"/>
                <w:color w:val="auto"/>
                <w:sz w:val="18"/>
                <w:szCs w:val="18"/>
                <w:highlight w:val="none"/>
                <w:lang w:val="en-US" w:eastAsia="zh-CN"/>
              </w:rPr>
              <w:t>90</w:t>
            </w:r>
          </w:p>
        </w:tc>
        <w:tc>
          <w:tcPr>
            <w:tcW w:w="870" w:type="dxa"/>
            <w:vAlign w:val="center"/>
          </w:tcPr>
          <w:p w14:paraId="2BDFDD83">
            <w:pPr>
              <w:jc w:val="left"/>
              <w:rPr>
                <w:color w:val="auto"/>
                <w:highlight w:val="none"/>
              </w:rPr>
            </w:pPr>
            <w:r>
              <w:rPr>
                <w:rFonts w:hint="eastAsia" w:cs="宋体"/>
                <w:color w:val="auto"/>
                <w:sz w:val="18"/>
                <w:szCs w:val="18"/>
                <w:highlight w:val="none"/>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highlight w:val="none"/>
              </w:rPr>
            </w:pPr>
          </w:p>
        </w:tc>
        <w:tc>
          <w:tcPr>
            <w:tcW w:w="5930" w:type="dxa"/>
            <w:vAlign w:val="center"/>
          </w:tcPr>
          <w:p w14:paraId="6388B93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本站采用油罐装设潜油泵的一泵供多机</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枪</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highlight w:val="none"/>
              </w:rPr>
            </w:pPr>
            <w:r>
              <w:rPr>
                <w:rFonts w:hint="eastAsia" w:cs="Times New Roman"/>
                <w:color w:val="auto"/>
                <w:sz w:val="18"/>
                <w:szCs w:val="18"/>
                <w:highlight w:val="none"/>
              </w:rPr>
              <w:t>一泵供多枪</w:t>
            </w:r>
          </w:p>
        </w:tc>
        <w:tc>
          <w:tcPr>
            <w:tcW w:w="870" w:type="dxa"/>
            <w:vAlign w:val="center"/>
          </w:tcPr>
          <w:p w14:paraId="50171E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highlight w:val="none"/>
              </w:rPr>
            </w:pPr>
          </w:p>
        </w:tc>
        <w:tc>
          <w:tcPr>
            <w:tcW w:w="5930" w:type="dxa"/>
            <w:vAlign w:val="center"/>
          </w:tcPr>
          <w:p w14:paraId="378A116D">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920FCD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highlight w:val="none"/>
              </w:rPr>
            </w:pPr>
          </w:p>
        </w:tc>
        <w:tc>
          <w:tcPr>
            <w:tcW w:w="5930" w:type="dxa"/>
            <w:vAlign w:val="center"/>
          </w:tcPr>
          <w:p w14:paraId="01C383B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设阻火通气帽和机械呼吸阀</w:t>
            </w:r>
          </w:p>
        </w:tc>
        <w:tc>
          <w:tcPr>
            <w:tcW w:w="870" w:type="dxa"/>
            <w:vAlign w:val="center"/>
          </w:tcPr>
          <w:p w14:paraId="18C9591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highlight w:val="none"/>
              </w:rPr>
            </w:pPr>
          </w:p>
        </w:tc>
        <w:tc>
          <w:tcPr>
            <w:tcW w:w="5930" w:type="dxa"/>
            <w:vAlign w:val="center"/>
          </w:tcPr>
          <w:p w14:paraId="0E496BC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坡向埋地油罐</w:t>
            </w:r>
          </w:p>
        </w:tc>
        <w:tc>
          <w:tcPr>
            <w:tcW w:w="870" w:type="dxa"/>
            <w:vAlign w:val="center"/>
          </w:tcPr>
          <w:p w14:paraId="189B73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highlight w:val="none"/>
              </w:rPr>
            </w:pPr>
          </w:p>
        </w:tc>
        <w:tc>
          <w:tcPr>
            <w:tcW w:w="5930" w:type="dxa"/>
            <w:vAlign w:val="center"/>
          </w:tcPr>
          <w:p w14:paraId="2DC0C20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按要求进行埋深</w:t>
            </w:r>
          </w:p>
        </w:tc>
        <w:tc>
          <w:tcPr>
            <w:tcW w:w="870" w:type="dxa"/>
            <w:vAlign w:val="center"/>
          </w:tcPr>
          <w:p w14:paraId="577A668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highlight w:val="none"/>
              </w:rPr>
            </w:pPr>
          </w:p>
        </w:tc>
        <w:tc>
          <w:tcPr>
            <w:tcW w:w="5930" w:type="dxa"/>
            <w:vAlign w:val="center"/>
          </w:tcPr>
          <w:p w14:paraId="5DF8AF3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埋地油罐( 02.6X6.2m, 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6A41855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highlight w:val="none"/>
              </w:rPr>
            </w:pPr>
          </w:p>
        </w:tc>
        <w:tc>
          <w:tcPr>
            <w:tcW w:w="5930" w:type="dxa"/>
            <w:vAlign w:val="center"/>
          </w:tcPr>
          <w:p w14:paraId="5306FD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站区工艺管道系统设置卸油和加油</w:t>
            </w:r>
            <w:r>
              <w:rPr>
                <w:rFonts w:hint="eastAsia" w:ascii="宋体" w:cs="Times New Roman"/>
                <w:color w:val="auto"/>
                <w:sz w:val="18"/>
                <w:szCs w:val="18"/>
                <w:highlight w:val="none"/>
                <w:lang w:eastAsia="zh-CN"/>
              </w:rPr>
              <w:t>油气</w:t>
            </w:r>
            <w:r>
              <w:rPr>
                <w:rFonts w:hint="eastAsia" w:ascii="宋体" w:cs="Times New Roman"/>
                <w:color w:val="auto"/>
                <w:sz w:val="18"/>
                <w:szCs w:val="18"/>
                <w:highlight w:val="none"/>
              </w:rPr>
              <w:t>回收系统，以达到环保要求</w:t>
            </w:r>
          </w:p>
        </w:tc>
        <w:tc>
          <w:tcPr>
            <w:tcW w:w="1580" w:type="dxa"/>
            <w:vAlign w:val="center"/>
          </w:tcPr>
          <w:p w14:paraId="55ED6EB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设有油气回收系统</w:t>
            </w:r>
          </w:p>
        </w:tc>
        <w:tc>
          <w:tcPr>
            <w:tcW w:w="870" w:type="dxa"/>
            <w:vAlign w:val="center"/>
          </w:tcPr>
          <w:p w14:paraId="7711F0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highlight w:val="none"/>
              </w:rPr>
            </w:pPr>
          </w:p>
        </w:tc>
        <w:tc>
          <w:tcPr>
            <w:tcW w:w="5930" w:type="dxa"/>
            <w:vAlign w:val="center"/>
          </w:tcPr>
          <w:p w14:paraId="67616CB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701132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highlight w:val="none"/>
              </w:rPr>
            </w:pPr>
          </w:p>
        </w:tc>
        <w:tc>
          <w:tcPr>
            <w:tcW w:w="5930" w:type="dxa"/>
            <w:vAlign w:val="center"/>
          </w:tcPr>
          <w:p w14:paraId="765562B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w:t>
            </w:r>
          </w:p>
        </w:tc>
        <w:tc>
          <w:tcPr>
            <w:tcW w:w="870" w:type="dxa"/>
            <w:vAlign w:val="center"/>
          </w:tcPr>
          <w:p w14:paraId="1987518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highlight w:val="none"/>
              </w:rPr>
            </w:pPr>
          </w:p>
        </w:tc>
        <w:tc>
          <w:tcPr>
            <w:tcW w:w="5930" w:type="dxa"/>
            <w:vAlign w:val="center"/>
          </w:tcPr>
          <w:p w14:paraId="10268E6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highlight w:val="none"/>
              </w:rPr>
            </w:pPr>
            <w:r>
              <w:rPr>
                <w:rFonts w:hint="eastAsia" w:cs="Times New Roman"/>
                <w:color w:val="auto"/>
                <w:sz w:val="18"/>
                <w:szCs w:val="18"/>
                <w:highlight w:val="none"/>
              </w:rPr>
              <w:t>设有防溢阀</w:t>
            </w:r>
            <w:r>
              <w:rPr>
                <w:rFonts w:hint="eastAsia" w:ascii="宋体" w:cs="Times New Roman"/>
                <w:color w:val="auto"/>
                <w:sz w:val="18"/>
                <w:szCs w:val="18"/>
                <w:highlight w:val="none"/>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highlight w:val="none"/>
              </w:rPr>
            </w:pPr>
          </w:p>
        </w:tc>
        <w:tc>
          <w:tcPr>
            <w:tcW w:w="8380" w:type="dxa"/>
            <w:gridSpan w:val="3"/>
            <w:vAlign w:val="center"/>
          </w:tcPr>
          <w:p w14:paraId="4BAD49B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.1.3 </w:t>
            </w:r>
            <w:r>
              <w:rPr>
                <w:rFonts w:hint="eastAsia" w:cs="宋体"/>
                <w:b/>
                <w:bCs/>
                <w:color w:val="auto"/>
                <w:sz w:val="18"/>
                <w:szCs w:val="18"/>
                <w:highlight w:val="none"/>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65FA38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在项目进出口分别设置入口指示牌、出口指示牌，设置车辆行驶标识，限速五公里</w:t>
            </w:r>
            <w:r>
              <w:rPr>
                <w:rFonts w:hint="eastAsia" w:ascii="宋体" w:cs="Times New Roman"/>
                <w:color w:val="auto"/>
                <w:sz w:val="18"/>
                <w:szCs w:val="18"/>
                <w:highlight w:val="none"/>
                <w:lang w:eastAsia="zh-CN"/>
              </w:rPr>
              <w:t>，在</w:t>
            </w:r>
            <w:r>
              <w:rPr>
                <w:rFonts w:hint="eastAsia" w:ascii="宋体" w:cs="Times New Roman"/>
                <w:color w:val="auto"/>
                <w:sz w:val="18"/>
                <w:szCs w:val="18"/>
                <w:highlight w:val="none"/>
              </w:rPr>
              <w:t>加油区张贴摩托车熄火加油，且设置减速带。</w:t>
            </w:r>
          </w:p>
        </w:tc>
        <w:tc>
          <w:tcPr>
            <w:tcW w:w="1580" w:type="dxa"/>
            <w:vAlign w:val="center"/>
          </w:tcPr>
          <w:p w14:paraId="4EB12A9C">
            <w:pPr>
              <w:spacing w:line="240" w:lineRule="exact"/>
              <w:jc w:val="center"/>
              <w:rPr>
                <w:rFonts w:cs="Times New Roman"/>
                <w:color w:val="auto"/>
                <w:sz w:val="18"/>
                <w:szCs w:val="18"/>
                <w:highlight w:val="none"/>
              </w:rPr>
            </w:pPr>
            <w:r>
              <w:rPr>
                <w:rFonts w:hint="eastAsia" w:cs="宋体"/>
                <w:color w:val="auto"/>
                <w:sz w:val="18"/>
                <w:szCs w:val="18"/>
                <w:highlight w:val="none"/>
              </w:rPr>
              <w:t>进出口设置指示牌和减速带</w:t>
            </w:r>
          </w:p>
        </w:tc>
        <w:tc>
          <w:tcPr>
            <w:tcW w:w="870" w:type="dxa"/>
            <w:vAlign w:val="center"/>
          </w:tcPr>
          <w:p w14:paraId="4095AA4B">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097DB14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设置安全标识</w:t>
            </w:r>
          </w:p>
        </w:tc>
        <w:tc>
          <w:tcPr>
            <w:tcW w:w="870" w:type="dxa"/>
            <w:vAlign w:val="center"/>
          </w:tcPr>
          <w:p w14:paraId="5A4F5BB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5531629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highlight w:val="none"/>
              </w:rPr>
            </w:pPr>
            <w:r>
              <w:rPr>
                <w:rFonts w:hint="eastAsia" w:cs="宋体"/>
                <w:color w:val="auto"/>
                <w:sz w:val="18"/>
                <w:szCs w:val="18"/>
                <w:highlight w:val="none"/>
              </w:rPr>
              <w:t>设有标识</w:t>
            </w:r>
          </w:p>
        </w:tc>
        <w:tc>
          <w:tcPr>
            <w:tcW w:w="870" w:type="dxa"/>
            <w:vAlign w:val="center"/>
          </w:tcPr>
          <w:p w14:paraId="1D42AEFF">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5A2C71F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输油管道不穿过站房等建、构筑物。</w:t>
            </w:r>
          </w:p>
        </w:tc>
        <w:tc>
          <w:tcPr>
            <w:tcW w:w="1580" w:type="dxa"/>
            <w:vAlign w:val="center"/>
          </w:tcPr>
          <w:p w14:paraId="6204C59D">
            <w:pPr>
              <w:spacing w:line="240" w:lineRule="exact"/>
              <w:jc w:val="center"/>
              <w:rPr>
                <w:rFonts w:cs="Times New Roman"/>
                <w:color w:val="auto"/>
                <w:sz w:val="18"/>
                <w:szCs w:val="18"/>
                <w:highlight w:val="none"/>
              </w:rPr>
            </w:pPr>
            <w:r>
              <w:rPr>
                <w:rFonts w:hint="eastAsia" w:cs="Times New Roman"/>
                <w:color w:val="auto"/>
                <w:sz w:val="18"/>
                <w:szCs w:val="18"/>
                <w:highlight w:val="none"/>
              </w:rPr>
              <w:t>输油管道不穿过建构筑物</w:t>
            </w:r>
          </w:p>
        </w:tc>
        <w:tc>
          <w:tcPr>
            <w:tcW w:w="870" w:type="dxa"/>
            <w:vAlign w:val="center"/>
          </w:tcPr>
          <w:p w14:paraId="47414CF1">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highlight w:val="none"/>
              </w:rPr>
            </w:pPr>
            <w:r>
              <w:rPr>
                <w:color w:val="auto"/>
                <w:sz w:val="18"/>
                <w:szCs w:val="18"/>
                <w:highlight w:val="none"/>
              </w:rPr>
              <w:t>5</w:t>
            </w:r>
          </w:p>
        </w:tc>
        <w:tc>
          <w:tcPr>
            <w:tcW w:w="5930" w:type="dxa"/>
            <w:vAlign w:val="center"/>
          </w:tcPr>
          <w:p w14:paraId="77E56FF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本站在站区南侧出口旁绿化带内设置隔油池，隔油池设置盖板。</w:t>
            </w:r>
          </w:p>
        </w:tc>
        <w:tc>
          <w:tcPr>
            <w:tcW w:w="1580" w:type="dxa"/>
            <w:vAlign w:val="center"/>
          </w:tcPr>
          <w:p w14:paraId="2D535E18">
            <w:pPr>
              <w:spacing w:line="240" w:lineRule="exact"/>
              <w:jc w:val="center"/>
              <w:rPr>
                <w:rFonts w:cs="Times New Roman"/>
                <w:color w:val="auto"/>
                <w:sz w:val="18"/>
                <w:szCs w:val="18"/>
                <w:highlight w:val="none"/>
              </w:rPr>
            </w:pPr>
            <w:r>
              <w:rPr>
                <w:rFonts w:hint="eastAsia" w:cs="Times New Roman"/>
                <w:color w:val="auto"/>
                <w:sz w:val="18"/>
                <w:szCs w:val="18"/>
                <w:highlight w:val="none"/>
              </w:rPr>
              <w:t>设置隔油池</w:t>
            </w:r>
          </w:p>
        </w:tc>
        <w:tc>
          <w:tcPr>
            <w:tcW w:w="870" w:type="dxa"/>
            <w:vAlign w:val="center"/>
          </w:tcPr>
          <w:p w14:paraId="5B05A9C3">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highlight w:val="none"/>
              </w:rPr>
            </w:pPr>
            <w:r>
              <w:rPr>
                <w:color w:val="auto"/>
                <w:sz w:val="18"/>
                <w:szCs w:val="18"/>
                <w:highlight w:val="none"/>
              </w:rPr>
              <w:t>6</w:t>
            </w:r>
          </w:p>
        </w:tc>
        <w:tc>
          <w:tcPr>
            <w:tcW w:w="5930" w:type="dxa"/>
            <w:vAlign w:val="center"/>
          </w:tcPr>
          <w:p w14:paraId="50BB569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highlight w:val="none"/>
              </w:rPr>
            </w:pPr>
            <w:r>
              <w:rPr>
                <w:rFonts w:hint="eastAsia" w:cs="Times New Roman"/>
                <w:color w:val="auto"/>
                <w:sz w:val="18"/>
                <w:szCs w:val="18"/>
                <w:highlight w:val="none"/>
              </w:rPr>
              <w:t>管道上设置安全色及代号</w:t>
            </w:r>
          </w:p>
        </w:tc>
        <w:tc>
          <w:tcPr>
            <w:tcW w:w="870" w:type="dxa"/>
            <w:vAlign w:val="center"/>
          </w:tcPr>
          <w:p w14:paraId="78CF1C4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23006E9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自封式加油枪，油罐区有危险告知牌</w:t>
            </w:r>
          </w:p>
        </w:tc>
        <w:tc>
          <w:tcPr>
            <w:tcW w:w="870" w:type="dxa"/>
            <w:vAlign w:val="center"/>
          </w:tcPr>
          <w:p w14:paraId="7BB9F9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2F2260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highlight w:val="none"/>
              </w:rPr>
            </w:pPr>
            <w:r>
              <w:rPr>
                <w:rFonts w:hint="eastAsia" w:cs="Times New Roman"/>
                <w:color w:val="auto"/>
                <w:sz w:val="18"/>
                <w:szCs w:val="18"/>
                <w:highlight w:val="none"/>
              </w:rPr>
              <w:t>通气管按要求设置</w:t>
            </w:r>
          </w:p>
        </w:tc>
        <w:tc>
          <w:tcPr>
            <w:tcW w:w="870" w:type="dxa"/>
            <w:vAlign w:val="center"/>
          </w:tcPr>
          <w:p w14:paraId="60D672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highlight w:val="none"/>
              </w:rPr>
            </w:pPr>
          </w:p>
        </w:tc>
        <w:tc>
          <w:tcPr>
            <w:tcW w:w="8380" w:type="dxa"/>
            <w:gridSpan w:val="3"/>
            <w:vAlign w:val="center"/>
          </w:tcPr>
          <w:p w14:paraId="6C444D71">
            <w:pPr>
              <w:spacing w:line="240" w:lineRule="exact"/>
              <w:jc w:val="center"/>
              <w:rPr>
                <w:rFonts w:cs="宋体"/>
                <w:color w:val="auto"/>
                <w:sz w:val="18"/>
                <w:szCs w:val="18"/>
                <w:highlight w:val="none"/>
              </w:rPr>
            </w:pPr>
            <w:r>
              <w:rPr>
                <w:rFonts w:hint="eastAsia"/>
                <w:b/>
                <w:bCs/>
                <w:color w:val="auto"/>
                <w:sz w:val="18"/>
                <w:szCs w:val="18"/>
                <w:highlight w:val="none"/>
              </w:rPr>
              <w:t>5</w:t>
            </w:r>
            <w:r>
              <w:rPr>
                <w:b/>
                <w:bCs/>
                <w:color w:val="auto"/>
                <w:sz w:val="18"/>
                <w:szCs w:val="18"/>
                <w:highlight w:val="none"/>
              </w:rPr>
              <w:t>.1.</w:t>
            </w:r>
            <w:r>
              <w:rPr>
                <w:rFonts w:hint="eastAsia"/>
                <w:b/>
                <w:bCs/>
                <w:color w:val="auto"/>
                <w:sz w:val="18"/>
                <w:szCs w:val="18"/>
                <w:highlight w:val="none"/>
              </w:rPr>
              <w:t>4</w:t>
            </w:r>
            <w:r>
              <w:rPr>
                <w:b/>
                <w:bCs/>
                <w:color w:val="auto"/>
                <w:sz w:val="18"/>
                <w:szCs w:val="18"/>
                <w:highlight w:val="none"/>
              </w:rPr>
              <w:t xml:space="preserve"> </w:t>
            </w:r>
            <w:r>
              <w:rPr>
                <w:rFonts w:hint="eastAsia" w:cs="宋体"/>
                <w:b/>
                <w:bCs/>
                <w:color w:val="auto"/>
                <w:sz w:val="18"/>
                <w:szCs w:val="18"/>
                <w:highlight w:val="none"/>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7347FD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highlight w:val="none"/>
              </w:rPr>
            </w:pPr>
            <w:r>
              <w:rPr>
                <w:rFonts w:hint="eastAsia" w:cs="Times New Roman"/>
                <w:color w:val="auto"/>
                <w:sz w:val="18"/>
                <w:szCs w:val="18"/>
                <w:highlight w:val="none"/>
              </w:rPr>
              <w:t>已补充相应的图纸</w:t>
            </w:r>
          </w:p>
        </w:tc>
        <w:tc>
          <w:tcPr>
            <w:tcW w:w="870" w:type="dxa"/>
            <w:vAlign w:val="center"/>
          </w:tcPr>
          <w:p w14:paraId="2B00E46D">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highlight w:val="none"/>
              </w:rPr>
            </w:pPr>
          </w:p>
        </w:tc>
        <w:tc>
          <w:tcPr>
            <w:tcW w:w="8380" w:type="dxa"/>
            <w:gridSpan w:val="3"/>
            <w:vAlign w:val="center"/>
          </w:tcPr>
          <w:p w14:paraId="72BF1527">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2 </w:t>
            </w:r>
            <w:r>
              <w:rPr>
                <w:rFonts w:hint="eastAsia" w:cs="宋体"/>
                <w:b/>
                <w:bCs/>
                <w:color w:val="auto"/>
                <w:sz w:val="18"/>
                <w:szCs w:val="18"/>
                <w:highlight w:val="none"/>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highlight w:val="none"/>
              </w:rPr>
            </w:pPr>
          </w:p>
        </w:tc>
        <w:tc>
          <w:tcPr>
            <w:tcW w:w="8380" w:type="dxa"/>
            <w:gridSpan w:val="3"/>
            <w:vAlign w:val="center"/>
          </w:tcPr>
          <w:p w14:paraId="0838A03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.2.1</w:t>
            </w:r>
            <w:r>
              <w:rPr>
                <w:rFonts w:hint="eastAsia" w:cs="宋体"/>
                <w:b/>
                <w:bCs/>
                <w:color w:val="auto"/>
                <w:sz w:val="18"/>
                <w:szCs w:val="18"/>
                <w:highlight w:val="none"/>
              </w:rPr>
              <w:t>建筑项目与厂</w:t>
            </w:r>
            <w:r>
              <w:rPr>
                <w:b/>
                <w:bCs/>
                <w:color w:val="auto"/>
                <w:sz w:val="18"/>
                <w:szCs w:val="18"/>
                <w:highlight w:val="none"/>
              </w:rPr>
              <w:t>/</w:t>
            </w:r>
            <w:r>
              <w:rPr>
                <w:rFonts w:hint="eastAsia" w:cs="宋体"/>
                <w:b/>
                <w:bCs/>
                <w:color w:val="auto"/>
                <w:sz w:val="18"/>
                <w:szCs w:val="18"/>
                <w:highlight w:val="none"/>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7454A193">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highlight w:val="none"/>
              </w:rPr>
            </w:pPr>
            <w:r>
              <w:rPr>
                <w:rFonts w:hint="eastAsia" w:cs="宋体"/>
                <w:color w:val="auto"/>
                <w:sz w:val="18"/>
                <w:szCs w:val="18"/>
                <w:highlight w:val="none"/>
              </w:rPr>
              <w:t>站区与周边建构筑物之间的距离满足要求</w:t>
            </w:r>
          </w:p>
        </w:tc>
        <w:tc>
          <w:tcPr>
            <w:tcW w:w="870" w:type="dxa"/>
            <w:vAlign w:val="center"/>
          </w:tcPr>
          <w:p w14:paraId="41C08549">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highlight w:val="none"/>
              </w:rPr>
            </w:pPr>
          </w:p>
        </w:tc>
        <w:tc>
          <w:tcPr>
            <w:tcW w:w="8380" w:type="dxa"/>
            <w:gridSpan w:val="3"/>
            <w:vAlign w:val="center"/>
          </w:tcPr>
          <w:p w14:paraId="09F1101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.2.2</w:t>
            </w:r>
            <w:r>
              <w:rPr>
                <w:rFonts w:hint="eastAsia" w:cs="宋体"/>
                <w:b/>
                <w:bCs/>
                <w:color w:val="auto"/>
                <w:sz w:val="18"/>
                <w:szCs w:val="18"/>
                <w:highlight w:val="none"/>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highlight w:val="none"/>
              </w:rPr>
            </w:pPr>
            <w:r>
              <w:rPr>
                <w:rFonts w:hint="eastAsia" w:cs="Times New Roman"/>
                <w:color w:val="auto"/>
                <w:sz w:val="18"/>
                <w:szCs w:val="18"/>
                <w:highlight w:val="none"/>
              </w:rPr>
              <w:t>1</w:t>
            </w:r>
          </w:p>
        </w:tc>
        <w:tc>
          <w:tcPr>
            <w:tcW w:w="5930" w:type="dxa"/>
            <w:vAlign w:val="center"/>
          </w:tcPr>
          <w:p w14:paraId="15B148CA">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加油站站内停车位为平坡，道路坡度不大于</w:t>
            </w:r>
            <w:r>
              <w:rPr>
                <w:rFonts w:hint="eastAsia" w:cs="宋体"/>
                <w:color w:val="auto"/>
                <w:sz w:val="18"/>
                <w:szCs w:val="18"/>
                <w:highlight w:val="none"/>
                <w:lang w:val="en-US" w:eastAsia="zh-CN"/>
              </w:rPr>
              <w:t>8</w:t>
            </w:r>
            <w:r>
              <w:rPr>
                <w:rFonts w:hint="eastAsia" w:cs="宋体"/>
                <w:color w:val="auto"/>
                <w:sz w:val="18"/>
                <w:szCs w:val="18"/>
                <w:highlight w:val="none"/>
              </w:rPr>
              <w:t>%，且坡向站外。</w:t>
            </w:r>
          </w:p>
        </w:tc>
        <w:tc>
          <w:tcPr>
            <w:tcW w:w="1580" w:type="dxa"/>
            <w:vAlign w:val="center"/>
          </w:tcPr>
          <w:p w14:paraId="072EFE61">
            <w:pPr>
              <w:spacing w:line="240" w:lineRule="exact"/>
              <w:jc w:val="center"/>
              <w:rPr>
                <w:rFonts w:cs="Times New Roman"/>
                <w:color w:val="auto"/>
                <w:sz w:val="18"/>
                <w:szCs w:val="18"/>
                <w:highlight w:val="none"/>
              </w:rPr>
            </w:pPr>
            <w:r>
              <w:rPr>
                <w:rFonts w:hint="eastAsia" w:cs="宋体"/>
                <w:color w:val="auto"/>
                <w:sz w:val="18"/>
                <w:szCs w:val="18"/>
                <w:highlight w:val="none"/>
              </w:rPr>
              <w:t>坡向站外</w:t>
            </w:r>
          </w:p>
        </w:tc>
        <w:tc>
          <w:tcPr>
            <w:tcW w:w="870" w:type="dxa"/>
            <w:vAlign w:val="center"/>
          </w:tcPr>
          <w:p w14:paraId="140E003C">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highlight w:val="none"/>
              </w:rPr>
            </w:pPr>
            <w:r>
              <w:rPr>
                <w:rFonts w:hint="eastAsia" w:cs="Times New Roman"/>
                <w:color w:val="auto"/>
                <w:sz w:val="18"/>
                <w:szCs w:val="18"/>
                <w:highlight w:val="none"/>
              </w:rPr>
              <w:t>2</w:t>
            </w:r>
          </w:p>
        </w:tc>
        <w:tc>
          <w:tcPr>
            <w:tcW w:w="5930" w:type="dxa"/>
            <w:vAlign w:val="center"/>
          </w:tcPr>
          <w:p w14:paraId="59B0BCAC">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highlight w:val="none"/>
              </w:rPr>
            </w:pPr>
            <w:r>
              <w:rPr>
                <w:rFonts w:hint="eastAsia" w:cs="Times New Roman"/>
                <w:color w:val="auto"/>
                <w:sz w:val="18"/>
                <w:szCs w:val="18"/>
                <w:highlight w:val="none"/>
              </w:rPr>
              <w:t>设有</w:t>
            </w:r>
            <w:r>
              <w:rPr>
                <w:rFonts w:hint="eastAsia" w:cs="宋体"/>
                <w:color w:val="auto"/>
                <w:sz w:val="18"/>
                <w:szCs w:val="18"/>
                <w:highlight w:val="none"/>
              </w:rPr>
              <w:t>减速带和限速标志</w:t>
            </w:r>
          </w:p>
        </w:tc>
        <w:tc>
          <w:tcPr>
            <w:tcW w:w="870" w:type="dxa"/>
            <w:vAlign w:val="center"/>
          </w:tcPr>
          <w:p w14:paraId="097E762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highlight w:val="none"/>
              </w:rPr>
            </w:pPr>
          </w:p>
        </w:tc>
        <w:tc>
          <w:tcPr>
            <w:tcW w:w="8380" w:type="dxa"/>
            <w:gridSpan w:val="3"/>
            <w:vAlign w:val="center"/>
          </w:tcPr>
          <w:p w14:paraId="67BFB05B">
            <w:pPr>
              <w:spacing w:line="240" w:lineRule="exact"/>
              <w:jc w:val="center"/>
              <w:rPr>
                <w:rFonts w:cs="Times New Roman"/>
                <w:b/>
                <w:bCs/>
                <w:color w:val="auto"/>
                <w:sz w:val="18"/>
                <w:szCs w:val="18"/>
                <w:highlight w:val="none"/>
              </w:rPr>
            </w:pPr>
            <w:r>
              <w:rPr>
                <w:rFonts w:hint="eastAsia"/>
                <w:b/>
                <w:bCs/>
                <w:color w:val="auto"/>
                <w:sz w:val="18"/>
                <w:szCs w:val="18"/>
                <w:highlight w:val="none"/>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19B012D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highlight w:val="none"/>
              </w:rPr>
            </w:pPr>
            <w:r>
              <w:rPr>
                <w:rFonts w:hint="eastAsia" w:cs="Times New Roman"/>
                <w:color w:val="auto"/>
                <w:sz w:val="18"/>
                <w:szCs w:val="18"/>
                <w:highlight w:val="none"/>
              </w:rPr>
              <w:t>站内设施防火间距符合要求</w:t>
            </w:r>
          </w:p>
        </w:tc>
        <w:tc>
          <w:tcPr>
            <w:tcW w:w="870" w:type="dxa"/>
            <w:vAlign w:val="center"/>
          </w:tcPr>
          <w:p w14:paraId="3E5137D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highlight w:val="none"/>
              </w:rPr>
            </w:pPr>
          </w:p>
        </w:tc>
        <w:tc>
          <w:tcPr>
            <w:tcW w:w="8380" w:type="dxa"/>
            <w:gridSpan w:val="3"/>
            <w:vAlign w:val="center"/>
          </w:tcPr>
          <w:p w14:paraId="587817D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w:t>
            </w:r>
            <w:r>
              <w:rPr>
                <w:rFonts w:hint="eastAsia"/>
                <w:b/>
                <w:bCs/>
                <w:color w:val="auto"/>
                <w:sz w:val="18"/>
                <w:szCs w:val="18"/>
                <w:highlight w:val="none"/>
              </w:rPr>
              <w:t>4</w:t>
            </w:r>
            <w:r>
              <w:rPr>
                <w:rFonts w:hint="eastAsia" w:cs="宋体"/>
                <w:b/>
                <w:bCs/>
                <w:color w:val="auto"/>
                <w:sz w:val="18"/>
                <w:szCs w:val="18"/>
                <w:highlight w:val="none"/>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3B61FA5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highlight w:val="none"/>
              </w:rPr>
            </w:pPr>
            <w:r>
              <w:rPr>
                <w:rFonts w:hint="eastAsia" w:cs="Times New Roman"/>
                <w:color w:val="auto"/>
                <w:sz w:val="18"/>
                <w:szCs w:val="18"/>
                <w:highlight w:val="none"/>
              </w:rPr>
              <w:t>站区道路按要求设置</w:t>
            </w:r>
          </w:p>
        </w:tc>
        <w:tc>
          <w:tcPr>
            <w:tcW w:w="870" w:type="dxa"/>
            <w:vAlign w:val="center"/>
          </w:tcPr>
          <w:p w14:paraId="3BAF833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A3222A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highlight w:val="none"/>
              </w:rPr>
            </w:pPr>
            <w:r>
              <w:rPr>
                <w:rFonts w:hint="eastAsia"/>
                <w:color w:val="auto"/>
                <w:sz w:val="18"/>
                <w:szCs w:val="18"/>
                <w:highlight w:val="none"/>
              </w:rPr>
              <w:t>混凝土路面，道路畅通</w:t>
            </w:r>
          </w:p>
        </w:tc>
        <w:tc>
          <w:tcPr>
            <w:tcW w:w="870" w:type="dxa"/>
            <w:vAlign w:val="center"/>
          </w:tcPr>
          <w:p w14:paraId="1F6D106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1672705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highlight w:val="none"/>
              </w:rPr>
            </w:pPr>
            <w:r>
              <w:rPr>
                <w:rFonts w:hint="eastAsia"/>
                <w:color w:val="auto"/>
                <w:sz w:val="18"/>
                <w:szCs w:val="18"/>
                <w:highlight w:val="none"/>
              </w:rPr>
              <w:t>道路按要求布置</w:t>
            </w:r>
          </w:p>
        </w:tc>
        <w:tc>
          <w:tcPr>
            <w:tcW w:w="870" w:type="dxa"/>
            <w:vAlign w:val="center"/>
          </w:tcPr>
          <w:p w14:paraId="7FC64CC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2929A2D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站内停车位为平坡，道路坡度不大于</w:t>
            </w:r>
            <w:r>
              <w:rPr>
                <w:rFonts w:hint="eastAsia" w:cs="Times New Roman"/>
                <w:color w:val="auto"/>
                <w:sz w:val="18"/>
                <w:szCs w:val="18"/>
                <w:highlight w:val="none"/>
                <w:lang w:val="en-US" w:eastAsia="zh-CN"/>
              </w:rPr>
              <w:t>6</w:t>
            </w:r>
            <w:r>
              <w:rPr>
                <w:rFonts w:hint="eastAsia" w:cs="Times New Roman"/>
                <w:color w:val="auto"/>
                <w:sz w:val="18"/>
                <w:szCs w:val="18"/>
                <w:highlight w:val="none"/>
              </w:rPr>
              <w:t>%，且宜坡向站外。</w:t>
            </w:r>
          </w:p>
        </w:tc>
        <w:tc>
          <w:tcPr>
            <w:tcW w:w="1580" w:type="dxa"/>
            <w:vAlign w:val="center"/>
          </w:tcPr>
          <w:p w14:paraId="03F5ED44">
            <w:pPr>
              <w:spacing w:line="240" w:lineRule="exact"/>
              <w:jc w:val="center"/>
              <w:rPr>
                <w:rFonts w:cs="Times New Roman"/>
                <w:color w:val="auto"/>
                <w:sz w:val="18"/>
                <w:szCs w:val="18"/>
                <w:highlight w:val="none"/>
              </w:rPr>
            </w:pPr>
            <w:r>
              <w:rPr>
                <w:rFonts w:hint="eastAsia" w:cs="Times New Roman"/>
                <w:color w:val="auto"/>
                <w:sz w:val="18"/>
                <w:szCs w:val="18"/>
                <w:highlight w:val="none"/>
              </w:rPr>
              <w:t>坡向站外</w:t>
            </w:r>
          </w:p>
        </w:tc>
        <w:tc>
          <w:tcPr>
            <w:tcW w:w="870" w:type="dxa"/>
            <w:vAlign w:val="center"/>
          </w:tcPr>
          <w:p w14:paraId="0571503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highlight w:val="none"/>
              </w:rPr>
            </w:pPr>
          </w:p>
        </w:tc>
        <w:tc>
          <w:tcPr>
            <w:tcW w:w="8380" w:type="dxa"/>
            <w:gridSpan w:val="3"/>
            <w:vAlign w:val="center"/>
          </w:tcPr>
          <w:p w14:paraId="75F7081F">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.3 </w:t>
            </w:r>
            <w:r>
              <w:rPr>
                <w:rFonts w:hint="eastAsia" w:ascii="宋体" w:hAnsi="宋体" w:cs="宋体"/>
                <w:b/>
                <w:bCs/>
                <w:color w:val="auto"/>
                <w:sz w:val="18"/>
                <w:szCs w:val="18"/>
                <w:highlight w:val="none"/>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6A090CD0">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本项目油罐区分两部分，V</w:t>
            </w:r>
            <w:r>
              <w:rPr>
                <w:rFonts w:hint="eastAsia" w:ascii="Times New Roman" w:hAnsi="Times New Roman" w:cs="Times New Roman"/>
                <w:color w:val="auto"/>
                <w:sz w:val="18"/>
                <w:szCs w:val="18"/>
                <w:highlight w:val="none"/>
                <w:lang w:val="en-US" w:eastAsia="zh-CN"/>
              </w:rPr>
              <w:t>0</w:t>
            </w:r>
            <w:r>
              <w:rPr>
                <w:rFonts w:hint="eastAsia" w:ascii="Times New Roman" w:hAnsi="Times New Roman" w:cs="Times New Roman"/>
                <w:color w:val="auto"/>
                <w:sz w:val="18"/>
                <w:szCs w:val="18"/>
                <w:highlight w:val="none"/>
              </w:rPr>
              <w:t>1-V04为4台单层埋地卧式油罐(02.6X10.4m，V=50m3)，置于防渗罐池内，直埋敷设。钢制罐体的厚度至少为7mm，封头厚度至少为8mm，钢制油罐的设计内压不低于0.08MPa，满足规范要求。油罐有质量合格证，防渗罐池内设置渗漏检测立管，并配备防渗漏检测仪。防渗罐池内设置渗漏检测立管，并符合下列规定:</w:t>
            </w:r>
          </w:p>
          <w:p w14:paraId="17A8B195">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a.检测立管采用耐油、耐腐蚀的管材制作，直径宜为100mm，壁厚不小于4mm;</w:t>
            </w:r>
          </w:p>
          <w:p w14:paraId="0F471226">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b.检测立管的下端置于防渗罐池的最低处，检测立管的上部管口应高出罐区设计地面200mm;</w:t>
            </w:r>
          </w:p>
          <w:p w14:paraId="26C180F1">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c.检测立管与池内罐顶标高以下范围为过滤管段，过滤管段能允许池内任何层面的渗漏液体进入检测管，并能阻止泥沙侵入;</w:t>
            </w:r>
          </w:p>
          <w:p w14:paraId="7D467567">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d.检测立管周围回填粒径为10mm~30mm的砾石;</w:t>
            </w:r>
          </w:p>
          <w:p w14:paraId="3383AAE9">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e.检测口有防止雨水、油污、杂物侵入的保护盖和标识。</w:t>
            </w:r>
          </w:p>
          <w:p w14:paraId="04FDA4EE">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VO5储罐采用内钢外玻璃纤维增强塑料双层油罐(02.6X10.4m，V=50m2)，内层钢制罐体的厚度至少为7mm，封头厚度至少为8mm，且外层玻璃纤维增强塑料的外层壁厚不小于5mm，封头厚度至少为6mm;内层钢制油罐的设计内压不低于0.08MPa，双层油罐上设置设渗漏检测立管，并配备防渗漏检测仪，防止内层罐的油品泄漏。</w:t>
            </w:r>
          </w:p>
          <w:p w14:paraId="316CF7E3">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1)双层油罐内壁与外壁之间有满足渗漏检测要求的贯通间隙。2)双层油罐上设置渗漏检测立管，并符合下列规定:</w:t>
            </w:r>
          </w:p>
          <w:p w14:paraId="065B0B08">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a.检测立管采用钢管，直径宜为80mm，壁厚不小于4mm。</w:t>
            </w:r>
          </w:p>
          <w:p w14:paraId="050DE971">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b.检测立管位于油罐顶部的纵向中心线上。</w:t>
            </w:r>
          </w:p>
          <w:p w14:paraId="30CD8307">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c.检测立管的底部管口与油罐内、外壁间隙相连通，顶部管口装防尘盖。d.检测立管满足人工检测和在线监测的要求，并保证油罐内、外壁任何部位出现渗漏均能被发现。</w:t>
            </w:r>
          </w:p>
          <w:p w14:paraId="05318C90">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3)埋地油罐的人孔设操作井，人孔井采用加油站车道下专用的密闭井盖和井座。</w:t>
            </w:r>
          </w:p>
          <w:p w14:paraId="4DAAFB5E">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4)埋地油罐采取防止油罐上浮的措施。每个油罐设置3根抗浮抱带(扁</w:t>
            </w:r>
          </w:p>
          <w:p w14:paraId="37A20A03">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钢带-80x8mm)。本加油站油罐设12条抗浮抱带。5)油罐的量油孔设带锁的量油帽。量油孔下部的接合管向下伸至罐内距罐底200mm处，并有检尺时使接合管内液位与罐内液位相一致的技术措施。</w:t>
            </w:r>
          </w:p>
          <w:p w14:paraId="27D4E4BA">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油罐人孔井内的管道及设备，保证油罐人孔盖的可拆装性。6)</w:t>
            </w:r>
          </w:p>
          <w:p w14:paraId="37443350">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7)人孔盖上的接合管与引出井外管道的连接，采用金属软管过渡连接(包括潜油泵出油管)。</w:t>
            </w:r>
          </w:p>
          <w:p w14:paraId="266657A4">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8)油罐设置卸油防溢阀，液位检测仪，泄漏检测仪、阻火通气帽和机械呼吸阀等防护装置，油罐通气管口高出地面4m。</w:t>
            </w:r>
          </w:p>
          <w:p w14:paraId="6B4C2135">
            <w:pPr>
              <w:adjustRightInd w:val="0"/>
              <w:snapToGrid w:val="0"/>
              <w:spacing w:line="240" w:lineRule="exact"/>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9)在站内设置防雷、防静电设施，每个油罐与接地干线连接处为两处，油罐、所有设备的金属外壳、配线钢管、铠装电缆铠装层等均采用镀锌扁钢40x4与接地干线可靠接地。设备、管道按照《石油化工静电接地设计规范》SH/T3097-2017进行静电接地。</w:t>
            </w:r>
          </w:p>
        </w:tc>
        <w:tc>
          <w:tcPr>
            <w:tcW w:w="1580" w:type="dxa"/>
            <w:vAlign w:val="center"/>
          </w:tcPr>
          <w:p w14:paraId="50341005">
            <w:pPr>
              <w:spacing w:line="240" w:lineRule="exact"/>
              <w:jc w:val="center"/>
              <w:rPr>
                <w:rFonts w:cs="Times New Roman"/>
                <w:color w:val="auto"/>
                <w:sz w:val="18"/>
                <w:szCs w:val="18"/>
                <w:highlight w:val="none"/>
              </w:rPr>
            </w:pPr>
            <w:r>
              <w:rPr>
                <w:rFonts w:hint="eastAsia" w:ascii="Times New Roman" w:hAnsi="Times New Roman" w:cs="Times New Roman"/>
                <w:color w:val="auto"/>
                <w:sz w:val="18"/>
                <w:szCs w:val="18"/>
                <w:highlight w:val="none"/>
              </w:rPr>
              <w:t>V</w:t>
            </w:r>
            <w:r>
              <w:rPr>
                <w:rFonts w:hint="eastAsia" w:ascii="Times New Roman" w:hAnsi="Times New Roman" w:cs="Times New Roman"/>
                <w:color w:val="auto"/>
                <w:sz w:val="18"/>
                <w:szCs w:val="18"/>
                <w:highlight w:val="none"/>
                <w:lang w:val="en-US" w:eastAsia="zh-CN"/>
              </w:rPr>
              <w:t>0</w:t>
            </w:r>
            <w:r>
              <w:rPr>
                <w:rFonts w:hint="eastAsia" w:ascii="Times New Roman" w:hAnsi="Times New Roman" w:cs="Times New Roman"/>
                <w:color w:val="auto"/>
                <w:sz w:val="18"/>
                <w:szCs w:val="18"/>
                <w:highlight w:val="none"/>
              </w:rPr>
              <w:t>1-V04为4台单层埋地卧式油罐</w:t>
            </w: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lang w:val="en-US" w:eastAsia="zh-CN"/>
              </w:rPr>
              <w:t>设防渗池；</w:t>
            </w:r>
            <w:r>
              <w:rPr>
                <w:rFonts w:hint="eastAsia" w:ascii="Times New Roman" w:hAnsi="Times New Roman" w:cs="Times New Roman"/>
                <w:color w:val="auto"/>
                <w:sz w:val="18"/>
                <w:szCs w:val="18"/>
                <w:highlight w:val="none"/>
              </w:rPr>
              <w:t>V0</w:t>
            </w:r>
            <w:r>
              <w:rPr>
                <w:rFonts w:hint="eastAsia" w:ascii="Times New Roman" w:hAnsi="Times New Roman" w:cs="Times New Roman"/>
                <w:color w:val="auto"/>
                <w:sz w:val="18"/>
                <w:szCs w:val="18"/>
                <w:highlight w:val="none"/>
                <w:lang w:val="en-US" w:eastAsia="zh-CN"/>
              </w:rPr>
              <w:t>5</w:t>
            </w:r>
            <w:r>
              <w:rPr>
                <w:rFonts w:hint="eastAsia" w:ascii="Times New Roman" w:hAnsi="Times New Roman" w:cs="Times New Roman"/>
                <w:color w:val="auto"/>
                <w:sz w:val="18"/>
                <w:szCs w:val="18"/>
                <w:highlight w:val="none"/>
              </w:rPr>
              <w:t>为</w:t>
            </w:r>
            <w:r>
              <w:rPr>
                <w:rFonts w:hint="eastAsia" w:eastAsia="宋体" w:cs="Times New Roman"/>
                <w:color w:val="auto"/>
                <w:sz w:val="18"/>
                <w:szCs w:val="18"/>
                <w:highlight w:val="none"/>
              </w:rPr>
              <w:t>SF双层储罐</w:t>
            </w:r>
          </w:p>
        </w:tc>
        <w:tc>
          <w:tcPr>
            <w:tcW w:w="870" w:type="dxa"/>
            <w:vAlign w:val="center"/>
          </w:tcPr>
          <w:p w14:paraId="3D56774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25DFEC8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（1）加油软管上设安全拉断阀。</w:t>
            </w:r>
          </w:p>
          <w:p w14:paraId="0D76B02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（3）加油机底部管道上设置安全剪切阀。</w:t>
            </w:r>
          </w:p>
        </w:tc>
        <w:tc>
          <w:tcPr>
            <w:tcW w:w="1580" w:type="dxa"/>
            <w:vAlign w:val="center"/>
          </w:tcPr>
          <w:p w14:paraId="46911AA7">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rFonts w:hint="eastAsia" w:eastAsia="宋体"/>
                <w:color w:val="auto"/>
                <w:sz w:val="18"/>
                <w:szCs w:val="18"/>
                <w:highlight w:val="none"/>
                <w:lang w:eastAsia="zh-CN"/>
              </w:rPr>
            </w:pPr>
            <w:r>
              <w:rPr>
                <w:rFonts w:hint="eastAsia"/>
                <w:color w:val="auto"/>
                <w:sz w:val="18"/>
                <w:szCs w:val="18"/>
                <w:highlight w:val="none"/>
                <w:lang w:val="en-US" w:eastAsia="zh-CN"/>
              </w:rPr>
              <w:t>3</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2、加油机</w:t>
            </w:r>
          </w:p>
          <w:p w14:paraId="55ED7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1）加油软管上设安全拉断阀。</w:t>
            </w:r>
          </w:p>
          <w:p w14:paraId="7B0B08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4）加油机底部管道上设置安全剪切阀。</w:t>
            </w:r>
          </w:p>
          <w:p w14:paraId="1323F1C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w:t>
            </w:r>
          </w:p>
          <w:p w14:paraId="0E9AAC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shd w:val="clear" w:color="auto" w:fill="auto"/>
            <w:vAlign w:val="center"/>
          </w:tcPr>
          <w:p w14:paraId="54ADB57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highlight w:val="none"/>
              </w:rPr>
            </w:pPr>
          </w:p>
        </w:tc>
        <w:tc>
          <w:tcPr>
            <w:tcW w:w="8380" w:type="dxa"/>
            <w:gridSpan w:val="3"/>
            <w:vAlign w:val="center"/>
          </w:tcPr>
          <w:p w14:paraId="164C01F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4 </w:t>
            </w:r>
            <w:r>
              <w:rPr>
                <w:rFonts w:hint="eastAsia" w:ascii="宋体" w:hAnsi="宋体" w:cs="宋体"/>
                <w:b/>
                <w:bCs/>
                <w:color w:val="auto"/>
                <w:sz w:val="18"/>
                <w:szCs w:val="18"/>
                <w:highlight w:val="none"/>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21EB763">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1、配电间、发电机房安全对策措施:</w:t>
            </w:r>
          </w:p>
          <w:p w14:paraId="41D1D713">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1)配电间设置在站房一层西北角，与发电机房贴邻设置，均在爆炸危险区域之外，且与爆炸危险区域边界线的距离大于3m。变配电室、发电机房出入口设甲级防火门，并向外开，锁为不锈钢锁;钢门内侧加装高1.2m半栏门，采用角铁框架包镀锌钢板制作，使用双向弹簧铰链。窗采用塑钢窗，</w:t>
            </w:r>
          </w:p>
          <w:p w14:paraId="70620EF5">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窗外侧加装不锈钢网窗，不锈钢防盗窗，门窗应紧密不留缝隙。2)为保证火灾时候配电间、控制室正常照度，配电间及控制室灯具选用自带蓄电池灯具，持续供电时间不少于180分钟，采用专用回路供电。3)配电房配备MT7二氧化碳灭火器2具，并配置防冻手套。发电机房配备MFZ/ABC5干粉灭火器2具。</w:t>
            </w:r>
          </w:p>
          <w:p w14:paraId="730C062C">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4)配电房、发电机房操作人员具备相关的专业知识，具有劳动部门颁发的电工操作证。</w:t>
            </w:r>
          </w:p>
          <w:p w14:paraId="0F11B426">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5)配电房张贴“机房重地闲人免进"标志，控制无关人员进入。</w:t>
            </w:r>
          </w:p>
          <w:p w14:paraId="01B43D88">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6)高低压设备设置防护栅栏，电缆沟铺设盖板。</w:t>
            </w:r>
          </w:p>
          <w:p w14:paraId="53D3A17F">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7)配电房内不得堆放杂物及与工作无关的物品,严禁堆放可燃物品和存放易燃易爆物品。</w:t>
            </w:r>
          </w:p>
          <w:p w14:paraId="6CDEB6DD">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8)安装、维修电器设备和线路时，要在电闸悬挂“正在维修、严禁合闸"的标志牌，严格执行安全操作规程。</w:t>
            </w:r>
          </w:p>
          <w:p w14:paraId="040234F1">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9)配电房通往室外要设置挡鼠板,墙体、门窗和通风处要安装防护网，防止飞鸟、小动物进入造成短路，引起事故。</w:t>
            </w:r>
          </w:p>
          <w:p w14:paraId="2E71BE4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10)熟知消防报警程序及配电室消防器材存放位置和使用方法，严禁将消防器材挪作他用。保证消防器材处于完好有效战备状态。11)配电房设置外开防火门，配置了绝缘垫，设置工作状态牌。</w:t>
            </w:r>
          </w:p>
        </w:tc>
        <w:tc>
          <w:tcPr>
            <w:tcW w:w="1580" w:type="dxa"/>
            <w:vAlign w:val="center"/>
          </w:tcPr>
          <w:p w14:paraId="73FA46CD">
            <w:pPr>
              <w:spacing w:line="240" w:lineRule="exact"/>
              <w:jc w:val="center"/>
              <w:rPr>
                <w:rFonts w:cs="Times New Roman"/>
                <w:color w:val="auto"/>
                <w:sz w:val="18"/>
                <w:szCs w:val="18"/>
                <w:highlight w:val="none"/>
              </w:rPr>
            </w:pPr>
            <w:r>
              <w:rPr>
                <w:rFonts w:hint="eastAsia" w:cs="Times New Roman"/>
                <w:color w:val="auto"/>
                <w:sz w:val="18"/>
                <w:szCs w:val="18"/>
                <w:highlight w:val="none"/>
              </w:rPr>
              <w:t>配电房按要求设置，配电房设置外开防火门</w:t>
            </w:r>
            <w:r>
              <w:rPr>
                <w:rFonts w:hint="eastAsia" w:cs="Times New Roman"/>
                <w:color w:val="auto"/>
                <w:sz w:val="18"/>
                <w:szCs w:val="18"/>
                <w:highlight w:val="none"/>
                <w:lang w:eastAsia="zh-CN"/>
              </w:rPr>
              <w:t>，</w:t>
            </w:r>
            <w:r>
              <w:rPr>
                <w:rFonts w:hint="eastAsia" w:cs="Times New Roman"/>
                <w:color w:val="auto"/>
                <w:sz w:val="18"/>
                <w:szCs w:val="18"/>
                <w:highlight w:val="none"/>
                <w:lang w:val="en-US" w:eastAsia="zh-CN"/>
              </w:rPr>
              <w:t>但</w:t>
            </w:r>
            <w:r>
              <w:rPr>
                <w:rFonts w:hint="eastAsia" w:cs="Times New Roman"/>
                <w:color w:val="auto"/>
                <w:sz w:val="18"/>
                <w:szCs w:val="18"/>
                <w:highlight w:val="none"/>
              </w:rPr>
              <w:t>防火门未设置安全警示标识</w:t>
            </w:r>
          </w:p>
        </w:tc>
        <w:tc>
          <w:tcPr>
            <w:tcW w:w="870" w:type="dxa"/>
            <w:shd w:val="clear" w:color="auto" w:fill="auto"/>
            <w:vAlign w:val="center"/>
          </w:tcPr>
          <w:p w14:paraId="2962F91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整改后</w:t>
            </w:r>
            <w:r>
              <w:rPr>
                <w:rFonts w:hint="eastAsia" w:cs="Times New Roman"/>
                <w:color w:val="auto"/>
                <w:sz w:val="18"/>
                <w:szCs w:val="18"/>
                <w:highlight w:val="none"/>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24AE465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配电系统设置安全防护装置。</w:t>
            </w:r>
          </w:p>
        </w:tc>
        <w:tc>
          <w:tcPr>
            <w:tcW w:w="1580" w:type="dxa"/>
            <w:vAlign w:val="center"/>
          </w:tcPr>
          <w:p w14:paraId="17F1721A">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设置安全防护装置</w:t>
            </w:r>
          </w:p>
        </w:tc>
        <w:tc>
          <w:tcPr>
            <w:tcW w:w="870" w:type="dxa"/>
            <w:vAlign w:val="center"/>
          </w:tcPr>
          <w:p w14:paraId="5B5EA9B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0D4D1A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highlight w:val="none"/>
              </w:rPr>
            </w:pPr>
            <w:r>
              <w:rPr>
                <w:rFonts w:hint="eastAsia" w:cs="Times New Roman"/>
                <w:color w:val="auto"/>
                <w:sz w:val="18"/>
                <w:szCs w:val="18"/>
                <w:highlight w:val="none"/>
              </w:rPr>
              <w:t>设置警示标志</w:t>
            </w:r>
          </w:p>
        </w:tc>
        <w:tc>
          <w:tcPr>
            <w:tcW w:w="870" w:type="dxa"/>
            <w:vAlign w:val="center"/>
          </w:tcPr>
          <w:p w14:paraId="7A07D9D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8529AE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highlight w:val="none"/>
              </w:rPr>
            </w:pPr>
            <w:r>
              <w:rPr>
                <w:rFonts w:hint="eastAsia" w:cs="Times New Roman"/>
                <w:color w:val="auto"/>
                <w:sz w:val="18"/>
                <w:szCs w:val="18"/>
                <w:highlight w:val="none"/>
              </w:rPr>
              <w:t>制定操作规程，按要求进行作业</w:t>
            </w:r>
          </w:p>
        </w:tc>
        <w:tc>
          <w:tcPr>
            <w:tcW w:w="870" w:type="dxa"/>
            <w:vAlign w:val="center"/>
          </w:tcPr>
          <w:p w14:paraId="6E68BA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DAC422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highlight w:val="none"/>
              </w:rPr>
            </w:pPr>
            <w:r>
              <w:rPr>
                <w:rFonts w:hint="eastAsia" w:cs="Times New Roman"/>
                <w:color w:val="auto"/>
                <w:sz w:val="18"/>
                <w:szCs w:val="18"/>
                <w:highlight w:val="none"/>
              </w:rPr>
              <w:t>进行培训</w:t>
            </w:r>
          </w:p>
        </w:tc>
        <w:tc>
          <w:tcPr>
            <w:tcW w:w="870" w:type="dxa"/>
            <w:vAlign w:val="center"/>
          </w:tcPr>
          <w:p w14:paraId="4F18433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highlight w:val="none"/>
              </w:rPr>
            </w:pPr>
            <w:r>
              <w:rPr>
                <w:rFonts w:hint="eastAsia"/>
                <w:color w:val="auto"/>
                <w:sz w:val="18"/>
                <w:szCs w:val="18"/>
                <w:highlight w:val="none"/>
              </w:rPr>
              <w:t>6</w:t>
            </w:r>
          </w:p>
        </w:tc>
        <w:tc>
          <w:tcPr>
            <w:tcW w:w="5930" w:type="dxa"/>
            <w:vAlign w:val="center"/>
          </w:tcPr>
          <w:p w14:paraId="19C064B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highlight w:val="none"/>
              </w:rPr>
            </w:pPr>
            <w:r>
              <w:rPr>
                <w:rFonts w:hint="eastAsia" w:cs="Times New Roman"/>
                <w:color w:val="auto"/>
                <w:sz w:val="18"/>
                <w:szCs w:val="18"/>
                <w:highlight w:val="none"/>
              </w:rPr>
              <w:t>穿管保护</w:t>
            </w:r>
          </w:p>
        </w:tc>
        <w:tc>
          <w:tcPr>
            <w:tcW w:w="870" w:type="dxa"/>
            <w:vAlign w:val="center"/>
          </w:tcPr>
          <w:p w14:paraId="7537418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0F9605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充</w:t>
            </w:r>
            <w:r>
              <w:rPr>
                <w:rFonts w:hint="eastAsia" w:cs="Times New Roman"/>
                <w:color w:val="auto"/>
                <w:sz w:val="18"/>
                <w:szCs w:val="18"/>
                <w:highlight w:val="none"/>
                <w:lang w:eastAsia="zh-CN"/>
              </w:rPr>
              <w:t>砂</w:t>
            </w:r>
            <w:r>
              <w:rPr>
                <w:rFonts w:hint="eastAsia" w:cs="Times New Roman"/>
                <w:color w:val="auto"/>
                <w:sz w:val="18"/>
                <w:szCs w:val="18"/>
                <w:highlight w:val="none"/>
              </w:rPr>
              <w:t>填实</w:t>
            </w:r>
          </w:p>
        </w:tc>
        <w:tc>
          <w:tcPr>
            <w:tcW w:w="870" w:type="dxa"/>
            <w:vAlign w:val="center"/>
          </w:tcPr>
          <w:p w14:paraId="5AC4F81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D3D950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highlight w:val="none"/>
              </w:rPr>
            </w:pPr>
            <w:r>
              <w:rPr>
                <w:rFonts w:hint="eastAsia" w:cs="Times New Roman"/>
                <w:color w:val="auto"/>
                <w:sz w:val="18"/>
                <w:szCs w:val="18"/>
                <w:highlight w:val="none"/>
              </w:rPr>
              <w:t>设置灭火器；电缆出入口采用防火隔板封堵</w:t>
            </w:r>
          </w:p>
        </w:tc>
        <w:tc>
          <w:tcPr>
            <w:tcW w:w="870" w:type="dxa"/>
            <w:vAlign w:val="center"/>
          </w:tcPr>
          <w:p w14:paraId="7006AC6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highlight w:val="none"/>
              </w:rPr>
            </w:pPr>
            <w:r>
              <w:rPr>
                <w:rFonts w:hint="eastAsia"/>
                <w:color w:val="auto"/>
                <w:sz w:val="18"/>
                <w:szCs w:val="18"/>
                <w:highlight w:val="none"/>
              </w:rPr>
              <w:t>9</w:t>
            </w:r>
          </w:p>
        </w:tc>
        <w:tc>
          <w:tcPr>
            <w:tcW w:w="5930" w:type="dxa"/>
            <w:vAlign w:val="center"/>
          </w:tcPr>
          <w:p w14:paraId="5DDEA6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电气安全照明及应急照明设施</w:t>
            </w:r>
          </w:p>
          <w:p w14:paraId="059F319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照明电压：照明配电箱电源电压为交流 380/220V，光源电压为交流220V。</w:t>
            </w:r>
          </w:p>
          <w:p w14:paraId="638AFBC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highlight w:val="none"/>
              </w:rPr>
            </w:pPr>
            <w:r>
              <w:rPr>
                <w:rFonts w:hint="eastAsia" w:cs="Times New Roman"/>
                <w:color w:val="auto"/>
                <w:sz w:val="18"/>
                <w:szCs w:val="18"/>
                <w:highlight w:val="none"/>
              </w:rPr>
              <w:t>照明设施符合要求</w:t>
            </w:r>
          </w:p>
        </w:tc>
        <w:tc>
          <w:tcPr>
            <w:tcW w:w="870" w:type="dxa"/>
            <w:vAlign w:val="center"/>
          </w:tcPr>
          <w:p w14:paraId="05AD3FF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highlight w:val="none"/>
              </w:rPr>
            </w:pPr>
            <w:r>
              <w:rPr>
                <w:rFonts w:hint="eastAsia"/>
                <w:color w:val="auto"/>
                <w:sz w:val="18"/>
                <w:szCs w:val="18"/>
                <w:highlight w:val="none"/>
              </w:rPr>
              <w:t>10</w:t>
            </w:r>
          </w:p>
        </w:tc>
        <w:tc>
          <w:tcPr>
            <w:tcW w:w="5930" w:type="dxa"/>
            <w:vAlign w:val="center"/>
          </w:tcPr>
          <w:p w14:paraId="158211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w:t>
            </w:r>
          </w:p>
          <w:p w14:paraId="1EB2366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紧急切断系统在下列位置设置紧急切断开关：</w:t>
            </w:r>
          </w:p>
          <w:p w14:paraId="069CCC4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2）在控制室、值班室内或站房收银台等有人员值守的位置。</w:t>
            </w:r>
          </w:p>
          <w:p w14:paraId="47DCBB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紧急切断系统只能手动复位。</w:t>
            </w:r>
          </w:p>
        </w:tc>
        <w:tc>
          <w:tcPr>
            <w:tcW w:w="1580" w:type="dxa"/>
            <w:vAlign w:val="center"/>
          </w:tcPr>
          <w:p w14:paraId="5D9B8AE5">
            <w:pPr>
              <w:spacing w:line="240" w:lineRule="exact"/>
              <w:jc w:val="center"/>
              <w:rPr>
                <w:rFonts w:cs="Times New Roman"/>
                <w:color w:val="auto"/>
                <w:sz w:val="18"/>
                <w:szCs w:val="18"/>
                <w:highlight w:val="none"/>
              </w:rPr>
            </w:pPr>
            <w:r>
              <w:rPr>
                <w:rFonts w:hint="eastAsia" w:cs="Times New Roman"/>
                <w:color w:val="auto"/>
                <w:sz w:val="18"/>
                <w:szCs w:val="18"/>
                <w:highlight w:val="none"/>
              </w:rPr>
              <w:t>设置紧急切断系统</w:t>
            </w:r>
          </w:p>
        </w:tc>
        <w:tc>
          <w:tcPr>
            <w:tcW w:w="870" w:type="dxa"/>
            <w:vAlign w:val="center"/>
          </w:tcPr>
          <w:p w14:paraId="0AB29C7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highlight w:val="none"/>
              </w:rPr>
            </w:pPr>
          </w:p>
        </w:tc>
        <w:tc>
          <w:tcPr>
            <w:tcW w:w="8380" w:type="dxa"/>
            <w:gridSpan w:val="3"/>
            <w:vAlign w:val="center"/>
          </w:tcPr>
          <w:p w14:paraId="434E7AB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 </w:t>
            </w:r>
            <w:r>
              <w:rPr>
                <w:rFonts w:hint="eastAsia" w:ascii="宋体" w:hAnsi="宋体" w:cs="宋体"/>
                <w:b/>
                <w:bCs/>
                <w:color w:val="auto"/>
                <w:sz w:val="18"/>
                <w:szCs w:val="18"/>
                <w:highlight w:val="none"/>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highlight w:val="none"/>
              </w:rPr>
            </w:pPr>
          </w:p>
        </w:tc>
        <w:tc>
          <w:tcPr>
            <w:tcW w:w="8380" w:type="dxa"/>
            <w:gridSpan w:val="3"/>
            <w:vAlign w:val="center"/>
          </w:tcPr>
          <w:p w14:paraId="0DBE120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.5.1 </w:t>
            </w:r>
            <w:r>
              <w:rPr>
                <w:rFonts w:hint="eastAsia" w:ascii="宋体" w:hAnsi="宋体" w:cs="宋体"/>
                <w:b/>
                <w:bCs/>
                <w:color w:val="auto"/>
                <w:sz w:val="18"/>
                <w:szCs w:val="18"/>
                <w:highlight w:val="none"/>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highlight w:val="none"/>
              </w:rPr>
            </w:pPr>
          </w:p>
        </w:tc>
        <w:tc>
          <w:tcPr>
            <w:tcW w:w="5930" w:type="dxa"/>
            <w:vAlign w:val="center"/>
          </w:tcPr>
          <w:p w14:paraId="09746C1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本加油站安全系统（液位监控、泄漏检测等），配置了UPS电源，当外电源中断时，UPS电源可供系统正常工作不小于60min。UPS容量为</w:t>
            </w:r>
            <w:r>
              <w:rPr>
                <w:rFonts w:hint="eastAsia" w:cs="Times New Roman"/>
                <w:color w:val="auto"/>
                <w:sz w:val="18"/>
                <w:szCs w:val="18"/>
                <w:highlight w:val="none"/>
                <w:lang w:val="en-US" w:eastAsia="zh-CN"/>
              </w:rPr>
              <w:t>1</w:t>
            </w:r>
            <w:r>
              <w:rPr>
                <w:rFonts w:hint="eastAsia" w:cs="Times New Roman"/>
                <w:color w:val="auto"/>
                <w:sz w:val="18"/>
                <w:szCs w:val="18"/>
                <w:highlight w:val="none"/>
              </w:rPr>
              <w:t>kVA。液位监控系统集中设置在站房值班室内。</w:t>
            </w:r>
          </w:p>
        </w:tc>
        <w:tc>
          <w:tcPr>
            <w:tcW w:w="1580" w:type="dxa"/>
            <w:vAlign w:val="center"/>
          </w:tcPr>
          <w:p w14:paraId="396DEA21">
            <w:pPr>
              <w:spacing w:line="240" w:lineRule="exact"/>
              <w:jc w:val="center"/>
              <w:rPr>
                <w:rFonts w:cs="Times New Roman"/>
                <w:color w:val="auto"/>
                <w:sz w:val="18"/>
                <w:szCs w:val="18"/>
                <w:highlight w:val="none"/>
              </w:rPr>
            </w:pPr>
            <w:r>
              <w:rPr>
                <w:rFonts w:hint="eastAsia" w:cs="Times New Roman"/>
                <w:color w:val="auto"/>
                <w:sz w:val="18"/>
                <w:szCs w:val="18"/>
                <w:highlight w:val="none"/>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highlight w:val="none"/>
              </w:rPr>
            </w:pPr>
          </w:p>
        </w:tc>
        <w:tc>
          <w:tcPr>
            <w:tcW w:w="8380" w:type="dxa"/>
            <w:gridSpan w:val="3"/>
            <w:vAlign w:val="center"/>
          </w:tcPr>
          <w:p w14:paraId="732FF91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.5.2 </w:t>
            </w:r>
            <w:r>
              <w:rPr>
                <w:rFonts w:hint="eastAsia" w:ascii="宋体" w:hAnsi="宋体" w:cs="宋体"/>
                <w:b/>
                <w:bCs/>
                <w:color w:val="auto"/>
                <w:sz w:val="18"/>
                <w:szCs w:val="18"/>
                <w:highlight w:val="none"/>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621888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BA1A35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7DB83436">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2640249">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50F847E">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本加油站设置了</w:t>
            </w:r>
            <w:r>
              <w:rPr>
                <w:rFonts w:hint="eastAsia" w:cs="宋体"/>
                <w:color w:val="auto"/>
                <w:sz w:val="18"/>
                <w:szCs w:val="18"/>
                <w:highlight w:val="none"/>
                <w:lang w:val="en-US" w:eastAsia="zh-CN"/>
              </w:rPr>
              <w:t>3</w:t>
            </w:r>
            <w:r>
              <w:rPr>
                <w:rFonts w:hint="eastAsia" w:cs="宋体"/>
                <w:color w:val="auto"/>
                <w:sz w:val="18"/>
                <w:szCs w:val="18"/>
                <w:highlight w:val="none"/>
              </w:rPr>
              <w:t>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8233CAF">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B347AFD">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1BF8857">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F41FD31">
            <w:pPr>
              <w:tabs>
                <w:tab w:val="right" w:pos="6124"/>
              </w:tabs>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highlight w:val="none"/>
              </w:rPr>
            </w:pPr>
            <w:r>
              <w:rPr>
                <w:rFonts w:hint="eastAsia" w:cs="宋体"/>
                <w:color w:val="auto"/>
                <w:sz w:val="18"/>
                <w:szCs w:val="18"/>
                <w:highlight w:val="none"/>
              </w:rPr>
              <w:t>自封式加油枪</w:t>
            </w:r>
          </w:p>
        </w:tc>
        <w:tc>
          <w:tcPr>
            <w:tcW w:w="870" w:type="dxa"/>
            <w:vAlign w:val="center"/>
          </w:tcPr>
          <w:p w14:paraId="68A078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highlight w:val="none"/>
              </w:rPr>
            </w:pPr>
          </w:p>
        </w:tc>
        <w:tc>
          <w:tcPr>
            <w:tcW w:w="8380" w:type="dxa"/>
            <w:gridSpan w:val="3"/>
            <w:vAlign w:val="center"/>
          </w:tcPr>
          <w:p w14:paraId="33FC07A1">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.5.</w:t>
            </w:r>
            <w:r>
              <w:rPr>
                <w:rFonts w:hint="eastAsia"/>
                <w:b/>
                <w:bCs/>
                <w:color w:val="auto"/>
                <w:sz w:val="18"/>
                <w:szCs w:val="18"/>
                <w:highlight w:val="none"/>
              </w:rPr>
              <w:t>3</w:t>
            </w:r>
            <w:r>
              <w:rPr>
                <w:b/>
                <w:bCs/>
                <w:color w:val="auto"/>
                <w:sz w:val="18"/>
                <w:szCs w:val="18"/>
                <w:highlight w:val="none"/>
              </w:rPr>
              <w:t xml:space="preserve"> </w:t>
            </w:r>
            <w:r>
              <w:rPr>
                <w:rFonts w:hint="eastAsia" w:cs="宋体"/>
                <w:b/>
                <w:bCs/>
                <w:color w:val="auto"/>
                <w:sz w:val="18"/>
                <w:szCs w:val="18"/>
                <w:highlight w:val="none"/>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2A6D59ED">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本加油站设置了视频监控系统，可监控油站各区域。</w:t>
            </w:r>
          </w:p>
          <w:p w14:paraId="3E4D002A">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本加油站共设置15台室外网络摄像机，现场摄像仪视频信号引至站房站长室内监控主机。视频监控系统配置UPS电源，容量为1kVA。系统中硬盘录像机储存时间大于30天。</w:t>
            </w:r>
          </w:p>
          <w:p w14:paraId="5A505447">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加油区罩棚安装不小于3.5m，防护等级不低于IP67级。</w:t>
            </w:r>
          </w:p>
          <w:p w14:paraId="0CEB732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站房室内设置4台摄像机和1台监视用摄像机，设于营业厅、值班室。工作人员在值班室监视，监控器画面就可以实现对罐区、加油区、站房的全天候全方位的动态监视。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按要求设置视频监控系统</w:t>
            </w:r>
          </w:p>
        </w:tc>
        <w:tc>
          <w:tcPr>
            <w:tcW w:w="870" w:type="dxa"/>
            <w:vAlign w:val="center"/>
          </w:tcPr>
          <w:p w14:paraId="01A5AA9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highlight w:val="none"/>
              </w:rPr>
            </w:pPr>
          </w:p>
        </w:tc>
        <w:tc>
          <w:tcPr>
            <w:tcW w:w="8380" w:type="dxa"/>
            <w:gridSpan w:val="3"/>
            <w:vAlign w:val="center"/>
          </w:tcPr>
          <w:p w14:paraId="7308C36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.6 </w:t>
            </w:r>
            <w:r>
              <w:rPr>
                <w:rFonts w:hint="eastAsia" w:cs="宋体"/>
                <w:b/>
                <w:bCs/>
                <w:color w:val="auto"/>
                <w:sz w:val="18"/>
                <w:szCs w:val="18"/>
                <w:highlight w:val="none"/>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7FFDDAD5">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加油区地面采用不发火花地面。</w:t>
            </w:r>
          </w:p>
        </w:tc>
        <w:tc>
          <w:tcPr>
            <w:tcW w:w="1580" w:type="dxa"/>
            <w:vAlign w:val="center"/>
          </w:tcPr>
          <w:p w14:paraId="1EE45354">
            <w:pPr>
              <w:spacing w:line="240" w:lineRule="exact"/>
              <w:jc w:val="center"/>
              <w:rPr>
                <w:rFonts w:cs="Times New Roman"/>
                <w:color w:val="auto"/>
                <w:sz w:val="18"/>
                <w:szCs w:val="18"/>
                <w:highlight w:val="none"/>
              </w:rPr>
            </w:pPr>
            <w:r>
              <w:rPr>
                <w:rFonts w:hint="eastAsia" w:cs="宋体"/>
                <w:color w:val="auto"/>
                <w:sz w:val="18"/>
                <w:szCs w:val="18"/>
                <w:highlight w:val="none"/>
              </w:rPr>
              <w:t>站内采用不发火花地面</w:t>
            </w:r>
          </w:p>
        </w:tc>
        <w:tc>
          <w:tcPr>
            <w:tcW w:w="870" w:type="dxa"/>
            <w:vAlign w:val="center"/>
          </w:tcPr>
          <w:p w14:paraId="32BFCB1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E766CA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highlight w:val="none"/>
              </w:rPr>
            </w:pPr>
            <w:r>
              <w:rPr>
                <w:rFonts w:hint="eastAsia" w:cs="Times New Roman"/>
                <w:color w:val="auto"/>
                <w:sz w:val="18"/>
                <w:szCs w:val="18"/>
                <w:highlight w:val="none"/>
              </w:rPr>
              <w:t>现场检查未种植油性植物</w:t>
            </w:r>
          </w:p>
        </w:tc>
        <w:tc>
          <w:tcPr>
            <w:tcW w:w="870" w:type="dxa"/>
            <w:vAlign w:val="center"/>
          </w:tcPr>
          <w:p w14:paraId="1FFAA11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highlight w:val="none"/>
              </w:rPr>
            </w:pPr>
          </w:p>
        </w:tc>
        <w:tc>
          <w:tcPr>
            <w:tcW w:w="8380" w:type="dxa"/>
            <w:gridSpan w:val="3"/>
            <w:vAlign w:val="center"/>
          </w:tcPr>
          <w:p w14:paraId="37F9625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w:t>
            </w:r>
            <w:r>
              <w:rPr>
                <w:rFonts w:hint="eastAsia" w:cs="宋体"/>
                <w:b/>
                <w:bCs/>
                <w:color w:val="auto"/>
                <w:sz w:val="18"/>
                <w:szCs w:val="18"/>
                <w:highlight w:val="none"/>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highlight w:val="none"/>
              </w:rPr>
            </w:pPr>
          </w:p>
        </w:tc>
        <w:tc>
          <w:tcPr>
            <w:tcW w:w="8380" w:type="dxa"/>
            <w:gridSpan w:val="3"/>
            <w:vAlign w:val="center"/>
          </w:tcPr>
          <w:p w14:paraId="3EE3D24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.7.1</w:t>
            </w:r>
            <w:r>
              <w:rPr>
                <w:rFonts w:hint="eastAsia" w:cs="宋体"/>
                <w:b/>
                <w:bCs/>
                <w:color w:val="auto"/>
                <w:sz w:val="18"/>
                <w:szCs w:val="18"/>
                <w:highlight w:val="none"/>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D7F899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防洪：加油站</w:t>
            </w:r>
            <w:r>
              <w:rPr>
                <w:rFonts w:hint="eastAsia" w:cs="Times New Roman"/>
                <w:color w:val="auto"/>
                <w:sz w:val="18"/>
                <w:szCs w:val="18"/>
                <w:highlight w:val="none"/>
                <w:lang w:eastAsia="zh-CN"/>
              </w:rPr>
              <w:t>所在</w:t>
            </w:r>
            <w:r>
              <w:rPr>
                <w:rFonts w:hint="eastAsia" w:cs="Times New Roman"/>
                <w:color w:val="auto"/>
                <w:sz w:val="18"/>
                <w:szCs w:val="18"/>
                <w:highlight w:val="none"/>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highlight w:val="none"/>
              </w:rPr>
            </w:pPr>
            <w:r>
              <w:rPr>
                <w:rFonts w:hint="eastAsia" w:cs="Times New Roman"/>
                <w:color w:val="auto"/>
                <w:sz w:val="18"/>
                <w:szCs w:val="18"/>
                <w:highlight w:val="none"/>
              </w:rPr>
              <w:t>设置排水沟和导流沟</w:t>
            </w:r>
          </w:p>
        </w:tc>
        <w:tc>
          <w:tcPr>
            <w:tcW w:w="870" w:type="dxa"/>
            <w:vAlign w:val="center"/>
          </w:tcPr>
          <w:p w14:paraId="4CC51F8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37A58967">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抗震:根据国家地震局颁布的《中国地震烈度区划图》以及该地域已有工程地质初勘资料，抗震设防烈度为6度，建构筑物设计基本地震动参数加速度值为0.05g。在抗震方面，站房采用砖混结构。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highlight w:val="none"/>
              </w:rPr>
            </w:pPr>
            <w:r>
              <w:rPr>
                <w:rFonts w:hint="eastAsia" w:cs="宋体"/>
                <w:color w:val="auto"/>
                <w:sz w:val="18"/>
                <w:szCs w:val="18"/>
                <w:highlight w:val="none"/>
              </w:rPr>
              <w:t>6度抗震</w:t>
            </w:r>
          </w:p>
        </w:tc>
        <w:tc>
          <w:tcPr>
            <w:tcW w:w="870" w:type="dxa"/>
            <w:vAlign w:val="center"/>
          </w:tcPr>
          <w:p w14:paraId="6D6B6C08">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highlight w:val="none"/>
              </w:rPr>
            </w:pPr>
          </w:p>
        </w:tc>
        <w:tc>
          <w:tcPr>
            <w:tcW w:w="8380" w:type="dxa"/>
            <w:gridSpan w:val="3"/>
            <w:vAlign w:val="center"/>
          </w:tcPr>
          <w:p w14:paraId="07A7A114">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.7.2</w:t>
            </w:r>
            <w:r>
              <w:rPr>
                <w:rFonts w:hint="eastAsia" w:cs="宋体"/>
                <w:b/>
                <w:bCs/>
                <w:color w:val="auto"/>
                <w:sz w:val="18"/>
                <w:szCs w:val="18"/>
                <w:highlight w:val="none"/>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highlight w:val="none"/>
              </w:rPr>
            </w:pPr>
            <w:r>
              <w:rPr>
                <w:color w:val="auto"/>
                <w:sz w:val="18"/>
                <w:szCs w:val="18"/>
                <w:highlight w:val="none"/>
              </w:rPr>
              <w:t>1</w:t>
            </w:r>
            <w:r>
              <w:rPr>
                <w:rFonts w:hint="eastAsia" w:cs="宋体"/>
                <w:color w:val="auto"/>
                <w:sz w:val="18"/>
                <w:szCs w:val="18"/>
                <w:highlight w:val="none"/>
              </w:rPr>
              <w:t>）防噪音设施</w:t>
            </w:r>
          </w:p>
        </w:tc>
        <w:tc>
          <w:tcPr>
            <w:tcW w:w="5930" w:type="dxa"/>
            <w:vAlign w:val="center"/>
          </w:tcPr>
          <w:p w14:paraId="5BE580E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highlight w:val="none"/>
              </w:rPr>
            </w:pPr>
            <w:r>
              <w:rPr>
                <w:rFonts w:hint="eastAsia" w:cs="宋体"/>
                <w:color w:val="auto"/>
                <w:sz w:val="18"/>
                <w:szCs w:val="18"/>
                <w:highlight w:val="none"/>
              </w:rPr>
              <w:t>站内选用低噪声、振动设备</w:t>
            </w:r>
          </w:p>
        </w:tc>
        <w:tc>
          <w:tcPr>
            <w:tcW w:w="870" w:type="dxa"/>
            <w:vAlign w:val="center"/>
          </w:tcPr>
          <w:p w14:paraId="59C8984D">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highlight w:val="none"/>
              </w:rPr>
            </w:pPr>
            <w:r>
              <w:rPr>
                <w:color w:val="auto"/>
                <w:sz w:val="18"/>
                <w:szCs w:val="18"/>
                <w:highlight w:val="none"/>
              </w:rPr>
              <w:t>2</w:t>
            </w:r>
            <w:r>
              <w:rPr>
                <w:rFonts w:hint="eastAsia" w:cs="宋体"/>
                <w:color w:val="auto"/>
                <w:sz w:val="18"/>
                <w:szCs w:val="18"/>
                <w:highlight w:val="none"/>
              </w:rPr>
              <w:t>）防护栏（网）设施</w:t>
            </w:r>
          </w:p>
        </w:tc>
        <w:tc>
          <w:tcPr>
            <w:tcW w:w="5930" w:type="dxa"/>
            <w:vAlign w:val="center"/>
          </w:tcPr>
          <w:p w14:paraId="27152129">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highlight w:val="none"/>
              </w:rPr>
            </w:pPr>
            <w:r>
              <w:rPr>
                <w:rFonts w:hint="eastAsia" w:cs="宋体"/>
                <w:color w:val="auto"/>
                <w:sz w:val="18"/>
                <w:szCs w:val="18"/>
                <w:highlight w:val="none"/>
              </w:rPr>
              <w:t>加油机两侧设有</w:t>
            </w:r>
            <w:r>
              <w:rPr>
                <w:color w:val="auto"/>
                <w:sz w:val="18"/>
                <w:szCs w:val="18"/>
                <w:highlight w:val="none"/>
              </w:rPr>
              <w:t>DN100</w:t>
            </w:r>
            <w:r>
              <w:rPr>
                <w:rFonts w:hint="eastAsia" w:cs="宋体"/>
                <w:color w:val="auto"/>
                <w:sz w:val="18"/>
                <w:szCs w:val="18"/>
                <w:highlight w:val="none"/>
              </w:rPr>
              <w:t>，高</w:t>
            </w:r>
            <w:r>
              <w:rPr>
                <w:color w:val="auto"/>
                <w:sz w:val="18"/>
                <w:szCs w:val="18"/>
                <w:highlight w:val="none"/>
              </w:rPr>
              <w:t>0.5m</w:t>
            </w:r>
            <w:r>
              <w:rPr>
                <w:rFonts w:hint="eastAsia" w:cs="宋体"/>
                <w:color w:val="auto"/>
                <w:sz w:val="18"/>
                <w:szCs w:val="18"/>
                <w:highlight w:val="none"/>
              </w:rPr>
              <w:t>防撞弯管</w:t>
            </w:r>
          </w:p>
        </w:tc>
        <w:tc>
          <w:tcPr>
            <w:tcW w:w="870" w:type="dxa"/>
            <w:vAlign w:val="center"/>
          </w:tcPr>
          <w:p w14:paraId="6036CB71">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highlight w:val="none"/>
              </w:rPr>
            </w:pPr>
            <w:r>
              <w:rPr>
                <w:color w:val="auto"/>
                <w:sz w:val="18"/>
                <w:szCs w:val="18"/>
                <w:highlight w:val="none"/>
              </w:rPr>
              <w:t>3</w:t>
            </w:r>
            <w:r>
              <w:rPr>
                <w:rFonts w:hint="eastAsia" w:cs="宋体"/>
                <w:color w:val="auto"/>
                <w:sz w:val="18"/>
                <w:szCs w:val="18"/>
                <w:highlight w:val="none"/>
              </w:rPr>
              <w:t>）安全警示标志</w:t>
            </w:r>
          </w:p>
        </w:tc>
        <w:tc>
          <w:tcPr>
            <w:tcW w:w="5930" w:type="dxa"/>
            <w:vAlign w:val="center"/>
          </w:tcPr>
          <w:p w14:paraId="19726B7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highlight w:val="none"/>
                <w:lang w:eastAsia="zh-CN"/>
              </w:rPr>
              <w:t>悬挂</w:t>
            </w:r>
            <w:r>
              <w:rPr>
                <w:rFonts w:hint="eastAsia" w:cs="Times New Roman"/>
                <w:color w:val="auto"/>
                <w:sz w:val="18"/>
                <w:szCs w:val="18"/>
                <w:highlight w:val="none"/>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highlight w:val="none"/>
              </w:rPr>
            </w:pPr>
            <w:r>
              <w:rPr>
                <w:rFonts w:hint="eastAsia" w:cs="宋体"/>
                <w:color w:val="auto"/>
                <w:sz w:val="18"/>
                <w:szCs w:val="18"/>
                <w:highlight w:val="none"/>
              </w:rPr>
              <w:t>加油站出入口，加油区设有，选用“禁止烟火</w:t>
            </w:r>
            <w:r>
              <w:rPr>
                <w:rFonts w:hint="eastAsia" w:cs="宋体"/>
                <w:color w:val="auto"/>
                <w:sz w:val="18"/>
                <w:szCs w:val="18"/>
                <w:highlight w:val="none"/>
                <w:lang w:eastAsia="zh-CN"/>
              </w:rPr>
              <w:t>”“</w:t>
            </w:r>
            <w:r>
              <w:rPr>
                <w:rFonts w:hint="eastAsia" w:cs="宋体"/>
                <w:color w:val="auto"/>
                <w:sz w:val="18"/>
                <w:szCs w:val="18"/>
                <w:highlight w:val="none"/>
              </w:rPr>
              <w:t>禁止使用手机</w:t>
            </w:r>
            <w:r>
              <w:rPr>
                <w:rFonts w:hint="eastAsia" w:cs="宋体"/>
                <w:color w:val="auto"/>
                <w:sz w:val="18"/>
                <w:szCs w:val="18"/>
                <w:highlight w:val="none"/>
                <w:lang w:eastAsia="zh-CN"/>
              </w:rPr>
              <w:t>”“</w:t>
            </w:r>
            <w:r>
              <w:rPr>
                <w:rFonts w:hint="eastAsia" w:cs="宋体"/>
                <w:color w:val="auto"/>
                <w:sz w:val="18"/>
                <w:szCs w:val="18"/>
                <w:highlight w:val="none"/>
              </w:rPr>
              <w:t>禁止鸣笛”等安全标志</w:t>
            </w:r>
          </w:p>
        </w:tc>
        <w:tc>
          <w:tcPr>
            <w:tcW w:w="870" w:type="dxa"/>
            <w:vAlign w:val="center"/>
          </w:tcPr>
          <w:p w14:paraId="6F61BAC2">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highlight w:val="none"/>
              </w:rPr>
            </w:pPr>
          </w:p>
        </w:tc>
        <w:tc>
          <w:tcPr>
            <w:tcW w:w="5930" w:type="dxa"/>
            <w:vAlign w:val="center"/>
          </w:tcPr>
          <w:p w14:paraId="3052729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以下情况设“禁止标志”：</w:t>
            </w:r>
          </w:p>
          <w:p w14:paraId="04F710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①项目出入口，加油区、油罐区等爆炸危险区内，选用“禁止烟火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w:t>
            </w:r>
            <w:r>
              <w:rPr>
                <w:rFonts w:hint="eastAsia" w:cs="Times New Roman"/>
                <w:color w:val="auto"/>
                <w:sz w:val="18"/>
                <w:szCs w:val="18"/>
                <w:highlight w:val="none"/>
                <w:lang w:eastAsia="zh-CN"/>
              </w:rPr>
              <w:t>”“</w:t>
            </w:r>
            <w:r>
              <w:rPr>
                <w:rFonts w:hint="eastAsia" w:cs="Times New Roman"/>
                <w:color w:val="auto"/>
                <w:sz w:val="18"/>
                <w:szCs w:val="18"/>
                <w:highlight w:val="none"/>
              </w:rPr>
              <w:t>禁止鸣笛”标志；</w:t>
            </w:r>
          </w:p>
          <w:p w14:paraId="0086F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②作业场所选用“禁放易燃品</w:t>
            </w:r>
            <w:r>
              <w:rPr>
                <w:rFonts w:hint="eastAsia" w:cs="Times New Roman"/>
                <w:color w:val="auto"/>
                <w:sz w:val="18"/>
                <w:szCs w:val="18"/>
                <w:highlight w:val="none"/>
                <w:lang w:eastAsia="zh-CN"/>
              </w:rPr>
              <w:t>”“</w:t>
            </w:r>
            <w:r>
              <w:rPr>
                <w:rFonts w:hint="eastAsia" w:cs="Times New Roman"/>
                <w:color w:val="auto"/>
                <w:sz w:val="18"/>
                <w:szCs w:val="18"/>
                <w:highlight w:val="none"/>
              </w:rPr>
              <w:t>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禁止使用手机”标志；</w:t>
            </w:r>
          </w:p>
          <w:p w14:paraId="77514A7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③可能产生静电会导致火灾爆炸危险场所，选用“禁止穿化纤服</w:t>
            </w:r>
            <w:r>
              <w:rPr>
                <w:rFonts w:hint="eastAsia" w:cs="Times New Roman"/>
                <w:color w:val="auto"/>
                <w:sz w:val="18"/>
                <w:szCs w:val="18"/>
                <w:highlight w:val="none"/>
                <w:lang w:eastAsia="zh-CN"/>
              </w:rPr>
              <w:t>”“</w:t>
            </w:r>
            <w:r>
              <w:rPr>
                <w:rFonts w:hint="eastAsia" w:cs="Times New Roman"/>
                <w:color w:val="auto"/>
                <w:sz w:val="18"/>
                <w:szCs w:val="18"/>
                <w:highlight w:val="none"/>
              </w:rPr>
              <w:t>禁止穿带钉鞋”标志。</w:t>
            </w:r>
          </w:p>
          <w:p w14:paraId="2FF07AA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6E2A89D1">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highlight w:val="none"/>
              </w:rPr>
            </w:pPr>
          </w:p>
        </w:tc>
        <w:tc>
          <w:tcPr>
            <w:tcW w:w="5930" w:type="dxa"/>
            <w:vAlign w:val="center"/>
          </w:tcPr>
          <w:p w14:paraId="48BEBC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以下情况设“警告标志”：</w:t>
            </w:r>
          </w:p>
          <w:p w14:paraId="5030334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①加油作业区，选用“注意安全</w:t>
            </w:r>
            <w:r>
              <w:rPr>
                <w:rFonts w:hint="eastAsia" w:cs="Times New Roman"/>
                <w:color w:val="auto"/>
                <w:sz w:val="18"/>
                <w:szCs w:val="18"/>
                <w:highlight w:val="none"/>
                <w:lang w:eastAsia="zh-CN"/>
              </w:rPr>
              <w:t>”“</w:t>
            </w:r>
            <w:r>
              <w:rPr>
                <w:rFonts w:hint="eastAsia" w:cs="Times New Roman"/>
                <w:color w:val="auto"/>
                <w:sz w:val="18"/>
                <w:szCs w:val="18"/>
                <w:highlight w:val="none"/>
              </w:rPr>
              <w:t>当心爆炸</w:t>
            </w:r>
            <w:r>
              <w:rPr>
                <w:rFonts w:hint="eastAsia" w:cs="Times New Roman"/>
                <w:color w:val="auto"/>
                <w:sz w:val="18"/>
                <w:szCs w:val="18"/>
                <w:highlight w:val="none"/>
                <w:lang w:eastAsia="zh-CN"/>
              </w:rPr>
              <w:t>”“</w:t>
            </w:r>
            <w:r>
              <w:rPr>
                <w:rFonts w:hint="eastAsia" w:cs="Times New Roman"/>
                <w:color w:val="auto"/>
                <w:sz w:val="18"/>
                <w:szCs w:val="18"/>
                <w:highlight w:val="none"/>
              </w:rPr>
              <w:t>当心火灾</w:t>
            </w:r>
            <w:r>
              <w:rPr>
                <w:rFonts w:hint="eastAsia" w:cs="Times New Roman"/>
                <w:color w:val="auto"/>
                <w:sz w:val="18"/>
                <w:szCs w:val="18"/>
                <w:highlight w:val="none"/>
                <w:lang w:eastAsia="zh-CN"/>
              </w:rPr>
              <w:t>”“</w:t>
            </w:r>
            <w:r>
              <w:rPr>
                <w:rFonts w:hint="eastAsia" w:cs="Times New Roman"/>
                <w:color w:val="auto"/>
                <w:sz w:val="18"/>
                <w:szCs w:val="18"/>
                <w:highlight w:val="none"/>
              </w:rPr>
              <w:t>当心车辆”标志；</w:t>
            </w:r>
          </w:p>
          <w:p w14:paraId="167F3E6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01E66CB9">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highlight w:val="none"/>
              </w:rPr>
            </w:pPr>
          </w:p>
        </w:tc>
        <w:tc>
          <w:tcPr>
            <w:tcW w:w="5930" w:type="dxa"/>
            <w:vAlign w:val="center"/>
          </w:tcPr>
          <w:p w14:paraId="265C2E1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加油站出入口放置“入口</w:t>
            </w:r>
            <w:r>
              <w:rPr>
                <w:rFonts w:hint="eastAsia" w:cs="Times New Roman"/>
                <w:color w:val="auto"/>
                <w:sz w:val="18"/>
                <w:szCs w:val="18"/>
                <w:highlight w:val="none"/>
                <w:lang w:eastAsia="zh-CN"/>
              </w:rPr>
              <w:t>”“</w:t>
            </w:r>
            <w:r>
              <w:rPr>
                <w:rFonts w:hint="eastAsia" w:cs="Times New Roman"/>
                <w:color w:val="auto"/>
                <w:sz w:val="18"/>
                <w:szCs w:val="18"/>
                <w:highlight w:val="none"/>
              </w:rPr>
              <w:t>出口” 、“限速”标志；</w:t>
            </w:r>
          </w:p>
        </w:tc>
        <w:tc>
          <w:tcPr>
            <w:tcW w:w="1580" w:type="dxa"/>
            <w:vAlign w:val="center"/>
          </w:tcPr>
          <w:p w14:paraId="686E730A">
            <w:pPr>
              <w:spacing w:line="240" w:lineRule="exact"/>
              <w:jc w:val="center"/>
              <w:rPr>
                <w:rFonts w:cs="宋体"/>
                <w:color w:val="auto"/>
                <w:sz w:val="18"/>
                <w:szCs w:val="18"/>
                <w:highlight w:val="none"/>
              </w:rPr>
            </w:pPr>
            <w:r>
              <w:rPr>
                <w:rFonts w:hint="eastAsia" w:cs="宋体"/>
                <w:color w:val="auto"/>
                <w:sz w:val="18"/>
                <w:szCs w:val="18"/>
                <w:highlight w:val="none"/>
              </w:rPr>
              <w:t>出入口设置限速标志</w:t>
            </w:r>
          </w:p>
        </w:tc>
        <w:tc>
          <w:tcPr>
            <w:tcW w:w="870" w:type="dxa"/>
            <w:vAlign w:val="center"/>
          </w:tcPr>
          <w:p w14:paraId="77809834">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highlight w:val="none"/>
              </w:rPr>
            </w:pPr>
          </w:p>
        </w:tc>
        <w:tc>
          <w:tcPr>
            <w:tcW w:w="5930" w:type="dxa"/>
            <w:vAlign w:val="center"/>
          </w:tcPr>
          <w:p w14:paraId="78DA9A8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highlight w:val="none"/>
              </w:rPr>
            </w:pPr>
            <w:r>
              <w:rPr>
                <w:rFonts w:hint="eastAsia" w:cs="宋体"/>
                <w:color w:val="auto"/>
                <w:sz w:val="18"/>
                <w:szCs w:val="18"/>
                <w:highlight w:val="none"/>
              </w:rPr>
              <w:t>设置安全标识等</w:t>
            </w:r>
          </w:p>
        </w:tc>
        <w:tc>
          <w:tcPr>
            <w:tcW w:w="870" w:type="dxa"/>
            <w:vAlign w:val="center"/>
          </w:tcPr>
          <w:p w14:paraId="5FDB5BF7">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highlight w:val="none"/>
              </w:rPr>
            </w:pPr>
          </w:p>
        </w:tc>
        <w:tc>
          <w:tcPr>
            <w:tcW w:w="5930" w:type="dxa"/>
            <w:vAlign w:val="center"/>
          </w:tcPr>
          <w:p w14:paraId="02DD00C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highlight w:val="none"/>
              </w:rPr>
            </w:pPr>
            <w:r>
              <w:rPr>
                <w:rFonts w:hint="eastAsia" w:cs="宋体"/>
                <w:color w:val="auto"/>
                <w:sz w:val="18"/>
                <w:szCs w:val="18"/>
                <w:highlight w:val="none"/>
              </w:rPr>
              <w:t>设置危害告知牌</w:t>
            </w:r>
          </w:p>
        </w:tc>
        <w:tc>
          <w:tcPr>
            <w:tcW w:w="870" w:type="dxa"/>
            <w:vAlign w:val="center"/>
          </w:tcPr>
          <w:p w14:paraId="50F1D636">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bookmarkEnd w:id="202"/>
    </w:tbl>
    <w:p w14:paraId="1A1C1945">
      <w:pPr>
        <w:spacing w:line="600" w:lineRule="exact"/>
        <w:ind w:firstLine="560" w:firstLineChars="200"/>
        <w:rPr>
          <w:rFonts w:ascii="Times New Roman" w:hAnsi="Times New Roman" w:cs="宋体"/>
          <w:color w:val="auto"/>
          <w:sz w:val="28"/>
          <w:szCs w:val="28"/>
          <w:highlight w:val="none"/>
        </w:rPr>
      </w:pPr>
      <w:bookmarkStart w:id="203" w:name="_Toc18913"/>
      <w:bookmarkStart w:id="204" w:name="_Toc19100"/>
      <w:bookmarkStart w:id="205" w:name="_Toc343692275"/>
      <w:bookmarkStart w:id="206" w:name="_Toc9371"/>
      <w:bookmarkStart w:id="207" w:name="_Toc16646"/>
      <w:r>
        <w:rPr>
          <w:rFonts w:hint="eastAsia" w:ascii="Times New Roman" w:hAnsi="Times New Roman" w:cs="宋体"/>
          <w:color w:val="auto"/>
          <w:sz w:val="28"/>
          <w:szCs w:val="28"/>
          <w:highlight w:val="none"/>
        </w:rPr>
        <w:t>综上所述，诊断及整改设计中的安全对策措施</w:t>
      </w:r>
      <w:r>
        <w:rPr>
          <w:rFonts w:hint="eastAsia" w:ascii="Times New Roman" w:hAnsi="Times New Roman" w:cs="宋体"/>
          <w:color w:val="auto"/>
          <w:sz w:val="28"/>
          <w:szCs w:val="28"/>
          <w:highlight w:val="none"/>
          <w:lang w:val="en-US" w:eastAsia="zh-CN"/>
        </w:rPr>
        <w:t>1项未</w:t>
      </w:r>
      <w:r>
        <w:rPr>
          <w:rFonts w:hint="eastAsia" w:ascii="Times New Roman" w:hAnsi="Times New Roman" w:cs="宋体"/>
          <w:color w:val="auto"/>
          <w:sz w:val="28"/>
          <w:szCs w:val="28"/>
          <w:highlight w:val="none"/>
        </w:rPr>
        <w:t>落实</w:t>
      </w:r>
      <w:r>
        <w:rPr>
          <w:rFonts w:hint="eastAsia" w:ascii="Times New Roman" w:hAnsi="Times New Roman" w:cs="宋体"/>
          <w:color w:val="auto"/>
          <w:sz w:val="28"/>
          <w:szCs w:val="28"/>
          <w:highlight w:val="none"/>
          <w:lang w:eastAsia="zh-CN"/>
        </w:rPr>
        <w:t>，防火门未设置安全警示标识</w:t>
      </w:r>
      <w:r>
        <w:rPr>
          <w:rFonts w:hint="eastAsia" w:ascii="Times New Roman" w:hAnsi="Times New Roman" w:cs="宋体"/>
          <w:color w:val="auto"/>
          <w:sz w:val="28"/>
          <w:szCs w:val="28"/>
          <w:highlight w:val="none"/>
        </w:rPr>
        <w:t>。</w:t>
      </w:r>
    </w:p>
    <w:p w14:paraId="6C079258">
      <w:pPr>
        <w:pStyle w:val="3"/>
        <w:spacing w:line="560" w:lineRule="exact"/>
        <w:jc w:val="center"/>
        <w:rPr>
          <w:rFonts w:ascii="宋体" w:hAnsi="宋体"/>
          <w:color w:val="auto"/>
          <w:sz w:val="30"/>
          <w:szCs w:val="30"/>
          <w:highlight w:val="none"/>
        </w:rPr>
      </w:pPr>
      <w:bookmarkStart w:id="208" w:name="_Toc20457"/>
      <w:r>
        <w:rPr>
          <w:rFonts w:ascii="宋体" w:hAnsi="宋体"/>
          <w:color w:val="auto"/>
          <w:sz w:val="30"/>
          <w:szCs w:val="30"/>
          <w:highlight w:val="none"/>
        </w:rPr>
        <w:t>5.</w:t>
      </w:r>
      <w:r>
        <w:rPr>
          <w:rFonts w:hint="eastAsia" w:ascii="宋体" w:hAnsi="宋体"/>
          <w:color w:val="auto"/>
          <w:sz w:val="30"/>
          <w:szCs w:val="30"/>
          <w:highlight w:val="none"/>
        </w:rPr>
        <w:t>16</w:t>
      </w:r>
      <w:r>
        <w:rPr>
          <w:rFonts w:ascii="宋体" w:hAnsi="宋体"/>
          <w:color w:val="auto"/>
          <w:sz w:val="30"/>
          <w:szCs w:val="30"/>
          <w:highlight w:val="none"/>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highlight w:val="none"/>
          <w:shd w:val="clear" w:color="auto" w:fill="FFFFFF"/>
        </w:rPr>
      </w:pPr>
      <w:r>
        <w:rPr>
          <w:rFonts w:hint="eastAsia" w:ascii="Times New Roman" w:hAnsi="Times New Roman" w:cs="Times New Roman"/>
          <w:color w:val="auto"/>
          <w:spacing w:val="-6"/>
          <w:sz w:val="28"/>
          <w:szCs w:val="28"/>
          <w:highlight w:val="none"/>
          <w:shd w:val="clear" w:color="auto" w:fill="FFFFFF"/>
        </w:rPr>
        <w:t>根据《江西省应急管理厅办公室关于印发</w:t>
      </w:r>
      <w:r>
        <w:rPr>
          <w:rFonts w:hint="eastAsia" w:ascii="Times New Roman" w:hAnsi="Times New Roman" w:cs="Times New Roman"/>
          <w:color w:val="auto"/>
          <w:spacing w:val="-6"/>
          <w:sz w:val="28"/>
          <w:szCs w:val="28"/>
          <w:highlight w:val="none"/>
          <w:shd w:val="clear" w:color="auto" w:fill="FFFFFF"/>
          <w:lang w:eastAsia="zh-CN"/>
        </w:rPr>
        <w:t>〈</w:t>
      </w:r>
      <w:r>
        <w:rPr>
          <w:rFonts w:hint="eastAsia" w:ascii="Times New Roman" w:hAnsi="Times New Roman" w:cs="Times New Roman"/>
          <w:color w:val="auto"/>
          <w:spacing w:val="-6"/>
          <w:sz w:val="28"/>
          <w:szCs w:val="28"/>
          <w:highlight w:val="none"/>
          <w:shd w:val="clear" w:color="auto" w:fill="FFFFFF"/>
        </w:rPr>
        <w:t>加油站安全检查表</w:t>
      </w:r>
      <w:r>
        <w:rPr>
          <w:rFonts w:hint="eastAsia" w:ascii="Times New Roman" w:hAnsi="Times New Roman" w:cs="Times New Roman"/>
          <w:color w:val="auto"/>
          <w:spacing w:val="-6"/>
          <w:sz w:val="28"/>
          <w:szCs w:val="28"/>
          <w:highlight w:val="none"/>
          <w:shd w:val="clear" w:color="auto" w:fill="FFFFFF"/>
          <w:lang w:eastAsia="zh-CN"/>
        </w:rPr>
        <w:t>〉的通知》</w:t>
      </w:r>
      <w:r>
        <w:rPr>
          <w:rFonts w:hint="eastAsia" w:ascii="Times New Roman" w:hAnsi="Times New Roman" w:cs="Times New Roman"/>
          <w:color w:val="auto"/>
          <w:spacing w:val="-6"/>
          <w:sz w:val="28"/>
          <w:szCs w:val="28"/>
          <w:highlight w:val="none"/>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证照文书</w:t>
            </w:r>
          </w:p>
          <w:p w14:paraId="07F1D70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w:t>
            </w:r>
            <w:r>
              <w:rPr>
                <w:rFonts w:hint="eastAsia" w:ascii="Times New Roman" w:hAnsi="Times New Roman" w:cs="Times New Roman"/>
                <w:color w:val="auto"/>
                <w:highlight w:val="none"/>
              </w:rPr>
              <w:t>安全领导小组</w:t>
            </w:r>
            <w:r>
              <w:rPr>
                <w:rFonts w:hint="eastAsia" w:ascii="Times New Roman" w:hAnsi="Times New Roman" w:eastAsia="宋" w:cs="Times New Roman"/>
                <w:bCs/>
                <w:color w:val="auto"/>
                <w:highlight w:val="none"/>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安全生产</w:t>
            </w:r>
          </w:p>
          <w:p w14:paraId="58D1B92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（1）是否建立安全生产责任制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lang w:eastAsia="zh-CN"/>
              </w:rPr>
              <w:t>建立</w:t>
            </w:r>
            <w:r>
              <w:rPr>
                <w:rFonts w:hint="eastAsia" w:ascii="Times New Roman" w:hAnsi="Times New Roman" w:eastAsia="宋" w:cs="Times New Roman"/>
                <w:bCs/>
                <w:color w:val="auto"/>
                <w:highlight w:val="none"/>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highlight w:val="none"/>
              </w:rPr>
            </w:pPr>
            <w:r>
              <w:rPr>
                <w:rFonts w:hint="eastAsia" w:ascii="宋体" w:hAnsi="宋体" w:cs="宋体"/>
                <w:color w:val="auto"/>
                <w:kern w:val="0"/>
                <w:highlight w:val="none"/>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
                <w:color w:val="auto"/>
                <w:highlight w:val="none"/>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w:t>
            </w:r>
          </w:p>
          <w:p w14:paraId="51868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不在</w:t>
            </w:r>
            <w:r>
              <w:rPr>
                <w:rFonts w:hint="eastAsia" w:ascii="Times New Roman" w:hAnsi="Times New Roman" w:eastAsia="宋" w:cs="Times New Roman"/>
                <w:bCs/>
                <w:color w:val="auto"/>
                <w:highlight w:val="none"/>
              </w:rPr>
              <w:t>城市建成区</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（6）与加油站无关的可燃介质管道是否</w:t>
            </w:r>
            <w:r>
              <w:rPr>
                <w:rFonts w:hint="eastAsia" w:ascii="Times New Roman" w:hAnsi="Times New Roman" w:eastAsia="宋" w:cs="Times New Roman"/>
                <w:bCs/>
                <w:color w:val="auto"/>
                <w:highlight w:val="none"/>
                <w:lang w:eastAsia="zh-CN"/>
              </w:rPr>
              <w:t>穿越</w:t>
            </w:r>
            <w:r>
              <w:rPr>
                <w:rFonts w:hint="eastAsia" w:ascii="Times New Roman" w:hAnsi="Times New Roman" w:eastAsia="宋" w:cs="Times New Roman"/>
                <w:bCs/>
                <w:color w:val="auto"/>
                <w:highlight w:val="none"/>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（8）加油工艺设施与站外建、构筑物之间</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-表4.0.9中安全间距的1.5倍</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,且大于25m时，可设置非实体围墙。面向车</w:t>
            </w:r>
            <w:r>
              <w:rPr>
                <w:rFonts w:hint="eastAsia" w:ascii="Times New Roman" w:hAnsi="Times New Roman" w:eastAsia="宋" w:cs="Times New Roman"/>
                <w:bCs/>
                <w:color w:val="auto"/>
                <w:highlight w:val="none"/>
                <w:lang w:eastAsia="zh-CN"/>
              </w:rPr>
              <w:t>入口</w:t>
            </w:r>
            <w:r>
              <w:rPr>
                <w:rFonts w:hint="eastAsia" w:ascii="Times New Roman" w:hAnsi="Times New Roman" w:eastAsia="宋" w:cs="Times New Roman"/>
                <w:bCs/>
                <w:color w:val="auto"/>
                <w:highlight w:val="none"/>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 站区内停车位和道路应符合下列规定：</w:t>
            </w:r>
          </w:p>
          <w:p w14:paraId="4C89C6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2.站内的道路转弯半径应按行驶车型确定，且不宜小于9m。</w:t>
            </w:r>
          </w:p>
          <w:p w14:paraId="5A9A839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3.站内停车位应为平坡，道路坡度不应大于8%，且宜坡向站外。</w:t>
            </w:r>
          </w:p>
          <w:p w14:paraId="5BDD76D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无</w:t>
            </w:r>
            <w:r>
              <w:rPr>
                <w:rFonts w:hint="eastAsia" w:ascii="Times New Roman" w:hAnsi="Times New Roman" w:eastAsia="宋" w:cs="Times New Roman"/>
                <w:bCs/>
                <w:color w:val="auto"/>
                <w:highlight w:val="none"/>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配电室在作业区外，位于</w:t>
            </w:r>
            <w:r>
              <w:rPr>
                <w:rFonts w:hint="eastAsia" w:ascii="Times New Roman" w:hAnsi="Times New Roman" w:eastAsia="宋" w:cs="Times New Roman"/>
                <w:bCs/>
                <w:color w:val="auto"/>
                <w:highlight w:val="none"/>
                <w:lang w:val="en-US" w:eastAsia="zh-CN"/>
              </w:rPr>
              <w:t>站房</w:t>
            </w:r>
            <w:r>
              <w:rPr>
                <w:rFonts w:hint="eastAsia" w:ascii="Times New Roman" w:hAnsi="Times New Roman" w:eastAsia="宋" w:cs="Times New Roman"/>
                <w:bCs/>
                <w:color w:val="auto"/>
                <w:highlight w:val="none"/>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（14）加油作业区内不得有“明火地点”或“散发火花地点</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highlight w:val="none"/>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建筑与</w:t>
            </w:r>
          </w:p>
          <w:p w14:paraId="145B57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（6）</w:t>
            </w:r>
            <w:r>
              <w:rPr>
                <w:rFonts w:hint="eastAsia" w:ascii="Times New Roman" w:hAnsi="Times New Roman" w:eastAsia="宋" w:cs="Times New Roman"/>
                <w:bCs/>
                <w:color w:val="auto"/>
                <w:highlight w:val="none"/>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（7</w:t>
            </w:r>
            <w:r>
              <w:rPr>
                <w:rFonts w:hint="eastAsia" w:ascii="Times New Roman" w:hAnsi="Times New Roman" w:eastAsia="宋" w:cs="Times New Roman"/>
                <w:bCs/>
                <w:color w:val="auto"/>
                <w:kern w:val="0"/>
                <w:highlight w:val="none"/>
                <w:lang w:eastAsia="zh-CN"/>
              </w:rPr>
              <w:t>）</w:t>
            </w:r>
            <w:r>
              <w:rPr>
                <w:rFonts w:hint="eastAsia" w:ascii="Times New Roman" w:hAnsi="Times New Roman" w:eastAsia="宋" w:cs="Times New Roman"/>
                <w:bCs/>
                <w:color w:val="auto"/>
                <w:kern w:val="0"/>
                <w:highlight w:val="none"/>
              </w:rPr>
              <w:t>加油场地</w:t>
            </w:r>
            <w:r>
              <w:rPr>
                <w:rFonts w:hint="eastAsia" w:ascii="Times New Roman" w:hAnsi="Times New Roman" w:eastAsia="宋" w:cs="Times New Roman"/>
                <w:bCs/>
                <w:color w:val="auto"/>
                <w:highlight w:val="none"/>
              </w:rPr>
              <w:t>宜设罩棚</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罩棚应采用非燃烧材料建造</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（1）除</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SF双层储罐</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有泄漏检测仪</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（6）油罐的人孔，应设操作井</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油罐操作井口应有防雨盖板</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（8）以潜油泵供油的加油机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（15）汽油罐与柴油罐的通气管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通气管装设有阻火器，汽油通气管还设置呼吸阀</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但</w:t>
            </w:r>
            <w:r>
              <w:rPr>
                <w:rFonts w:hint="eastAsia" w:ascii="Times New Roman" w:hAnsi="Times New Roman" w:eastAsia="宋" w:cs="Times New Roman"/>
                <w:bCs/>
                <w:color w:val="auto"/>
                <w:highlight w:val="none"/>
              </w:rPr>
              <w:t>加油站油罐通气管标识标注错误</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（20）</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11"/>
                <w:highlight w:val="none"/>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spacing w:val="-2"/>
                <w:highlight w:val="none"/>
              </w:rPr>
              <w:t>用外电源有困难时，加油站可设置小型内燃发电机组，内燃机的排烟管口</w:t>
            </w:r>
            <w:r>
              <w:rPr>
                <w:rFonts w:hint="eastAsia" w:ascii="Times New Roman" w:hAnsi="Times New Roman" w:eastAsia="宋" w:cs="Times New Roman"/>
                <w:bCs/>
                <w:color w:val="auto"/>
                <w:spacing w:val="-2"/>
                <w:highlight w:val="none"/>
                <w:lang w:eastAsia="zh-CN"/>
              </w:rPr>
              <w:t>，</w:t>
            </w:r>
            <w:r>
              <w:rPr>
                <w:rFonts w:hint="eastAsia" w:ascii="Times New Roman" w:hAnsi="Times New Roman" w:eastAsia="宋" w:cs="Times New Roman"/>
                <w:bCs/>
                <w:color w:val="auto"/>
                <w:spacing w:val="-2"/>
                <w:highlight w:val="none"/>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rPr>
              <w:t>发电机</w:t>
            </w:r>
            <w:r>
              <w:rPr>
                <w:rFonts w:hint="eastAsia" w:ascii="Times New Roman" w:hAnsi="Times New Roman" w:eastAsia="宋" w:cs="Times New Roman"/>
                <w:bCs/>
                <w:color w:val="auto"/>
                <w:highlight w:val="none"/>
                <w:lang w:val="en-US" w:eastAsia="zh-CN"/>
              </w:rPr>
              <w:t>安装阻火器</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（3）内燃机的排烟口高出地面4.5m以下时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lang w:val="en-US" w:eastAsia="zh-CN"/>
              </w:rPr>
              <w:t>符合</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highlight w:val="none"/>
              </w:rPr>
            </w:pPr>
            <w:r>
              <w:rPr>
                <w:rFonts w:hint="eastAsia" w:ascii="Times New Roman" w:hAnsi="Times New Roman" w:eastAsia="宋" w:cs="Times New Roman"/>
                <w:bCs/>
                <w:color w:val="auto"/>
                <w:spacing w:val="-6"/>
                <w:highlight w:val="none"/>
              </w:rPr>
              <w:t>（16）紧急切断系统应至少在下列位置设置紧急切断开关：</w:t>
            </w:r>
          </w:p>
          <w:p w14:paraId="1BE874B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（17）工艺设备的电源和工艺管道上的紧急切断阀</w:t>
            </w:r>
            <w:r>
              <w:rPr>
                <w:rFonts w:hint="eastAsia" w:ascii="Times New Roman" w:hAnsi="Times New Roman" w:eastAsia="宋" w:cs="Times New Roman"/>
                <w:bCs/>
                <w:color w:val="auto"/>
                <w:highlight w:val="none"/>
                <w:lang w:eastAsia="zh-CN"/>
              </w:rPr>
              <w:t>应</w:t>
            </w:r>
            <w:r>
              <w:rPr>
                <w:rFonts w:hint="eastAsia" w:ascii="Times New Roman" w:hAnsi="Times New Roman" w:eastAsia="宋" w:cs="Times New Roman"/>
                <w:bCs/>
                <w:color w:val="auto"/>
                <w:highlight w:val="none"/>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（2）地下储罐应设不小于35kg推车式干粉灭火器1个。当两种介质储罐之间的距离超过15m时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（3）一、二级加油站应配置灭火毯5块，沙子2m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。三级加油站应配置灭火毯不少于2块</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（9）是否按要求进行消防设施、器材管理</w:t>
            </w:r>
          </w:p>
          <w:p w14:paraId="162BB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按要求设置灭火器、灭火毯、</w:t>
            </w:r>
            <w:r>
              <w:rPr>
                <w:rFonts w:hint="eastAsia" w:ascii="Times New Roman" w:hAnsi="Times New Roman" w:eastAsia="宋" w:cs="Times New Roman"/>
                <w:bCs/>
                <w:color w:val="auto"/>
                <w:highlight w:val="none"/>
                <w:lang w:eastAsia="zh-CN"/>
              </w:rPr>
              <w:t>消防砂</w:t>
            </w:r>
            <w:r>
              <w:rPr>
                <w:rFonts w:hint="eastAsia" w:ascii="Times New Roman" w:hAnsi="Times New Roman" w:eastAsia="宋" w:cs="Times New Roman"/>
                <w:bCs/>
                <w:color w:val="auto"/>
                <w:highlight w:val="none"/>
              </w:rPr>
              <w:t>等</w:t>
            </w:r>
            <w:r>
              <w:rPr>
                <w:rFonts w:hint="eastAsia" w:ascii="Times New Roman" w:hAnsi="Times New Roman" w:eastAsia="宋" w:cs="Times New Roman"/>
                <w:bCs/>
                <w:color w:val="auto"/>
                <w:highlight w:val="none"/>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（3）加油区、油罐区应有“禁止吸烟</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禁止打手机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柴油发电机室内缺少柴油安全周知卡，未配置防泄漏应急物资（吸油毡、吸附棉、防溢流放流设施）</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（1）企业经营进、销台账的明细、随货同行单（明确车牌号、提货人、开票人、时间地点、货品数量和质量，可</w:t>
            </w:r>
            <w:r>
              <w:rPr>
                <w:rFonts w:hint="eastAsia" w:ascii="Times New Roman" w:hAnsi="Times New Roman" w:eastAsia="宋" w:cs="Times New Roman"/>
                <w:bCs/>
                <w:color w:val="auto"/>
                <w:highlight w:val="none"/>
                <w:lang w:eastAsia="zh-CN"/>
              </w:rPr>
              <w:t>溯源</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bl>
    <w:p w14:paraId="73C85F4B">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评价结果：加油站安全检查表涉及131项检查内容，</w:t>
      </w:r>
      <w:r>
        <w:rPr>
          <w:rFonts w:hint="eastAsia" w:ascii="Times New Roman" w:hAnsi="Times New Roman" w:cs="Times New Roman"/>
          <w:color w:val="auto"/>
          <w:sz w:val="28"/>
          <w:szCs w:val="28"/>
          <w:highlight w:val="none"/>
          <w:lang w:val="en-US" w:eastAsia="zh-CN"/>
        </w:rPr>
        <w:t>2</w:t>
      </w:r>
      <w:r>
        <w:rPr>
          <w:rFonts w:hint="eastAsia" w:ascii="Times New Roman" w:hAnsi="Times New Roman" w:cs="Times New Roman"/>
          <w:color w:val="auto"/>
          <w:sz w:val="28"/>
          <w:szCs w:val="28"/>
          <w:highlight w:val="none"/>
        </w:rPr>
        <w:t>项不符合要求，</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lang w:eastAsia="zh-CN"/>
        </w:rPr>
        <w:t>）加油站油罐通气管标识标注错误；</w:t>
      </w:r>
      <w:r>
        <w:rPr>
          <w:rFonts w:hint="eastAsia" w:ascii="Times New Roman" w:hAnsi="Times New Roman" w:cs="Times New Roman"/>
          <w:color w:val="auto"/>
          <w:sz w:val="28"/>
          <w:szCs w:val="28"/>
          <w:highlight w:val="none"/>
          <w:lang w:val="en-US" w:eastAsia="zh-CN"/>
        </w:rPr>
        <w:t>2）柴油发电机室内缺少柴油安全周知卡，未配置防泄漏应急物资（吸油毡、吸附棉、防溢流放流设施）。</w:t>
      </w:r>
    </w:p>
    <w:p w14:paraId="0B946A44">
      <w:pPr>
        <w:keepLines/>
        <w:pageBreakBefore/>
        <w:widowControl/>
        <w:spacing w:line="600" w:lineRule="exact"/>
        <w:jc w:val="left"/>
        <w:outlineLvl w:val="0"/>
        <w:rPr>
          <w:rFonts w:ascii="Times New Roman" w:hAnsi="Times New Roman" w:cs="Times New Roman"/>
          <w:color w:val="auto"/>
          <w:sz w:val="28"/>
          <w:szCs w:val="28"/>
          <w:highlight w:val="none"/>
        </w:rPr>
      </w:pPr>
      <w:bookmarkStart w:id="209" w:name="_Toc17297"/>
      <w:r>
        <w:rPr>
          <w:rFonts w:hint="eastAsia" w:ascii="Times New Roman" w:hAnsi="Times New Roman" w:cs="Times New Roman"/>
          <w:b/>
          <w:bCs/>
          <w:color w:val="auto"/>
          <w:kern w:val="36"/>
          <w:sz w:val="32"/>
          <w:szCs w:val="32"/>
          <w:highlight w:val="none"/>
        </w:rPr>
        <w:t>6</w:t>
      </w:r>
      <w:r>
        <w:rPr>
          <w:rFonts w:ascii="Times New Roman" w:hAnsi="Times New Roman" w:cs="Times New Roman"/>
          <w:b/>
          <w:bCs/>
          <w:color w:val="auto"/>
          <w:kern w:val="36"/>
          <w:sz w:val="32"/>
          <w:szCs w:val="32"/>
          <w:highlight w:val="none"/>
        </w:rPr>
        <w:t xml:space="preserve"> </w:t>
      </w:r>
      <w:r>
        <w:rPr>
          <w:rFonts w:hint="eastAsia" w:ascii="Times New Roman" w:hAnsi="Times New Roman" w:cs="宋体"/>
          <w:b/>
          <w:bCs/>
          <w:color w:val="auto"/>
          <w:kern w:val="36"/>
          <w:sz w:val="32"/>
          <w:szCs w:val="32"/>
          <w:highlight w:val="none"/>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highlight w:val="none"/>
        </w:rPr>
      </w:pPr>
      <w:bookmarkStart w:id="210" w:name="_Toc1745"/>
      <w:bookmarkStart w:id="211" w:name="_Toc20468434"/>
      <w:bookmarkStart w:id="212" w:name="_Toc427852841"/>
      <w:bookmarkStart w:id="213" w:name="_Toc14112"/>
      <w:bookmarkStart w:id="214" w:name="_Toc471312555"/>
      <w:bookmarkStart w:id="215" w:name="_Toc9008"/>
      <w:bookmarkStart w:id="216" w:name="_Toc30200"/>
      <w:r>
        <w:rPr>
          <w:rFonts w:hint="eastAsia" w:ascii="Times New Roman" w:hAnsi="Times New Roman" w:cs="Times New Roman"/>
          <w:b/>
          <w:bCs/>
          <w:color w:val="auto"/>
          <w:sz w:val="28"/>
          <w:szCs w:val="28"/>
          <w:highlight w:val="none"/>
        </w:rPr>
        <w:t>6.1</w:t>
      </w:r>
      <w:r>
        <w:rPr>
          <w:rFonts w:ascii="Times New Roman" w:hAnsi="Times New Roman" w:cs="Times New Roman"/>
          <w:b/>
          <w:bCs/>
          <w:color w:val="auto"/>
          <w:sz w:val="28"/>
          <w:szCs w:val="28"/>
          <w:highlight w:val="none"/>
        </w:rPr>
        <w:t xml:space="preserve"> </w:t>
      </w:r>
      <w:r>
        <w:rPr>
          <w:rFonts w:hint="eastAsia" w:ascii="宋体" w:hAnsi="宋体" w:cs="宋体"/>
          <w:b/>
          <w:bCs/>
          <w:color w:val="auto"/>
          <w:sz w:val="28"/>
          <w:szCs w:val="28"/>
          <w:highlight w:val="none"/>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对照《中国石化销售股份有限公司江西赣州</w:t>
      </w:r>
      <w:r>
        <w:rPr>
          <w:rFonts w:hint="eastAsia" w:ascii="Times New Roman" w:hAnsi="Times New Roman" w:cs="Times New Roman"/>
          <w:color w:val="auto"/>
          <w:sz w:val="28"/>
          <w:szCs w:val="28"/>
          <w:highlight w:val="none"/>
          <w:lang w:eastAsia="zh-CN"/>
        </w:rPr>
        <w:t>龙南石油分公司大广高速渡江服务区西加油站</w:t>
      </w:r>
      <w:r>
        <w:rPr>
          <w:rFonts w:hint="eastAsia" w:ascii="Times New Roman" w:hAnsi="Times New Roman" w:cs="Times New Roman"/>
          <w:color w:val="auto"/>
          <w:sz w:val="28"/>
          <w:szCs w:val="28"/>
          <w:highlight w:val="none"/>
        </w:rPr>
        <w:t>安全设施符合性诊断及整改设计》</w:t>
      </w:r>
      <w:r>
        <w:rPr>
          <w:rFonts w:hint="eastAsia" w:ascii="Times New Roman" w:hAnsi="Times New Roman" w:cs="Times New Roman"/>
          <w:color w:val="auto"/>
          <w:sz w:val="28"/>
          <w:szCs w:val="28"/>
          <w:highlight w:val="none"/>
          <w:lang w:eastAsia="zh-CN"/>
        </w:rPr>
        <w:t>，在</w:t>
      </w:r>
      <w:r>
        <w:rPr>
          <w:rFonts w:hint="eastAsia" w:ascii="Times New Roman" w:hAnsi="Times New Roman" w:cs="宋体"/>
          <w:color w:val="auto"/>
          <w:sz w:val="28"/>
          <w:szCs w:val="28"/>
          <w:highlight w:val="none"/>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6.1</w:t>
      </w:r>
      <w:r>
        <w:rPr>
          <w:rFonts w:ascii="Times New Roman" w:hAnsi="Times New Roman" w:cs="Times New Roman"/>
          <w:color w:val="auto"/>
          <w:sz w:val="24"/>
          <w:szCs w:val="24"/>
          <w:highlight w:val="none"/>
        </w:rPr>
        <w:t xml:space="preserve">-1 </w:t>
      </w:r>
      <w:r>
        <w:rPr>
          <w:rFonts w:hint="eastAsia" w:ascii="Times New Roman" w:hAnsi="Times New Roman" w:cs="宋体"/>
          <w:color w:val="auto"/>
          <w:sz w:val="24"/>
          <w:szCs w:val="24"/>
          <w:highlight w:val="none"/>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6CF9862E">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诊断发现的问题</w:t>
            </w:r>
          </w:p>
        </w:tc>
        <w:tc>
          <w:tcPr>
            <w:tcW w:w="3783" w:type="dxa"/>
            <w:vAlign w:val="center"/>
          </w:tcPr>
          <w:p w14:paraId="7CCD5051">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1</w:t>
            </w:r>
          </w:p>
        </w:tc>
        <w:tc>
          <w:tcPr>
            <w:tcW w:w="4594" w:type="dxa"/>
            <w:shd w:val="clear" w:color="auto" w:fill="auto"/>
            <w:vAlign w:val="top"/>
          </w:tcPr>
          <w:p w14:paraId="2716D445">
            <w:pPr>
              <w:rPr>
                <w:rFonts w:ascii="宋体" w:hAnsi="宋体" w:cs="宋体"/>
                <w:color w:val="auto"/>
                <w:highlight w:val="none"/>
              </w:rPr>
            </w:pPr>
            <w:r>
              <w:rPr>
                <w:rFonts w:hint="default" w:cstheme="minorBidi"/>
                <w:color w:val="auto"/>
                <w:kern w:val="2"/>
                <w:sz w:val="21"/>
                <w:szCs w:val="24"/>
                <w:highlight w:val="none"/>
                <w:vertAlign w:val="baseline"/>
                <w:lang w:val="en-US" w:eastAsia="zh-CN" w:bidi="ar-SA"/>
              </w:rPr>
              <w:t>缺少图纸，如工艺流程图、消防器材布置图、视频监控、爆炸危险区域划分图等图纸。</w:t>
            </w:r>
          </w:p>
        </w:tc>
        <w:tc>
          <w:tcPr>
            <w:tcW w:w="3783" w:type="dxa"/>
            <w:shd w:val="clear" w:color="auto" w:fill="auto"/>
            <w:vAlign w:val="top"/>
          </w:tcPr>
          <w:p w14:paraId="2B429001">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《中国石化销售股份有限公司江西赣州龙南石油分公司大广高速渡江服务区西加油站安全设施符合性诊断及整改设计》已补充</w:t>
            </w:r>
          </w:p>
        </w:tc>
      </w:tr>
      <w:tr w14:paraId="45CB6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1A46FC8">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47CB8770">
            <w:pPr>
              <w:rPr>
                <w:rFonts w:hint="eastAsia" w:ascii="宋体" w:hAnsi="宋体" w:cs="宋体"/>
                <w:color w:val="auto"/>
                <w:highlight w:val="none"/>
              </w:rPr>
            </w:pPr>
            <w:r>
              <w:rPr>
                <w:rFonts w:hint="eastAsia" w:cstheme="minorBidi"/>
                <w:color w:val="auto"/>
                <w:kern w:val="2"/>
                <w:sz w:val="21"/>
                <w:szCs w:val="24"/>
                <w:highlight w:val="none"/>
                <w:vertAlign w:val="baseline"/>
                <w:lang w:val="en-US" w:eastAsia="zh-CN" w:bidi="ar-SA"/>
              </w:rPr>
              <w:t>配电间、发电机房未设置防火门</w:t>
            </w:r>
          </w:p>
        </w:tc>
        <w:tc>
          <w:tcPr>
            <w:tcW w:w="3783" w:type="dxa"/>
            <w:shd w:val="clear" w:color="auto" w:fill="auto"/>
            <w:vAlign w:val="top"/>
          </w:tcPr>
          <w:p w14:paraId="321FF45E">
            <w:pPr>
              <w:rPr>
                <w:rFonts w:hint="eastAsia" w:ascii="宋体" w:hAnsi="宋体" w:cs="宋体"/>
                <w:color w:val="auto"/>
                <w:highlight w:val="none"/>
              </w:rPr>
            </w:pPr>
            <w:r>
              <w:rPr>
                <w:rFonts w:hint="eastAsia" w:cstheme="minorBidi"/>
                <w:color w:val="auto"/>
                <w:kern w:val="2"/>
                <w:sz w:val="21"/>
                <w:szCs w:val="24"/>
                <w:highlight w:val="none"/>
                <w:vertAlign w:val="baseline"/>
                <w:lang w:val="en-US" w:eastAsia="zh-CN" w:bidi="ar-SA"/>
              </w:rPr>
              <w:t>将原有普通门更换成甲级外开防火门</w:t>
            </w:r>
          </w:p>
        </w:tc>
      </w:tr>
      <w:tr w14:paraId="45604B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754C236D">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w:t>
            </w:r>
          </w:p>
        </w:tc>
        <w:tc>
          <w:tcPr>
            <w:tcW w:w="4594" w:type="dxa"/>
            <w:shd w:val="clear" w:color="auto" w:fill="auto"/>
            <w:vAlign w:val="top"/>
          </w:tcPr>
          <w:p w14:paraId="7C2DD2F9">
            <w:pPr>
              <w:rPr>
                <w:rFonts w:hint="eastAsia" w:cstheme="minorBidi"/>
                <w:color w:val="auto"/>
                <w:kern w:val="2"/>
                <w:sz w:val="21"/>
                <w:szCs w:val="24"/>
                <w:highlight w:val="none"/>
                <w:vertAlign w:val="baseline"/>
                <w:lang w:val="en-US" w:eastAsia="zh-CN" w:bidi="ar-SA"/>
              </w:rPr>
            </w:pPr>
            <w:r>
              <w:rPr>
                <w:rFonts w:hint="eastAsia" w:cstheme="minorBidi"/>
                <w:color w:val="auto"/>
                <w:kern w:val="2"/>
                <w:sz w:val="21"/>
                <w:szCs w:val="24"/>
                <w:highlight w:val="none"/>
                <w:vertAlign w:val="baseline"/>
                <w:lang w:val="en-US" w:eastAsia="zh-CN" w:bidi="ar-SA"/>
              </w:rPr>
              <w:t>加油站埋地加油管道采用单层无缝钢管。</w:t>
            </w:r>
          </w:p>
        </w:tc>
        <w:tc>
          <w:tcPr>
            <w:tcW w:w="3783" w:type="dxa"/>
            <w:shd w:val="clear" w:color="auto" w:fill="auto"/>
            <w:vAlign w:val="top"/>
          </w:tcPr>
          <w:p w14:paraId="277826C2">
            <w:pPr>
              <w:rPr>
                <w:rFonts w:hint="eastAsia" w:cstheme="minorBidi"/>
                <w:color w:val="auto"/>
                <w:kern w:val="2"/>
                <w:sz w:val="21"/>
                <w:szCs w:val="24"/>
                <w:highlight w:val="none"/>
                <w:lang w:val="en-US" w:eastAsia="zh-CN" w:bidi="ar-SA"/>
              </w:rPr>
            </w:pPr>
            <w:r>
              <w:rPr>
                <w:rFonts w:hint="eastAsia" w:cstheme="minorBidi"/>
                <w:color w:val="auto"/>
                <w:kern w:val="2"/>
                <w:sz w:val="21"/>
                <w:szCs w:val="24"/>
                <w:highlight w:val="none"/>
                <w:vertAlign w:val="baseline"/>
                <w:lang w:val="en-US" w:eastAsia="zh-CN" w:bidi="ar-SA"/>
              </w:rPr>
              <w:t>根据《汽车加油加气加氢站技术标准》GB50156-2021第 6.5.7 条“既有加油站油罐和油管需要更新改造时，应符合本标准第 6.5.1 条~ 第 6.5.6 条”。该加油站为既有加油站，待后期加油站进行主要设备设施更新改造时一并将站内埋地加油管道整改为双层管道并在管道最低点设置检漏点。</w:t>
            </w:r>
          </w:p>
        </w:tc>
      </w:tr>
      <w:tr w14:paraId="581ED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5C424060">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4</w:t>
            </w:r>
          </w:p>
        </w:tc>
        <w:tc>
          <w:tcPr>
            <w:tcW w:w="4594" w:type="dxa"/>
            <w:shd w:val="clear" w:color="auto" w:fill="auto"/>
            <w:vAlign w:val="center"/>
          </w:tcPr>
          <w:p w14:paraId="614E70FB">
            <w:pPr>
              <w:rPr>
                <w:rFonts w:hint="default" w:ascii="宋体" w:hAnsi="宋体" w:cs="宋体"/>
                <w:i w:val="0"/>
                <w:iCs w:val="0"/>
                <w:color w:val="auto"/>
                <w:kern w:val="2"/>
                <w:sz w:val="21"/>
                <w:szCs w:val="21"/>
                <w:highlight w:val="none"/>
                <w:u w:val="none"/>
                <w:lang w:val="en-US" w:eastAsia="zh-CN" w:bidi="ar-SA"/>
              </w:rPr>
            </w:pPr>
            <w:r>
              <w:rPr>
                <w:rFonts w:hint="default" w:cstheme="minorBidi"/>
                <w:color w:val="auto"/>
                <w:kern w:val="2"/>
                <w:sz w:val="21"/>
                <w:szCs w:val="24"/>
                <w:highlight w:val="none"/>
                <w:vertAlign w:val="baseline"/>
                <w:lang w:val="en-US" w:eastAsia="zh-CN" w:bidi="ar-SA"/>
              </w:rPr>
              <w:t>现场发现防爆手电筒不足，且无手持式 可燃气体检测仪，不符合要求。</w:t>
            </w:r>
          </w:p>
        </w:tc>
        <w:tc>
          <w:tcPr>
            <w:tcW w:w="3783" w:type="dxa"/>
            <w:shd w:val="clear" w:color="auto" w:fill="auto"/>
            <w:vAlign w:val="center"/>
          </w:tcPr>
          <w:p w14:paraId="14D50E44">
            <w:pPr>
              <w:rPr>
                <w:rFonts w:hint="eastAsia" w:ascii="宋体" w:hAnsi="宋体" w:cs="宋体"/>
                <w:i w:val="0"/>
                <w:iCs w:val="0"/>
                <w:color w:val="auto"/>
                <w:kern w:val="2"/>
                <w:sz w:val="21"/>
                <w:szCs w:val="21"/>
                <w:highlight w:val="none"/>
                <w:u w:val="none"/>
                <w:lang w:val="en-US" w:eastAsia="zh-CN" w:bidi="ar-SA"/>
              </w:rPr>
            </w:pPr>
            <w:r>
              <w:rPr>
                <w:rFonts w:hint="eastAsia" w:cstheme="minorBidi"/>
                <w:color w:val="auto"/>
                <w:kern w:val="2"/>
                <w:sz w:val="21"/>
                <w:szCs w:val="24"/>
                <w:highlight w:val="none"/>
                <w:vertAlign w:val="baseline"/>
                <w:lang w:val="en-US" w:eastAsia="zh-CN" w:bidi="ar-SA"/>
              </w:rPr>
              <w:t>配置 3 个防爆手电筒，1 个手持式可燃气体检测仪。</w:t>
            </w:r>
          </w:p>
        </w:tc>
      </w:tr>
    </w:tbl>
    <w:p w14:paraId="169AE8B5">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龙南石油分公司大广高速渡江服务区西加油站</w:t>
      </w:r>
      <w:r>
        <w:rPr>
          <w:rFonts w:hint="eastAsia" w:ascii="Times New Roman" w:hAnsi="Times New Roman" w:cs="宋体"/>
          <w:color w:val="auto"/>
          <w:sz w:val="28"/>
          <w:szCs w:val="28"/>
          <w:highlight w:val="none"/>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highlight w:val="none"/>
        </w:rPr>
      </w:pPr>
      <w:bookmarkStart w:id="217" w:name="_Toc6941"/>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2</w:t>
      </w:r>
      <w:r>
        <w:rPr>
          <w:rFonts w:hint="eastAsia" w:ascii="Times New Roman" w:hAnsi="Times New Roman" w:cs="宋体"/>
          <w:b/>
          <w:bCs/>
          <w:color w:val="auto"/>
          <w:sz w:val="28"/>
          <w:szCs w:val="28"/>
          <w:highlight w:val="none"/>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依据有关法规、标准的要求，评价组对加油站进行了现场核查，检查中发现的隐患</w:t>
      </w:r>
      <w:r>
        <w:rPr>
          <w:rFonts w:hint="eastAsia" w:ascii="Times New Roman" w:hAnsi="Times New Roman" w:cs="宋体"/>
          <w:color w:val="auto"/>
          <w:sz w:val="28"/>
          <w:szCs w:val="28"/>
          <w:highlight w:val="none"/>
          <w:lang w:eastAsia="zh-CN"/>
        </w:rPr>
        <w:t>如下</w:t>
      </w:r>
      <w:r>
        <w:rPr>
          <w:rFonts w:hint="eastAsia" w:ascii="Times New Roman" w:hAnsi="Times New Roman" w:cs="宋体"/>
          <w:color w:val="auto"/>
          <w:sz w:val="28"/>
          <w:szCs w:val="28"/>
          <w:highlight w:val="none"/>
        </w:rPr>
        <w:t>表</w:t>
      </w:r>
      <w:r>
        <w:rPr>
          <w:rFonts w:hint="eastAsia" w:ascii="Times New Roman" w:hAnsi="Times New Roman" w:cs="Times New Roman"/>
          <w:color w:val="auto"/>
          <w:sz w:val="28"/>
          <w:szCs w:val="28"/>
          <w:highlight w:val="none"/>
        </w:rPr>
        <w:t>6.2</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所示：</w:t>
      </w:r>
    </w:p>
    <w:p w14:paraId="61E9790A">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17F8F67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现场存在问题</w:t>
            </w:r>
          </w:p>
        </w:tc>
        <w:tc>
          <w:tcPr>
            <w:tcW w:w="3783" w:type="dxa"/>
            <w:vAlign w:val="center"/>
          </w:tcPr>
          <w:p w14:paraId="3DE98DAC">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594" w:type="dxa"/>
            <w:shd w:val="clear" w:color="auto" w:fill="auto"/>
            <w:vAlign w:val="top"/>
          </w:tcPr>
          <w:p w14:paraId="360ACDD6">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防火门未设置安全警示标识</w:t>
            </w:r>
          </w:p>
        </w:tc>
        <w:tc>
          <w:tcPr>
            <w:tcW w:w="3783" w:type="dxa"/>
            <w:shd w:val="clear" w:color="auto" w:fill="auto"/>
            <w:vAlign w:val="top"/>
          </w:tcPr>
          <w:p w14:paraId="426A97BF">
            <w:pPr>
              <w:rPr>
                <w:rFonts w:ascii="宋体" w:hAnsi="宋体" w:cs="Times New Roman"/>
                <w:color w:val="auto"/>
                <w:kern w:val="0"/>
                <w:sz w:val="24"/>
                <w:szCs w:val="24"/>
                <w:highlight w:val="none"/>
              </w:rPr>
            </w:pPr>
            <w:r>
              <w:rPr>
                <w:rFonts w:hint="eastAsia" w:cstheme="minorBidi"/>
                <w:color w:val="auto"/>
                <w:kern w:val="2"/>
                <w:sz w:val="21"/>
                <w:szCs w:val="24"/>
                <w:highlight w:val="none"/>
                <w:vertAlign w:val="baseline"/>
                <w:lang w:val="en-US" w:eastAsia="zh-CN" w:bidi="ar-SA"/>
              </w:rPr>
              <w:t>防火门设置安全警示标识</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highlight w:val="none"/>
                <w:lang w:val="en-US" w:eastAsia="zh-CN"/>
              </w:rPr>
            </w:pPr>
            <w:bookmarkStart w:id="218" w:name="_Toc20468435"/>
            <w:bookmarkStart w:id="219" w:name="_Toc9821"/>
            <w:bookmarkStart w:id="220" w:name="_Toc30063"/>
            <w:r>
              <w:rPr>
                <w:rFonts w:hint="eastAsia" w:ascii="Times New Roman" w:hAnsi="Times New Roman" w:cs="Times New Roman"/>
                <w:color w:val="auto"/>
                <w:highlight w:val="none"/>
                <w:lang w:val="en-US" w:eastAsia="zh-CN"/>
              </w:rPr>
              <w:t>2</w:t>
            </w:r>
          </w:p>
        </w:tc>
        <w:tc>
          <w:tcPr>
            <w:tcW w:w="4594" w:type="dxa"/>
            <w:shd w:val="clear" w:color="auto" w:fill="auto"/>
            <w:vAlign w:val="center"/>
          </w:tcPr>
          <w:p w14:paraId="47C5E1FD">
            <w:pPr>
              <w:keepNext w:val="0"/>
              <w:keepLines w:val="0"/>
              <w:widowControl/>
              <w:suppressLineNumbers w:val="0"/>
              <w:jc w:val="both"/>
              <w:textAlignment w:val="center"/>
              <w:rPr>
                <w:rFonts w:hint="eastAsia" w:ascii="宋体" w:hAnsi="宋体" w:cs="宋体"/>
                <w:color w:val="auto"/>
                <w:kern w:val="0"/>
                <w:highlight w:val="none"/>
                <w:lang w:bidi="ar"/>
              </w:rPr>
            </w:pPr>
            <w:r>
              <w:rPr>
                <w:rFonts w:hint="default" w:ascii="宋体" w:hAnsi="宋体" w:cs="宋体"/>
                <w:i w:val="0"/>
                <w:iCs w:val="0"/>
                <w:color w:val="auto"/>
                <w:kern w:val="2"/>
                <w:sz w:val="21"/>
                <w:szCs w:val="21"/>
                <w:highlight w:val="none"/>
                <w:u w:val="none"/>
                <w:lang w:val="en-US" w:eastAsia="zh-CN" w:bidi="ar-SA"/>
              </w:rPr>
              <w:t>加油站油罐</w:t>
            </w:r>
            <w:r>
              <w:rPr>
                <w:rFonts w:hint="eastAsia" w:ascii="宋体" w:hAnsi="宋体" w:cs="宋体"/>
                <w:i w:val="0"/>
                <w:iCs w:val="0"/>
                <w:color w:val="auto"/>
                <w:kern w:val="2"/>
                <w:sz w:val="21"/>
                <w:szCs w:val="21"/>
                <w:highlight w:val="none"/>
                <w:u w:val="none"/>
                <w:lang w:val="en-US" w:eastAsia="zh-CN" w:bidi="ar-SA"/>
              </w:rPr>
              <w:t>汽油</w:t>
            </w:r>
            <w:r>
              <w:rPr>
                <w:rFonts w:hint="default" w:ascii="宋体" w:hAnsi="宋体" w:cs="宋体"/>
                <w:i w:val="0"/>
                <w:iCs w:val="0"/>
                <w:color w:val="auto"/>
                <w:kern w:val="2"/>
                <w:sz w:val="21"/>
                <w:szCs w:val="21"/>
                <w:highlight w:val="none"/>
                <w:u w:val="none"/>
                <w:lang w:val="en-US" w:eastAsia="zh-CN" w:bidi="ar-SA"/>
              </w:rPr>
              <w:t>通气管标识标注错误</w:t>
            </w:r>
          </w:p>
        </w:tc>
        <w:tc>
          <w:tcPr>
            <w:tcW w:w="3783" w:type="dxa"/>
            <w:shd w:val="clear" w:color="auto" w:fill="auto"/>
            <w:vAlign w:val="center"/>
          </w:tcPr>
          <w:p w14:paraId="4081B0BB">
            <w:pPr>
              <w:keepNext w:val="0"/>
              <w:keepLines w:val="0"/>
              <w:widowControl/>
              <w:suppressLineNumbers w:val="0"/>
              <w:jc w:val="both"/>
              <w:textAlignment w:val="center"/>
              <w:rPr>
                <w:rFonts w:hint="eastAsia" w:ascii="宋体" w:hAnsi="宋体" w:cs="宋体"/>
                <w:color w:val="auto"/>
                <w:highlight w:val="none"/>
              </w:rPr>
            </w:pPr>
            <w:r>
              <w:rPr>
                <w:rFonts w:hint="eastAsia" w:ascii="宋体" w:hAnsi="宋体" w:cs="宋体"/>
                <w:i w:val="0"/>
                <w:iCs w:val="0"/>
                <w:color w:val="auto"/>
                <w:kern w:val="2"/>
                <w:sz w:val="21"/>
                <w:szCs w:val="21"/>
                <w:highlight w:val="none"/>
                <w:u w:val="none"/>
                <w:lang w:val="en-US" w:eastAsia="zh-CN" w:bidi="ar-SA"/>
              </w:rPr>
              <w:t>张贴对应汽油/柴油通气管专用标识</w:t>
            </w:r>
          </w:p>
        </w:tc>
      </w:tr>
      <w:tr w14:paraId="6B858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679562A">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w:t>
            </w:r>
          </w:p>
        </w:tc>
        <w:tc>
          <w:tcPr>
            <w:tcW w:w="4594" w:type="dxa"/>
            <w:shd w:val="clear" w:color="auto" w:fill="auto"/>
            <w:vAlign w:val="top"/>
          </w:tcPr>
          <w:p w14:paraId="4239CD90">
            <w:pPr>
              <w:rPr>
                <w:rFonts w:hint="eastAsia"/>
                <w:color w:val="auto"/>
                <w:highlight w:val="none"/>
                <w:vertAlign w:val="baseline"/>
              </w:rPr>
            </w:pPr>
            <w:r>
              <w:rPr>
                <w:rFonts w:hint="eastAsia"/>
                <w:color w:val="auto"/>
                <w:highlight w:val="none"/>
                <w:vertAlign w:val="baseline"/>
                <w:lang w:val="en-US" w:eastAsia="zh-CN"/>
              </w:rPr>
              <w:t>柴油发电机室内缺少柴油安全周知卡，未配置防泄漏应急物资（吸油毡、吸附棉、防溢流放流设施）</w:t>
            </w:r>
          </w:p>
        </w:tc>
        <w:tc>
          <w:tcPr>
            <w:tcW w:w="3783" w:type="dxa"/>
            <w:shd w:val="clear" w:color="auto" w:fill="auto"/>
            <w:vAlign w:val="top"/>
          </w:tcPr>
          <w:p w14:paraId="3533DCC6">
            <w:pPr>
              <w:rPr>
                <w:rFonts w:hint="eastAsia"/>
                <w:color w:val="auto"/>
                <w:highlight w:val="none"/>
                <w:vertAlign w:val="baseline"/>
              </w:rPr>
            </w:pPr>
            <w:r>
              <w:rPr>
                <w:rFonts w:hint="eastAsia"/>
                <w:color w:val="auto"/>
                <w:highlight w:val="none"/>
                <w:vertAlign w:val="baseline"/>
                <w:lang w:val="en-US" w:eastAsia="zh-CN"/>
              </w:rPr>
              <w:t>柴油发电机室内补充柴油安全周知卡，配置防泄漏应急物资（如：吸油毡、吸附棉、防溢流放流设施）</w:t>
            </w:r>
          </w:p>
        </w:tc>
      </w:tr>
    </w:tbl>
    <w:p w14:paraId="4D6EC2A5">
      <w:pPr>
        <w:outlineLvl w:val="1"/>
        <w:rPr>
          <w:rFonts w:ascii="Times New Roman" w:hAnsi="Times New Roman" w:cs="Times New Roman"/>
          <w:b/>
          <w:bCs/>
          <w:color w:val="auto"/>
          <w:sz w:val="28"/>
          <w:szCs w:val="28"/>
          <w:highlight w:val="none"/>
        </w:rPr>
      </w:pPr>
      <w:bookmarkStart w:id="221" w:name="_Toc23043"/>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3</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整改</w:t>
      </w:r>
      <w:bookmarkEnd w:id="218"/>
      <w:r>
        <w:rPr>
          <w:rFonts w:hint="eastAsia" w:ascii="Times New Roman" w:hAnsi="Times New Roman" w:cs="宋体"/>
          <w:b/>
          <w:bCs/>
          <w:color w:val="auto"/>
          <w:sz w:val="28"/>
          <w:szCs w:val="28"/>
          <w:highlight w:val="none"/>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龙南石油分公司大广高速渡江服务区西加油站</w:t>
      </w:r>
      <w:r>
        <w:rPr>
          <w:rFonts w:hint="eastAsia" w:ascii="Times New Roman" w:hAnsi="Times New Roman" w:cs="宋体"/>
          <w:color w:val="auto"/>
          <w:sz w:val="28"/>
          <w:szCs w:val="28"/>
          <w:highlight w:val="none"/>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highlight w:val="none"/>
        </w:rPr>
      </w:pPr>
      <w:bookmarkStart w:id="222" w:name="_Toc10275"/>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4</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建议补充的安全对策措施</w:t>
      </w:r>
      <w:bookmarkEnd w:id="222"/>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按《危险化学品经营许可证管理办法</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江西省安全生产条例》的要求进一步完善安全生产规章制度。</w:t>
      </w:r>
      <w:r>
        <w:rPr>
          <w:rFonts w:ascii="Times New Roman" w:hAnsi="Times New Roman" w:cs="Times New Roman"/>
          <w:color w:val="auto"/>
          <w:sz w:val="28"/>
          <w:szCs w:val="28"/>
          <w:highlight w:val="none"/>
        </w:rPr>
        <w:t>建议进一步加强安全管理工作，</w:t>
      </w:r>
      <w:r>
        <w:rPr>
          <w:rFonts w:hint="eastAsia" w:ascii="Times New Roman" w:hAnsi="Times New Roman" w:cs="Times New Roman"/>
          <w:color w:val="auto"/>
          <w:sz w:val="28"/>
          <w:szCs w:val="28"/>
          <w:highlight w:val="none"/>
        </w:rPr>
        <w:t>注重安全教育培训，</w:t>
      </w:r>
      <w:r>
        <w:rPr>
          <w:rFonts w:ascii="Times New Roman" w:hAnsi="Times New Roman" w:cs="Times New Roman"/>
          <w:color w:val="auto"/>
          <w:sz w:val="28"/>
          <w:szCs w:val="28"/>
          <w:highlight w:val="none"/>
        </w:rPr>
        <w:t>认真落实安全管理制度</w:t>
      </w:r>
      <w:r>
        <w:rPr>
          <w:rFonts w:hint="eastAsia" w:ascii="Times New Roman" w:hAnsi="Times New Roman" w:cs="Times New Roman"/>
          <w:color w:val="auto"/>
          <w:sz w:val="28"/>
          <w:szCs w:val="28"/>
          <w:highlight w:val="none"/>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严格执行规章制度和操作规程，防止事故发生</w:t>
      </w:r>
      <w:r>
        <w:rPr>
          <w:rFonts w:hint="eastAsia" w:ascii="Times New Roman" w:hAnsi="Times New Roman" w:cs="Times New Roman"/>
          <w:color w:val="auto"/>
          <w:sz w:val="28"/>
          <w:szCs w:val="28"/>
          <w:highlight w:val="none"/>
        </w:rPr>
        <w:t>。</w:t>
      </w:r>
    </w:p>
    <w:p w14:paraId="0F895602">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加强现场管理工作，</w:t>
      </w:r>
      <w:r>
        <w:rPr>
          <w:rFonts w:hint="eastAsia" w:ascii="Times New Roman" w:hAnsi="Times New Roman" w:cs="Times New Roman"/>
          <w:color w:val="auto"/>
          <w:sz w:val="28"/>
          <w:szCs w:val="28"/>
          <w:highlight w:val="none"/>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定期对员工进行消防知识培训，</w:t>
      </w:r>
      <w:r>
        <w:rPr>
          <w:rFonts w:hint="eastAsia" w:ascii="Times New Roman" w:hAnsi="Times New Roman" w:cs="Times New Roman"/>
          <w:color w:val="auto"/>
          <w:sz w:val="28"/>
          <w:szCs w:val="28"/>
          <w:highlight w:val="none"/>
        </w:rPr>
        <w:t>使从业人员</w:t>
      </w:r>
      <w:r>
        <w:rPr>
          <w:rFonts w:hint="eastAsia" w:ascii="Times New Roman" w:hAnsi="Times New Roman" w:cs="Times New Roman"/>
          <w:color w:val="auto"/>
          <w:sz w:val="28"/>
          <w:szCs w:val="28"/>
          <w:highlight w:val="none"/>
          <w:lang w:eastAsia="zh-CN"/>
        </w:rPr>
        <w:t>熟悉</w:t>
      </w:r>
      <w:r>
        <w:rPr>
          <w:rFonts w:hint="eastAsia" w:ascii="Times New Roman" w:hAnsi="Times New Roman" w:cs="Times New Roman"/>
          <w:color w:val="auto"/>
          <w:sz w:val="28"/>
          <w:szCs w:val="28"/>
          <w:highlight w:val="none"/>
        </w:rPr>
        <w:t>本岗位危险因素，熟练掌握</w:t>
      </w:r>
      <w:r>
        <w:rPr>
          <w:rFonts w:ascii="Times New Roman" w:hAnsi="Times New Roman" w:cs="Times New Roman"/>
          <w:color w:val="auto"/>
          <w:sz w:val="28"/>
          <w:szCs w:val="28"/>
          <w:highlight w:val="none"/>
        </w:rPr>
        <w:t>预防火灾</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消防器材</w:t>
      </w:r>
      <w:r>
        <w:rPr>
          <w:rFonts w:hint="eastAsia" w:ascii="Times New Roman" w:hAnsi="Times New Roman" w:cs="Times New Roman"/>
          <w:color w:val="auto"/>
          <w:sz w:val="28"/>
          <w:szCs w:val="28"/>
          <w:highlight w:val="none"/>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highlight w:val="none"/>
        </w:rPr>
      </w:pPr>
      <w:bookmarkStart w:id="223" w:name="_Toc59091927"/>
      <w:bookmarkStart w:id="224" w:name="_Toc59087153"/>
      <w:bookmarkStart w:id="225" w:name="_Toc59508645"/>
      <w:bookmarkStart w:id="226" w:name="_Toc59092445"/>
      <w:bookmarkStart w:id="227" w:name="_Toc59160081"/>
      <w:bookmarkStart w:id="228" w:name="_Toc59092822"/>
      <w:bookmarkStart w:id="229" w:name="_Toc59245419"/>
      <w:bookmarkStart w:id="230" w:name="_Toc59160145"/>
      <w:bookmarkStart w:id="231" w:name="_Toc59091646"/>
      <w:bookmarkStart w:id="232" w:name="_Toc59160017"/>
      <w:r>
        <w:rPr>
          <w:rFonts w:hint="eastAsia" w:ascii="Times New Roman" w:hAnsi="Times New Roman" w:cs="Times New Roman"/>
          <w:color w:val="auto"/>
          <w:sz w:val="28"/>
          <w:szCs w:val="28"/>
          <w:highlight w:val="none"/>
        </w:rPr>
        <w:t>定期对防雷装置、消防器材等进行检测、检查，</w:t>
      </w:r>
      <w:r>
        <w:rPr>
          <w:rFonts w:ascii="Times New Roman" w:hAnsi="Times New Roman" w:cs="Times New Roman"/>
          <w:color w:val="auto"/>
          <w:sz w:val="28"/>
          <w:szCs w:val="28"/>
          <w:highlight w:val="none"/>
        </w:rPr>
        <w:t>维护好</w:t>
      </w:r>
      <w:r>
        <w:rPr>
          <w:rFonts w:hint="eastAsia" w:ascii="Times New Roman" w:hAnsi="Times New Roman" w:cs="Times New Roman"/>
          <w:color w:val="auto"/>
          <w:sz w:val="28"/>
          <w:szCs w:val="28"/>
          <w:highlight w:val="none"/>
        </w:rPr>
        <w:t>安全</w:t>
      </w:r>
      <w:r>
        <w:rPr>
          <w:rFonts w:ascii="Times New Roman" w:hAnsi="Times New Roman" w:cs="Times New Roman"/>
          <w:color w:val="auto"/>
          <w:sz w:val="28"/>
          <w:szCs w:val="28"/>
          <w:highlight w:val="none"/>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5"/>
        </w:num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定期对</w:t>
      </w:r>
      <w:r>
        <w:rPr>
          <w:rFonts w:ascii="Times New Roman" w:hAnsi="Times New Roman" w:cs="Times New Roman"/>
          <w:color w:val="auto"/>
          <w:sz w:val="28"/>
          <w:szCs w:val="28"/>
          <w:highlight w:val="none"/>
        </w:rPr>
        <w:t>应急预案</w:t>
      </w:r>
      <w:r>
        <w:rPr>
          <w:rFonts w:hint="eastAsia" w:ascii="Times New Roman" w:hAnsi="Times New Roman" w:cs="Times New Roman"/>
          <w:color w:val="auto"/>
          <w:sz w:val="28"/>
          <w:szCs w:val="28"/>
          <w:highlight w:val="none"/>
        </w:rPr>
        <w:t>进行分析评估</w:t>
      </w:r>
      <w:r>
        <w:rPr>
          <w:rFonts w:ascii="Times New Roman" w:hAnsi="Times New Roman" w:cs="Times New Roman"/>
          <w:color w:val="auto"/>
          <w:sz w:val="28"/>
          <w:szCs w:val="28"/>
          <w:highlight w:val="none"/>
        </w:rPr>
        <w:t>，对预案内容的针对性和实用性进行分析，及时修订应急预案</w:t>
      </w:r>
      <w:r>
        <w:rPr>
          <w:rFonts w:hint="eastAsia" w:ascii="Times New Roman" w:hAnsi="Times New Roman" w:cs="Times New Roman"/>
          <w:color w:val="auto"/>
          <w:sz w:val="28"/>
          <w:szCs w:val="28"/>
          <w:highlight w:val="none"/>
        </w:rPr>
        <w:t>。</w:t>
      </w:r>
    </w:p>
    <w:p w14:paraId="234B791C">
      <w:pPr>
        <w:pStyle w:val="32"/>
        <w:ind w:firstLine="0"/>
        <w:outlineLvl w:val="0"/>
        <w:rPr>
          <w:rFonts w:ascii="Times New Roman" w:cs="Times New Roman"/>
          <w:b/>
          <w:bCs/>
          <w:color w:val="auto"/>
          <w:sz w:val="28"/>
          <w:szCs w:val="28"/>
          <w:highlight w:val="none"/>
        </w:rPr>
      </w:pPr>
      <w:r>
        <w:rPr>
          <w:rFonts w:ascii="Times New Roman" w:cs="Times New Roman"/>
          <w:b/>
          <w:bCs/>
          <w:color w:val="auto"/>
          <w:kern w:val="36"/>
          <w:sz w:val="28"/>
          <w:szCs w:val="28"/>
          <w:highlight w:val="none"/>
        </w:rPr>
        <w:br w:type="page"/>
      </w:r>
      <w:bookmarkEnd w:id="205"/>
      <w:bookmarkEnd w:id="206"/>
      <w:bookmarkEnd w:id="207"/>
      <w:bookmarkStart w:id="233" w:name="_Toc25274"/>
      <w:bookmarkStart w:id="234" w:name="_Toc7092"/>
      <w:bookmarkStart w:id="235" w:name="_Toc343692278"/>
      <w:bookmarkStart w:id="236" w:name="_Toc20557"/>
      <w:r>
        <w:rPr>
          <w:rStyle w:val="34"/>
          <w:rFonts w:hint="eastAsia"/>
          <w:color w:val="auto"/>
          <w:highlight w:val="none"/>
        </w:rPr>
        <w:t>7</w:t>
      </w:r>
      <w:r>
        <w:rPr>
          <w:rStyle w:val="34"/>
          <w:color w:val="auto"/>
          <w:highlight w:val="none"/>
        </w:rPr>
        <w:t xml:space="preserve"> </w:t>
      </w:r>
      <w:r>
        <w:rPr>
          <w:rStyle w:val="34"/>
          <w:rFonts w:hint="eastAsia"/>
          <w:color w:val="auto"/>
          <w:highlight w:val="none"/>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highlight w:val="none"/>
        </w:rPr>
      </w:pPr>
      <w:bookmarkStart w:id="237" w:name="_Toc387237701"/>
      <w:bookmarkStart w:id="238" w:name="_Toc380625464"/>
      <w:bookmarkStart w:id="239" w:name="_Toc357981459"/>
      <w:bookmarkStart w:id="240" w:name="_Toc389504461"/>
      <w:bookmarkStart w:id="241" w:name="_Toc388623391"/>
      <w:bookmarkStart w:id="242" w:name="_Toc5214"/>
      <w:bookmarkStart w:id="243" w:name="_Toc355248941"/>
      <w:bookmarkStart w:id="244" w:name="_Toc355737798"/>
      <w:bookmarkStart w:id="245" w:name="_Toc238875914"/>
      <w:bookmarkStart w:id="246" w:name="_Toc355257333"/>
      <w:bookmarkStart w:id="247" w:name="_Toc393417783"/>
      <w:bookmarkStart w:id="248" w:name="_Toc393417644"/>
      <w:bookmarkStart w:id="249" w:name="_Toc226003735"/>
      <w:bookmarkStart w:id="250" w:name="_Toc355737801"/>
      <w:bookmarkStart w:id="251" w:name="_Toc389504183"/>
      <w:bookmarkStart w:id="252" w:name="_Toc389504581"/>
      <w:bookmarkStart w:id="253" w:name="_Toc355247532"/>
      <w:bookmarkStart w:id="254" w:name="_Toc357981665"/>
      <w:bookmarkStart w:id="255" w:name="_Toc355738333"/>
      <w:bookmarkStart w:id="256" w:name="_Toc380626618"/>
      <w:bookmarkStart w:id="257" w:name="_Toc355248938"/>
      <w:bookmarkStart w:id="258" w:name="_Toc271270917"/>
      <w:bookmarkStart w:id="259" w:name="_Toc357981462"/>
      <w:bookmarkStart w:id="260" w:name="_Toc366836358"/>
      <w:bookmarkStart w:id="261" w:name="_Toc389437342"/>
      <w:bookmarkStart w:id="262" w:name="_Toc281404720"/>
      <w:bookmarkStart w:id="263" w:name="_Toc355738330"/>
      <w:bookmarkStart w:id="264" w:name="_Toc380626557"/>
      <w:bookmarkStart w:id="265" w:name="_Toc239869791"/>
      <w:bookmarkStart w:id="266" w:name="_Toc355247593"/>
      <w:bookmarkStart w:id="267" w:name="_Toc354428876"/>
      <w:bookmarkStart w:id="268" w:name="_Toc355257336"/>
      <w:bookmarkStart w:id="269" w:name="_Toc355247596"/>
      <w:bookmarkStart w:id="270" w:name="_Toc29915"/>
      <w:bookmarkStart w:id="271" w:name="_Toc354428873"/>
      <w:bookmarkStart w:id="272" w:name="_Toc281404722"/>
      <w:bookmarkStart w:id="273" w:name="_Toc355247535"/>
      <w:r>
        <w:rPr>
          <w:rFonts w:ascii="Times New Roman" w:hAnsi="Times New Roman" w:cs="Times New Roman"/>
          <w:b/>
          <w:bCs/>
          <w:color w:val="auto"/>
          <w:sz w:val="28"/>
          <w:szCs w:val="24"/>
          <w:highlight w:val="none"/>
        </w:rPr>
        <w:t>一、危险、有害因素辨识结果</w:t>
      </w:r>
    </w:p>
    <w:p w14:paraId="0EBCBEB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1、中国石化销售股份有限公司江西赣州</w:t>
      </w:r>
      <w:r>
        <w:rPr>
          <w:rFonts w:hint="eastAsia" w:ascii="Times New Roman" w:hAnsi="Times New Roman" w:cs="Times New Roman"/>
          <w:color w:val="auto"/>
          <w:sz w:val="28"/>
          <w:szCs w:val="24"/>
          <w:highlight w:val="none"/>
          <w:lang w:eastAsia="zh-CN"/>
        </w:rPr>
        <w:t>龙南石油分公司大广高速渡江服务区西加油站</w:t>
      </w:r>
      <w:r>
        <w:rPr>
          <w:rFonts w:hint="eastAsia" w:ascii="Times New Roman" w:hAnsi="Times New Roman" w:cs="Times New Roman"/>
          <w:color w:val="auto"/>
          <w:sz w:val="28"/>
          <w:szCs w:val="24"/>
          <w:highlight w:val="none"/>
        </w:rPr>
        <w:t>经营的汽油、柴油列入《危险化学品目录》（2015版、202</w:t>
      </w:r>
      <w:r>
        <w:rPr>
          <w:rFonts w:hint="eastAsia" w:ascii="Times New Roman" w:hAnsi="Times New Roman" w:cs="Times New Roman"/>
          <w:color w:val="auto"/>
          <w:sz w:val="28"/>
          <w:szCs w:val="24"/>
          <w:highlight w:val="none"/>
          <w:lang w:val="en-US" w:eastAsia="zh-CN"/>
        </w:rPr>
        <w:t>6</w:t>
      </w:r>
      <w:r>
        <w:rPr>
          <w:rFonts w:hint="eastAsia" w:ascii="Times New Roman" w:hAnsi="Times New Roman" w:cs="Times New Roman"/>
          <w:color w:val="auto"/>
          <w:sz w:val="28"/>
          <w:szCs w:val="24"/>
          <w:highlight w:val="none"/>
        </w:rPr>
        <w:t>年调整），该站存在的危险因素主要有火灾、可燃液体蒸汽爆炸</w:t>
      </w:r>
      <w:r>
        <w:rPr>
          <w:rFonts w:hint="eastAsia" w:ascii="Times New Roman" w:hAnsi="Times New Roman" w:cs="Times New Roman"/>
          <w:color w:val="auto"/>
          <w:sz w:val="28"/>
          <w:szCs w:val="24"/>
          <w:highlight w:val="none"/>
          <w:lang w:eastAsia="zh-CN"/>
        </w:rPr>
        <w:t>、容器爆炸，泄漏</w:t>
      </w:r>
      <w:r>
        <w:rPr>
          <w:rFonts w:hint="eastAsia" w:ascii="Times New Roman" w:hAnsi="Times New Roman" w:cs="Times New Roman"/>
          <w:color w:val="auto"/>
          <w:sz w:val="28"/>
          <w:szCs w:val="24"/>
          <w:highlight w:val="none"/>
        </w:rPr>
        <w:t>，机械</w:t>
      </w:r>
      <w:r>
        <w:rPr>
          <w:rFonts w:hint="eastAsia" w:ascii="Times New Roman" w:hAnsi="Times New Roman" w:cs="Times New Roman"/>
          <w:color w:val="auto"/>
          <w:sz w:val="28"/>
          <w:szCs w:val="24"/>
          <w:highlight w:val="none"/>
          <w:lang w:val="en-US" w:eastAsia="zh-CN"/>
        </w:rPr>
        <w:t>致</w:t>
      </w:r>
      <w:r>
        <w:rPr>
          <w:rFonts w:hint="eastAsia" w:ascii="Times New Roman" w:hAnsi="Times New Roman" w:cs="Times New Roman"/>
          <w:color w:val="auto"/>
          <w:sz w:val="28"/>
          <w:szCs w:val="24"/>
          <w:highlight w:val="none"/>
        </w:rPr>
        <w:t>害，触电、厂(场)内车辆致害、物体打击、中毒</w:t>
      </w:r>
      <w:r>
        <w:rPr>
          <w:rFonts w:hint="eastAsia" w:ascii="Times New Roman" w:hAnsi="Times New Roman" w:cs="Times New Roman"/>
          <w:color w:val="auto"/>
          <w:sz w:val="28"/>
          <w:szCs w:val="24"/>
          <w:highlight w:val="none"/>
          <w:lang w:eastAsia="zh-CN"/>
        </w:rPr>
        <w:t>、</w:t>
      </w:r>
      <w:r>
        <w:rPr>
          <w:rFonts w:hint="eastAsia" w:ascii="Times New Roman" w:hAnsi="Times New Roman" w:cs="Times New Roman"/>
          <w:color w:val="auto"/>
          <w:sz w:val="28"/>
          <w:szCs w:val="24"/>
          <w:highlight w:val="none"/>
        </w:rPr>
        <w:t>窒息，高处坠落</w:t>
      </w:r>
      <w:r>
        <w:rPr>
          <w:rFonts w:hint="eastAsia" w:ascii="Times New Roman" w:hAnsi="Times New Roman" w:cs="Times New Roman"/>
          <w:color w:val="auto"/>
          <w:sz w:val="28"/>
          <w:szCs w:val="24"/>
          <w:highlight w:val="none"/>
          <w:lang w:eastAsia="zh-CN"/>
        </w:rPr>
        <w:t>，坍塌</w:t>
      </w:r>
      <w:r>
        <w:rPr>
          <w:rFonts w:hint="eastAsia" w:ascii="Times New Roman" w:hAnsi="Times New Roman" w:cs="Times New Roman"/>
          <w:color w:val="auto"/>
          <w:sz w:val="28"/>
          <w:szCs w:val="24"/>
          <w:highlight w:val="none"/>
        </w:rPr>
        <w:t>等，主要有害因素有有害物质、噪声等。</w:t>
      </w:r>
    </w:p>
    <w:p w14:paraId="123A1542">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2、中国石化销售股份有限公司江西赣州</w:t>
      </w:r>
      <w:r>
        <w:rPr>
          <w:rFonts w:hint="eastAsia" w:ascii="Times New Roman" w:hAnsi="Times New Roman" w:cs="Times New Roman"/>
          <w:color w:val="auto"/>
          <w:sz w:val="28"/>
          <w:szCs w:val="24"/>
          <w:highlight w:val="none"/>
          <w:lang w:eastAsia="zh-CN"/>
        </w:rPr>
        <w:t>龙南石油分公司大广高速渡江服务区西加油站</w:t>
      </w:r>
      <w:r>
        <w:rPr>
          <w:rFonts w:hint="eastAsia" w:ascii="Times New Roman" w:hAnsi="Times New Roman" w:cs="Times New Roman"/>
          <w:color w:val="auto"/>
          <w:sz w:val="28"/>
          <w:szCs w:val="24"/>
          <w:highlight w:val="none"/>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highlight w:val="none"/>
        </w:rPr>
      </w:pPr>
      <w:r>
        <w:rPr>
          <w:rFonts w:hint="eastAsia" w:ascii="Times New Roman" w:hAnsi="Times New Roman" w:cs="Times New Roman"/>
          <w:color w:val="auto"/>
          <w:sz w:val="28"/>
          <w:szCs w:val="24"/>
          <w:highlight w:val="none"/>
        </w:rPr>
        <w:t>3、根据《危险化学品重大危险源辨识》GB18218-2018，中国石化销售股份有限公司江西赣州</w:t>
      </w:r>
      <w:r>
        <w:rPr>
          <w:rFonts w:hint="eastAsia" w:ascii="Times New Roman" w:hAnsi="Times New Roman" w:cs="Times New Roman"/>
          <w:color w:val="auto"/>
          <w:sz w:val="28"/>
          <w:szCs w:val="24"/>
          <w:highlight w:val="none"/>
          <w:lang w:eastAsia="zh-CN"/>
        </w:rPr>
        <w:t>龙南石油分公司大广高速渡江服务区西加油站</w:t>
      </w:r>
      <w:r>
        <w:rPr>
          <w:rFonts w:hint="eastAsia" w:ascii="Times New Roman" w:hAnsi="Times New Roman" w:cs="Times New Roman"/>
          <w:color w:val="auto"/>
          <w:sz w:val="28"/>
          <w:szCs w:val="24"/>
          <w:highlight w:val="none"/>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highlight w:val="none"/>
        </w:rPr>
      </w:pPr>
      <w:r>
        <w:rPr>
          <w:rFonts w:hint="eastAsia" w:ascii="Times New Roman" w:hAnsi="Times New Roman" w:cs="Times New Roman"/>
          <w:b/>
          <w:bCs/>
          <w:color w:val="auto"/>
          <w:sz w:val="28"/>
          <w:szCs w:val="24"/>
          <w:highlight w:val="none"/>
        </w:rPr>
        <w:t>二、主要单元评价结果</w:t>
      </w:r>
    </w:p>
    <w:p w14:paraId="1908FD45">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4、根据危险度评价，</w:t>
      </w:r>
      <w:r>
        <w:rPr>
          <w:rFonts w:hint="eastAsia" w:ascii="Times New Roman" w:hAnsi="Times New Roman" w:cs="宋体"/>
          <w:color w:val="auto"/>
          <w:sz w:val="28"/>
          <w:szCs w:val="28"/>
          <w:highlight w:val="none"/>
        </w:rPr>
        <w:t>该站加油储罐区危险度为</w:t>
      </w:r>
      <w:r>
        <w:rPr>
          <w:rFonts w:hint="eastAsia" w:ascii="Times New Roman" w:hAnsi="Times New Roman" w:cs="宋体"/>
          <w:color w:val="auto"/>
          <w:sz w:val="28"/>
          <w:szCs w:val="28"/>
          <w:highlight w:val="none"/>
          <w:lang w:val="en-US" w:eastAsia="zh-CN"/>
        </w:rPr>
        <w:t>Ⅰ</w:t>
      </w:r>
      <w:r>
        <w:rPr>
          <w:rFonts w:hint="eastAsia" w:ascii="Times New Roman" w:hAnsi="Times New Roman" w:cs="Times New Roman"/>
          <w:color w:val="auto"/>
          <w:sz w:val="28"/>
          <w:szCs w:val="28"/>
          <w:highlight w:val="none"/>
        </w:rPr>
        <w:t>级，属</w:t>
      </w:r>
      <w:r>
        <w:rPr>
          <w:rFonts w:hint="eastAsia" w:ascii="Times New Roman" w:hAnsi="Times New Roman" w:cs="Times New Roman"/>
          <w:color w:val="auto"/>
          <w:sz w:val="28"/>
          <w:szCs w:val="28"/>
          <w:highlight w:val="none"/>
          <w:lang w:val="en-US" w:eastAsia="zh-CN"/>
        </w:rPr>
        <w:t>高</w:t>
      </w:r>
      <w:r>
        <w:rPr>
          <w:rFonts w:hint="eastAsia" w:ascii="Times New Roman" w:hAnsi="Times New Roman" w:cs="Times New Roman"/>
          <w:color w:val="auto"/>
          <w:sz w:val="28"/>
          <w:szCs w:val="28"/>
          <w:highlight w:val="none"/>
        </w:rPr>
        <w:t>度危险</w:t>
      </w:r>
      <w:r>
        <w:rPr>
          <w:rFonts w:hint="eastAsia" w:ascii="Times New Roman" w:hAnsi="Times New Roman" w:cs="Times New Roman"/>
          <w:color w:val="auto"/>
          <w:sz w:val="28"/>
          <w:szCs w:val="24"/>
          <w:highlight w:val="none"/>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综上所述，中国石化销售股份有限公司江西赣州</w:t>
      </w:r>
      <w:r>
        <w:rPr>
          <w:rFonts w:hint="eastAsia" w:ascii="Times New Roman" w:hAnsi="Times New Roman" w:cs="宋体"/>
          <w:b/>
          <w:bCs/>
          <w:color w:val="auto"/>
          <w:sz w:val="28"/>
          <w:szCs w:val="28"/>
          <w:highlight w:val="none"/>
          <w:lang w:eastAsia="zh-CN"/>
        </w:rPr>
        <w:t>龙南石油分公司大广高速渡江服务区西加油站</w:t>
      </w:r>
      <w:r>
        <w:rPr>
          <w:rFonts w:hint="eastAsia" w:ascii="Times New Roman" w:hAnsi="Times New Roman" w:cs="宋体"/>
          <w:b/>
          <w:bCs/>
          <w:color w:val="auto"/>
          <w:sz w:val="28"/>
          <w:szCs w:val="28"/>
          <w:highlight w:val="none"/>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highlight w:val="none"/>
        </w:rPr>
      </w:pPr>
      <w:r>
        <w:rPr>
          <w:color w:val="auto"/>
          <w:highlight w:val="none"/>
        </w:rPr>
        <w:br w:type="page"/>
      </w:r>
      <w:bookmarkStart w:id="274" w:name="_Toc5675"/>
      <w:bookmarkStart w:id="275" w:name="_Toc13247"/>
      <w:r>
        <w:rPr>
          <w:rFonts w:hint="eastAsia" w:ascii="宋体" w:hAnsi="宋体"/>
          <w:color w:val="auto"/>
          <w:sz w:val="32"/>
          <w:szCs w:val="32"/>
          <w:highlight w:val="none"/>
        </w:rPr>
        <w:t>附件</w:t>
      </w:r>
      <w:bookmarkEnd w:id="274"/>
      <w:bookmarkEnd w:id="275"/>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highlight w:val="none"/>
              </w:rPr>
            </w:pPr>
          </w:p>
        </w:tc>
        <w:tc>
          <w:tcPr>
            <w:tcW w:w="4648" w:type="pct"/>
            <w:vAlign w:val="center"/>
          </w:tcPr>
          <w:p w14:paraId="7888B54D">
            <w:pPr>
              <w:rPr>
                <w:color w:val="auto"/>
                <w:sz w:val="28"/>
                <w:szCs w:val="28"/>
                <w:highlight w:val="none"/>
              </w:rPr>
            </w:pPr>
            <w:r>
              <w:rPr>
                <w:rFonts w:hint="eastAsia"/>
                <w:color w:val="auto"/>
                <w:sz w:val="28"/>
                <w:szCs w:val="28"/>
                <w:highlight w:val="none"/>
                <w:lang w:eastAsia="zh-CN"/>
              </w:rPr>
              <w:t>现场勘查</w:t>
            </w:r>
            <w:r>
              <w:rPr>
                <w:rFonts w:hint="eastAsia"/>
                <w:color w:val="auto"/>
                <w:sz w:val="28"/>
                <w:szCs w:val="28"/>
                <w:highlight w:val="none"/>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highlight w:val="none"/>
              </w:rPr>
            </w:pPr>
          </w:p>
        </w:tc>
        <w:tc>
          <w:tcPr>
            <w:tcW w:w="4648" w:type="pct"/>
            <w:vAlign w:val="center"/>
          </w:tcPr>
          <w:p w14:paraId="1B1B09C8">
            <w:pPr>
              <w:rPr>
                <w:color w:val="auto"/>
                <w:sz w:val="28"/>
                <w:szCs w:val="28"/>
                <w:highlight w:val="none"/>
              </w:rPr>
            </w:pPr>
            <w:r>
              <w:rPr>
                <w:rFonts w:hint="eastAsia"/>
                <w:color w:val="auto"/>
                <w:sz w:val="28"/>
                <w:szCs w:val="28"/>
                <w:highlight w:val="none"/>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highlight w:val="none"/>
              </w:rPr>
            </w:pPr>
          </w:p>
        </w:tc>
        <w:tc>
          <w:tcPr>
            <w:tcW w:w="4648" w:type="pct"/>
            <w:vAlign w:val="center"/>
          </w:tcPr>
          <w:p w14:paraId="44D8EF52">
            <w:pPr>
              <w:rPr>
                <w:color w:val="auto"/>
                <w:sz w:val="28"/>
                <w:szCs w:val="28"/>
                <w:highlight w:val="none"/>
              </w:rPr>
            </w:pPr>
            <w:r>
              <w:rPr>
                <w:rFonts w:hint="eastAsia"/>
                <w:color w:val="auto"/>
                <w:sz w:val="28"/>
                <w:szCs w:val="28"/>
                <w:highlight w:val="none"/>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highlight w:val="none"/>
              </w:rPr>
            </w:pPr>
          </w:p>
        </w:tc>
        <w:tc>
          <w:tcPr>
            <w:tcW w:w="4648" w:type="pct"/>
            <w:vAlign w:val="center"/>
          </w:tcPr>
          <w:p w14:paraId="07ED7510">
            <w:pPr>
              <w:rPr>
                <w:color w:val="auto"/>
                <w:sz w:val="28"/>
                <w:szCs w:val="28"/>
                <w:highlight w:val="none"/>
              </w:rPr>
            </w:pPr>
            <w:r>
              <w:rPr>
                <w:rFonts w:hint="eastAsia"/>
                <w:color w:val="auto"/>
                <w:sz w:val="28"/>
                <w:szCs w:val="28"/>
                <w:highlight w:val="none"/>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highlight w:val="none"/>
              </w:rPr>
            </w:pPr>
          </w:p>
        </w:tc>
        <w:tc>
          <w:tcPr>
            <w:tcW w:w="4648" w:type="pct"/>
            <w:vAlign w:val="center"/>
          </w:tcPr>
          <w:p w14:paraId="75FBECB7">
            <w:pPr>
              <w:rPr>
                <w:color w:val="auto"/>
                <w:sz w:val="28"/>
                <w:szCs w:val="28"/>
                <w:highlight w:val="none"/>
              </w:rPr>
            </w:pPr>
            <w:r>
              <w:rPr>
                <w:rFonts w:hint="eastAsia"/>
                <w:color w:val="auto"/>
                <w:sz w:val="28"/>
                <w:szCs w:val="28"/>
                <w:highlight w:val="none"/>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highlight w:val="none"/>
              </w:rPr>
            </w:pPr>
          </w:p>
        </w:tc>
        <w:tc>
          <w:tcPr>
            <w:tcW w:w="4648" w:type="pct"/>
            <w:vAlign w:val="center"/>
          </w:tcPr>
          <w:p w14:paraId="02A0F1DE">
            <w:pPr>
              <w:rPr>
                <w:color w:val="auto"/>
                <w:sz w:val="28"/>
                <w:szCs w:val="28"/>
                <w:highlight w:val="none"/>
              </w:rPr>
            </w:pPr>
            <w:r>
              <w:rPr>
                <w:rFonts w:hint="eastAsia"/>
                <w:color w:val="auto"/>
                <w:sz w:val="28"/>
                <w:szCs w:val="28"/>
                <w:highlight w:val="none"/>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highlight w:val="none"/>
              </w:rPr>
            </w:pPr>
          </w:p>
        </w:tc>
        <w:tc>
          <w:tcPr>
            <w:tcW w:w="4648" w:type="pct"/>
            <w:vAlign w:val="center"/>
          </w:tcPr>
          <w:p w14:paraId="4966EC6A">
            <w:pPr>
              <w:rPr>
                <w:color w:val="auto"/>
                <w:sz w:val="28"/>
                <w:szCs w:val="28"/>
                <w:highlight w:val="none"/>
              </w:rPr>
            </w:pPr>
            <w:r>
              <w:rPr>
                <w:rFonts w:hint="eastAsia"/>
                <w:color w:val="auto"/>
                <w:sz w:val="28"/>
                <w:szCs w:val="28"/>
                <w:highlight w:val="none"/>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highlight w:val="none"/>
              </w:rPr>
            </w:pPr>
          </w:p>
        </w:tc>
        <w:tc>
          <w:tcPr>
            <w:tcW w:w="4648" w:type="pct"/>
            <w:vAlign w:val="center"/>
          </w:tcPr>
          <w:p w14:paraId="41F6BD4B">
            <w:pPr>
              <w:rPr>
                <w:color w:val="auto"/>
                <w:sz w:val="28"/>
                <w:szCs w:val="28"/>
                <w:highlight w:val="none"/>
              </w:rPr>
            </w:pPr>
            <w:r>
              <w:rPr>
                <w:rFonts w:hint="eastAsia"/>
                <w:color w:val="auto"/>
                <w:sz w:val="28"/>
                <w:szCs w:val="28"/>
                <w:highlight w:val="none"/>
              </w:rPr>
              <w:t>总平面布置图。</w:t>
            </w:r>
          </w:p>
        </w:tc>
      </w:tr>
    </w:tbl>
    <w:p w14:paraId="41597A03">
      <w:pPr>
        <w:spacing w:line="240" w:lineRule="atLeast"/>
        <w:rPr>
          <w:rFonts w:hint="eastAsia" w:ascii="Times New Roman" w:hAnsi="Times New Roman" w:cs="Times New Roman"/>
          <w:b/>
          <w:bCs/>
          <w:color w:val="auto"/>
          <w:sz w:val="28"/>
          <w:szCs w:val="28"/>
          <w:highlight w:val="none"/>
        </w:rPr>
        <w:sectPr>
          <w:headerReference r:id="rId6" w:type="default"/>
          <w:footerReference r:id="rId7" w:type="default"/>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现场照片：</w:t>
      </w:r>
    </w:p>
    <w:p w14:paraId="06A47E27">
      <w:pPr>
        <w:rPr>
          <w:rFonts w:hint="eastAsia" w:eastAsiaTheme="minorEastAsia"/>
          <w:color w:val="auto"/>
          <w:highlight w:val="none"/>
          <w:lang w:eastAsia="zh-CN"/>
        </w:rPr>
      </w:pPr>
    </w:p>
    <w:p w14:paraId="52D0C28A">
      <w:pPr>
        <w:rPr>
          <w:rFonts w:hint="eastAsia" w:eastAsia="宋体"/>
          <w:color w:val="auto"/>
          <w:highlight w:val="none"/>
          <w:lang w:eastAsia="zh-CN"/>
        </w:rPr>
      </w:pPr>
      <w:r>
        <w:rPr>
          <w:rFonts w:hint="eastAsia" w:ascii="Times New Roman" w:hAnsi="Times New Roman" w:eastAsia="宋体" w:cs="Times New Roman"/>
          <w:color w:val="auto"/>
          <w:highlight w:val="none"/>
          <w:lang w:eastAsia="zh-CN"/>
        </w:rPr>
        <w:drawing>
          <wp:inline distT="0" distB="0" distL="114300" distR="114300">
            <wp:extent cx="5757545" cy="3240405"/>
            <wp:effectExtent l="0" t="0" r="14605" b="17145"/>
            <wp:docPr id="77" name="图片 77" descr="龙南高速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龙南高速西"/>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p>
    <w:p w14:paraId="4CACFD02">
      <w:pPr>
        <w:spacing w:line="360" w:lineRule="auto"/>
        <w:rPr>
          <w:rFonts w:hint="eastAsia" w:ascii="Times New Roman" w:hAnsi="Times New Roman" w:eastAsia="宋体" w:cs="Times New Roman"/>
          <w:color w:val="auto"/>
          <w:highlight w:val="none"/>
          <w:lang w:eastAsia="zh-CN"/>
        </w:rPr>
      </w:pPr>
    </w:p>
    <w:sectPr>
      <w:headerReference r:id="rId8" w:type="default"/>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77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龙南大广高速渡江服务区西加油站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0227</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4DF8F">
    <w:pPr>
      <w:pStyle w:val="15"/>
      <w:jc w:val="left"/>
    </w:pPr>
    <w:r>
      <w:rPr>
        <w:rFonts w:hint="eastAsia" w:cs="宋体"/>
      </w:rPr>
      <w:t>中石化江西赣州</w:t>
    </w:r>
    <w:r>
      <w:rPr>
        <w:rFonts w:hint="eastAsia" w:cs="宋体"/>
        <w:lang w:eastAsia="zh-CN"/>
      </w:rPr>
      <w:t>龙南大广高速渡江服务区西加油站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0227</w:t>
    </w:r>
    <w:r>
      <w:rPr>
        <w:rFonts w:hint="eastAsia" w:cs="宋体"/>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4094">
    <w:pPr>
      <w:pStyle w:val="15"/>
      <w:pBdr>
        <w:top w:val="none" w:color="auto" w:sz="0" w:space="1"/>
        <w:left w:val="none" w:color="auto" w:sz="0" w:space="4"/>
        <w:bottom w:val="none" w:color="auto" w:sz="0" w:space="1"/>
        <w:right w:val="none" w:color="auto" w:sz="0" w:space="4"/>
      </w:pBdr>
      <w:jc w:val="lef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E7AA7A4"/>
    <w:multiLevelType w:val="singleLevel"/>
    <w:tmpl w:val="4E7AA7A4"/>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4AD9"/>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B14F1D"/>
    <w:rsid w:val="04BC7F34"/>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796360"/>
    <w:rsid w:val="129B16E6"/>
    <w:rsid w:val="13A42ECD"/>
    <w:rsid w:val="13AC347F"/>
    <w:rsid w:val="14327E28"/>
    <w:rsid w:val="156972A1"/>
    <w:rsid w:val="15D34D06"/>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9A2D8E"/>
    <w:rsid w:val="1C1C1428"/>
    <w:rsid w:val="1C4346C6"/>
    <w:rsid w:val="1C8D76F3"/>
    <w:rsid w:val="1CBD494F"/>
    <w:rsid w:val="1CDD12C2"/>
    <w:rsid w:val="1D5531CE"/>
    <w:rsid w:val="1D906252"/>
    <w:rsid w:val="1DB10597"/>
    <w:rsid w:val="1E543774"/>
    <w:rsid w:val="1E6F1361"/>
    <w:rsid w:val="1EEC5F1F"/>
    <w:rsid w:val="1FB5426C"/>
    <w:rsid w:val="2012636C"/>
    <w:rsid w:val="204721E4"/>
    <w:rsid w:val="20476A09"/>
    <w:rsid w:val="204A02A8"/>
    <w:rsid w:val="224C25C1"/>
    <w:rsid w:val="22F31550"/>
    <w:rsid w:val="234B4A63"/>
    <w:rsid w:val="23554D03"/>
    <w:rsid w:val="244A3F2C"/>
    <w:rsid w:val="24D863E2"/>
    <w:rsid w:val="24DE36B4"/>
    <w:rsid w:val="25665B84"/>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662E66"/>
    <w:rsid w:val="2CF35C24"/>
    <w:rsid w:val="2D0A13E9"/>
    <w:rsid w:val="2D0A5BF5"/>
    <w:rsid w:val="2D4A18E7"/>
    <w:rsid w:val="2D750387"/>
    <w:rsid w:val="2DA64AEB"/>
    <w:rsid w:val="2DC342BC"/>
    <w:rsid w:val="2E8157DC"/>
    <w:rsid w:val="2E905A1F"/>
    <w:rsid w:val="2F0247C0"/>
    <w:rsid w:val="2F76782F"/>
    <w:rsid w:val="2F9130A0"/>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C125FA"/>
    <w:rsid w:val="35D443B2"/>
    <w:rsid w:val="364C391D"/>
    <w:rsid w:val="367479D5"/>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E1C544D"/>
    <w:rsid w:val="3E465454"/>
    <w:rsid w:val="3E4C78CC"/>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853ACF"/>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CE86351"/>
    <w:rsid w:val="4D117EAF"/>
    <w:rsid w:val="4D482619"/>
    <w:rsid w:val="4D605CA1"/>
    <w:rsid w:val="4DB93CE6"/>
    <w:rsid w:val="4DC71290"/>
    <w:rsid w:val="4DD96B8E"/>
    <w:rsid w:val="4E1D2F71"/>
    <w:rsid w:val="4E263853"/>
    <w:rsid w:val="4E6332C9"/>
    <w:rsid w:val="4E75187A"/>
    <w:rsid w:val="4EF56E02"/>
    <w:rsid w:val="4F2C2030"/>
    <w:rsid w:val="4F431A16"/>
    <w:rsid w:val="4F625CFC"/>
    <w:rsid w:val="50CB28C3"/>
    <w:rsid w:val="514A2A52"/>
    <w:rsid w:val="5199675F"/>
    <w:rsid w:val="520A7A55"/>
    <w:rsid w:val="524D28B3"/>
    <w:rsid w:val="52522579"/>
    <w:rsid w:val="53071EA5"/>
    <w:rsid w:val="531E0F9C"/>
    <w:rsid w:val="536200A8"/>
    <w:rsid w:val="53787CAE"/>
    <w:rsid w:val="5382152B"/>
    <w:rsid w:val="53E45164"/>
    <w:rsid w:val="54025339"/>
    <w:rsid w:val="543E66CC"/>
    <w:rsid w:val="54AA0D71"/>
    <w:rsid w:val="54E029AD"/>
    <w:rsid w:val="559744C0"/>
    <w:rsid w:val="559A547B"/>
    <w:rsid w:val="55CC7830"/>
    <w:rsid w:val="55D346A2"/>
    <w:rsid w:val="56DC1833"/>
    <w:rsid w:val="5742257F"/>
    <w:rsid w:val="57775044"/>
    <w:rsid w:val="57A0738E"/>
    <w:rsid w:val="57D936E4"/>
    <w:rsid w:val="57FF5F11"/>
    <w:rsid w:val="58387E39"/>
    <w:rsid w:val="58553E64"/>
    <w:rsid w:val="587B4B9C"/>
    <w:rsid w:val="58D073A5"/>
    <w:rsid w:val="590B5B1F"/>
    <w:rsid w:val="595F3D47"/>
    <w:rsid w:val="599B004C"/>
    <w:rsid w:val="5A2101BA"/>
    <w:rsid w:val="5A290CB4"/>
    <w:rsid w:val="5ABB5ED1"/>
    <w:rsid w:val="5AF847D6"/>
    <w:rsid w:val="5B20648C"/>
    <w:rsid w:val="5CB27A65"/>
    <w:rsid w:val="5CC26E3C"/>
    <w:rsid w:val="5CD129E8"/>
    <w:rsid w:val="5CE713B5"/>
    <w:rsid w:val="5D041D1A"/>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9317EA"/>
    <w:rsid w:val="64E83A14"/>
    <w:rsid w:val="650521AA"/>
    <w:rsid w:val="651A4726"/>
    <w:rsid w:val="653E4CDE"/>
    <w:rsid w:val="66245681"/>
    <w:rsid w:val="66385552"/>
    <w:rsid w:val="66665840"/>
    <w:rsid w:val="670D2DDD"/>
    <w:rsid w:val="67267CB9"/>
    <w:rsid w:val="67FE038C"/>
    <w:rsid w:val="686F6D95"/>
    <w:rsid w:val="68A40B37"/>
    <w:rsid w:val="68B82CC6"/>
    <w:rsid w:val="68BC085A"/>
    <w:rsid w:val="69141461"/>
    <w:rsid w:val="69C6749B"/>
    <w:rsid w:val="6A1F0A75"/>
    <w:rsid w:val="6A5E56C2"/>
    <w:rsid w:val="6A8243D2"/>
    <w:rsid w:val="6ACE4BFE"/>
    <w:rsid w:val="6ADB330F"/>
    <w:rsid w:val="6AF331DF"/>
    <w:rsid w:val="6B126460"/>
    <w:rsid w:val="6B252A70"/>
    <w:rsid w:val="6B555ED8"/>
    <w:rsid w:val="6B5E5F7B"/>
    <w:rsid w:val="6BAE6F0A"/>
    <w:rsid w:val="6BF9414D"/>
    <w:rsid w:val="6CB23185"/>
    <w:rsid w:val="6D8D0DA1"/>
    <w:rsid w:val="6D940955"/>
    <w:rsid w:val="6DA947E3"/>
    <w:rsid w:val="6DEC6D14"/>
    <w:rsid w:val="6DFD73FA"/>
    <w:rsid w:val="6E6E06F7"/>
    <w:rsid w:val="6E9F6FDD"/>
    <w:rsid w:val="6EE124E0"/>
    <w:rsid w:val="6EE76E86"/>
    <w:rsid w:val="6F651FD5"/>
    <w:rsid w:val="6F7F0E86"/>
    <w:rsid w:val="6FAC1AE5"/>
    <w:rsid w:val="708A757C"/>
    <w:rsid w:val="7151758B"/>
    <w:rsid w:val="71700044"/>
    <w:rsid w:val="71F10209"/>
    <w:rsid w:val="72F642DA"/>
    <w:rsid w:val="733323D9"/>
    <w:rsid w:val="73506D16"/>
    <w:rsid w:val="74262963"/>
    <w:rsid w:val="744C72C0"/>
    <w:rsid w:val="750C5711"/>
    <w:rsid w:val="7557241A"/>
    <w:rsid w:val="76A43029"/>
    <w:rsid w:val="76AE6010"/>
    <w:rsid w:val="76C10625"/>
    <w:rsid w:val="76F65095"/>
    <w:rsid w:val="77333075"/>
    <w:rsid w:val="77E50981"/>
    <w:rsid w:val="786D1EFA"/>
    <w:rsid w:val="789D7AA5"/>
    <w:rsid w:val="792F33AF"/>
    <w:rsid w:val="79A1317A"/>
    <w:rsid w:val="7A540C70"/>
    <w:rsid w:val="7A660689"/>
    <w:rsid w:val="7ACA405F"/>
    <w:rsid w:val="7AE50058"/>
    <w:rsid w:val="7B851309"/>
    <w:rsid w:val="7BA050EE"/>
    <w:rsid w:val="7BD21C71"/>
    <w:rsid w:val="7CF41358"/>
    <w:rsid w:val="7CF70D50"/>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91</Pages>
  <Words>5315</Words>
  <Characters>6266</Characters>
  <Lines>655</Lines>
  <Paragraphs>184</Paragraphs>
  <TotalTime>2</TotalTime>
  <ScaleCrop>false</ScaleCrop>
  <LinksUpToDate>false</LinksUpToDate>
  <CharactersWithSpaces>6477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2026-07-16T07:41:00Z</cp:lastPrinted>
  <dcterms:modified xsi:type="dcterms:W3CDTF">2026-07-16T15:11:02Z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