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龙南石油分公司冯湾加油站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3"/>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3"/>
        <w:jc w:val="center"/>
        <w:rPr>
          <w:rFonts w:hAnsi="宋体" w:cs="Times New Roman"/>
          <w:b/>
          <w:bCs/>
          <w:color w:val="auto"/>
          <w:sz w:val="44"/>
          <w:szCs w:val="44"/>
          <w:highlight w:val="none"/>
        </w:rPr>
      </w:pPr>
    </w:p>
    <w:p w14:paraId="740017B8">
      <w:pPr>
        <w:pStyle w:val="33"/>
        <w:jc w:val="center"/>
        <w:rPr>
          <w:rFonts w:hAnsi="宋体" w:cs="Times New Roman"/>
          <w:b/>
          <w:bCs/>
          <w:color w:val="auto"/>
          <w:sz w:val="44"/>
          <w:szCs w:val="44"/>
          <w:highlight w:val="none"/>
        </w:rPr>
      </w:pPr>
    </w:p>
    <w:p w14:paraId="40EA031A">
      <w:pPr>
        <w:pStyle w:val="33"/>
        <w:jc w:val="center"/>
        <w:rPr>
          <w:rFonts w:hAnsi="宋体" w:cs="Times New Roman"/>
          <w:b/>
          <w:bCs/>
          <w:color w:val="auto"/>
          <w:sz w:val="44"/>
          <w:szCs w:val="44"/>
          <w:highlight w:val="none"/>
        </w:rPr>
      </w:pPr>
    </w:p>
    <w:p w14:paraId="0128A738">
      <w:pPr>
        <w:spacing w:line="600" w:lineRule="atLeast"/>
        <w:ind w:firstLine="1285" w:firstLineChars="400"/>
        <w:jc w:val="left"/>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rPr>
        <w:t>江西赣州</w:t>
      </w:r>
      <w:r>
        <w:rPr>
          <w:rFonts w:hint="eastAsia" w:ascii="仿宋" w:hAnsi="仿宋" w:eastAsia="仿宋" w:cs="仿宋"/>
          <w:b/>
          <w:bCs/>
          <w:color w:val="auto"/>
          <w:sz w:val="32"/>
          <w:szCs w:val="32"/>
          <w:highlight w:val="none"/>
          <w:lang w:eastAsia="zh-CN"/>
        </w:rPr>
        <w:t>龙南石油分公司冯湾加油站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w:t>
      </w:r>
      <w:r>
        <w:rPr>
          <w:rFonts w:hint="eastAsia" w:ascii="仿宋" w:hAnsi="仿宋" w:eastAsia="仿宋" w:cs="仿宋"/>
          <w:b/>
          <w:bCs/>
          <w:color w:val="auto"/>
          <w:sz w:val="32"/>
          <w:szCs w:val="32"/>
          <w:highlight w:val="none"/>
          <w:lang w:eastAsia="zh-CN"/>
        </w:rPr>
        <w:t>魏培昌</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曾荣胜</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w:t>
      </w:r>
      <w:r>
        <w:rPr>
          <w:rFonts w:hint="eastAsia" w:ascii="仿宋" w:hAnsi="仿宋" w:eastAsia="仿宋" w:cs="仿宋"/>
          <w:b/>
          <w:bCs/>
          <w:color w:val="auto"/>
          <w:sz w:val="32"/>
          <w:szCs w:val="32"/>
          <w:highlight w:val="none"/>
          <w:lang w:eastAsia="zh-CN"/>
        </w:rPr>
        <w:t>曾荣胜</w:t>
      </w:r>
    </w:p>
    <w:p w14:paraId="7051593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龙南石油分公司冯湾加油站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3"/>
        <w:rPr>
          <w:color w:val="auto"/>
          <w:highlight w:val="none"/>
        </w:rPr>
      </w:pPr>
    </w:p>
    <w:p w14:paraId="7777510D">
      <w:pPr>
        <w:pStyle w:val="33"/>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龙南石油分公司冯湾加油站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37C4BA3D">
      <w:pPr>
        <w:jc w:val="center"/>
        <w:rPr>
          <w:rFonts w:ascii="Times New Roman" w:hAnsi="Times New Roman" w:cs="Times New Roman"/>
          <w:b/>
          <w:bCs/>
          <w:color w:val="auto"/>
          <w:sz w:val="32"/>
          <w:szCs w:val="32"/>
          <w:highlight w:val="none"/>
        </w:rPr>
      </w:pPr>
      <w:bookmarkStart w:id="278" w:name="_GoBack"/>
      <w:bookmarkEnd w:id="278"/>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龙南石油分公司冯湾加油站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龙南冯湾加油站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lang w:val="en-US" w:eastAsia="zh-CN"/>
        </w:rPr>
        <w:t>05</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11</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15</w:t>
      </w:r>
      <w:r>
        <w:rPr>
          <w:rFonts w:hint="eastAsia" w:ascii="Times New Roman" w:hAnsi="Times New Roman" w:cs="Times New Roman"/>
          <w:color w:val="auto"/>
          <w:sz w:val="28"/>
          <w:szCs w:val="28"/>
          <w:highlight w:val="none"/>
        </w:rPr>
        <w:t>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江西省龙南市里仁镇</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个，总容积为</w:t>
      </w:r>
      <w:r>
        <w:rPr>
          <w:rFonts w:hint="eastAsia" w:ascii="Times New Roman" w:hAnsi="Times New Roman" w:cs="Times New Roman"/>
          <w:color w:val="auto"/>
          <w:spacing w:val="-4"/>
          <w:sz w:val="28"/>
          <w:szCs w:val="28"/>
          <w:highlight w:val="none"/>
          <w:lang w:val="en-US" w:eastAsia="zh-CN"/>
        </w:rPr>
        <w:t>150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120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，为</w:t>
      </w:r>
      <w:r>
        <w:rPr>
          <w:rFonts w:hint="eastAsia" w:ascii="Times New Roman" w:hAnsi="Times New Roman" w:cs="Times New Roman"/>
          <w:color w:val="auto"/>
          <w:spacing w:val="-4"/>
          <w:sz w:val="28"/>
          <w:szCs w:val="28"/>
          <w:highlight w:val="none"/>
          <w:lang w:val="en-US" w:eastAsia="zh-CN"/>
        </w:rPr>
        <w:t>二</w:t>
      </w:r>
      <w:r>
        <w:rPr>
          <w:rFonts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赣虔龙</w:t>
      </w:r>
      <w:r>
        <w:rPr>
          <w:rFonts w:hint="eastAsia" w:ascii="Times New Roman" w:hAnsi="Times New Roman" w:cs="Times New Roman"/>
          <w:color w:val="auto"/>
          <w:sz w:val="28"/>
          <w:szCs w:val="28"/>
          <w:highlight w:val="none"/>
          <w:lang w:val="en-US" w:eastAsia="zh-CN"/>
        </w:rPr>
        <w:t>安经（甲）</w:t>
      </w:r>
      <w:r>
        <w:rPr>
          <w:rFonts w:hint="eastAsia" w:ascii="Times New Roman" w:hAnsi="Times New Roman" w:cs="Times New Roman"/>
          <w:color w:val="auto"/>
          <w:sz w:val="28"/>
          <w:szCs w:val="28"/>
          <w:highlight w:val="none"/>
        </w:rPr>
        <w:t>字[2023]07号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19EB5E8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龙南石油分公司冯湾加油站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龙南冯湾加油站</w:t>
      </w:r>
      <w:r>
        <w:rPr>
          <w:rFonts w:hint="eastAsia" w:ascii="Times New Roman" w:hAnsi="Times New Roman" w:cs="宋体"/>
          <w:color w:val="auto"/>
          <w:sz w:val="28"/>
          <w:szCs w:val="28"/>
          <w:highlight w:val="none"/>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的大力支持，在此表示感谢。</w:t>
      </w:r>
    </w:p>
    <w:p w14:paraId="3013BB2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_Toc18141 </w:instrText>
      </w:r>
      <w:r>
        <w:rPr>
          <w:rFonts w:ascii="Times New Roman" w:hAnsi="Times New Roman" w:cs="Times New Roman"/>
          <w:bCs/>
          <w:color w:val="auto"/>
          <w:szCs w:val="24"/>
          <w:highlight w:val="none"/>
        </w:rPr>
        <w:fldChar w:fldCharType="separate"/>
      </w:r>
      <w:r>
        <w:rPr>
          <w:color w:val="auto"/>
          <w:szCs w:val="32"/>
          <w:highlight w:val="none"/>
        </w:rPr>
        <w:t xml:space="preserve">1 </w:t>
      </w:r>
      <w:r>
        <w:rPr>
          <w:rFonts w:hint="eastAsia" w:cs="宋体"/>
          <w:color w:val="auto"/>
          <w:szCs w:val="32"/>
          <w:highlight w:val="none"/>
        </w:rPr>
        <w:t>评价概述</w:t>
      </w:r>
      <w:r>
        <w:rPr>
          <w:color w:val="auto"/>
          <w:highlight w:val="none"/>
        </w:rPr>
        <w:tab/>
      </w:r>
      <w:r>
        <w:rPr>
          <w:color w:val="auto"/>
          <w:highlight w:val="none"/>
        </w:rPr>
        <w:fldChar w:fldCharType="begin"/>
      </w:r>
      <w:r>
        <w:rPr>
          <w:color w:val="auto"/>
          <w:highlight w:val="none"/>
        </w:rPr>
        <w:instrText xml:space="preserve"> PAGEREF _Toc18141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_Toc13532 </w:instrText>
      </w:r>
      <w:r>
        <w:rPr>
          <w:rFonts w:ascii="Times New Roman" w:hAnsi="Times New Roman" w:cs="Times New Roman"/>
          <w:bCs/>
          <w:color w:val="auto"/>
          <w:szCs w:val="24"/>
          <w:highlight w:val="none"/>
        </w:rPr>
        <w:fldChar w:fldCharType="separate"/>
      </w:r>
      <w:r>
        <w:rPr>
          <w:color w:val="auto"/>
          <w:szCs w:val="32"/>
          <w:highlight w:val="none"/>
        </w:rPr>
        <w:t>1.1</w:t>
      </w:r>
      <w:r>
        <w:rPr>
          <w:rFonts w:hint="eastAsia" w:cs="宋体"/>
          <w:color w:val="auto"/>
          <w:szCs w:val="32"/>
          <w:highlight w:val="none"/>
        </w:rPr>
        <w:t>评价的目的和原则</w:t>
      </w:r>
      <w:r>
        <w:rPr>
          <w:color w:val="auto"/>
          <w:highlight w:val="none"/>
        </w:rPr>
        <w:tab/>
      </w:r>
      <w:r>
        <w:rPr>
          <w:color w:val="auto"/>
          <w:highlight w:val="none"/>
        </w:rPr>
        <w:fldChar w:fldCharType="begin"/>
      </w:r>
      <w:r>
        <w:rPr>
          <w:color w:val="auto"/>
          <w:highlight w:val="none"/>
        </w:rPr>
        <w:instrText xml:space="preserve"> PAGEREF _Toc13532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_Toc15227 </w:instrText>
      </w:r>
      <w:r>
        <w:rPr>
          <w:rFonts w:ascii="Times New Roman" w:hAnsi="Times New Roman" w:cs="Times New Roman"/>
          <w:bCs/>
          <w:color w:val="auto"/>
          <w:szCs w:val="24"/>
          <w:highlight w:val="none"/>
        </w:rPr>
        <w:fldChar w:fldCharType="separate"/>
      </w:r>
      <w:r>
        <w:rPr>
          <w:color w:val="auto"/>
          <w:highlight w:val="none"/>
        </w:rPr>
        <w:t>1.2</w:t>
      </w:r>
      <w:r>
        <w:rPr>
          <w:rFonts w:hint="eastAsia" w:cs="宋体"/>
          <w:color w:val="auto"/>
          <w:highlight w:val="none"/>
        </w:rPr>
        <w:t>评价依据</w:t>
      </w:r>
      <w:r>
        <w:rPr>
          <w:color w:val="auto"/>
          <w:highlight w:val="none"/>
        </w:rPr>
        <w:tab/>
      </w:r>
      <w:r>
        <w:rPr>
          <w:color w:val="auto"/>
          <w:highlight w:val="none"/>
        </w:rPr>
        <w:fldChar w:fldCharType="begin"/>
      </w:r>
      <w:r>
        <w:rPr>
          <w:color w:val="auto"/>
          <w:highlight w:val="none"/>
        </w:rPr>
        <w:instrText xml:space="preserve"> PAGEREF _Toc15227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_Toc17019 </w:instrText>
      </w:r>
      <w:r>
        <w:rPr>
          <w:rFonts w:ascii="Times New Roman" w:hAnsi="Times New Roman" w:cs="Times New Roman"/>
          <w:bCs/>
          <w:color w:val="auto"/>
          <w:szCs w:val="24"/>
          <w:highlight w:val="none"/>
        </w:rPr>
        <w:fldChar w:fldCharType="separate"/>
      </w:r>
      <w:r>
        <w:rPr>
          <w:color w:val="auto"/>
          <w:highlight w:val="none"/>
        </w:rPr>
        <w:t>1.3</w:t>
      </w:r>
      <w:r>
        <w:rPr>
          <w:rFonts w:hint="eastAsia" w:cs="宋体"/>
          <w:color w:val="auto"/>
          <w:highlight w:val="none"/>
        </w:rPr>
        <w:t>评价范围及内容</w:t>
      </w:r>
      <w:r>
        <w:rPr>
          <w:color w:val="auto"/>
          <w:highlight w:val="none"/>
        </w:rPr>
        <w:tab/>
      </w:r>
      <w:r>
        <w:rPr>
          <w:color w:val="auto"/>
          <w:highlight w:val="none"/>
        </w:rPr>
        <w:fldChar w:fldCharType="begin"/>
      </w:r>
      <w:r>
        <w:rPr>
          <w:color w:val="auto"/>
          <w:highlight w:val="none"/>
        </w:rPr>
        <w:instrText xml:space="preserve"> PAGEREF _Toc17019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s="Times New Roman"/>
          <w:bCs/>
          <w:color w:val="auto"/>
          <w:szCs w:val="24"/>
          <w:highlight w:val="none"/>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_Toc30418 </w:instrText>
      </w:r>
      <w:r>
        <w:rPr>
          <w:rFonts w:ascii="Times New Roman" w:hAnsi="Times New Roman" w:cs="Times New Roman"/>
          <w:bCs/>
          <w:color w:val="auto"/>
          <w:szCs w:val="24"/>
          <w:highlight w:val="none"/>
        </w:rPr>
        <w:fldChar w:fldCharType="separate"/>
      </w:r>
      <w:r>
        <w:rPr>
          <w:color w:val="auto"/>
          <w:highlight w:val="none"/>
        </w:rPr>
        <w:t>1.4</w:t>
      </w:r>
      <w:r>
        <w:rPr>
          <w:rFonts w:hint="eastAsia" w:cs="宋体"/>
          <w:color w:val="auto"/>
          <w:highlight w:val="none"/>
        </w:rPr>
        <w:t>评价程序</w:t>
      </w:r>
      <w:r>
        <w:rPr>
          <w:color w:val="auto"/>
          <w:highlight w:val="none"/>
        </w:rPr>
        <w:tab/>
      </w:r>
      <w:r>
        <w:rPr>
          <w:color w:val="auto"/>
          <w:highlight w:val="none"/>
        </w:rPr>
        <w:fldChar w:fldCharType="begin"/>
      </w:r>
      <w:r>
        <w:rPr>
          <w:color w:val="auto"/>
          <w:highlight w:val="none"/>
        </w:rPr>
        <w:instrText xml:space="preserve"> PAGEREF _Toc30418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s="Times New Roman"/>
          <w:bCs/>
          <w:color w:val="auto"/>
          <w:szCs w:val="24"/>
          <w:highlight w:val="none"/>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_Toc28665 </w:instrText>
      </w:r>
      <w:r>
        <w:rPr>
          <w:rFonts w:ascii="Times New Roman" w:hAnsi="Times New Roman" w:cs="Times New Roman"/>
          <w:bCs/>
          <w:color w:val="auto"/>
          <w:szCs w:val="24"/>
          <w:highlight w:val="none"/>
        </w:rPr>
        <w:fldChar w:fldCharType="separate"/>
      </w:r>
      <w:r>
        <w:rPr>
          <w:rFonts w:hint="eastAsia" w:ascii="Times New Roman"/>
          <w:bCs/>
          <w:color w:val="auto"/>
          <w:kern w:val="36"/>
          <w:szCs w:val="32"/>
          <w:highlight w:val="none"/>
        </w:rPr>
        <w:t>2 加油站概况</w:t>
      </w:r>
      <w:r>
        <w:rPr>
          <w:color w:val="auto"/>
          <w:highlight w:val="none"/>
        </w:rPr>
        <w:tab/>
      </w:r>
      <w:r>
        <w:rPr>
          <w:color w:val="auto"/>
          <w:highlight w:val="none"/>
        </w:rPr>
        <w:fldChar w:fldCharType="begin"/>
      </w:r>
      <w:r>
        <w:rPr>
          <w:color w:val="auto"/>
          <w:highlight w:val="none"/>
        </w:rPr>
        <w:instrText xml:space="preserve"> PAGEREF _Toc28665 \h </w:instrText>
      </w:r>
      <w:r>
        <w:rPr>
          <w:color w:val="auto"/>
          <w:highlight w:val="none"/>
        </w:rPr>
        <w:fldChar w:fldCharType="separate"/>
      </w:r>
      <w:r>
        <w:rPr>
          <w:color w:val="auto"/>
          <w:highlight w:val="none"/>
        </w:rPr>
        <w:t>11</w:t>
      </w:r>
      <w:r>
        <w:rPr>
          <w:color w:val="auto"/>
          <w:highlight w:val="none"/>
        </w:rPr>
        <w:fldChar w:fldCharType="end"/>
      </w:r>
      <w:r>
        <w:rPr>
          <w:rFonts w:ascii="Times New Roman" w:hAnsi="Times New Roman" w:cs="Times New Roman"/>
          <w:bCs/>
          <w:color w:val="auto"/>
          <w:szCs w:val="24"/>
          <w:highlight w:val="none"/>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_Toc11122 </w:instrText>
      </w:r>
      <w:r>
        <w:rPr>
          <w:rFonts w:ascii="Times New Roman" w:hAnsi="Times New Roman" w:cs="Times New Roman"/>
          <w:bCs/>
          <w:color w:val="auto"/>
          <w:szCs w:val="24"/>
          <w:highlight w:val="none"/>
        </w:rPr>
        <w:fldChar w:fldCharType="separate"/>
      </w:r>
      <w:r>
        <w:rPr>
          <w:color w:val="auto"/>
          <w:highlight w:val="none"/>
        </w:rPr>
        <w:t>2.1</w:t>
      </w:r>
      <w:r>
        <w:rPr>
          <w:rFonts w:hint="eastAsia" w:cs="宋体"/>
          <w:color w:val="auto"/>
          <w:highlight w:val="none"/>
        </w:rPr>
        <w:t>建设项目基本情况</w:t>
      </w:r>
      <w:r>
        <w:rPr>
          <w:color w:val="auto"/>
          <w:highlight w:val="none"/>
        </w:rPr>
        <w:tab/>
      </w:r>
      <w:r>
        <w:rPr>
          <w:color w:val="auto"/>
          <w:highlight w:val="none"/>
        </w:rPr>
        <w:fldChar w:fldCharType="begin"/>
      </w:r>
      <w:r>
        <w:rPr>
          <w:color w:val="auto"/>
          <w:highlight w:val="none"/>
        </w:rPr>
        <w:instrText xml:space="preserve"> PAGEREF _Toc11122 \h </w:instrText>
      </w:r>
      <w:r>
        <w:rPr>
          <w:color w:val="auto"/>
          <w:highlight w:val="none"/>
        </w:rPr>
        <w:fldChar w:fldCharType="separate"/>
      </w:r>
      <w:r>
        <w:rPr>
          <w:color w:val="auto"/>
          <w:highlight w:val="none"/>
        </w:rPr>
        <w:t>11</w:t>
      </w:r>
      <w:r>
        <w:rPr>
          <w:color w:val="auto"/>
          <w:highlight w:val="none"/>
        </w:rPr>
        <w:fldChar w:fldCharType="end"/>
      </w:r>
      <w:r>
        <w:rPr>
          <w:rFonts w:ascii="Times New Roman" w:hAnsi="Times New Roman" w:cs="Times New Roman"/>
          <w:bCs/>
          <w:color w:val="auto"/>
          <w:szCs w:val="24"/>
          <w:highlight w:val="none"/>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_Toc2031 </w:instrText>
      </w:r>
      <w:r>
        <w:rPr>
          <w:rFonts w:ascii="Times New Roman" w:hAnsi="Times New Roman" w:cs="Times New Roman"/>
          <w:bCs/>
          <w:color w:val="auto"/>
          <w:szCs w:val="24"/>
          <w:highlight w:val="none"/>
        </w:rPr>
        <w:fldChar w:fldCharType="separate"/>
      </w:r>
      <w:r>
        <w:rPr>
          <w:color w:val="auto"/>
          <w:highlight w:val="none"/>
        </w:rPr>
        <w:t xml:space="preserve">2.2 </w:t>
      </w:r>
      <w:r>
        <w:rPr>
          <w:rFonts w:hint="eastAsia" w:cs="宋体"/>
          <w:color w:val="auto"/>
          <w:highlight w:val="none"/>
        </w:rPr>
        <w:t>加油站概况</w:t>
      </w:r>
      <w:r>
        <w:rPr>
          <w:color w:val="auto"/>
          <w:highlight w:val="none"/>
        </w:rPr>
        <w:tab/>
      </w:r>
      <w:r>
        <w:rPr>
          <w:color w:val="auto"/>
          <w:highlight w:val="none"/>
        </w:rPr>
        <w:fldChar w:fldCharType="begin"/>
      </w:r>
      <w:r>
        <w:rPr>
          <w:color w:val="auto"/>
          <w:highlight w:val="none"/>
        </w:rPr>
        <w:instrText xml:space="preserve"> PAGEREF _Toc2031 \h </w:instrText>
      </w:r>
      <w:r>
        <w:rPr>
          <w:color w:val="auto"/>
          <w:highlight w:val="none"/>
        </w:rPr>
        <w:fldChar w:fldCharType="separate"/>
      </w:r>
      <w:r>
        <w:rPr>
          <w:color w:val="auto"/>
          <w:highlight w:val="none"/>
        </w:rPr>
        <w:t>13</w:t>
      </w:r>
      <w:r>
        <w:rPr>
          <w:color w:val="auto"/>
          <w:highlight w:val="none"/>
        </w:rPr>
        <w:fldChar w:fldCharType="end"/>
      </w:r>
      <w:r>
        <w:rPr>
          <w:rFonts w:ascii="Times New Roman" w:hAnsi="Times New Roman" w:cs="Times New Roman"/>
          <w:bCs/>
          <w:color w:val="auto"/>
          <w:szCs w:val="24"/>
          <w:highlight w:val="none"/>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_Toc31407 </w:instrText>
      </w:r>
      <w:r>
        <w:rPr>
          <w:rFonts w:ascii="Times New Roman" w:hAnsi="Times New Roman" w:cs="Times New Roman"/>
          <w:bCs/>
          <w:color w:val="auto"/>
          <w:szCs w:val="24"/>
          <w:highlight w:val="none"/>
        </w:rPr>
        <w:fldChar w:fldCharType="separate"/>
      </w:r>
      <w:r>
        <w:rPr>
          <w:color w:val="auto"/>
          <w:highlight w:val="none"/>
        </w:rPr>
        <w:t>2.3</w:t>
      </w:r>
      <w:r>
        <w:rPr>
          <w:rFonts w:hint="eastAsia" w:cs="宋体"/>
          <w:color w:val="auto"/>
          <w:highlight w:val="none"/>
        </w:rPr>
        <w:t>主要设备、建筑物及工艺：</w:t>
      </w:r>
      <w:r>
        <w:rPr>
          <w:color w:val="auto"/>
          <w:highlight w:val="none"/>
        </w:rPr>
        <w:tab/>
      </w:r>
      <w:r>
        <w:rPr>
          <w:color w:val="auto"/>
          <w:highlight w:val="none"/>
        </w:rPr>
        <w:fldChar w:fldCharType="begin"/>
      </w:r>
      <w:r>
        <w:rPr>
          <w:color w:val="auto"/>
          <w:highlight w:val="none"/>
        </w:rPr>
        <w:instrText xml:space="preserve"> PAGEREF _Toc31407 \h </w:instrText>
      </w:r>
      <w:r>
        <w:rPr>
          <w:color w:val="auto"/>
          <w:highlight w:val="none"/>
        </w:rPr>
        <w:fldChar w:fldCharType="separate"/>
      </w:r>
      <w:r>
        <w:rPr>
          <w:color w:val="auto"/>
          <w:highlight w:val="none"/>
        </w:rPr>
        <w:t>18</w:t>
      </w:r>
      <w:r>
        <w:rPr>
          <w:color w:val="auto"/>
          <w:highlight w:val="none"/>
        </w:rPr>
        <w:fldChar w:fldCharType="end"/>
      </w:r>
      <w:r>
        <w:rPr>
          <w:rFonts w:ascii="Times New Roman" w:hAnsi="Times New Roman" w:cs="Times New Roman"/>
          <w:bCs/>
          <w:color w:val="auto"/>
          <w:szCs w:val="24"/>
          <w:highlight w:val="none"/>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_Toc11002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2.4 </w:t>
      </w:r>
      <w:r>
        <w:rPr>
          <w:rFonts w:hint="eastAsia" w:ascii="Times New Roman" w:hAnsi="Times New Roman" w:cs="宋体"/>
          <w:bCs/>
          <w:color w:val="auto"/>
          <w:szCs w:val="28"/>
          <w:highlight w:val="none"/>
        </w:rPr>
        <w:t>辅助设施</w:t>
      </w:r>
      <w:r>
        <w:rPr>
          <w:color w:val="auto"/>
          <w:highlight w:val="none"/>
        </w:rPr>
        <w:tab/>
      </w:r>
      <w:r>
        <w:rPr>
          <w:color w:val="auto"/>
          <w:highlight w:val="none"/>
        </w:rPr>
        <w:fldChar w:fldCharType="begin"/>
      </w:r>
      <w:r>
        <w:rPr>
          <w:color w:val="auto"/>
          <w:highlight w:val="none"/>
        </w:rPr>
        <w:instrText xml:space="preserve"> PAGEREF _Toc11002 \h </w:instrText>
      </w:r>
      <w:r>
        <w:rPr>
          <w:color w:val="auto"/>
          <w:highlight w:val="none"/>
        </w:rPr>
        <w:fldChar w:fldCharType="separate"/>
      </w:r>
      <w:r>
        <w:rPr>
          <w:color w:val="auto"/>
          <w:highlight w:val="none"/>
        </w:rPr>
        <w:t>20</w:t>
      </w:r>
      <w:r>
        <w:rPr>
          <w:color w:val="auto"/>
          <w:highlight w:val="none"/>
        </w:rPr>
        <w:fldChar w:fldCharType="end"/>
      </w:r>
      <w:r>
        <w:rPr>
          <w:rFonts w:ascii="Times New Roman" w:hAnsi="Times New Roman" w:cs="Times New Roman"/>
          <w:bCs/>
          <w:color w:val="auto"/>
          <w:szCs w:val="24"/>
          <w:highlight w:val="none"/>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_Toc23781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highlight w:val="none"/>
        </w:rPr>
        <w:tab/>
      </w:r>
      <w:r>
        <w:rPr>
          <w:color w:val="auto"/>
          <w:highlight w:val="none"/>
        </w:rPr>
        <w:fldChar w:fldCharType="begin"/>
      </w:r>
      <w:r>
        <w:rPr>
          <w:color w:val="auto"/>
          <w:highlight w:val="none"/>
        </w:rPr>
        <w:instrText xml:space="preserve"> PAGEREF _Toc23781 \h </w:instrText>
      </w:r>
      <w:r>
        <w:rPr>
          <w:color w:val="auto"/>
          <w:highlight w:val="none"/>
        </w:rPr>
        <w:fldChar w:fldCharType="separate"/>
      </w:r>
      <w:r>
        <w:rPr>
          <w:color w:val="auto"/>
          <w:highlight w:val="none"/>
        </w:rPr>
        <w:t>22</w:t>
      </w:r>
      <w:r>
        <w:rPr>
          <w:color w:val="auto"/>
          <w:highlight w:val="none"/>
        </w:rPr>
        <w:fldChar w:fldCharType="end"/>
      </w:r>
      <w:r>
        <w:rPr>
          <w:rFonts w:ascii="Times New Roman" w:hAnsi="Times New Roman" w:cs="Times New Roman"/>
          <w:bCs/>
          <w:color w:val="auto"/>
          <w:szCs w:val="24"/>
          <w:highlight w:val="none"/>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_Toc10610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kern w:val="36"/>
          <w:szCs w:val="32"/>
          <w:highlight w:val="none"/>
        </w:rPr>
        <w:t xml:space="preserve">3 </w:t>
      </w:r>
      <w:r>
        <w:rPr>
          <w:rFonts w:hint="eastAsia" w:ascii="Times New Roman" w:hAnsi="Times New Roman" w:cs="宋体"/>
          <w:bCs/>
          <w:color w:val="auto"/>
          <w:kern w:val="36"/>
          <w:szCs w:val="32"/>
          <w:highlight w:val="none"/>
        </w:rPr>
        <w:t>主要危险、有害因素分析</w:t>
      </w:r>
      <w:r>
        <w:rPr>
          <w:color w:val="auto"/>
          <w:highlight w:val="none"/>
        </w:rPr>
        <w:tab/>
      </w:r>
      <w:r>
        <w:rPr>
          <w:color w:val="auto"/>
          <w:highlight w:val="none"/>
        </w:rPr>
        <w:fldChar w:fldCharType="begin"/>
      </w:r>
      <w:r>
        <w:rPr>
          <w:color w:val="auto"/>
          <w:highlight w:val="none"/>
        </w:rPr>
        <w:instrText xml:space="preserve"> PAGEREF _Toc10610 \h </w:instrText>
      </w:r>
      <w:r>
        <w:rPr>
          <w:color w:val="auto"/>
          <w:highlight w:val="none"/>
        </w:rPr>
        <w:fldChar w:fldCharType="separate"/>
      </w:r>
      <w:r>
        <w:rPr>
          <w:color w:val="auto"/>
          <w:highlight w:val="none"/>
        </w:rPr>
        <w:t>26</w:t>
      </w:r>
      <w:r>
        <w:rPr>
          <w:color w:val="auto"/>
          <w:highlight w:val="none"/>
        </w:rPr>
        <w:fldChar w:fldCharType="end"/>
      </w:r>
      <w:r>
        <w:rPr>
          <w:rFonts w:ascii="Times New Roman" w:hAnsi="Times New Roman" w:cs="Times New Roman"/>
          <w:bCs/>
          <w:color w:val="auto"/>
          <w:szCs w:val="24"/>
          <w:highlight w:val="none"/>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_Toc23758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 </w:t>
      </w:r>
      <w:r>
        <w:rPr>
          <w:rFonts w:hint="eastAsia" w:ascii="Times New Roman" w:hAnsi="Times New Roman" w:cs="宋体"/>
          <w:bCs/>
          <w:color w:val="auto"/>
          <w:szCs w:val="28"/>
          <w:highlight w:val="none"/>
        </w:rPr>
        <w:t>物料的危险、有害因素分析</w:t>
      </w:r>
      <w:r>
        <w:rPr>
          <w:color w:val="auto"/>
          <w:highlight w:val="none"/>
        </w:rPr>
        <w:tab/>
      </w:r>
      <w:r>
        <w:rPr>
          <w:color w:val="auto"/>
          <w:highlight w:val="none"/>
        </w:rPr>
        <w:fldChar w:fldCharType="begin"/>
      </w:r>
      <w:r>
        <w:rPr>
          <w:color w:val="auto"/>
          <w:highlight w:val="none"/>
        </w:rPr>
        <w:instrText xml:space="preserve"> PAGEREF _Toc23758 \h </w:instrText>
      </w:r>
      <w:r>
        <w:rPr>
          <w:color w:val="auto"/>
          <w:highlight w:val="none"/>
        </w:rPr>
        <w:fldChar w:fldCharType="separate"/>
      </w:r>
      <w:r>
        <w:rPr>
          <w:color w:val="auto"/>
          <w:highlight w:val="none"/>
        </w:rPr>
        <w:t>26</w:t>
      </w:r>
      <w:r>
        <w:rPr>
          <w:color w:val="auto"/>
          <w:highlight w:val="none"/>
        </w:rPr>
        <w:fldChar w:fldCharType="end"/>
      </w:r>
      <w:r>
        <w:rPr>
          <w:rFonts w:ascii="Times New Roman" w:hAnsi="Times New Roman" w:cs="Times New Roman"/>
          <w:bCs/>
          <w:color w:val="auto"/>
          <w:szCs w:val="24"/>
          <w:highlight w:val="none"/>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_Toc30692 </w:instrText>
      </w:r>
      <w:r>
        <w:rPr>
          <w:rFonts w:ascii="Times New Roman" w:hAnsi="Times New Roman" w:cs="Times New Roman"/>
          <w:bCs/>
          <w:color w:val="auto"/>
          <w:szCs w:val="24"/>
          <w:highlight w:val="none"/>
        </w:rPr>
        <w:fldChar w:fldCharType="separate"/>
      </w:r>
      <w:r>
        <w:rPr>
          <w:color w:val="auto"/>
          <w:highlight w:val="none"/>
        </w:rPr>
        <w:t>3.2</w:t>
      </w:r>
      <w:r>
        <w:rPr>
          <w:rFonts w:hint="eastAsia" w:cs="宋体"/>
          <w:color w:val="auto"/>
          <w:highlight w:val="none"/>
        </w:rPr>
        <w:t>危险化学品及危险工艺辨识</w:t>
      </w:r>
      <w:r>
        <w:rPr>
          <w:color w:val="auto"/>
          <w:highlight w:val="none"/>
        </w:rPr>
        <w:tab/>
      </w:r>
      <w:r>
        <w:rPr>
          <w:color w:val="auto"/>
          <w:highlight w:val="none"/>
        </w:rPr>
        <w:fldChar w:fldCharType="begin"/>
      </w:r>
      <w:r>
        <w:rPr>
          <w:color w:val="auto"/>
          <w:highlight w:val="none"/>
        </w:rPr>
        <w:instrText xml:space="preserve"> PAGEREF _Toc30692 \h </w:instrText>
      </w:r>
      <w:r>
        <w:rPr>
          <w:color w:val="auto"/>
          <w:highlight w:val="none"/>
        </w:rPr>
        <w:fldChar w:fldCharType="separate"/>
      </w:r>
      <w:r>
        <w:rPr>
          <w:color w:val="auto"/>
          <w:highlight w:val="none"/>
        </w:rPr>
        <w:t>29</w:t>
      </w:r>
      <w:r>
        <w:rPr>
          <w:color w:val="auto"/>
          <w:highlight w:val="none"/>
        </w:rPr>
        <w:fldChar w:fldCharType="end"/>
      </w:r>
      <w:r>
        <w:rPr>
          <w:rFonts w:ascii="Times New Roman" w:hAnsi="Times New Roman" w:cs="Times New Roman"/>
          <w:bCs/>
          <w:color w:val="auto"/>
          <w:szCs w:val="24"/>
          <w:highlight w:val="none"/>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_Toc18070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3.3 </w:t>
      </w:r>
      <w:r>
        <w:rPr>
          <w:rFonts w:hint="eastAsia" w:ascii="Times New Roman" w:hAnsi="Times New Roman" w:cs="宋体"/>
          <w:bCs/>
          <w:color w:val="auto"/>
          <w:szCs w:val="28"/>
          <w:highlight w:val="none"/>
        </w:rPr>
        <w:t>重大危险源辨识</w:t>
      </w:r>
      <w:r>
        <w:rPr>
          <w:color w:val="auto"/>
          <w:highlight w:val="none"/>
        </w:rPr>
        <w:tab/>
      </w:r>
      <w:r>
        <w:rPr>
          <w:color w:val="auto"/>
          <w:highlight w:val="none"/>
        </w:rPr>
        <w:fldChar w:fldCharType="begin"/>
      </w:r>
      <w:r>
        <w:rPr>
          <w:color w:val="auto"/>
          <w:highlight w:val="none"/>
        </w:rPr>
        <w:instrText xml:space="preserve"> PAGEREF _Toc18070 \h </w:instrText>
      </w:r>
      <w:r>
        <w:rPr>
          <w:color w:val="auto"/>
          <w:highlight w:val="none"/>
        </w:rPr>
        <w:fldChar w:fldCharType="separate"/>
      </w:r>
      <w:r>
        <w:rPr>
          <w:color w:val="auto"/>
          <w:highlight w:val="none"/>
        </w:rPr>
        <w:t>30</w:t>
      </w:r>
      <w:r>
        <w:rPr>
          <w:color w:val="auto"/>
          <w:highlight w:val="none"/>
        </w:rPr>
        <w:fldChar w:fldCharType="end"/>
      </w:r>
      <w:r>
        <w:rPr>
          <w:rFonts w:ascii="Times New Roman" w:hAnsi="Times New Roman" w:cs="Times New Roman"/>
          <w:bCs/>
          <w:color w:val="auto"/>
          <w:szCs w:val="24"/>
          <w:highlight w:val="none"/>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_Toc31826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3.4</w:t>
      </w:r>
      <w:r>
        <w:rPr>
          <w:rFonts w:hint="eastAsia" w:ascii="Times New Roman" w:hAnsi="Times New Roman" w:cs="宋体"/>
          <w:bCs/>
          <w:color w:val="auto"/>
          <w:szCs w:val="28"/>
          <w:highlight w:val="none"/>
        </w:rPr>
        <w:t>加油站主要危险因素分析</w:t>
      </w:r>
      <w:r>
        <w:rPr>
          <w:color w:val="auto"/>
          <w:highlight w:val="none"/>
        </w:rPr>
        <w:tab/>
      </w:r>
      <w:r>
        <w:rPr>
          <w:color w:val="auto"/>
          <w:highlight w:val="none"/>
        </w:rPr>
        <w:fldChar w:fldCharType="begin"/>
      </w:r>
      <w:r>
        <w:rPr>
          <w:color w:val="auto"/>
          <w:highlight w:val="none"/>
        </w:rPr>
        <w:instrText xml:space="preserve"> PAGEREF _Toc31826 \h </w:instrText>
      </w:r>
      <w:r>
        <w:rPr>
          <w:color w:val="auto"/>
          <w:highlight w:val="none"/>
        </w:rPr>
        <w:fldChar w:fldCharType="separate"/>
      </w:r>
      <w:r>
        <w:rPr>
          <w:color w:val="auto"/>
          <w:highlight w:val="none"/>
        </w:rPr>
        <w:t>32</w:t>
      </w:r>
      <w:r>
        <w:rPr>
          <w:color w:val="auto"/>
          <w:highlight w:val="none"/>
        </w:rPr>
        <w:fldChar w:fldCharType="end"/>
      </w:r>
      <w:r>
        <w:rPr>
          <w:rFonts w:ascii="Times New Roman" w:hAnsi="Times New Roman" w:cs="Times New Roman"/>
          <w:bCs/>
          <w:color w:val="auto"/>
          <w:szCs w:val="24"/>
          <w:highlight w:val="none"/>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_Toc12440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3.5</w:t>
      </w:r>
      <w:r>
        <w:rPr>
          <w:rFonts w:hint="eastAsia" w:ascii="Times New Roman" w:hAnsi="Times New Roman" w:cs="宋体"/>
          <w:bCs/>
          <w:color w:val="auto"/>
          <w:szCs w:val="28"/>
          <w:highlight w:val="none"/>
        </w:rPr>
        <w:t>经营过程中的危险辨识</w:t>
      </w:r>
      <w:r>
        <w:rPr>
          <w:color w:val="auto"/>
          <w:highlight w:val="none"/>
        </w:rPr>
        <w:tab/>
      </w:r>
      <w:r>
        <w:rPr>
          <w:color w:val="auto"/>
          <w:highlight w:val="none"/>
        </w:rPr>
        <w:fldChar w:fldCharType="begin"/>
      </w:r>
      <w:r>
        <w:rPr>
          <w:color w:val="auto"/>
          <w:highlight w:val="none"/>
        </w:rPr>
        <w:instrText xml:space="preserve"> PAGEREF _Toc12440 \h </w:instrText>
      </w:r>
      <w:r>
        <w:rPr>
          <w:color w:val="auto"/>
          <w:highlight w:val="none"/>
        </w:rPr>
        <w:fldChar w:fldCharType="separate"/>
      </w:r>
      <w:r>
        <w:rPr>
          <w:color w:val="auto"/>
          <w:highlight w:val="none"/>
        </w:rPr>
        <w:t>35</w:t>
      </w:r>
      <w:r>
        <w:rPr>
          <w:color w:val="auto"/>
          <w:highlight w:val="none"/>
        </w:rPr>
        <w:fldChar w:fldCharType="end"/>
      </w:r>
      <w:r>
        <w:rPr>
          <w:rFonts w:ascii="Times New Roman" w:hAnsi="Times New Roman" w:cs="Times New Roman"/>
          <w:bCs/>
          <w:color w:val="auto"/>
          <w:szCs w:val="24"/>
          <w:highlight w:val="none"/>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_Toc8840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3.6</w:t>
      </w:r>
      <w:r>
        <w:rPr>
          <w:rFonts w:hint="eastAsia" w:ascii="Times New Roman" w:hAnsi="Times New Roman" w:cs="宋体"/>
          <w:bCs/>
          <w:color w:val="auto"/>
          <w:szCs w:val="28"/>
          <w:highlight w:val="none"/>
        </w:rPr>
        <w:t>环境、自然危害因素分析</w:t>
      </w:r>
      <w:r>
        <w:rPr>
          <w:color w:val="auto"/>
          <w:highlight w:val="none"/>
        </w:rPr>
        <w:tab/>
      </w:r>
      <w:r>
        <w:rPr>
          <w:color w:val="auto"/>
          <w:highlight w:val="none"/>
        </w:rPr>
        <w:fldChar w:fldCharType="begin"/>
      </w:r>
      <w:r>
        <w:rPr>
          <w:color w:val="auto"/>
          <w:highlight w:val="none"/>
        </w:rPr>
        <w:instrText xml:space="preserve"> PAGEREF _Toc8840 \h </w:instrText>
      </w:r>
      <w:r>
        <w:rPr>
          <w:color w:val="auto"/>
          <w:highlight w:val="none"/>
        </w:rPr>
        <w:fldChar w:fldCharType="separate"/>
      </w:r>
      <w:r>
        <w:rPr>
          <w:color w:val="auto"/>
          <w:highlight w:val="none"/>
        </w:rPr>
        <w:t>43</w:t>
      </w:r>
      <w:r>
        <w:rPr>
          <w:color w:val="auto"/>
          <w:highlight w:val="none"/>
        </w:rPr>
        <w:fldChar w:fldCharType="end"/>
      </w:r>
      <w:r>
        <w:rPr>
          <w:rFonts w:ascii="Times New Roman" w:hAnsi="Times New Roman" w:cs="Times New Roman"/>
          <w:bCs/>
          <w:color w:val="auto"/>
          <w:szCs w:val="24"/>
          <w:highlight w:val="none"/>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_Toc13024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3.7</w:t>
      </w:r>
      <w:r>
        <w:rPr>
          <w:rFonts w:hint="eastAsia" w:ascii="Times New Roman" w:hAnsi="Times New Roman" w:cs="宋体"/>
          <w:bCs/>
          <w:color w:val="auto"/>
          <w:szCs w:val="28"/>
          <w:highlight w:val="none"/>
        </w:rPr>
        <w:t>有害因素分析</w:t>
      </w:r>
      <w:r>
        <w:rPr>
          <w:color w:val="auto"/>
          <w:highlight w:val="none"/>
        </w:rPr>
        <w:tab/>
      </w:r>
      <w:r>
        <w:rPr>
          <w:color w:val="auto"/>
          <w:highlight w:val="none"/>
        </w:rPr>
        <w:fldChar w:fldCharType="begin"/>
      </w:r>
      <w:r>
        <w:rPr>
          <w:color w:val="auto"/>
          <w:highlight w:val="none"/>
        </w:rPr>
        <w:instrText xml:space="preserve"> PAGEREF _Toc13024 \h </w:instrText>
      </w:r>
      <w:r>
        <w:rPr>
          <w:color w:val="auto"/>
          <w:highlight w:val="none"/>
        </w:rPr>
        <w:fldChar w:fldCharType="separate"/>
      </w:r>
      <w:r>
        <w:rPr>
          <w:color w:val="auto"/>
          <w:highlight w:val="none"/>
        </w:rPr>
        <w:t>44</w:t>
      </w:r>
      <w:r>
        <w:rPr>
          <w:color w:val="auto"/>
          <w:highlight w:val="none"/>
        </w:rPr>
        <w:fldChar w:fldCharType="end"/>
      </w:r>
      <w:r>
        <w:rPr>
          <w:rFonts w:ascii="Times New Roman" w:hAnsi="Times New Roman" w:cs="Times New Roman"/>
          <w:bCs/>
          <w:color w:val="auto"/>
          <w:szCs w:val="24"/>
          <w:highlight w:val="none"/>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_Toc22537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3.8</w:t>
      </w:r>
      <w:r>
        <w:rPr>
          <w:rFonts w:hint="eastAsia" w:ascii="Times New Roman" w:hAnsi="Times New Roman" w:cs="宋体"/>
          <w:bCs/>
          <w:color w:val="auto"/>
          <w:szCs w:val="28"/>
          <w:highlight w:val="none"/>
        </w:rPr>
        <w:t>危险和有害因素分析总结</w:t>
      </w:r>
      <w:r>
        <w:rPr>
          <w:color w:val="auto"/>
          <w:highlight w:val="none"/>
        </w:rPr>
        <w:tab/>
      </w:r>
      <w:r>
        <w:rPr>
          <w:color w:val="auto"/>
          <w:highlight w:val="none"/>
        </w:rPr>
        <w:fldChar w:fldCharType="begin"/>
      </w:r>
      <w:r>
        <w:rPr>
          <w:color w:val="auto"/>
          <w:highlight w:val="none"/>
        </w:rPr>
        <w:instrText xml:space="preserve"> PAGEREF _Toc22537 \h </w:instrText>
      </w:r>
      <w:r>
        <w:rPr>
          <w:color w:val="auto"/>
          <w:highlight w:val="none"/>
        </w:rPr>
        <w:fldChar w:fldCharType="separate"/>
      </w:r>
      <w:r>
        <w:rPr>
          <w:color w:val="auto"/>
          <w:highlight w:val="none"/>
        </w:rPr>
        <w:t>44</w:t>
      </w:r>
      <w:r>
        <w:rPr>
          <w:color w:val="auto"/>
          <w:highlight w:val="none"/>
        </w:rPr>
        <w:fldChar w:fldCharType="end"/>
      </w:r>
      <w:r>
        <w:rPr>
          <w:rFonts w:ascii="Times New Roman" w:hAnsi="Times New Roman" w:cs="Times New Roman"/>
          <w:bCs/>
          <w:color w:val="auto"/>
          <w:szCs w:val="24"/>
          <w:highlight w:val="none"/>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_Toc3053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3.9</w:t>
      </w:r>
      <w:r>
        <w:rPr>
          <w:rFonts w:hint="eastAsia" w:ascii="Times New Roman" w:hAnsi="Times New Roman" w:cs="宋体"/>
          <w:bCs/>
          <w:color w:val="auto"/>
          <w:szCs w:val="28"/>
          <w:highlight w:val="none"/>
        </w:rPr>
        <w:t>爆炸危险区域划分</w:t>
      </w:r>
      <w:r>
        <w:rPr>
          <w:color w:val="auto"/>
          <w:highlight w:val="none"/>
        </w:rPr>
        <w:tab/>
      </w:r>
      <w:r>
        <w:rPr>
          <w:color w:val="auto"/>
          <w:highlight w:val="none"/>
        </w:rPr>
        <w:fldChar w:fldCharType="begin"/>
      </w:r>
      <w:r>
        <w:rPr>
          <w:color w:val="auto"/>
          <w:highlight w:val="none"/>
        </w:rPr>
        <w:instrText xml:space="preserve"> PAGEREF _Toc3053 \h </w:instrText>
      </w:r>
      <w:r>
        <w:rPr>
          <w:color w:val="auto"/>
          <w:highlight w:val="none"/>
        </w:rPr>
        <w:fldChar w:fldCharType="separate"/>
      </w:r>
      <w:r>
        <w:rPr>
          <w:color w:val="auto"/>
          <w:highlight w:val="none"/>
        </w:rPr>
        <w:t>44</w:t>
      </w:r>
      <w:r>
        <w:rPr>
          <w:color w:val="auto"/>
          <w:highlight w:val="none"/>
        </w:rPr>
        <w:fldChar w:fldCharType="end"/>
      </w:r>
      <w:r>
        <w:rPr>
          <w:rFonts w:ascii="Times New Roman" w:hAnsi="Times New Roman" w:cs="Times New Roman"/>
          <w:bCs/>
          <w:color w:val="auto"/>
          <w:szCs w:val="24"/>
          <w:highlight w:val="none"/>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_Toc21593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3.10 </w:t>
      </w:r>
      <w:r>
        <w:rPr>
          <w:rFonts w:hint="eastAsia" w:ascii="Times New Roman" w:hAnsi="Times New Roman" w:cs="宋体"/>
          <w:bCs/>
          <w:color w:val="auto"/>
          <w:szCs w:val="28"/>
          <w:highlight w:val="none"/>
        </w:rPr>
        <w:t>典型事故案例</w:t>
      </w:r>
      <w:r>
        <w:rPr>
          <w:color w:val="auto"/>
          <w:highlight w:val="none"/>
        </w:rPr>
        <w:tab/>
      </w:r>
      <w:r>
        <w:rPr>
          <w:color w:val="auto"/>
          <w:highlight w:val="none"/>
        </w:rPr>
        <w:fldChar w:fldCharType="begin"/>
      </w:r>
      <w:r>
        <w:rPr>
          <w:color w:val="auto"/>
          <w:highlight w:val="none"/>
        </w:rPr>
        <w:instrText xml:space="preserve"> PAGEREF _Toc21593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_Toc9281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4 </w:t>
      </w:r>
      <w:r>
        <w:rPr>
          <w:rFonts w:hint="eastAsia" w:ascii="宋体" w:hAnsi="宋体"/>
          <w:color w:val="auto"/>
          <w:szCs w:val="32"/>
          <w:highlight w:val="none"/>
        </w:rPr>
        <w:t>评价单元划分和评价方法选择</w:t>
      </w:r>
      <w:r>
        <w:rPr>
          <w:color w:val="auto"/>
          <w:highlight w:val="none"/>
        </w:rPr>
        <w:tab/>
      </w:r>
      <w:r>
        <w:rPr>
          <w:color w:val="auto"/>
          <w:highlight w:val="none"/>
        </w:rPr>
        <w:fldChar w:fldCharType="begin"/>
      </w:r>
      <w:r>
        <w:rPr>
          <w:color w:val="auto"/>
          <w:highlight w:val="none"/>
        </w:rPr>
        <w:instrText xml:space="preserve"> PAGEREF _Toc9281 \h </w:instrText>
      </w:r>
      <w:r>
        <w:rPr>
          <w:color w:val="auto"/>
          <w:highlight w:val="none"/>
        </w:rPr>
        <w:fldChar w:fldCharType="separate"/>
      </w:r>
      <w:r>
        <w:rPr>
          <w:color w:val="auto"/>
          <w:highlight w:val="none"/>
        </w:rPr>
        <w:t>48</w:t>
      </w:r>
      <w:r>
        <w:rPr>
          <w:color w:val="auto"/>
          <w:highlight w:val="none"/>
        </w:rPr>
        <w:fldChar w:fldCharType="end"/>
      </w:r>
      <w:r>
        <w:rPr>
          <w:rFonts w:ascii="Times New Roman" w:hAnsi="Times New Roman" w:cs="Times New Roman"/>
          <w:bCs/>
          <w:color w:val="auto"/>
          <w:szCs w:val="24"/>
          <w:highlight w:val="none"/>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_Toc30901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4.1 </w:t>
      </w:r>
      <w:r>
        <w:rPr>
          <w:rFonts w:hint="eastAsia" w:ascii="宋体" w:hAnsi="宋体"/>
          <w:color w:val="auto"/>
          <w:szCs w:val="30"/>
          <w:highlight w:val="none"/>
        </w:rPr>
        <w:t>评价单元的划分和评价方法选择</w:t>
      </w:r>
      <w:r>
        <w:rPr>
          <w:color w:val="auto"/>
          <w:highlight w:val="none"/>
        </w:rPr>
        <w:tab/>
      </w:r>
      <w:r>
        <w:rPr>
          <w:color w:val="auto"/>
          <w:highlight w:val="none"/>
        </w:rPr>
        <w:fldChar w:fldCharType="begin"/>
      </w:r>
      <w:r>
        <w:rPr>
          <w:color w:val="auto"/>
          <w:highlight w:val="none"/>
        </w:rPr>
        <w:instrText xml:space="preserve"> PAGEREF _Toc30901 \h </w:instrText>
      </w:r>
      <w:r>
        <w:rPr>
          <w:color w:val="auto"/>
          <w:highlight w:val="none"/>
        </w:rPr>
        <w:fldChar w:fldCharType="separate"/>
      </w:r>
      <w:r>
        <w:rPr>
          <w:color w:val="auto"/>
          <w:highlight w:val="none"/>
        </w:rPr>
        <w:t>48</w:t>
      </w:r>
      <w:r>
        <w:rPr>
          <w:color w:val="auto"/>
          <w:highlight w:val="none"/>
        </w:rPr>
        <w:fldChar w:fldCharType="end"/>
      </w:r>
      <w:r>
        <w:rPr>
          <w:rFonts w:ascii="Times New Roman" w:hAnsi="Times New Roman" w:cs="Times New Roman"/>
          <w:bCs/>
          <w:color w:val="auto"/>
          <w:szCs w:val="24"/>
          <w:highlight w:val="none"/>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_Toc12230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4.</w:t>
      </w:r>
      <w:r>
        <w:rPr>
          <w:rFonts w:hint="eastAsia" w:ascii="宋体" w:hAnsi="宋体"/>
          <w:color w:val="auto"/>
          <w:szCs w:val="30"/>
          <w:highlight w:val="none"/>
        </w:rPr>
        <w:t>2 评价方法简介</w:t>
      </w:r>
      <w:r>
        <w:rPr>
          <w:color w:val="auto"/>
          <w:highlight w:val="none"/>
        </w:rPr>
        <w:tab/>
      </w:r>
      <w:r>
        <w:rPr>
          <w:color w:val="auto"/>
          <w:highlight w:val="none"/>
        </w:rPr>
        <w:fldChar w:fldCharType="begin"/>
      </w:r>
      <w:r>
        <w:rPr>
          <w:color w:val="auto"/>
          <w:highlight w:val="none"/>
        </w:rPr>
        <w:instrText xml:space="preserve"> PAGEREF _Toc12230 \h </w:instrText>
      </w:r>
      <w:r>
        <w:rPr>
          <w:color w:val="auto"/>
          <w:highlight w:val="none"/>
        </w:rPr>
        <w:fldChar w:fldCharType="separate"/>
      </w:r>
      <w:r>
        <w:rPr>
          <w:color w:val="auto"/>
          <w:highlight w:val="none"/>
        </w:rPr>
        <w:t>48</w:t>
      </w:r>
      <w:r>
        <w:rPr>
          <w:color w:val="auto"/>
          <w:highlight w:val="none"/>
        </w:rPr>
        <w:fldChar w:fldCharType="end"/>
      </w:r>
      <w:r>
        <w:rPr>
          <w:rFonts w:ascii="Times New Roman" w:hAnsi="Times New Roman" w:cs="Times New Roman"/>
          <w:bCs/>
          <w:color w:val="auto"/>
          <w:szCs w:val="24"/>
          <w:highlight w:val="none"/>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_Toc10875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5 </w:t>
      </w:r>
      <w:r>
        <w:rPr>
          <w:rFonts w:hint="eastAsia" w:ascii="宋体" w:hAnsi="宋体"/>
          <w:color w:val="auto"/>
          <w:szCs w:val="32"/>
          <w:highlight w:val="none"/>
        </w:rPr>
        <w:t>定性、定量评价</w:t>
      </w:r>
      <w:r>
        <w:rPr>
          <w:color w:val="auto"/>
          <w:highlight w:val="none"/>
        </w:rPr>
        <w:tab/>
      </w:r>
      <w:r>
        <w:rPr>
          <w:color w:val="auto"/>
          <w:highlight w:val="none"/>
        </w:rPr>
        <w:fldChar w:fldCharType="begin"/>
      </w:r>
      <w:r>
        <w:rPr>
          <w:color w:val="auto"/>
          <w:highlight w:val="none"/>
        </w:rPr>
        <w:instrText xml:space="preserve"> PAGEREF _Toc10875 \h </w:instrText>
      </w:r>
      <w:r>
        <w:rPr>
          <w:color w:val="auto"/>
          <w:highlight w:val="none"/>
        </w:rPr>
        <w:fldChar w:fldCharType="separate"/>
      </w:r>
      <w:r>
        <w:rPr>
          <w:color w:val="auto"/>
          <w:highlight w:val="none"/>
        </w:rPr>
        <w:t>53</w:t>
      </w:r>
      <w:r>
        <w:rPr>
          <w:color w:val="auto"/>
          <w:highlight w:val="none"/>
        </w:rPr>
        <w:fldChar w:fldCharType="end"/>
      </w:r>
      <w:r>
        <w:rPr>
          <w:rFonts w:ascii="Times New Roman" w:hAnsi="Times New Roman" w:cs="Times New Roman"/>
          <w:bCs/>
          <w:color w:val="auto"/>
          <w:szCs w:val="24"/>
          <w:highlight w:val="none"/>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_Toc25365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5.1 作业条件危险性评价法（</w:t>
      </w:r>
      <w:r>
        <w:rPr>
          <w:rFonts w:hint="eastAsia" w:ascii="宋体" w:hAnsi="宋体"/>
          <w:color w:val="auto"/>
          <w:szCs w:val="30"/>
          <w:highlight w:val="none"/>
        </w:rPr>
        <w:t>D＝</w:t>
      </w:r>
      <w:r>
        <w:rPr>
          <w:rFonts w:ascii="宋体" w:hAnsi="宋体"/>
          <w:color w:val="auto"/>
          <w:szCs w:val="30"/>
          <w:highlight w:val="none"/>
        </w:rPr>
        <w:t>LEC）</w:t>
      </w:r>
      <w:r>
        <w:rPr>
          <w:color w:val="auto"/>
          <w:highlight w:val="none"/>
        </w:rPr>
        <w:tab/>
      </w:r>
      <w:r>
        <w:rPr>
          <w:color w:val="auto"/>
          <w:highlight w:val="none"/>
        </w:rPr>
        <w:fldChar w:fldCharType="begin"/>
      </w:r>
      <w:r>
        <w:rPr>
          <w:color w:val="auto"/>
          <w:highlight w:val="none"/>
        </w:rPr>
        <w:instrText xml:space="preserve"> PAGEREF _Toc25365 \h </w:instrText>
      </w:r>
      <w:r>
        <w:rPr>
          <w:color w:val="auto"/>
          <w:highlight w:val="none"/>
        </w:rPr>
        <w:fldChar w:fldCharType="separate"/>
      </w:r>
      <w:r>
        <w:rPr>
          <w:color w:val="auto"/>
          <w:highlight w:val="none"/>
        </w:rPr>
        <w:t>53</w:t>
      </w:r>
      <w:r>
        <w:rPr>
          <w:color w:val="auto"/>
          <w:highlight w:val="none"/>
        </w:rPr>
        <w:fldChar w:fldCharType="end"/>
      </w:r>
      <w:r>
        <w:rPr>
          <w:rFonts w:ascii="Times New Roman" w:hAnsi="Times New Roman" w:cs="Times New Roman"/>
          <w:bCs/>
          <w:color w:val="auto"/>
          <w:szCs w:val="24"/>
          <w:highlight w:val="none"/>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_Toc26056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5.2 </w:t>
      </w:r>
      <w:r>
        <w:rPr>
          <w:rFonts w:hint="eastAsia" w:ascii="宋体" w:hAnsi="宋体"/>
          <w:color w:val="auto"/>
          <w:szCs w:val="30"/>
          <w:highlight w:val="none"/>
        </w:rPr>
        <w:t>危险度评价</w:t>
      </w:r>
      <w:r>
        <w:rPr>
          <w:color w:val="auto"/>
          <w:highlight w:val="none"/>
        </w:rPr>
        <w:tab/>
      </w:r>
      <w:r>
        <w:rPr>
          <w:color w:val="auto"/>
          <w:highlight w:val="none"/>
        </w:rPr>
        <w:fldChar w:fldCharType="begin"/>
      </w:r>
      <w:r>
        <w:rPr>
          <w:color w:val="auto"/>
          <w:highlight w:val="none"/>
        </w:rPr>
        <w:instrText xml:space="preserve"> PAGEREF _Toc26056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_Toc9240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 xml:space="preserve">5.3 </w:t>
      </w:r>
      <w:r>
        <w:rPr>
          <w:rFonts w:ascii="宋体" w:hAnsi="宋体"/>
          <w:color w:val="auto"/>
          <w:szCs w:val="30"/>
          <w:highlight w:val="none"/>
        </w:rPr>
        <w:t>安全管理</w:t>
      </w:r>
      <w:r>
        <w:rPr>
          <w:color w:val="auto"/>
          <w:highlight w:val="none"/>
        </w:rPr>
        <w:tab/>
      </w:r>
      <w:r>
        <w:rPr>
          <w:color w:val="auto"/>
          <w:highlight w:val="none"/>
        </w:rPr>
        <w:fldChar w:fldCharType="begin"/>
      </w:r>
      <w:r>
        <w:rPr>
          <w:color w:val="auto"/>
          <w:highlight w:val="none"/>
        </w:rPr>
        <w:instrText xml:space="preserve"> PAGEREF _Toc9240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_Toc29212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5.4 站址选择符合性评价</w:t>
      </w:r>
      <w:r>
        <w:rPr>
          <w:color w:val="auto"/>
          <w:highlight w:val="none"/>
        </w:rPr>
        <w:tab/>
      </w:r>
      <w:r>
        <w:rPr>
          <w:color w:val="auto"/>
          <w:highlight w:val="none"/>
        </w:rPr>
        <w:fldChar w:fldCharType="begin"/>
      </w:r>
      <w:r>
        <w:rPr>
          <w:color w:val="auto"/>
          <w:highlight w:val="none"/>
        </w:rPr>
        <w:instrText xml:space="preserve"> PAGEREF _Toc29212 \h </w:instrText>
      </w:r>
      <w:r>
        <w:rPr>
          <w:color w:val="auto"/>
          <w:highlight w:val="none"/>
        </w:rPr>
        <w:fldChar w:fldCharType="separate"/>
      </w:r>
      <w:r>
        <w:rPr>
          <w:color w:val="auto"/>
          <w:highlight w:val="none"/>
        </w:rPr>
        <w:t>57</w:t>
      </w:r>
      <w:r>
        <w:rPr>
          <w:color w:val="auto"/>
          <w:highlight w:val="none"/>
        </w:rPr>
        <w:fldChar w:fldCharType="end"/>
      </w:r>
      <w:r>
        <w:rPr>
          <w:rFonts w:ascii="Times New Roman" w:hAnsi="Times New Roman" w:cs="Times New Roman"/>
          <w:bCs/>
          <w:color w:val="auto"/>
          <w:szCs w:val="24"/>
          <w:highlight w:val="none"/>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_Toc6308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5.5 平面布置符合性评价</w:t>
      </w:r>
      <w:r>
        <w:rPr>
          <w:color w:val="auto"/>
          <w:highlight w:val="none"/>
        </w:rPr>
        <w:tab/>
      </w:r>
      <w:r>
        <w:rPr>
          <w:color w:val="auto"/>
          <w:highlight w:val="none"/>
        </w:rPr>
        <w:fldChar w:fldCharType="begin"/>
      </w:r>
      <w:r>
        <w:rPr>
          <w:color w:val="auto"/>
          <w:highlight w:val="none"/>
        </w:rPr>
        <w:instrText xml:space="preserve"> PAGEREF _Toc6308 \h </w:instrText>
      </w:r>
      <w:r>
        <w:rPr>
          <w:color w:val="auto"/>
          <w:highlight w:val="none"/>
        </w:rPr>
        <w:fldChar w:fldCharType="separate"/>
      </w:r>
      <w:r>
        <w:rPr>
          <w:color w:val="auto"/>
          <w:highlight w:val="none"/>
        </w:rPr>
        <w:t>59</w:t>
      </w:r>
      <w:r>
        <w:rPr>
          <w:color w:val="auto"/>
          <w:highlight w:val="none"/>
        </w:rPr>
        <w:fldChar w:fldCharType="end"/>
      </w:r>
      <w:r>
        <w:rPr>
          <w:rFonts w:ascii="Times New Roman" w:hAnsi="Times New Roman" w:cs="Times New Roman"/>
          <w:bCs/>
          <w:color w:val="auto"/>
          <w:szCs w:val="24"/>
          <w:highlight w:val="none"/>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_Toc12545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5.6 工艺及设施符合性评价</w:t>
      </w:r>
      <w:r>
        <w:rPr>
          <w:color w:val="auto"/>
          <w:highlight w:val="none"/>
        </w:rPr>
        <w:tab/>
      </w:r>
      <w:r>
        <w:rPr>
          <w:color w:val="auto"/>
          <w:highlight w:val="none"/>
        </w:rPr>
        <w:fldChar w:fldCharType="begin"/>
      </w:r>
      <w:r>
        <w:rPr>
          <w:color w:val="auto"/>
          <w:highlight w:val="none"/>
        </w:rPr>
        <w:instrText xml:space="preserve"> PAGEREF _Toc12545 \h </w:instrText>
      </w:r>
      <w:r>
        <w:rPr>
          <w:color w:val="auto"/>
          <w:highlight w:val="none"/>
        </w:rPr>
        <w:fldChar w:fldCharType="separate"/>
      </w:r>
      <w:r>
        <w:rPr>
          <w:color w:val="auto"/>
          <w:highlight w:val="none"/>
        </w:rPr>
        <w:t>62</w:t>
      </w:r>
      <w:r>
        <w:rPr>
          <w:color w:val="auto"/>
          <w:highlight w:val="none"/>
        </w:rPr>
        <w:fldChar w:fldCharType="end"/>
      </w:r>
      <w:r>
        <w:rPr>
          <w:rFonts w:ascii="Times New Roman" w:hAnsi="Times New Roman" w:cs="Times New Roman"/>
          <w:bCs/>
          <w:color w:val="auto"/>
          <w:szCs w:val="24"/>
          <w:highlight w:val="none"/>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_Toc19196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5.7 消防设施及给排水符合性评价</w:t>
      </w:r>
      <w:r>
        <w:rPr>
          <w:color w:val="auto"/>
          <w:highlight w:val="none"/>
        </w:rPr>
        <w:tab/>
      </w:r>
      <w:r>
        <w:rPr>
          <w:color w:val="auto"/>
          <w:highlight w:val="none"/>
        </w:rPr>
        <w:fldChar w:fldCharType="begin"/>
      </w:r>
      <w:r>
        <w:rPr>
          <w:color w:val="auto"/>
          <w:highlight w:val="none"/>
        </w:rPr>
        <w:instrText xml:space="preserve"> PAGEREF _Toc19196 \h </w:instrText>
      </w:r>
      <w:r>
        <w:rPr>
          <w:color w:val="auto"/>
          <w:highlight w:val="none"/>
        </w:rPr>
        <w:fldChar w:fldCharType="separate"/>
      </w:r>
      <w:r>
        <w:rPr>
          <w:color w:val="auto"/>
          <w:highlight w:val="none"/>
        </w:rPr>
        <w:t>66</w:t>
      </w:r>
      <w:r>
        <w:rPr>
          <w:color w:val="auto"/>
          <w:highlight w:val="none"/>
        </w:rPr>
        <w:fldChar w:fldCharType="end"/>
      </w:r>
      <w:r>
        <w:rPr>
          <w:rFonts w:ascii="Times New Roman" w:hAnsi="Times New Roman" w:cs="Times New Roman"/>
          <w:bCs/>
          <w:color w:val="auto"/>
          <w:szCs w:val="24"/>
          <w:highlight w:val="none"/>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_Toc32519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5.8 电气、报警和紧急切断系统符合性评价</w:t>
      </w:r>
      <w:r>
        <w:rPr>
          <w:color w:val="auto"/>
          <w:highlight w:val="none"/>
        </w:rPr>
        <w:tab/>
      </w:r>
      <w:r>
        <w:rPr>
          <w:color w:val="auto"/>
          <w:highlight w:val="none"/>
        </w:rPr>
        <w:fldChar w:fldCharType="begin"/>
      </w:r>
      <w:r>
        <w:rPr>
          <w:color w:val="auto"/>
          <w:highlight w:val="none"/>
        </w:rPr>
        <w:instrText xml:space="preserve"> PAGEREF _Toc32519 \h </w:instrText>
      </w:r>
      <w:r>
        <w:rPr>
          <w:color w:val="auto"/>
          <w:highlight w:val="none"/>
        </w:rPr>
        <w:fldChar w:fldCharType="separate"/>
      </w:r>
      <w:r>
        <w:rPr>
          <w:color w:val="auto"/>
          <w:highlight w:val="none"/>
        </w:rPr>
        <w:t>67</w:t>
      </w:r>
      <w:r>
        <w:rPr>
          <w:color w:val="auto"/>
          <w:highlight w:val="none"/>
        </w:rPr>
        <w:fldChar w:fldCharType="end"/>
      </w:r>
      <w:r>
        <w:rPr>
          <w:rFonts w:ascii="Times New Roman" w:hAnsi="Times New Roman" w:cs="Times New Roman"/>
          <w:bCs/>
          <w:color w:val="auto"/>
          <w:szCs w:val="24"/>
          <w:highlight w:val="none"/>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_Toc7007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5.9 采暖通风、建（构）筑物、绿化符合性评价</w:t>
      </w:r>
      <w:r>
        <w:rPr>
          <w:color w:val="auto"/>
          <w:highlight w:val="none"/>
        </w:rPr>
        <w:tab/>
      </w:r>
      <w:r>
        <w:rPr>
          <w:color w:val="auto"/>
          <w:highlight w:val="none"/>
        </w:rPr>
        <w:fldChar w:fldCharType="begin"/>
      </w:r>
      <w:r>
        <w:rPr>
          <w:color w:val="auto"/>
          <w:highlight w:val="none"/>
        </w:rPr>
        <w:instrText xml:space="preserve"> PAGEREF _Toc7007 \h </w:instrText>
      </w:r>
      <w:r>
        <w:rPr>
          <w:color w:val="auto"/>
          <w:highlight w:val="none"/>
        </w:rPr>
        <w:fldChar w:fldCharType="separate"/>
      </w:r>
      <w:r>
        <w:rPr>
          <w:color w:val="auto"/>
          <w:highlight w:val="none"/>
        </w:rPr>
        <w:t>69</w:t>
      </w:r>
      <w:r>
        <w:rPr>
          <w:color w:val="auto"/>
          <w:highlight w:val="none"/>
        </w:rPr>
        <w:fldChar w:fldCharType="end"/>
      </w:r>
      <w:r>
        <w:rPr>
          <w:rFonts w:ascii="Times New Roman" w:hAnsi="Times New Roman" w:cs="Times New Roman"/>
          <w:bCs/>
          <w:color w:val="auto"/>
          <w:szCs w:val="24"/>
          <w:highlight w:val="none"/>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_Toc8603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5.10加油站作业安全规范评价</w:t>
      </w:r>
      <w:r>
        <w:rPr>
          <w:color w:val="auto"/>
          <w:highlight w:val="none"/>
        </w:rPr>
        <w:tab/>
      </w:r>
      <w:r>
        <w:rPr>
          <w:color w:val="auto"/>
          <w:highlight w:val="none"/>
        </w:rPr>
        <w:fldChar w:fldCharType="begin"/>
      </w:r>
      <w:r>
        <w:rPr>
          <w:color w:val="auto"/>
          <w:highlight w:val="none"/>
        </w:rPr>
        <w:instrText xml:space="preserve"> PAGEREF _Toc8603 \h </w:instrText>
      </w:r>
      <w:r>
        <w:rPr>
          <w:color w:val="auto"/>
          <w:highlight w:val="none"/>
        </w:rPr>
        <w:fldChar w:fldCharType="separate"/>
      </w:r>
      <w:r>
        <w:rPr>
          <w:color w:val="auto"/>
          <w:highlight w:val="none"/>
        </w:rPr>
        <w:t>71</w:t>
      </w:r>
      <w:r>
        <w:rPr>
          <w:color w:val="auto"/>
          <w:highlight w:val="none"/>
        </w:rPr>
        <w:fldChar w:fldCharType="end"/>
      </w:r>
      <w:r>
        <w:rPr>
          <w:rFonts w:ascii="Times New Roman" w:hAnsi="Times New Roman" w:cs="Times New Roman"/>
          <w:bCs/>
          <w:color w:val="auto"/>
          <w:szCs w:val="24"/>
          <w:highlight w:val="none"/>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_Toc12046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5.11 重点监管的危险化学品安全措施落实情况</w:t>
      </w:r>
      <w:r>
        <w:rPr>
          <w:color w:val="auto"/>
          <w:highlight w:val="none"/>
        </w:rPr>
        <w:tab/>
      </w:r>
      <w:r>
        <w:rPr>
          <w:color w:val="auto"/>
          <w:highlight w:val="none"/>
        </w:rPr>
        <w:fldChar w:fldCharType="begin"/>
      </w:r>
      <w:r>
        <w:rPr>
          <w:color w:val="auto"/>
          <w:highlight w:val="none"/>
        </w:rPr>
        <w:instrText xml:space="preserve"> PAGEREF _Toc12046 \h </w:instrText>
      </w:r>
      <w:r>
        <w:rPr>
          <w:color w:val="auto"/>
          <w:highlight w:val="none"/>
        </w:rPr>
        <w:fldChar w:fldCharType="separate"/>
      </w:r>
      <w:r>
        <w:rPr>
          <w:color w:val="auto"/>
          <w:highlight w:val="none"/>
        </w:rPr>
        <w:t>76</w:t>
      </w:r>
      <w:r>
        <w:rPr>
          <w:color w:val="auto"/>
          <w:highlight w:val="none"/>
        </w:rPr>
        <w:fldChar w:fldCharType="end"/>
      </w:r>
      <w:r>
        <w:rPr>
          <w:rFonts w:ascii="Times New Roman" w:hAnsi="Times New Roman" w:cs="Times New Roman"/>
          <w:bCs/>
          <w:color w:val="auto"/>
          <w:szCs w:val="24"/>
          <w:highlight w:val="none"/>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_Toc20598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5.12 重大事故隐患情况分析</w:t>
      </w:r>
      <w:r>
        <w:rPr>
          <w:color w:val="auto"/>
          <w:highlight w:val="none"/>
        </w:rPr>
        <w:tab/>
      </w:r>
      <w:r>
        <w:rPr>
          <w:color w:val="auto"/>
          <w:highlight w:val="none"/>
        </w:rPr>
        <w:fldChar w:fldCharType="begin"/>
      </w:r>
      <w:r>
        <w:rPr>
          <w:color w:val="auto"/>
          <w:highlight w:val="none"/>
        </w:rPr>
        <w:instrText xml:space="preserve"> PAGEREF _Toc20598 \h </w:instrText>
      </w:r>
      <w:r>
        <w:rPr>
          <w:color w:val="auto"/>
          <w:highlight w:val="none"/>
        </w:rPr>
        <w:fldChar w:fldCharType="separate"/>
      </w:r>
      <w:r>
        <w:rPr>
          <w:color w:val="auto"/>
          <w:highlight w:val="none"/>
        </w:rPr>
        <w:t>78</w:t>
      </w:r>
      <w:r>
        <w:rPr>
          <w:color w:val="auto"/>
          <w:highlight w:val="none"/>
        </w:rPr>
        <w:fldChar w:fldCharType="end"/>
      </w:r>
      <w:r>
        <w:rPr>
          <w:rFonts w:ascii="Times New Roman" w:hAnsi="Times New Roman" w:cs="Times New Roman"/>
          <w:bCs/>
          <w:color w:val="auto"/>
          <w:szCs w:val="24"/>
          <w:highlight w:val="none"/>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_Toc20583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5.13 安全分类整治评价</w:t>
      </w:r>
      <w:r>
        <w:rPr>
          <w:color w:val="auto"/>
          <w:highlight w:val="none"/>
        </w:rPr>
        <w:tab/>
      </w:r>
      <w:r>
        <w:rPr>
          <w:color w:val="auto"/>
          <w:highlight w:val="none"/>
        </w:rPr>
        <w:fldChar w:fldCharType="begin"/>
      </w:r>
      <w:r>
        <w:rPr>
          <w:color w:val="auto"/>
          <w:highlight w:val="none"/>
        </w:rPr>
        <w:instrText xml:space="preserve"> PAGEREF _Toc20583 \h </w:instrText>
      </w:r>
      <w:r>
        <w:rPr>
          <w:color w:val="auto"/>
          <w:highlight w:val="none"/>
        </w:rPr>
        <w:fldChar w:fldCharType="separate"/>
      </w:r>
      <w:r>
        <w:rPr>
          <w:color w:val="auto"/>
          <w:highlight w:val="none"/>
        </w:rPr>
        <w:t>80</w:t>
      </w:r>
      <w:r>
        <w:rPr>
          <w:color w:val="auto"/>
          <w:highlight w:val="none"/>
        </w:rPr>
        <w:fldChar w:fldCharType="end"/>
      </w:r>
      <w:r>
        <w:rPr>
          <w:rFonts w:ascii="Times New Roman" w:hAnsi="Times New Roman" w:cs="Times New Roman"/>
          <w:bCs/>
          <w:color w:val="auto"/>
          <w:szCs w:val="24"/>
          <w:highlight w:val="none"/>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_Toc8132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5.14 安全经营条件评价</w:t>
      </w:r>
      <w:r>
        <w:rPr>
          <w:color w:val="auto"/>
          <w:highlight w:val="none"/>
        </w:rPr>
        <w:tab/>
      </w:r>
      <w:r>
        <w:rPr>
          <w:color w:val="auto"/>
          <w:highlight w:val="none"/>
        </w:rPr>
        <w:fldChar w:fldCharType="begin"/>
      </w:r>
      <w:r>
        <w:rPr>
          <w:color w:val="auto"/>
          <w:highlight w:val="none"/>
        </w:rPr>
        <w:instrText xml:space="preserve"> PAGEREF _Toc8132 \h </w:instrText>
      </w:r>
      <w:r>
        <w:rPr>
          <w:color w:val="auto"/>
          <w:highlight w:val="none"/>
        </w:rPr>
        <w:fldChar w:fldCharType="separate"/>
      </w:r>
      <w:r>
        <w:rPr>
          <w:color w:val="auto"/>
          <w:highlight w:val="none"/>
        </w:rPr>
        <w:t>86</w:t>
      </w:r>
      <w:r>
        <w:rPr>
          <w:color w:val="auto"/>
          <w:highlight w:val="none"/>
        </w:rPr>
        <w:fldChar w:fldCharType="end"/>
      </w:r>
      <w:r>
        <w:rPr>
          <w:rFonts w:ascii="Times New Roman" w:hAnsi="Times New Roman" w:cs="Times New Roman"/>
          <w:bCs/>
          <w:color w:val="auto"/>
          <w:szCs w:val="24"/>
          <w:highlight w:val="none"/>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_Toc4370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5.15 安全设施符合性诊断及整改设计提出的对策措施采纳情况</w:t>
      </w:r>
      <w:r>
        <w:rPr>
          <w:color w:val="auto"/>
          <w:highlight w:val="none"/>
        </w:rPr>
        <w:tab/>
      </w:r>
      <w:r>
        <w:rPr>
          <w:color w:val="auto"/>
          <w:highlight w:val="none"/>
        </w:rPr>
        <w:fldChar w:fldCharType="begin"/>
      </w:r>
      <w:r>
        <w:rPr>
          <w:color w:val="auto"/>
          <w:highlight w:val="none"/>
        </w:rPr>
        <w:instrText xml:space="preserve"> PAGEREF _Toc4370 \h </w:instrText>
      </w:r>
      <w:r>
        <w:rPr>
          <w:color w:val="auto"/>
          <w:highlight w:val="none"/>
        </w:rPr>
        <w:fldChar w:fldCharType="separate"/>
      </w:r>
      <w:r>
        <w:rPr>
          <w:color w:val="auto"/>
          <w:highlight w:val="none"/>
        </w:rPr>
        <w:t>87</w:t>
      </w:r>
      <w:r>
        <w:rPr>
          <w:color w:val="auto"/>
          <w:highlight w:val="none"/>
        </w:rPr>
        <w:fldChar w:fldCharType="end"/>
      </w:r>
      <w:r>
        <w:rPr>
          <w:rFonts w:ascii="Times New Roman" w:hAnsi="Times New Roman" w:cs="Times New Roman"/>
          <w:bCs/>
          <w:color w:val="auto"/>
          <w:szCs w:val="24"/>
          <w:highlight w:val="none"/>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_Toc30760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w:t>
      </w:r>
      <w:r>
        <w:rPr>
          <w:rFonts w:hint="eastAsia" w:ascii="宋体" w:hAnsi="宋体"/>
          <w:color w:val="auto"/>
          <w:szCs w:val="30"/>
          <w:highlight w:val="none"/>
        </w:rPr>
        <w:t>16</w:t>
      </w:r>
      <w:r>
        <w:rPr>
          <w:rFonts w:ascii="宋体" w:hAnsi="宋体"/>
          <w:color w:val="auto"/>
          <w:szCs w:val="30"/>
          <w:highlight w:val="none"/>
        </w:rPr>
        <w:t xml:space="preserve"> 加油站安全检查表</w:t>
      </w:r>
      <w:r>
        <w:rPr>
          <w:color w:val="auto"/>
          <w:highlight w:val="none"/>
        </w:rPr>
        <w:tab/>
      </w:r>
      <w:r>
        <w:rPr>
          <w:color w:val="auto"/>
          <w:highlight w:val="none"/>
        </w:rPr>
        <w:fldChar w:fldCharType="begin"/>
      </w:r>
      <w:r>
        <w:rPr>
          <w:color w:val="auto"/>
          <w:highlight w:val="none"/>
        </w:rPr>
        <w:instrText xml:space="preserve"> PAGEREF _Toc30760 \h </w:instrText>
      </w:r>
      <w:r>
        <w:rPr>
          <w:color w:val="auto"/>
          <w:highlight w:val="none"/>
        </w:rPr>
        <w:fldChar w:fldCharType="separate"/>
      </w:r>
      <w:r>
        <w:rPr>
          <w:color w:val="auto"/>
          <w:highlight w:val="none"/>
        </w:rPr>
        <w:t>94</w:t>
      </w:r>
      <w:r>
        <w:rPr>
          <w:color w:val="auto"/>
          <w:highlight w:val="none"/>
        </w:rPr>
        <w:fldChar w:fldCharType="end"/>
      </w:r>
      <w:r>
        <w:rPr>
          <w:rFonts w:ascii="Times New Roman" w:hAnsi="Times New Roman" w:cs="Times New Roman"/>
          <w:bCs/>
          <w:color w:val="auto"/>
          <w:szCs w:val="24"/>
          <w:highlight w:val="none"/>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_Toc17999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kern w:val="36"/>
          <w:szCs w:val="32"/>
          <w:highlight w:val="none"/>
        </w:rPr>
        <w:t>6</w:t>
      </w:r>
      <w:r>
        <w:rPr>
          <w:rFonts w:ascii="Times New Roman" w:hAnsi="Times New Roman" w:cs="Times New Roman"/>
          <w:bCs/>
          <w:color w:val="auto"/>
          <w:kern w:val="36"/>
          <w:szCs w:val="32"/>
          <w:highlight w:val="none"/>
        </w:rPr>
        <w:t xml:space="preserve"> </w:t>
      </w:r>
      <w:r>
        <w:rPr>
          <w:rFonts w:hint="eastAsia" w:ascii="Times New Roman" w:hAnsi="Times New Roman" w:cs="宋体"/>
          <w:bCs/>
          <w:color w:val="auto"/>
          <w:kern w:val="36"/>
          <w:szCs w:val="32"/>
          <w:highlight w:val="none"/>
        </w:rPr>
        <w:t>整改落实情况</w:t>
      </w:r>
      <w:r>
        <w:rPr>
          <w:color w:val="auto"/>
          <w:highlight w:val="none"/>
        </w:rPr>
        <w:tab/>
      </w:r>
      <w:r>
        <w:rPr>
          <w:color w:val="auto"/>
          <w:highlight w:val="none"/>
        </w:rPr>
        <w:fldChar w:fldCharType="begin"/>
      </w:r>
      <w:r>
        <w:rPr>
          <w:color w:val="auto"/>
          <w:highlight w:val="none"/>
        </w:rPr>
        <w:instrText xml:space="preserve"> PAGEREF _Toc17999 \h </w:instrText>
      </w:r>
      <w:r>
        <w:rPr>
          <w:color w:val="auto"/>
          <w:highlight w:val="none"/>
        </w:rPr>
        <w:fldChar w:fldCharType="separate"/>
      </w:r>
      <w:r>
        <w:rPr>
          <w:color w:val="auto"/>
          <w:highlight w:val="none"/>
        </w:rPr>
        <w:t>102</w:t>
      </w:r>
      <w:r>
        <w:rPr>
          <w:color w:val="auto"/>
          <w:highlight w:val="none"/>
        </w:rPr>
        <w:fldChar w:fldCharType="end"/>
      </w:r>
      <w:r>
        <w:rPr>
          <w:rFonts w:ascii="Times New Roman" w:hAnsi="Times New Roman" w:cs="Times New Roman"/>
          <w:bCs/>
          <w:color w:val="auto"/>
          <w:szCs w:val="24"/>
          <w:highlight w:val="none"/>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_Toc29776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6.1</w:t>
      </w:r>
      <w:r>
        <w:rPr>
          <w:rFonts w:ascii="Times New Roman" w:hAnsi="Times New Roman" w:cs="Times New Roman"/>
          <w:bCs/>
          <w:color w:val="auto"/>
          <w:szCs w:val="28"/>
          <w:highlight w:val="none"/>
        </w:rPr>
        <w:t xml:space="preserve"> </w:t>
      </w:r>
      <w:r>
        <w:rPr>
          <w:rFonts w:hint="eastAsia" w:ascii="宋体" w:hAnsi="宋体" w:cs="宋体"/>
          <w:bCs/>
          <w:color w:val="auto"/>
          <w:szCs w:val="28"/>
          <w:highlight w:val="none"/>
        </w:rPr>
        <w:t>安全设施符合性诊断及整改设计提出的整改项落实情况</w:t>
      </w:r>
      <w:r>
        <w:rPr>
          <w:color w:val="auto"/>
          <w:highlight w:val="none"/>
        </w:rPr>
        <w:tab/>
      </w:r>
      <w:r>
        <w:rPr>
          <w:color w:val="auto"/>
          <w:highlight w:val="none"/>
        </w:rPr>
        <w:fldChar w:fldCharType="begin"/>
      </w:r>
      <w:r>
        <w:rPr>
          <w:color w:val="auto"/>
          <w:highlight w:val="none"/>
        </w:rPr>
        <w:instrText xml:space="preserve"> PAGEREF _Toc29776 \h </w:instrText>
      </w:r>
      <w:r>
        <w:rPr>
          <w:color w:val="auto"/>
          <w:highlight w:val="none"/>
        </w:rPr>
        <w:fldChar w:fldCharType="separate"/>
      </w:r>
      <w:r>
        <w:rPr>
          <w:color w:val="auto"/>
          <w:highlight w:val="none"/>
        </w:rPr>
        <w:t>102</w:t>
      </w:r>
      <w:r>
        <w:rPr>
          <w:color w:val="auto"/>
          <w:highlight w:val="none"/>
        </w:rPr>
        <w:fldChar w:fldCharType="end"/>
      </w:r>
      <w:r>
        <w:rPr>
          <w:rFonts w:ascii="Times New Roman" w:hAnsi="Times New Roman" w:cs="Times New Roman"/>
          <w:bCs/>
          <w:color w:val="auto"/>
          <w:szCs w:val="24"/>
          <w:highlight w:val="none"/>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_Toc30942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2</w:t>
      </w:r>
      <w:r>
        <w:rPr>
          <w:rFonts w:hint="eastAsia" w:ascii="Times New Roman" w:hAnsi="Times New Roman" w:cs="宋体"/>
          <w:bCs/>
          <w:color w:val="auto"/>
          <w:szCs w:val="28"/>
          <w:highlight w:val="none"/>
        </w:rPr>
        <w:t>隐患整改措施</w:t>
      </w:r>
      <w:r>
        <w:rPr>
          <w:color w:val="auto"/>
          <w:highlight w:val="none"/>
        </w:rPr>
        <w:tab/>
      </w:r>
      <w:r>
        <w:rPr>
          <w:color w:val="auto"/>
          <w:highlight w:val="none"/>
        </w:rPr>
        <w:fldChar w:fldCharType="begin"/>
      </w:r>
      <w:r>
        <w:rPr>
          <w:color w:val="auto"/>
          <w:highlight w:val="none"/>
        </w:rPr>
        <w:instrText xml:space="preserve"> PAGEREF _Toc30942 \h </w:instrText>
      </w:r>
      <w:r>
        <w:rPr>
          <w:color w:val="auto"/>
          <w:highlight w:val="none"/>
        </w:rPr>
        <w:fldChar w:fldCharType="separate"/>
      </w:r>
      <w:r>
        <w:rPr>
          <w:color w:val="auto"/>
          <w:highlight w:val="none"/>
        </w:rPr>
        <w:t>102</w:t>
      </w:r>
      <w:r>
        <w:rPr>
          <w:color w:val="auto"/>
          <w:highlight w:val="none"/>
        </w:rPr>
        <w:fldChar w:fldCharType="end"/>
      </w:r>
      <w:r>
        <w:rPr>
          <w:rFonts w:ascii="Times New Roman" w:hAnsi="Times New Roman" w:cs="Times New Roman"/>
          <w:bCs/>
          <w:color w:val="auto"/>
          <w:szCs w:val="24"/>
          <w:highlight w:val="none"/>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_Toc30644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3</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整改落实情况</w:t>
      </w:r>
      <w:r>
        <w:rPr>
          <w:color w:val="auto"/>
          <w:highlight w:val="none"/>
        </w:rPr>
        <w:tab/>
      </w:r>
      <w:r>
        <w:rPr>
          <w:color w:val="auto"/>
          <w:highlight w:val="none"/>
        </w:rPr>
        <w:fldChar w:fldCharType="begin"/>
      </w:r>
      <w:r>
        <w:rPr>
          <w:color w:val="auto"/>
          <w:highlight w:val="none"/>
        </w:rPr>
        <w:instrText xml:space="preserve"> PAGEREF _Toc30644 \h </w:instrText>
      </w:r>
      <w:r>
        <w:rPr>
          <w:color w:val="auto"/>
          <w:highlight w:val="none"/>
        </w:rPr>
        <w:fldChar w:fldCharType="separate"/>
      </w:r>
      <w:r>
        <w:rPr>
          <w:color w:val="auto"/>
          <w:highlight w:val="none"/>
        </w:rPr>
        <w:t>102</w:t>
      </w:r>
      <w:r>
        <w:rPr>
          <w:color w:val="auto"/>
          <w:highlight w:val="none"/>
        </w:rPr>
        <w:fldChar w:fldCharType="end"/>
      </w:r>
      <w:r>
        <w:rPr>
          <w:rFonts w:ascii="Times New Roman" w:hAnsi="Times New Roman" w:cs="Times New Roman"/>
          <w:bCs/>
          <w:color w:val="auto"/>
          <w:szCs w:val="24"/>
          <w:highlight w:val="none"/>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_Toc27939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4</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建议补充的安全对策措施</w:t>
      </w:r>
      <w:r>
        <w:rPr>
          <w:color w:val="auto"/>
          <w:highlight w:val="none"/>
        </w:rPr>
        <w:tab/>
      </w:r>
      <w:r>
        <w:rPr>
          <w:color w:val="auto"/>
          <w:highlight w:val="none"/>
        </w:rPr>
        <w:fldChar w:fldCharType="begin"/>
      </w:r>
      <w:r>
        <w:rPr>
          <w:color w:val="auto"/>
          <w:highlight w:val="none"/>
        </w:rPr>
        <w:instrText xml:space="preserve"> PAGEREF _Toc27939 \h </w:instrText>
      </w:r>
      <w:r>
        <w:rPr>
          <w:color w:val="auto"/>
          <w:highlight w:val="none"/>
        </w:rPr>
        <w:fldChar w:fldCharType="separate"/>
      </w:r>
      <w:r>
        <w:rPr>
          <w:color w:val="auto"/>
          <w:highlight w:val="none"/>
        </w:rPr>
        <w:t>102</w:t>
      </w:r>
      <w:r>
        <w:rPr>
          <w:color w:val="auto"/>
          <w:highlight w:val="none"/>
        </w:rPr>
        <w:fldChar w:fldCharType="end"/>
      </w:r>
      <w:r>
        <w:rPr>
          <w:rFonts w:ascii="Times New Roman" w:hAnsi="Times New Roman" w:cs="Times New Roman"/>
          <w:bCs/>
          <w:color w:val="auto"/>
          <w:szCs w:val="24"/>
          <w:highlight w:val="none"/>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_Toc12463 </w:instrText>
      </w:r>
      <w:r>
        <w:rPr>
          <w:rFonts w:ascii="Times New Roman" w:hAnsi="Times New Roman" w:cs="Times New Roman"/>
          <w:bCs/>
          <w:color w:val="auto"/>
          <w:szCs w:val="24"/>
          <w:highlight w:val="none"/>
        </w:rPr>
        <w:fldChar w:fldCharType="separate"/>
      </w:r>
      <w:r>
        <w:rPr>
          <w:rFonts w:hint="eastAsia"/>
          <w:color w:val="auto"/>
          <w:highlight w:val="none"/>
        </w:rPr>
        <w:t>7</w:t>
      </w:r>
      <w:r>
        <w:rPr>
          <w:color w:val="auto"/>
          <w:highlight w:val="none"/>
        </w:rPr>
        <w:t xml:space="preserve"> </w:t>
      </w:r>
      <w:r>
        <w:rPr>
          <w:rFonts w:hint="eastAsia"/>
          <w:color w:val="auto"/>
          <w:highlight w:val="none"/>
        </w:rPr>
        <w:t>安全验收评价结论</w:t>
      </w:r>
      <w:r>
        <w:rPr>
          <w:color w:val="auto"/>
          <w:highlight w:val="none"/>
        </w:rPr>
        <w:tab/>
      </w:r>
      <w:r>
        <w:rPr>
          <w:color w:val="auto"/>
          <w:highlight w:val="none"/>
        </w:rPr>
        <w:fldChar w:fldCharType="begin"/>
      </w:r>
      <w:r>
        <w:rPr>
          <w:color w:val="auto"/>
          <w:highlight w:val="none"/>
        </w:rPr>
        <w:instrText xml:space="preserve"> PAGEREF _Toc12463 \h </w:instrText>
      </w:r>
      <w:r>
        <w:rPr>
          <w:color w:val="auto"/>
          <w:highlight w:val="none"/>
        </w:rPr>
        <w:fldChar w:fldCharType="separate"/>
      </w:r>
      <w:r>
        <w:rPr>
          <w:color w:val="auto"/>
          <w:highlight w:val="none"/>
        </w:rPr>
        <w:t>104</w:t>
      </w:r>
      <w:r>
        <w:rPr>
          <w:color w:val="auto"/>
          <w:highlight w:val="none"/>
        </w:rPr>
        <w:fldChar w:fldCharType="end"/>
      </w:r>
      <w:r>
        <w:rPr>
          <w:rFonts w:ascii="Times New Roman" w:hAnsi="Times New Roman" w:cs="Times New Roman"/>
          <w:bCs/>
          <w:color w:val="auto"/>
          <w:szCs w:val="24"/>
          <w:highlight w:val="none"/>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_Toc19828 </w:instrText>
      </w:r>
      <w:r>
        <w:rPr>
          <w:rFonts w:ascii="Times New Roman" w:hAnsi="Times New Roman" w:cs="Times New Roman"/>
          <w:bCs/>
          <w:color w:val="auto"/>
          <w:szCs w:val="24"/>
          <w:highlight w:val="none"/>
        </w:rPr>
        <w:fldChar w:fldCharType="separate"/>
      </w:r>
      <w:r>
        <w:rPr>
          <w:rFonts w:hint="eastAsia" w:ascii="宋体" w:hAnsi="宋体"/>
          <w:color w:val="auto"/>
          <w:szCs w:val="32"/>
          <w:highlight w:val="none"/>
        </w:rPr>
        <w:t>附件</w:t>
      </w:r>
      <w:r>
        <w:rPr>
          <w:color w:val="auto"/>
          <w:highlight w:val="none"/>
        </w:rPr>
        <w:tab/>
      </w:r>
      <w:r>
        <w:rPr>
          <w:color w:val="auto"/>
          <w:highlight w:val="none"/>
        </w:rPr>
        <w:fldChar w:fldCharType="begin"/>
      </w:r>
      <w:r>
        <w:rPr>
          <w:color w:val="auto"/>
          <w:highlight w:val="none"/>
        </w:rPr>
        <w:instrText xml:space="preserve"> PAGEREF _Toc19828 \h </w:instrText>
      </w:r>
      <w:r>
        <w:rPr>
          <w:color w:val="auto"/>
          <w:highlight w:val="none"/>
        </w:rPr>
        <w:fldChar w:fldCharType="separate"/>
      </w:r>
      <w:r>
        <w:rPr>
          <w:color w:val="auto"/>
          <w:highlight w:val="none"/>
        </w:rPr>
        <w:t>106</w:t>
      </w:r>
      <w:r>
        <w:rPr>
          <w:color w:val="auto"/>
          <w:highlight w:val="none"/>
        </w:rP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龙南石油分公司冯湾加油站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321C9A95">
      <w:pPr>
        <w:pStyle w:val="2"/>
        <w:rPr>
          <w:color w:val="auto"/>
          <w:sz w:val="32"/>
          <w:szCs w:val="32"/>
          <w:highlight w:val="none"/>
        </w:rPr>
      </w:pPr>
      <w:bookmarkStart w:id="0" w:name="_Toc18141"/>
      <w:bookmarkStart w:id="1" w:name="_Toc16878"/>
    </w:p>
    <w:p w14:paraId="77DDBEFE">
      <w:pPr>
        <w:pStyle w:val="2"/>
        <w:pageBreakBefore w:val="0"/>
        <w:kinsoku/>
        <w:wordWrap/>
        <w:overflowPunct/>
        <w:topLinePunct w:val="0"/>
        <w:autoSpaceDE/>
        <w:autoSpaceDN/>
        <w:bidi w:val="0"/>
        <w:spacing w:line="580" w:lineRule="exact"/>
        <w:textAlignment w:val="auto"/>
        <w:rPr>
          <w:color w:val="auto"/>
          <w:sz w:val="32"/>
          <w:szCs w:val="32"/>
          <w:highlight w:val="none"/>
        </w:rPr>
      </w:pPr>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highlight w:val="none"/>
        </w:rPr>
      </w:pPr>
      <w:bookmarkStart w:id="2" w:name="_Toc343692239"/>
      <w:bookmarkStart w:id="3" w:name="_Toc13532"/>
      <w:bookmarkStart w:id="4" w:name="_Toc20305"/>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highlight w:val="none"/>
        </w:rPr>
      </w:pPr>
      <w:bookmarkStart w:id="7" w:name="_Toc26059"/>
      <w:bookmarkStart w:id="8" w:name="_Toc343692240"/>
      <w:bookmarkStart w:id="9" w:name="_Toc15227"/>
      <w:r>
        <w:rPr>
          <w:color w:val="auto"/>
          <w:highlight w:val="none"/>
        </w:rPr>
        <w:t>1.2</w:t>
      </w:r>
      <w:r>
        <w:rPr>
          <w:rFonts w:hint="eastAsia" w:cs="宋体"/>
          <w:color w:val="auto"/>
          <w:highlight w:val="none"/>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生产安全事故应急预案管理办法</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highlight w:val="none"/>
        </w:rPr>
      </w:pPr>
      <w:bookmarkStart w:id="13" w:name="_Toc29244"/>
      <w:bookmarkStart w:id="14" w:name="_Toc17019"/>
      <w:r>
        <w:rPr>
          <w:color w:val="auto"/>
          <w:highlight w:val="none"/>
        </w:rPr>
        <w:t>1.3</w:t>
      </w:r>
      <w:r>
        <w:rPr>
          <w:rFonts w:hint="eastAsia" w:cs="宋体"/>
          <w:color w:val="auto"/>
          <w:highlight w:val="none"/>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龙南冯湾加油站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highlight w:val="none"/>
        </w:rPr>
      </w:pPr>
      <w:bookmarkStart w:id="17" w:name="_Toc343692242"/>
      <w:bookmarkStart w:id="18" w:name="_Toc790"/>
      <w:bookmarkStart w:id="19" w:name="_Toc30418"/>
      <w:r>
        <w:rPr>
          <w:rStyle w:val="36"/>
          <w:color w:val="auto"/>
          <w:highlight w:val="none"/>
        </w:rPr>
        <w:t>1.4</w:t>
      </w:r>
      <w:r>
        <w:rPr>
          <w:rStyle w:val="36"/>
          <w:rFonts w:hint="eastAsia" w:cs="宋体"/>
          <w:color w:val="auto"/>
          <w:highlight w:val="none"/>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3"/>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highlight w:val="none"/>
        </w:rPr>
      </w:pPr>
    </w:p>
    <w:p w14:paraId="4B41B4EE">
      <w:pPr>
        <w:pStyle w:val="33"/>
        <w:rPr>
          <w:rFonts w:cs="Times New Roman"/>
          <w:color w:val="auto"/>
          <w:highlight w:val="none"/>
        </w:rPr>
      </w:pPr>
    </w:p>
    <w:p w14:paraId="00A736DC">
      <w:pPr>
        <w:pStyle w:val="33"/>
        <w:rPr>
          <w:rFonts w:cs="Times New Roman"/>
          <w:color w:val="auto"/>
          <w:highlight w:val="none"/>
        </w:rPr>
      </w:pPr>
    </w:p>
    <w:p w14:paraId="145D5834">
      <w:pPr>
        <w:pStyle w:val="33"/>
        <w:rPr>
          <w:rFonts w:cs="Times New Roman"/>
          <w:color w:val="auto"/>
          <w:highlight w:val="none"/>
        </w:rPr>
      </w:pPr>
    </w:p>
    <w:p w14:paraId="4D890F11">
      <w:pPr>
        <w:pStyle w:val="33"/>
        <w:rPr>
          <w:rFonts w:cs="Times New Roman"/>
          <w:color w:val="auto"/>
          <w:highlight w:val="none"/>
        </w:rPr>
      </w:pPr>
    </w:p>
    <w:p w14:paraId="7B08B412">
      <w:pPr>
        <w:pStyle w:val="33"/>
        <w:rPr>
          <w:rFonts w:cs="Times New Roman"/>
          <w:color w:val="auto"/>
          <w:highlight w:val="none"/>
        </w:rPr>
      </w:pPr>
    </w:p>
    <w:p w14:paraId="078600A9">
      <w:pPr>
        <w:pStyle w:val="33"/>
        <w:rPr>
          <w:rFonts w:cs="Times New Roman"/>
          <w:color w:val="auto"/>
          <w:highlight w:val="none"/>
        </w:rPr>
      </w:pPr>
    </w:p>
    <w:p w14:paraId="561DD7E9">
      <w:pPr>
        <w:pStyle w:val="33"/>
        <w:rPr>
          <w:rFonts w:cs="Times New Roman"/>
          <w:color w:val="auto"/>
          <w:highlight w:val="none"/>
        </w:rPr>
      </w:pPr>
    </w:p>
    <w:p w14:paraId="0A669B41">
      <w:pPr>
        <w:pStyle w:val="33"/>
        <w:rPr>
          <w:rFonts w:cs="Times New Roman"/>
          <w:color w:val="auto"/>
          <w:highlight w:val="none"/>
        </w:rPr>
      </w:pPr>
    </w:p>
    <w:p w14:paraId="40AB3319">
      <w:pPr>
        <w:pStyle w:val="33"/>
        <w:rPr>
          <w:rFonts w:cs="Times New Roman"/>
          <w:color w:val="auto"/>
          <w:highlight w:val="none"/>
        </w:rPr>
      </w:pPr>
    </w:p>
    <w:p w14:paraId="33AE0939">
      <w:pPr>
        <w:pStyle w:val="33"/>
        <w:rPr>
          <w:rFonts w:cs="Times New Roman"/>
          <w:color w:val="auto"/>
          <w:highlight w:val="none"/>
        </w:rPr>
      </w:pPr>
    </w:p>
    <w:p w14:paraId="44199675">
      <w:pPr>
        <w:pStyle w:val="33"/>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3"/>
        <w:ind w:firstLine="0"/>
        <w:outlineLvl w:val="0"/>
        <w:rPr>
          <w:rStyle w:val="35"/>
          <w:color w:val="auto"/>
          <w:highlight w:val="none"/>
        </w:rPr>
      </w:pPr>
      <w:bookmarkStart w:id="20" w:name="_Toc343692243"/>
      <w:bookmarkStart w:id="21" w:name="_Toc22287"/>
      <w:bookmarkStart w:id="22" w:name="_Toc3289"/>
      <w:r>
        <w:rPr>
          <w:rStyle w:val="35"/>
          <w:color w:val="auto"/>
          <w:highlight w:val="none"/>
        </w:rPr>
        <w:br w:type="page"/>
      </w:r>
      <w:bookmarkStart w:id="23" w:name="_Toc28665"/>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11122"/>
      <w:bookmarkStart w:id="25" w:name="_Toc14502"/>
      <w:bookmarkStart w:id="26" w:name="_Toc343692244"/>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089BA51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龙南石油分公司冯湾加油站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龙南冯湾加油站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lang w:val="en-US" w:eastAsia="zh-CN"/>
        </w:rPr>
        <w:t>05</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11</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15</w:t>
      </w:r>
      <w:r>
        <w:rPr>
          <w:rFonts w:hint="eastAsia" w:ascii="Times New Roman" w:hAnsi="Times New Roman" w:cs="Times New Roman"/>
          <w:color w:val="auto"/>
          <w:sz w:val="28"/>
          <w:szCs w:val="28"/>
          <w:highlight w:val="none"/>
        </w:rPr>
        <w:t>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江西省龙南市里仁镇</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个，总容积为</w:t>
      </w:r>
      <w:r>
        <w:rPr>
          <w:rFonts w:hint="eastAsia" w:ascii="Times New Roman" w:hAnsi="Times New Roman" w:cs="Times New Roman"/>
          <w:color w:val="auto"/>
          <w:spacing w:val="-4"/>
          <w:sz w:val="28"/>
          <w:szCs w:val="28"/>
          <w:highlight w:val="none"/>
          <w:lang w:val="en-US" w:eastAsia="zh-CN"/>
        </w:rPr>
        <w:t>150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120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，为</w:t>
      </w:r>
      <w:r>
        <w:rPr>
          <w:rFonts w:hint="eastAsia" w:ascii="Times New Roman" w:hAnsi="Times New Roman" w:cs="Times New Roman"/>
          <w:color w:val="auto"/>
          <w:spacing w:val="-4"/>
          <w:sz w:val="28"/>
          <w:szCs w:val="28"/>
          <w:highlight w:val="none"/>
          <w:lang w:val="en-US" w:eastAsia="zh-CN"/>
        </w:rPr>
        <w:t>二</w:t>
      </w:r>
      <w:r>
        <w:rPr>
          <w:rFonts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赣虔龙</w:t>
      </w:r>
      <w:r>
        <w:rPr>
          <w:rFonts w:hint="eastAsia" w:ascii="Times New Roman" w:hAnsi="Times New Roman" w:cs="Times New Roman"/>
          <w:color w:val="auto"/>
          <w:sz w:val="28"/>
          <w:szCs w:val="28"/>
          <w:highlight w:val="none"/>
          <w:lang w:val="en-US" w:eastAsia="zh-CN"/>
        </w:rPr>
        <w:t>安经（甲）</w:t>
      </w:r>
      <w:r>
        <w:rPr>
          <w:rFonts w:hint="eastAsia" w:ascii="Times New Roman" w:hAnsi="Times New Roman" w:cs="Times New Roman"/>
          <w:color w:val="auto"/>
          <w:sz w:val="28"/>
          <w:szCs w:val="28"/>
          <w:highlight w:val="none"/>
        </w:rPr>
        <w:t>字[2023]07号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0B12AD7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龙南石油分公司冯湾加油站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龙南冯湾加油站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1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0"/>
        <w:gridCol w:w="714"/>
        <w:gridCol w:w="507"/>
        <w:gridCol w:w="273"/>
        <w:gridCol w:w="200"/>
        <w:gridCol w:w="783"/>
        <w:gridCol w:w="429"/>
        <w:gridCol w:w="641"/>
        <w:gridCol w:w="212"/>
        <w:gridCol w:w="646"/>
        <w:gridCol w:w="107"/>
        <w:gridCol w:w="108"/>
        <w:gridCol w:w="532"/>
        <w:gridCol w:w="317"/>
        <w:gridCol w:w="544"/>
        <w:gridCol w:w="415"/>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87"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752"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龙南石油分公司冯湾加油站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752"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江西省龙南市里仁镇</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694"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12"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14" w:type="dxa"/>
            <w:gridSpan w:val="5"/>
            <w:vAlign w:val="center"/>
          </w:tcPr>
          <w:p w14:paraId="20224B41">
            <w:pPr>
              <w:spacing w:line="260" w:lineRule="exact"/>
              <w:jc w:val="center"/>
              <w:rPr>
                <w:rFonts w:ascii="Times New Roman" w:hAnsi="Times New Roman" w:cs="宋体"/>
                <w:color w:val="auto"/>
                <w:highlight w:val="none"/>
              </w:rPr>
            </w:pPr>
          </w:p>
        </w:tc>
        <w:tc>
          <w:tcPr>
            <w:tcW w:w="1393"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39"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752"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752"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752"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752"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06"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魏培昌</w:t>
            </w:r>
          </w:p>
        </w:tc>
        <w:tc>
          <w:tcPr>
            <w:tcW w:w="1499"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47"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曾荣胜</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21"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531"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江西省龙南市里仁镇</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21"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531"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21"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531"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龙南冯湾加油站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21"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38"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SF 双层储罐</w:t>
            </w:r>
          </w:p>
        </w:tc>
        <w:tc>
          <w:tcPr>
            <w:tcW w:w="1393"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00"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15</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120</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21"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531"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13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81"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18"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40"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44"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0"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83"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70"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65"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57"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59"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24"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A2D74E5">
            <w:pPr>
              <w:spacing w:line="260" w:lineRule="exact"/>
              <w:jc w:val="center"/>
              <w:rPr>
                <w:rFonts w:ascii="Times New Roman" w:hAnsi="Times New Roman" w:cs="宋体"/>
                <w:color w:val="auto"/>
                <w:highlight w:val="none"/>
              </w:rPr>
            </w:pPr>
          </w:p>
        </w:tc>
        <w:tc>
          <w:tcPr>
            <w:tcW w:w="1144" w:type="dxa"/>
            <w:gridSpan w:val="2"/>
            <w:vAlign w:val="center"/>
          </w:tcPr>
          <w:p w14:paraId="6CB4BFAE">
            <w:pPr>
              <w:spacing w:line="260" w:lineRule="exact"/>
              <w:jc w:val="center"/>
              <w:rPr>
                <w:rFonts w:ascii="Times New Roman" w:hAnsi="Times New Roman" w:cs="宋体"/>
                <w:color w:val="auto"/>
                <w:highlight w:val="none"/>
              </w:rPr>
            </w:pPr>
          </w:p>
        </w:tc>
        <w:tc>
          <w:tcPr>
            <w:tcW w:w="780" w:type="dxa"/>
            <w:gridSpan w:val="2"/>
            <w:vAlign w:val="center"/>
          </w:tcPr>
          <w:p w14:paraId="309C1C94">
            <w:pPr>
              <w:spacing w:line="260" w:lineRule="exact"/>
              <w:jc w:val="center"/>
              <w:rPr>
                <w:rFonts w:ascii="Times New Roman" w:hAnsi="Times New Roman" w:cs="宋体"/>
                <w:color w:val="auto"/>
                <w:highlight w:val="none"/>
              </w:rPr>
            </w:pPr>
          </w:p>
        </w:tc>
        <w:tc>
          <w:tcPr>
            <w:tcW w:w="983"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70"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65"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57" w:type="dxa"/>
            <w:gridSpan w:val="3"/>
            <w:vAlign w:val="center"/>
          </w:tcPr>
          <w:p w14:paraId="4CC05A04">
            <w:pPr>
              <w:spacing w:line="260" w:lineRule="exact"/>
              <w:jc w:val="center"/>
              <w:rPr>
                <w:rFonts w:ascii="Times New Roman" w:hAnsi="Times New Roman" w:cs="宋体"/>
                <w:color w:val="auto"/>
                <w:highlight w:val="none"/>
              </w:rPr>
            </w:pPr>
          </w:p>
        </w:tc>
        <w:tc>
          <w:tcPr>
            <w:tcW w:w="959" w:type="dxa"/>
            <w:gridSpan w:val="2"/>
            <w:vAlign w:val="center"/>
          </w:tcPr>
          <w:p w14:paraId="5C7C732F">
            <w:pPr>
              <w:spacing w:line="260" w:lineRule="exact"/>
              <w:jc w:val="center"/>
              <w:rPr>
                <w:rFonts w:ascii="Times New Roman" w:hAnsi="Times New Roman" w:cs="宋体"/>
                <w:color w:val="auto"/>
                <w:highlight w:val="none"/>
              </w:rPr>
            </w:pPr>
          </w:p>
        </w:tc>
        <w:tc>
          <w:tcPr>
            <w:tcW w:w="1324" w:type="dxa"/>
            <w:vAlign w:val="center"/>
          </w:tcPr>
          <w:p w14:paraId="607EA6EE">
            <w:pPr>
              <w:spacing w:line="260" w:lineRule="exact"/>
              <w:jc w:val="center"/>
              <w:rPr>
                <w:rFonts w:ascii="Times New Roman" w:hAnsi="Times New Roman" w:cs="宋体"/>
                <w:color w:val="auto"/>
                <w:highlight w:val="none"/>
              </w:rPr>
            </w:pPr>
          </w:p>
        </w:tc>
      </w:tr>
      <w:tr w14:paraId="08A23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DBBBAEF">
            <w:pPr>
              <w:spacing w:line="260" w:lineRule="exact"/>
              <w:jc w:val="center"/>
              <w:rPr>
                <w:rFonts w:ascii="Times New Roman" w:hAnsi="Times New Roman" w:cs="宋体"/>
                <w:color w:val="auto"/>
                <w:highlight w:val="none"/>
              </w:rPr>
            </w:pPr>
          </w:p>
        </w:tc>
        <w:tc>
          <w:tcPr>
            <w:tcW w:w="1144" w:type="dxa"/>
            <w:gridSpan w:val="2"/>
            <w:vAlign w:val="center"/>
          </w:tcPr>
          <w:p w14:paraId="63E21370">
            <w:pPr>
              <w:spacing w:line="260" w:lineRule="exact"/>
              <w:jc w:val="center"/>
              <w:rPr>
                <w:rFonts w:ascii="Times New Roman" w:hAnsi="Times New Roman" w:cs="宋体"/>
                <w:color w:val="auto"/>
                <w:highlight w:val="none"/>
              </w:rPr>
            </w:pPr>
          </w:p>
        </w:tc>
        <w:tc>
          <w:tcPr>
            <w:tcW w:w="780" w:type="dxa"/>
            <w:gridSpan w:val="2"/>
            <w:vAlign w:val="center"/>
          </w:tcPr>
          <w:p w14:paraId="496804DF">
            <w:pPr>
              <w:spacing w:line="260" w:lineRule="exact"/>
              <w:jc w:val="center"/>
              <w:rPr>
                <w:rFonts w:ascii="Times New Roman" w:hAnsi="Times New Roman" w:cs="宋体"/>
                <w:color w:val="auto"/>
                <w:highlight w:val="none"/>
              </w:rPr>
            </w:pPr>
          </w:p>
        </w:tc>
        <w:tc>
          <w:tcPr>
            <w:tcW w:w="983" w:type="dxa"/>
            <w:gridSpan w:val="2"/>
            <w:shd w:val="clear" w:color="auto" w:fill="auto"/>
            <w:vAlign w:val="center"/>
          </w:tcPr>
          <w:p w14:paraId="693A7902">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0#柴油</w:t>
            </w:r>
          </w:p>
        </w:tc>
        <w:tc>
          <w:tcPr>
            <w:tcW w:w="1070" w:type="dxa"/>
            <w:gridSpan w:val="2"/>
            <w:shd w:val="clear" w:color="auto" w:fill="auto"/>
            <w:vAlign w:val="center"/>
          </w:tcPr>
          <w:p w14:paraId="2EB2F133">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65" w:type="dxa"/>
            <w:gridSpan w:val="3"/>
            <w:shd w:val="clear" w:color="auto" w:fill="auto"/>
            <w:vAlign w:val="center"/>
          </w:tcPr>
          <w:p w14:paraId="65EF2F83">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车用</w:t>
            </w:r>
          </w:p>
        </w:tc>
        <w:tc>
          <w:tcPr>
            <w:tcW w:w="957" w:type="dxa"/>
            <w:gridSpan w:val="3"/>
            <w:vAlign w:val="center"/>
          </w:tcPr>
          <w:p w14:paraId="0D7A3D0E">
            <w:pPr>
              <w:spacing w:line="260" w:lineRule="exact"/>
              <w:jc w:val="center"/>
              <w:rPr>
                <w:rFonts w:ascii="Times New Roman" w:hAnsi="Times New Roman" w:cs="宋体"/>
                <w:color w:val="auto"/>
                <w:highlight w:val="none"/>
              </w:rPr>
            </w:pPr>
          </w:p>
        </w:tc>
        <w:tc>
          <w:tcPr>
            <w:tcW w:w="959" w:type="dxa"/>
            <w:gridSpan w:val="2"/>
            <w:vAlign w:val="center"/>
          </w:tcPr>
          <w:p w14:paraId="2FF4EDAB">
            <w:pPr>
              <w:spacing w:line="260" w:lineRule="exact"/>
              <w:jc w:val="center"/>
              <w:rPr>
                <w:rFonts w:ascii="Times New Roman" w:hAnsi="Times New Roman" w:cs="宋体"/>
                <w:color w:val="auto"/>
                <w:highlight w:val="none"/>
              </w:rPr>
            </w:pPr>
          </w:p>
        </w:tc>
        <w:tc>
          <w:tcPr>
            <w:tcW w:w="1324" w:type="dxa"/>
            <w:vAlign w:val="center"/>
          </w:tcPr>
          <w:p w14:paraId="0208427E">
            <w:pPr>
              <w:spacing w:line="260" w:lineRule="exact"/>
              <w:jc w:val="center"/>
              <w:rPr>
                <w:rFonts w:ascii="Times New Roman" w:hAnsi="Times New Roman" w:cs="宋体"/>
                <w:color w:val="auto"/>
                <w:highlight w:val="none"/>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94BC269">
            <w:pPr>
              <w:spacing w:line="260" w:lineRule="exact"/>
              <w:jc w:val="center"/>
              <w:rPr>
                <w:rFonts w:ascii="Times New Roman" w:hAnsi="Times New Roman" w:cs="宋体"/>
                <w:color w:val="auto"/>
                <w:highlight w:val="none"/>
              </w:rPr>
            </w:pPr>
          </w:p>
        </w:tc>
        <w:tc>
          <w:tcPr>
            <w:tcW w:w="1144" w:type="dxa"/>
            <w:gridSpan w:val="2"/>
            <w:vAlign w:val="center"/>
          </w:tcPr>
          <w:p w14:paraId="362F30AC">
            <w:pPr>
              <w:spacing w:line="260" w:lineRule="exact"/>
              <w:jc w:val="center"/>
              <w:rPr>
                <w:rFonts w:ascii="Times New Roman" w:hAnsi="Times New Roman" w:cs="宋体"/>
                <w:color w:val="auto"/>
                <w:highlight w:val="none"/>
              </w:rPr>
            </w:pPr>
          </w:p>
        </w:tc>
        <w:tc>
          <w:tcPr>
            <w:tcW w:w="780" w:type="dxa"/>
            <w:gridSpan w:val="2"/>
            <w:vAlign w:val="center"/>
          </w:tcPr>
          <w:p w14:paraId="722DDC89">
            <w:pPr>
              <w:spacing w:line="260" w:lineRule="exact"/>
              <w:jc w:val="center"/>
              <w:rPr>
                <w:rFonts w:ascii="Times New Roman" w:hAnsi="Times New Roman" w:cs="宋体"/>
                <w:color w:val="auto"/>
                <w:highlight w:val="none"/>
              </w:rPr>
            </w:pPr>
          </w:p>
        </w:tc>
        <w:tc>
          <w:tcPr>
            <w:tcW w:w="983" w:type="dxa"/>
            <w:gridSpan w:val="2"/>
            <w:shd w:val="clear" w:color="auto" w:fill="auto"/>
            <w:vAlign w:val="center"/>
          </w:tcPr>
          <w:p w14:paraId="2AC8601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92#汽油</w:t>
            </w:r>
          </w:p>
        </w:tc>
        <w:tc>
          <w:tcPr>
            <w:tcW w:w="1070" w:type="dxa"/>
            <w:gridSpan w:val="2"/>
            <w:shd w:val="clear" w:color="auto" w:fill="auto"/>
            <w:vAlign w:val="center"/>
          </w:tcPr>
          <w:p w14:paraId="2B6B5911">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65" w:type="dxa"/>
            <w:gridSpan w:val="3"/>
            <w:shd w:val="clear" w:color="auto" w:fill="auto"/>
            <w:vAlign w:val="center"/>
          </w:tcPr>
          <w:p w14:paraId="197EB4F2">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57" w:type="dxa"/>
            <w:gridSpan w:val="3"/>
            <w:vAlign w:val="center"/>
          </w:tcPr>
          <w:p w14:paraId="56D8FB21">
            <w:pPr>
              <w:spacing w:line="260" w:lineRule="exact"/>
              <w:jc w:val="center"/>
              <w:rPr>
                <w:rFonts w:ascii="Times New Roman" w:hAnsi="Times New Roman" w:cs="宋体"/>
                <w:color w:val="auto"/>
                <w:highlight w:val="none"/>
              </w:rPr>
            </w:pPr>
          </w:p>
        </w:tc>
        <w:tc>
          <w:tcPr>
            <w:tcW w:w="959" w:type="dxa"/>
            <w:gridSpan w:val="2"/>
            <w:vAlign w:val="center"/>
          </w:tcPr>
          <w:p w14:paraId="0F153FA9">
            <w:pPr>
              <w:spacing w:line="260" w:lineRule="exact"/>
              <w:jc w:val="center"/>
              <w:rPr>
                <w:rFonts w:ascii="Times New Roman" w:hAnsi="Times New Roman" w:cs="宋体"/>
                <w:color w:val="auto"/>
                <w:highlight w:val="none"/>
              </w:rPr>
            </w:pPr>
          </w:p>
        </w:tc>
        <w:tc>
          <w:tcPr>
            <w:tcW w:w="1324" w:type="dxa"/>
            <w:vAlign w:val="center"/>
          </w:tcPr>
          <w:p w14:paraId="154DA748">
            <w:pPr>
              <w:spacing w:line="260" w:lineRule="exact"/>
              <w:jc w:val="center"/>
              <w:rPr>
                <w:rFonts w:ascii="Times New Roman" w:hAnsi="Times New Roman" w:cs="宋体"/>
                <w:color w:val="auto"/>
                <w:highlight w:val="none"/>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2CB0FD3B">
            <w:pPr>
              <w:spacing w:line="260" w:lineRule="exact"/>
              <w:jc w:val="center"/>
              <w:rPr>
                <w:rFonts w:ascii="Times New Roman" w:hAnsi="Times New Roman" w:cs="宋体"/>
                <w:color w:val="auto"/>
                <w:highlight w:val="none"/>
              </w:rPr>
            </w:pPr>
          </w:p>
        </w:tc>
        <w:tc>
          <w:tcPr>
            <w:tcW w:w="1144" w:type="dxa"/>
            <w:gridSpan w:val="2"/>
            <w:vAlign w:val="center"/>
          </w:tcPr>
          <w:p w14:paraId="1E8FE1ED">
            <w:pPr>
              <w:spacing w:line="260" w:lineRule="exact"/>
              <w:jc w:val="center"/>
              <w:rPr>
                <w:rFonts w:ascii="Times New Roman" w:hAnsi="Times New Roman" w:cs="宋体"/>
                <w:color w:val="auto"/>
                <w:highlight w:val="none"/>
              </w:rPr>
            </w:pPr>
          </w:p>
        </w:tc>
        <w:tc>
          <w:tcPr>
            <w:tcW w:w="780" w:type="dxa"/>
            <w:gridSpan w:val="2"/>
            <w:vAlign w:val="center"/>
          </w:tcPr>
          <w:p w14:paraId="33210FEB">
            <w:pPr>
              <w:spacing w:line="260" w:lineRule="exact"/>
              <w:jc w:val="center"/>
              <w:rPr>
                <w:rFonts w:ascii="Times New Roman" w:hAnsi="Times New Roman" w:cs="宋体"/>
                <w:color w:val="auto"/>
                <w:highlight w:val="none"/>
              </w:rPr>
            </w:pPr>
          </w:p>
        </w:tc>
        <w:tc>
          <w:tcPr>
            <w:tcW w:w="983" w:type="dxa"/>
            <w:gridSpan w:val="2"/>
            <w:shd w:val="clear" w:color="auto" w:fill="auto"/>
            <w:vAlign w:val="center"/>
          </w:tcPr>
          <w:p w14:paraId="4529544E">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#汽油</w:t>
            </w:r>
          </w:p>
        </w:tc>
        <w:tc>
          <w:tcPr>
            <w:tcW w:w="1070" w:type="dxa"/>
            <w:gridSpan w:val="2"/>
            <w:shd w:val="clear" w:color="auto" w:fill="auto"/>
            <w:vAlign w:val="center"/>
          </w:tcPr>
          <w:p w14:paraId="0FD1F93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65" w:type="dxa"/>
            <w:gridSpan w:val="3"/>
            <w:shd w:val="clear" w:color="auto" w:fill="auto"/>
            <w:vAlign w:val="center"/>
          </w:tcPr>
          <w:p w14:paraId="63269DB9">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57" w:type="dxa"/>
            <w:gridSpan w:val="3"/>
            <w:vAlign w:val="center"/>
          </w:tcPr>
          <w:p w14:paraId="5BA8F62C">
            <w:pPr>
              <w:spacing w:line="260" w:lineRule="exact"/>
              <w:jc w:val="center"/>
              <w:rPr>
                <w:rFonts w:ascii="Times New Roman" w:hAnsi="Times New Roman" w:cs="宋体"/>
                <w:color w:val="auto"/>
                <w:highlight w:val="none"/>
              </w:rPr>
            </w:pPr>
          </w:p>
        </w:tc>
        <w:tc>
          <w:tcPr>
            <w:tcW w:w="959" w:type="dxa"/>
            <w:gridSpan w:val="2"/>
            <w:vAlign w:val="center"/>
          </w:tcPr>
          <w:p w14:paraId="552403A1">
            <w:pPr>
              <w:spacing w:line="260" w:lineRule="exact"/>
              <w:jc w:val="center"/>
              <w:rPr>
                <w:rFonts w:ascii="Times New Roman" w:hAnsi="Times New Roman" w:cs="宋体"/>
                <w:color w:val="auto"/>
                <w:highlight w:val="none"/>
              </w:rPr>
            </w:pPr>
          </w:p>
        </w:tc>
        <w:tc>
          <w:tcPr>
            <w:tcW w:w="1324" w:type="dxa"/>
            <w:vAlign w:val="center"/>
          </w:tcPr>
          <w:p w14:paraId="01E739E5">
            <w:pPr>
              <w:spacing w:line="260" w:lineRule="exact"/>
              <w:jc w:val="center"/>
              <w:rPr>
                <w:rFonts w:ascii="Times New Roman" w:hAnsi="Times New Roman" w:cs="宋体"/>
                <w:color w:val="auto"/>
                <w:highlight w:val="none"/>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5C21FB4C">
            <w:pPr>
              <w:spacing w:line="260" w:lineRule="exact"/>
              <w:jc w:val="center"/>
              <w:rPr>
                <w:rFonts w:ascii="Times New Roman" w:hAnsi="Times New Roman" w:cs="宋体"/>
                <w:color w:val="auto"/>
                <w:highlight w:val="none"/>
              </w:rPr>
            </w:pPr>
          </w:p>
        </w:tc>
        <w:tc>
          <w:tcPr>
            <w:tcW w:w="1144" w:type="dxa"/>
            <w:gridSpan w:val="2"/>
            <w:vAlign w:val="center"/>
          </w:tcPr>
          <w:p w14:paraId="250C5BC6">
            <w:pPr>
              <w:spacing w:line="260" w:lineRule="exact"/>
              <w:jc w:val="center"/>
              <w:rPr>
                <w:rFonts w:ascii="Times New Roman" w:hAnsi="Times New Roman" w:cs="宋体"/>
                <w:color w:val="auto"/>
                <w:highlight w:val="none"/>
              </w:rPr>
            </w:pPr>
          </w:p>
        </w:tc>
        <w:tc>
          <w:tcPr>
            <w:tcW w:w="780" w:type="dxa"/>
            <w:gridSpan w:val="2"/>
            <w:vAlign w:val="center"/>
          </w:tcPr>
          <w:p w14:paraId="5FC3D5D2">
            <w:pPr>
              <w:spacing w:line="260" w:lineRule="exact"/>
              <w:jc w:val="center"/>
              <w:rPr>
                <w:rFonts w:ascii="Times New Roman" w:hAnsi="Times New Roman" w:cs="宋体"/>
                <w:color w:val="auto"/>
                <w:highlight w:val="none"/>
              </w:rPr>
            </w:pPr>
          </w:p>
        </w:tc>
        <w:tc>
          <w:tcPr>
            <w:tcW w:w="983" w:type="dxa"/>
            <w:gridSpan w:val="2"/>
            <w:vAlign w:val="center"/>
          </w:tcPr>
          <w:p w14:paraId="4A9CEB2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8</w:t>
            </w:r>
            <w:r>
              <w:rPr>
                <w:rFonts w:hint="eastAsia" w:ascii="Times New Roman" w:hAnsi="Times New Roman" w:cs="宋体"/>
                <w:color w:val="auto"/>
                <w:highlight w:val="none"/>
              </w:rPr>
              <w:t>#汽油</w:t>
            </w:r>
          </w:p>
        </w:tc>
        <w:tc>
          <w:tcPr>
            <w:tcW w:w="1070" w:type="dxa"/>
            <w:gridSpan w:val="2"/>
            <w:vAlign w:val="center"/>
          </w:tcPr>
          <w:p w14:paraId="025E120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30m</w:t>
            </w:r>
            <w:r>
              <w:rPr>
                <w:rFonts w:hint="eastAsia" w:ascii="Times New Roman" w:hAnsi="Times New Roman" w:cs="宋体"/>
                <w:color w:val="auto"/>
                <w:highlight w:val="none"/>
                <w:vertAlign w:val="superscript"/>
              </w:rPr>
              <w:t>3</w:t>
            </w:r>
          </w:p>
        </w:tc>
        <w:tc>
          <w:tcPr>
            <w:tcW w:w="965" w:type="dxa"/>
            <w:gridSpan w:val="3"/>
            <w:vAlign w:val="center"/>
          </w:tcPr>
          <w:p w14:paraId="4480818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57" w:type="dxa"/>
            <w:gridSpan w:val="3"/>
            <w:vAlign w:val="center"/>
          </w:tcPr>
          <w:p w14:paraId="11113A07">
            <w:pPr>
              <w:spacing w:line="260" w:lineRule="exact"/>
              <w:jc w:val="center"/>
              <w:rPr>
                <w:rFonts w:ascii="Times New Roman" w:hAnsi="Times New Roman" w:cs="宋体"/>
                <w:color w:val="auto"/>
                <w:highlight w:val="none"/>
              </w:rPr>
            </w:pPr>
          </w:p>
        </w:tc>
        <w:tc>
          <w:tcPr>
            <w:tcW w:w="959" w:type="dxa"/>
            <w:gridSpan w:val="2"/>
            <w:vAlign w:val="center"/>
          </w:tcPr>
          <w:p w14:paraId="02E1C3B4">
            <w:pPr>
              <w:spacing w:line="260" w:lineRule="exact"/>
              <w:jc w:val="center"/>
              <w:rPr>
                <w:rFonts w:ascii="Times New Roman" w:hAnsi="Times New Roman" w:cs="宋体"/>
                <w:color w:val="auto"/>
                <w:highlight w:val="none"/>
              </w:rPr>
            </w:pPr>
          </w:p>
        </w:tc>
        <w:tc>
          <w:tcPr>
            <w:tcW w:w="1324" w:type="dxa"/>
            <w:vAlign w:val="center"/>
          </w:tcPr>
          <w:p w14:paraId="2898A6BE">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6" w:hRule="atLeast"/>
        </w:trPr>
        <w:tc>
          <w:tcPr>
            <w:tcW w:w="2101"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038"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101"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038"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5</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龙南石油分公司冯湾加油站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3"/>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6"/>
          <w:color w:val="auto"/>
          <w:highlight w:val="none"/>
        </w:rPr>
      </w:pPr>
      <w:bookmarkStart w:id="28" w:name="_Toc2031"/>
      <w:r>
        <w:rPr>
          <w:rStyle w:val="36"/>
          <w:color w:val="auto"/>
          <w:highlight w:val="none"/>
        </w:rPr>
        <w:t xml:space="preserve">2.2 </w:t>
      </w:r>
      <w:r>
        <w:rPr>
          <w:rStyle w:val="36"/>
          <w:rFonts w:hint="eastAsia" w:cs="宋体"/>
          <w:color w:val="auto"/>
          <w:highlight w:val="none"/>
        </w:rPr>
        <w:t>加油站概况</w:t>
      </w:r>
      <w:bookmarkEnd w:id="27"/>
      <w:bookmarkEnd w:id="28"/>
    </w:p>
    <w:p w14:paraId="38A5320F">
      <w:pPr>
        <w:pStyle w:val="4"/>
        <w:tabs>
          <w:tab w:val="left" w:pos="2898"/>
        </w:tabs>
        <w:spacing w:line="360" w:lineRule="auto"/>
        <w:rPr>
          <w:rFonts w:hint="eastAsia" w:eastAsia="宋体" w:cs="Times New Roman"/>
          <w:color w:val="auto"/>
          <w:highlight w:val="none"/>
          <w:lang w:eastAsia="zh-CN"/>
        </w:rPr>
      </w:pPr>
      <w:bookmarkStart w:id="29" w:name="_Toc25412"/>
      <w:r>
        <w:rPr>
          <w:color w:val="auto"/>
          <w:highlight w:val="none"/>
        </w:rPr>
        <w:t>2.2.1</w:t>
      </w:r>
      <w:r>
        <w:rPr>
          <w:rFonts w:hint="eastAsia" w:cs="宋体"/>
          <w:color w:val="auto"/>
          <w:highlight w:val="none"/>
        </w:rPr>
        <w:t>周边环境</w:t>
      </w:r>
      <w:bookmarkEnd w:id="29"/>
      <w:r>
        <w:rPr>
          <w:rFonts w:hint="eastAsia" w:cs="宋体"/>
          <w:color w:val="auto"/>
          <w:highlight w:val="none"/>
          <w:lang w:eastAsia="zh-CN"/>
        </w:rPr>
        <w:tab/>
      </w:r>
    </w:p>
    <w:p w14:paraId="4ADD29E1">
      <w:pPr>
        <w:spacing w:line="360" w:lineRule="auto"/>
        <w:ind w:firstLine="560" w:firstLineChars="200"/>
        <w:jc w:val="left"/>
        <w:rPr>
          <w:rFonts w:hint="eastAsia"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加油站地处</w:t>
      </w:r>
      <w:r>
        <w:rPr>
          <w:rFonts w:hint="eastAsia" w:ascii="Times New Roman" w:hAnsi="Times New Roman" w:cs="Times New Roman"/>
          <w:color w:val="auto"/>
          <w:sz w:val="28"/>
          <w:szCs w:val="28"/>
          <w:highlight w:val="none"/>
          <w:lang w:eastAsia="zh-CN"/>
        </w:rPr>
        <w:t>江西省龙南市里仁镇</w:t>
      </w:r>
      <w:r>
        <w:rPr>
          <w:rFonts w:hint="eastAsia" w:ascii="Times New Roman" w:hAnsi="Times New Roman" w:cs="Times New Roman"/>
          <w:color w:val="auto"/>
          <w:sz w:val="28"/>
          <w:szCs w:val="28"/>
          <w:highlight w:val="none"/>
        </w:rPr>
        <w:t>。</w:t>
      </w:r>
    </w:p>
    <w:p w14:paraId="7E8EE56C">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加油站位于迎宾大道南侧，北面为公路，东面为民房(三类保护物)</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通讯线（H=6m）</w:t>
      </w:r>
      <w:r>
        <w:rPr>
          <w:rFonts w:hint="eastAsia" w:ascii="Times New Roman" w:hAnsi="Times New Roman" w:cs="Times New Roman"/>
          <w:color w:val="auto"/>
          <w:sz w:val="28"/>
          <w:szCs w:val="28"/>
          <w:highlight w:val="none"/>
        </w:rPr>
        <w:t>，西侧为民房(三类保护物)，南侧为</w:t>
      </w:r>
      <w:r>
        <w:rPr>
          <w:rFonts w:hint="eastAsia" w:ascii="Times New Roman" w:hAnsi="Times New Roman" w:cs="Times New Roman"/>
          <w:color w:val="auto"/>
          <w:sz w:val="28"/>
          <w:szCs w:val="28"/>
          <w:highlight w:val="none"/>
          <w:lang w:val="en-US" w:eastAsia="zh-CN"/>
        </w:rPr>
        <w:t>架空电力线（H=4m，有绝缘层）</w:t>
      </w:r>
      <w:r>
        <w:rPr>
          <w:rFonts w:hint="eastAsia" w:ascii="Times New Roman" w:hAnsi="Times New Roman" w:cs="Times New Roman"/>
          <w:color w:val="auto"/>
          <w:sz w:val="28"/>
          <w:szCs w:val="28"/>
          <w:highlight w:val="none"/>
        </w:rPr>
        <w:t>。加油站出入口与迎宾大道相连接。</w:t>
      </w:r>
    </w:p>
    <w:p w14:paraId="6085809E">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根据提供的总平面布置图和现场实地勘查，周边50m内无自然保护、风景区等。站区内地势平坦，坡向道路。</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31"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08"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北</w:t>
            </w:r>
            <w:r>
              <w:rPr>
                <w:rFonts w:hint="eastAsia" w:ascii="Times New Roman" w:hAnsi="Times New Roman" w:eastAsia="宋体" w:cs="Times New Roman"/>
                <w:color w:val="auto"/>
                <w:kern w:val="2"/>
                <w:sz w:val="21"/>
                <w:szCs w:val="21"/>
                <w:highlight w:val="none"/>
                <w:lang w:val="en-US" w:eastAsia="zh-CN" w:bidi="ar-SA"/>
              </w:rPr>
              <w:t>侧</w:t>
            </w:r>
          </w:p>
        </w:tc>
        <w:tc>
          <w:tcPr>
            <w:tcW w:w="4108" w:type="dxa"/>
            <w:shd w:val="clear" w:color="auto" w:fill="auto"/>
            <w:vAlign w:val="center"/>
          </w:tcPr>
          <w:p w14:paraId="64D1FE1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迎宾大道</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31.8/31.8</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65B0E0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4108" w:type="dxa"/>
            <w:shd w:val="clear" w:color="auto" w:fill="auto"/>
            <w:vAlign w:val="center"/>
          </w:tcPr>
          <w:p w14:paraId="21B7910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15.1/9</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4108" w:type="dxa"/>
            <w:shd w:val="clear" w:color="auto" w:fill="auto"/>
            <w:vAlign w:val="center"/>
          </w:tcPr>
          <w:p w14:paraId="3492C10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通讯线（H=6m）</w:t>
            </w:r>
          </w:p>
        </w:tc>
        <w:tc>
          <w:tcPr>
            <w:tcW w:w="1766"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14.6/8.5</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C86D44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西侧</w:t>
            </w:r>
          </w:p>
        </w:tc>
        <w:tc>
          <w:tcPr>
            <w:tcW w:w="4108" w:type="dxa"/>
            <w:shd w:val="clear" w:color="auto" w:fill="auto"/>
            <w:vAlign w:val="center"/>
          </w:tcPr>
          <w:p w14:paraId="6AE9C41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1766" w:type="dxa"/>
            <w:vAlign w:val="center"/>
          </w:tcPr>
          <w:p w14:paraId="0B8CB9F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59/68.3</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36A7570">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南侧</w:t>
            </w:r>
          </w:p>
        </w:tc>
        <w:tc>
          <w:tcPr>
            <w:tcW w:w="4108" w:type="dxa"/>
            <w:shd w:val="clear" w:color="auto" w:fill="auto"/>
            <w:vAlign w:val="center"/>
          </w:tcPr>
          <w:p w14:paraId="6F84D12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架空电力线（H=4m，有绝缘层）</w:t>
            </w:r>
          </w:p>
        </w:tc>
        <w:tc>
          <w:tcPr>
            <w:tcW w:w="1766" w:type="dxa"/>
            <w:vAlign w:val="center"/>
          </w:tcPr>
          <w:p w14:paraId="0AD4468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32.7/42</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31"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北</w:t>
            </w:r>
            <w:r>
              <w:rPr>
                <w:rFonts w:hint="eastAsia" w:ascii="Times New Roman" w:hAnsi="Times New Roman" w:eastAsia="宋体" w:cs="Times New Roman"/>
                <w:color w:val="auto"/>
                <w:kern w:val="2"/>
                <w:sz w:val="21"/>
                <w:szCs w:val="21"/>
                <w:highlight w:val="none"/>
                <w:lang w:val="en-US" w:eastAsia="zh-CN" w:bidi="ar-SA"/>
              </w:rPr>
              <w:t>侧</w:t>
            </w:r>
          </w:p>
        </w:tc>
        <w:tc>
          <w:tcPr>
            <w:tcW w:w="4108" w:type="dxa"/>
            <w:shd w:val="clear" w:color="auto" w:fill="auto"/>
            <w:vAlign w:val="center"/>
          </w:tcPr>
          <w:p w14:paraId="579F926E">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迎宾大道</w:t>
            </w:r>
          </w:p>
        </w:tc>
        <w:tc>
          <w:tcPr>
            <w:tcW w:w="1766"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38/38</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B70D19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4108" w:type="dxa"/>
            <w:shd w:val="clear" w:color="auto" w:fill="auto"/>
            <w:vAlign w:val="center"/>
          </w:tcPr>
          <w:p w14:paraId="2BBA18E2">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18.8/18.8</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4108"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通讯线（H=6m）</w:t>
            </w:r>
          </w:p>
        </w:tc>
        <w:tc>
          <w:tcPr>
            <w:tcW w:w="1766"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18.5/18.5</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83A4C5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西侧</w:t>
            </w:r>
          </w:p>
        </w:tc>
        <w:tc>
          <w:tcPr>
            <w:tcW w:w="4108" w:type="dxa"/>
            <w:shd w:val="clear" w:color="auto" w:fill="auto"/>
            <w:vAlign w:val="center"/>
          </w:tcPr>
          <w:p w14:paraId="417BD42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1766" w:type="dxa"/>
            <w:vAlign w:val="center"/>
          </w:tcPr>
          <w:p w14:paraId="0959341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65.5/65.5</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441B5E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南侧</w:t>
            </w:r>
          </w:p>
        </w:tc>
        <w:tc>
          <w:tcPr>
            <w:tcW w:w="4108" w:type="dxa"/>
            <w:shd w:val="clear" w:color="auto" w:fill="auto"/>
            <w:vAlign w:val="center"/>
          </w:tcPr>
          <w:p w14:paraId="28764D9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架空电力线（H=4m，有绝缘层）</w:t>
            </w:r>
          </w:p>
        </w:tc>
        <w:tc>
          <w:tcPr>
            <w:tcW w:w="1766" w:type="dxa"/>
            <w:vAlign w:val="center"/>
          </w:tcPr>
          <w:p w14:paraId="11FFA01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38.8/38.8</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331"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北</w:t>
            </w:r>
            <w:r>
              <w:rPr>
                <w:rFonts w:hint="eastAsia" w:ascii="Times New Roman" w:hAnsi="Times New Roman" w:eastAsia="宋体" w:cs="Times New Roman"/>
                <w:color w:val="auto"/>
                <w:kern w:val="2"/>
                <w:sz w:val="21"/>
                <w:szCs w:val="21"/>
                <w:highlight w:val="none"/>
                <w:lang w:val="en-US" w:eastAsia="zh-CN" w:bidi="ar-SA"/>
              </w:rPr>
              <w:t>侧</w:t>
            </w:r>
          </w:p>
        </w:tc>
        <w:tc>
          <w:tcPr>
            <w:tcW w:w="4108" w:type="dxa"/>
            <w:shd w:val="clear" w:color="auto" w:fill="auto"/>
            <w:vAlign w:val="center"/>
          </w:tcPr>
          <w:p w14:paraId="7E73B51B">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迎宾大道</w:t>
            </w:r>
          </w:p>
        </w:tc>
        <w:tc>
          <w:tcPr>
            <w:tcW w:w="1766"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12.3/12.3</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7E2FB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4108" w:type="dxa"/>
            <w:shd w:val="clear" w:color="auto" w:fill="auto"/>
            <w:vAlign w:val="center"/>
          </w:tcPr>
          <w:p w14:paraId="48F2012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32.4/33.1</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3E49285">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4108" w:type="dxa"/>
            <w:shd w:val="clear" w:color="auto" w:fill="auto"/>
            <w:vAlign w:val="center"/>
          </w:tcPr>
          <w:p w14:paraId="5D45A3C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通讯线（H=6m）</w:t>
            </w:r>
          </w:p>
        </w:tc>
        <w:tc>
          <w:tcPr>
            <w:tcW w:w="1766"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32.3/34.4</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D4BE1C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西侧</w:t>
            </w:r>
          </w:p>
        </w:tc>
        <w:tc>
          <w:tcPr>
            <w:tcW w:w="4108" w:type="dxa"/>
            <w:shd w:val="clear" w:color="auto" w:fill="auto"/>
            <w:vAlign w:val="center"/>
          </w:tcPr>
          <w:p w14:paraId="280A22E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1766" w:type="dxa"/>
            <w:vAlign w:val="center"/>
          </w:tcPr>
          <w:p w14:paraId="2F5508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31.5/31.5</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E86BCE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5C4A8CD">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南侧</w:t>
            </w:r>
          </w:p>
        </w:tc>
        <w:tc>
          <w:tcPr>
            <w:tcW w:w="4108" w:type="dxa"/>
            <w:shd w:val="clear" w:color="auto" w:fill="auto"/>
            <w:vAlign w:val="center"/>
          </w:tcPr>
          <w:p w14:paraId="697623C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架空电力线（H=4m，有绝缘层）</w:t>
            </w:r>
          </w:p>
        </w:tc>
        <w:tc>
          <w:tcPr>
            <w:tcW w:w="1766" w:type="dxa"/>
            <w:vAlign w:val="center"/>
          </w:tcPr>
          <w:p w14:paraId="08BDD249">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14/23</w:t>
            </w:r>
          </w:p>
        </w:tc>
      </w:tr>
    </w:tbl>
    <w:p w14:paraId="0FB26A44">
      <w:pPr>
        <w:pStyle w:val="4"/>
        <w:spacing w:line="360" w:lineRule="auto"/>
        <w:rPr>
          <w:rFonts w:cs="Times New Roman"/>
          <w:color w:val="auto"/>
          <w:sz w:val="28"/>
          <w:szCs w:val="28"/>
          <w:highlight w:val="none"/>
        </w:rPr>
      </w:pPr>
      <w:bookmarkStart w:id="30" w:name="_Toc7824"/>
      <w:r>
        <w:rPr>
          <w:color w:val="auto"/>
          <w:sz w:val="28"/>
          <w:szCs w:val="28"/>
          <w:highlight w:val="none"/>
        </w:rPr>
        <w:t>2.2.3</w:t>
      </w:r>
      <w:r>
        <w:rPr>
          <w:rFonts w:hint="eastAsia" w:cs="宋体"/>
          <w:color w:val="auto"/>
          <w:sz w:val="28"/>
          <w:szCs w:val="28"/>
          <w:highlight w:val="none"/>
        </w:rPr>
        <w:t>总图及平面布置</w:t>
      </w:r>
      <w:bookmarkEnd w:id="30"/>
    </w:p>
    <w:p w14:paraId="4F62916D">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加油站总平面布置按功能划分为加油区、站房、油罐区（</w:t>
      </w:r>
      <w:r>
        <w:rPr>
          <w:rFonts w:hint="eastAsia" w:ascii="Times New Roman" w:hAnsi="Times New Roman" w:cs="Times New Roman"/>
          <w:color w:val="auto"/>
          <w:sz w:val="28"/>
          <w:szCs w:val="28"/>
          <w:highlight w:val="none"/>
          <w:lang w:val="en-US" w:eastAsia="zh-CN"/>
        </w:rPr>
        <w:t>非</w:t>
      </w:r>
      <w:r>
        <w:rPr>
          <w:rFonts w:hint="eastAsia" w:ascii="Times New Roman" w:hAnsi="Times New Roman" w:cs="Times New Roman"/>
          <w:color w:val="auto"/>
          <w:sz w:val="28"/>
          <w:szCs w:val="28"/>
          <w:highlight w:val="none"/>
        </w:rPr>
        <w:t>承重）、密闭卸油口、隔油池、</w:t>
      </w:r>
      <w:r>
        <w:rPr>
          <w:rFonts w:hint="eastAsia" w:ascii="Times New Roman" w:hAnsi="Times New Roman" w:cs="Times New Roman"/>
          <w:color w:val="auto"/>
          <w:sz w:val="28"/>
          <w:szCs w:val="28"/>
          <w:highlight w:val="none"/>
          <w:lang w:val="en-US" w:eastAsia="zh-CN"/>
        </w:rPr>
        <w:t>洗车机、辅房</w:t>
      </w:r>
      <w:r>
        <w:rPr>
          <w:rFonts w:hint="eastAsia" w:ascii="Times New Roman" w:hAnsi="Times New Roman" w:cs="Times New Roman"/>
          <w:color w:val="auto"/>
          <w:sz w:val="28"/>
          <w:szCs w:val="28"/>
          <w:highlight w:val="none"/>
        </w:rPr>
        <w:t>等。</w:t>
      </w:r>
    </w:p>
    <w:p w14:paraId="7E62B986">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 xml:space="preserve">加油站区内地势平坦，坡向道路，地面坡度&lt;2%。站内混凝土路面与 </w:t>
      </w:r>
      <w:r>
        <w:rPr>
          <w:rFonts w:hint="eastAsia" w:ascii="Times New Roman" w:hAnsi="Times New Roman" w:cs="Times New Roman"/>
          <w:color w:val="auto"/>
          <w:sz w:val="28"/>
          <w:szCs w:val="28"/>
          <w:highlight w:val="none"/>
          <w:lang w:val="en-US" w:eastAsia="zh-CN"/>
        </w:rPr>
        <w:t>迎宾大道</w:t>
      </w:r>
      <w:r>
        <w:rPr>
          <w:rFonts w:hint="eastAsia" w:ascii="Times New Roman" w:hAnsi="Times New Roman" w:cs="Times New Roman"/>
          <w:color w:val="auto"/>
          <w:sz w:val="28"/>
          <w:szCs w:val="28"/>
          <w:highlight w:val="none"/>
        </w:rPr>
        <w:t>相连，进口、出口分开设置。站区西侧、</w:t>
      </w:r>
      <w:r>
        <w:rPr>
          <w:rFonts w:hint="eastAsia" w:ascii="Times New Roman" w:hAnsi="Times New Roman" w:cs="Times New Roman"/>
          <w:color w:val="auto"/>
          <w:sz w:val="28"/>
          <w:szCs w:val="28"/>
          <w:highlight w:val="none"/>
          <w:lang w:val="en-US" w:eastAsia="zh-CN"/>
        </w:rPr>
        <w:t>南</w:t>
      </w:r>
      <w:r>
        <w:rPr>
          <w:rFonts w:hint="eastAsia" w:ascii="Times New Roman" w:hAnsi="Times New Roman" w:cs="Times New Roman"/>
          <w:color w:val="auto"/>
          <w:sz w:val="28"/>
          <w:szCs w:val="28"/>
          <w:highlight w:val="none"/>
        </w:rPr>
        <w:t>侧</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东侧</w:t>
      </w:r>
      <w:r>
        <w:rPr>
          <w:rFonts w:hint="eastAsia" w:ascii="Times New Roman" w:hAnsi="Times New Roman" w:cs="Times New Roman"/>
          <w:color w:val="auto"/>
          <w:sz w:val="28"/>
          <w:szCs w:val="28"/>
          <w:highlight w:val="none"/>
        </w:rPr>
        <w:t>设有高2.2m的实体围墙与外部隔开。</w:t>
      </w:r>
    </w:p>
    <w:p w14:paraId="6B7F80E7">
      <w:pPr>
        <w:spacing w:line="360" w:lineRule="auto"/>
        <w:ind w:firstLine="562" w:firstLineChars="200"/>
        <w:jc w:val="left"/>
        <w:rPr>
          <w:rFonts w:hint="eastAsia" w:ascii="Times New Roman" w:hAnsi="Times New Roman" w:cs="Times New Roman"/>
          <w:color w:val="auto"/>
          <w:sz w:val="28"/>
          <w:szCs w:val="28"/>
          <w:highlight w:val="none"/>
          <w:lang w:val="en-US" w:eastAsia="zh-CN"/>
        </w:rPr>
      </w:pPr>
      <w:r>
        <w:rPr>
          <w:rFonts w:hint="eastAsia" w:ascii="Times New Roman" w:hAnsi="Times New Roman" w:cs="宋体"/>
          <w:b/>
          <w:bCs/>
          <w:color w:val="auto"/>
          <w:sz w:val="28"/>
          <w:szCs w:val="28"/>
          <w:highlight w:val="none"/>
          <w:lang w:val="zh-CN"/>
        </w:rPr>
        <w:t>站房：</w:t>
      </w:r>
      <w:r>
        <w:rPr>
          <w:rFonts w:hint="eastAsia" w:ascii="Times New Roman" w:hAnsi="Times New Roman" w:cs="Times New Roman"/>
          <w:color w:val="auto"/>
          <w:sz w:val="28"/>
          <w:szCs w:val="28"/>
          <w:highlight w:val="none"/>
          <w:lang w:val="en-US" w:eastAsia="zh-CN"/>
        </w:rPr>
        <w:t>位于站区南部，为一层建筑，砖混结构，砼地面，占地面积 158m</w:t>
      </w:r>
      <w:r>
        <w:rPr>
          <w:rFonts w:hint="eastAsia" w:ascii="Times New Roman" w:hAnsi="Times New Roman" w:cs="Times New Roman"/>
          <w:color w:val="auto"/>
          <w:sz w:val="28"/>
          <w:szCs w:val="28"/>
          <w:highlight w:val="none"/>
          <w:vertAlign w:val="superscript"/>
          <w:lang w:val="en-US" w:eastAsia="zh-CN"/>
        </w:rPr>
        <w:t>2</w:t>
      </w:r>
      <w:r>
        <w:rPr>
          <w:rFonts w:hint="eastAsia" w:ascii="Times New Roman" w:hAnsi="Times New Roman" w:cs="Times New Roman"/>
          <w:color w:val="auto"/>
          <w:sz w:val="28"/>
          <w:szCs w:val="28"/>
          <w:highlight w:val="none"/>
          <w:lang w:val="en-US" w:eastAsia="zh-CN"/>
        </w:rPr>
        <w:t>，内设值班室、营业厅、站长室、卫生间等。</w:t>
      </w:r>
    </w:p>
    <w:p w14:paraId="030C30C9">
      <w:pPr>
        <w:spacing w:line="360" w:lineRule="auto"/>
        <w:ind w:firstLine="562" w:firstLineChars="200"/>
        <w:jc w:val="left"/>
        <w:rPr>
          <w:rFonts w:hint="eastAsia" w:ascii="Times New Roman" w:hAnsi="Times New Roman" w:eastAsia="宋体" w:cs="Times New Roman"/>
          <w:color w:val="auto"/>
          <w:sz w:val="28"/>
          <w:szCs w:val="28"/>
          <w:highlight w:val="none"/>
          <w:lang w:eastAsia="zh-CN"/>
        </w:rPr>
      </w:pPr>
      <w:r>
        <w:rPr>
          <w:rFonts w:hint="eastAsia" w:ascii="Times New Roman" w:hAnsi="Times New Roman" w:cs="宋体"/>
          <w:b/>
          <w:bCs/>
          <w:color w:val="auto"/>
          <w:sz w:val="28"/>
          <w:szCs w:val="28"/>
          <w:highlight w:val="none"/>
          <w:lang w:val="zh-CN"/>
        </w:rPr>
        <w:t>加油区：</w:t>
      </w:r>
      <w:r>
        <w:rPr>
          <w:rFonts w:hint="eastAsia" w:ascii="Times New Roman" w:hAnsi="Times New Roman" w:cs="Times New Roman"/>
          <w:color w:val="auto"/>
          <w:sz w:val="28"/>
          <w:szCs w:val="28"/>
          <w:highlight w:val="none"/>
          <w:lang w:eastAsia="zh-CN"/>
        </w:rPr>
        <w:t>位于站区</w:t>
      </w:r>
      <w:r>
        <w:rPr>
          <w:rFonts w:hint="eastAsia" w:ascii="Times New Roman" w:hAnsi="Times New Roman" w:cs="Times New Roman"/>
          <w:color w:val="auto"/>
          <w:sz w:val="28"/>
          <w:szCs w:val="28"/>
          <w:highlight w:val="none"/>
          <w:lang w:val="en-US" w:eastAsia="zh-CN"/>
        </w:rPr>
        <w:t>中</w:t>
      </w:r>
      <w:r>
        <w:rPr>
          <w:rFonts w:hint="eastAsia" w:ascii="Times New Roman" w:hAnsi="Times New Roman" w:cs="Times New Roman"/>
          <w:color w:val="auto"/>
          <w:sz w:val="28"/>
          <w:szCs w:val="28"/>
          <w:highlight w:val="none"/>
          <w:lang w:eastAsia="zh-CN"/>
        </w:rPr>
        <w:t>侧，罩棚高 7.0m，罩棚边缘突出加油机</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lang w:eastAsia="zh-CN"/>
        </w:rPr>
        <w:t>m，罩棚共4根现浇钢筋混凝土立柱（其中2根位于站房上），罩棚为钢架结构，占地面积</w:t>
      </w:r>
      <w:r>
        <w:rPr>
          <w:rFonts w:hint="eastAsia" w:ascii="Times New Roman" w:hAnsi="Times New Roman" w:cs="Times New Roman"/>
          <w:color w:val="auto"/>
          <w:sz w:val="28"/>
          <w:szCs w:val="28"/>
          <w:highlight w:val="none"/>
          <w:lang w:val="en-US" w:eastAsia="zh-CN"/>
        </w:rPr>
        <w:t>594</w:t>
      </w:r>
      <w:r>
        <w:rPr>
          <w:rFonts w:hint="eastAsia" w:ascii="Times New Roman" w:hAnsi="Times New Roman" w:cs="Times New Roman"/>
          <w:color w:val="auto"/>
          <w:sz w:val="28"/>
          <w:szCs w:val="28"/>
          <w:highlight w:val="none"/>
          <w:lang w:eastAsia="zh-CN"/>
        </w:rPr>
        <w:t>m</w:t>
      </w:r>
      <w:r>
        <w:rPr>
          <w:rFonts w:hint="eastAsia" w:ascii="Times New Roman" w:hAnsi="Times New Roman" w:cs="Times New Roman"/>
          <w:color w:val="auto"/>
          <w:sz w:val="28"/>
          <w:szCs w:val="28"/>
          <w:highlight w:val="none"/>
          <w:vertAlign w:val="superscript"/>
          <w:lang w:eastAsia="zh-CN"/>
        </w:rPr>
        <w:t>2</w:t>
      </w:r>
      <w:r>
        <w:rPr>
          <w:rFonts w:hint="eastAsia" w:ascii="Times New Roman" w:hAnsi="Times New Roman" w:cs="Times New Roman"/>
          <w:color w:val="auto"/>
          <w:sz w:val="28"/>
          <w:szCs w:val="28"/>
          <w:highlight w:val="none"/>
          <w:lang w:eastAsia="zh-CN"/>
        </w:rPr>
        <w:t>，内设有</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lang w:eastAsia="zh-CN"/>
        </w:rPr>
        <w:t>座加油岛，高0.2m，宽1.2m，长4m，加油岛上罩棚支柱距岛端部为0.6m，加油岛分两排布置。第一排（靠近公路）为2台，其中 0#、0#、0#、95#四枪加油机一台，0#、0#、0#、92#四枪加油机一台；第二排（靠近站房）为 2 台 95#、92#、92#、92#四枪加油机。</w:t>
      </w:r>
    </w:p>
    <w:p w14:paraId="41603A94">
      <w:pPr>
        <w:spacing w:line="360" w:lineRule="auto"/>
        <w:ind w:firstLine="562" w:firstLineChars="200"/>
        <w:jc w:val="left"/>
        <w:rPr>
          <w:rFonts w:hint="eastAsia" w:ascii="Times New Roman" w:hAnsi="Times New Roman" w:cs="宋体"/>
          <w:color w:val="auto"/>
          <w:sz w:val="28"/>
          <w:szCs w:val="28"/>
          <w:highlight w:val="none"/>
          <w:lang w:val="zh-CN"/>
        </w:rPr>
      </w:pPr>
      <w:r>
        <w:rPr>
          <w:rFonts w:hint="eastAsia" w:ascii="Times New Roman" w:hAnsi="Times New Roman" w:cs="宋体"/>
          <w:b/>
          <w:bCs/>
          <w:color w:val="auto"/>
          <w:sz w:val="28"/>
          <w:szCs w:val="28"/>
          <w:highlight w:val="none"/>
          <w:lang w:val="en-US" w:eastAsia="zh-CN"/>
        </w:rPr>
        <w:t>非</w:t>
      </w:r>
      <w:r>
        <w:rPr>
          <w:rFonts w:hint="eastAsia" w:ascii="Times New Roman" w:hAnsi="Times New Roman" w:cs="宋体"/>
          <w:b/>
          <w:bCs/>
          <w:color w:val="auto"/>
          <w:sz w:val="28"/>
          <w:szCs w:val="28"/>
          <w:highlight w:val="none"/>
          <w:lang w:val="zh-CN"/>
        </w:rPr>
        <w:t>承重油罐区：</w:t>
      </w:r>
      <w:r>
        <w:rPr>
          <w:rFonts w:hint="eastAsia" w:ascii="Times New Roman" w:hAnsi="Times New Roman" w:cs="宋体"/>
          <w:color w:val="auto"/>
          <w:sz w:val="28"/>
          <w:szCs w:val="28"/>
          <w:highlight w:val="none"/>
          <w:lang w:val="zh-CN"/>
        </w:rPr>
        <w:t>位于站区东南角，属非承重罐区，5个卧式埋地SF油罐，分别为容量为30m</w:t>
      </w:r>
      <w:r>
        <w:rPr>
          <w:rFonts w:hint="eastAsia"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的 95#汽油储罐</w:t>
      </w:r>
      <w:r>
        <w:rPr>
          <w:rFonts w:hint="eastAsia" w:ascii="Times New Roman" w:hAnsi="Times New Roman" w:cs="宋体"/>
          <w:color w:val="auto"/>
          <w:sz w:val="28"/>
          <w:szCs w:val="28"/>
          <w:highlight w:val="none"/>
          <w:lang w:val="en-US" w:eastAsia="zh-CN"/>
        </w:rPr>
        <w:t>1</w:t>
      </w:r>
      <w:r>
        <w:rPr>
          <w:rFonts w:hint="eastAsia" w:ascii="Times New Roman" w:hAnsi="Times New Roman" w:cs="宋体"/>
          <w:color w:val="auto"/>
          <w:sz w:val="28"/>
          <w:szCs w:val="28"/>
          <w:highlight w:val="none"/>
          <w:lang w:val="zh-CN"/>
        </w:rPr>
        <w:t>个，容量为 30m</w:t>
      </w:r>
      <w:r>
        <w:rPr>
          <w:rFonts w:hint="eastAsia"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的 92#汽油储罐</w:t>
      </w:r>
      <w:r>
        <w:rPr>
          <w:rFonts w:hint="eastAsia" w:ascii="Times New Roman" w:hAnsi="Times New Roman" w:cs="宋体"/>
          <w:color w:val="auto"/>
          <w:sz w:val="28"/>
          <w:szCs w:val="28"/>
          <w:highlight w:val="none"/>
          <w:lang w:val="en-US" w:eastAsia="zh-CN"/>
        </w:rPr>
        <w:t>2</w:t>
      </w:r>
      <w:r>
        <w:rPr>
          <w:rFonts w:hint="eastAsia" w:ascii="Times New Roman" w:hAnsi="Times New Roman" w:cs="宋体"/>
          <w:color w:val="auto"/>
          <w:sz w:val="28"/>
          <w:szCs w:val="28"/>
          <w:highlight w:val="none"/>
          <w:lang w:val="zh-CN"/>
        </w:rPr>
        <w:t>个，容量为 30m</w:t>
      </w:r>
      <w:r>
        <w:rPr>
          <w:rFonts w:hint="eastAsia"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的 0#柴油储罐</w:t>
      </w:r>
      <w:r>
        <w:rPr>
          <w:rFonts w:hint="eastAsia" w:ascii="Times New Roman" w:hAnsi="Times New Roman" w:cs="宋体"/>
          <w:color w:val="auto"/>
          <w:sz w:val="28"/>
          <w:szCs w:val="28"/>
          <w:highlight w:val="none"/>
          <w:lang w:val="en-US" w:eastAsia="zh-CN"/>
        </w:rPr>
        <w:t>2</w:t>
      </w:r>
      <w:r>
        <w:rPr>
          <w:rFonts w:hint="eastAsia" w:ascii="Times New Roman" w:hAnsi="Times New Roman" w:cs="宋体"/>
          <w:color w:val="auto"/>
          <w:sz w:val="28"/>
          <w:szCs w:val="28"/>
          <w:highlight w:val="none"/>
          <w:lang w:val="zh-CN"/>
        </w:rPr>
        <w:t>个。柴油通气管、汽油通气管设置罐区南侧，为DN50的无缝钢管，通气管高 4m。</w:t>
      </w:r>
    </w:p>
    <w:p w14:paraId="78A2FF4A">
      <w:pPr>
        <w:spacing w:line="360" w:lineRule="auto"/>
        <w:ind w:firstLine="562" w:firstLineChars="200"/>
        <w:jc w:val="left"/>
        <w:rPr>
          <w:rFonts w:hint="eastAsia" w:ascii="Times New Roman" w:hAnsi="Times New Roman" w:cs="宋体"/>
          <w:color w:val="auto"/>
          <w:sz w:val="28"/>
          <w:szCs w:val="28"/>
          <w:highlight w:val="none"/>
          <w:lang w:val="zh-CN"/>
        </w:rPr>
      </w:pPr>
      <w:r>
        <w:rPr>
          <w:rFonts w:hint="eastAsia" w:ascii="Times New Roman" w:hAnsi="Times New Roman" w:cs="宋体"/>
          <w:b/>
          <w:bCs/>
          <w:color w:val="auto"/>
          <w:sz w:val="28"/>
          <w:szCs w:val="28"/>
          <w:highlight w:val="none"/>
          <w:lang w:val="zh-CN"/>
        </w:rPr>
        <w:t>密闭卸油口：</w:t>
      </w:r>
      <w:r>
        <w:rPr>
          <w:rFonts w:hint="eastAsia" w:ascii="Times New Roman" w:hAnsi="Times New Roman" w:cs="宋体"/>
          <w:color w:val="auto"/>
          <w:sz w:val="28"/>
          <w:szCs w:val="28"/>
          <w:highlight w:val="none"/>
          <w:lang w:val="zh-CN"/>
        </w:rPr>
        <w:t>位于</w:t>
      </w:r>
      <w:r>
        <w:rPr>
          <w:rFonts w:hint="eastAsia" w:ascii="Times New Roman" w:hAnsi="Times New Roman" w:cs="宋体"/>
          <w:color w:val="auto"/>
          <w:sz w:val="28"/>
          <w:szCs w:val="28"/>
          <w:highlight w:val="none"/>
          <w:lang w:val="en-US" w:eastAsia="zh-CN"/>
        </w:rPr>
        <w:t>罐区北</w:t>
      </w:r>
      <w:r>
        <w:rPr>
          <w:rFonts w:hint="eastAsia" w:ascii="Times New Roman" w:hAnsi="Times New Roman" w:cs="宋体"/>
          <w:color w:val="auto"/>
          <w:sz w:val="28"/>
          <w:szCs w:val="28"/>
          <w:highlight w:val="none"/>
          <w:lang w:val="zh-CN"/>
        </w:rPr>
        <w:t>侧，设置1 座2m</w:t>
      </w:r>
      <w:r>
        <w:rPr>
          <w:rFonts w:hint="eastAsia"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 xml:space="preserve"> 消防沙池，1 个消防器材箱。</w:t>
      </w:r>
    </w:p>
    <w:p w14:paraId="7C05D2A9">
      <w:pPr>
        <w:spacing w:line="360" w:lineRule="auto"/>
        <w:ind w:firstLine="562" w:firstLineChars="200"/>
        <w:jc w:val="left"/>
        <w:rPr>
          <w:rFonts w:hint="eastAsia" w:ascii="Times New Roman" w:hAnsi="Times New Roman" w:cs="宋体"/>
          <w:color w:val="auto"/>
          <w:sz w:val="28"/>
          <w:szCs w:val="28"/>
          <w:highlight w:val="none"/>
          <w:lang w:val="zh-CN"/>
        </w:rPr>
      </w:pPr>
      <w:r>
        <w:rPr>
          <w:rFonts w:hint="eastAsia" w:ascii="Times New Roman" w:hAnsi="Times New Roman" w:cs="宋体"/>
          <w:b/>
          <w:bCs/>
          <w:color w:val="auto"/>
          <w:sz w:val="28"/>
          <w:szCs w:val="28"/>
          <w:highlight w:val="none"/>
          <w:lang w:val="zh-CN"/>
        </w:rPr>
        <w:t>隔油池：</w:t>
      </w:r>
      <w:r>
        <w:rPr>
          <w:rFonts w:hint="eastAsia" w:ascii="Times New Roman" w:hAnsi="Times New Roman" w:cs="宋体"/>
          <w:color w:val="auto"/>
          <w:sz w:val="28"/>
          <w:szCs w:val="28"/>
          <w:highlight w:val="none"/>
          <w:lang w:val="zh-CN"/>
        </w:rPr>
        <w:t>设有隔油池一座，位于站区</w:t>
      </w:r>
      <w:r>
        <w:rPr>
          <w:rFonts w:hint="eastAsia" w:ascii="Times New Roman" w:hAnsi="Times New Roman" w:cs="宋体"/>
          <w:color w:val="auto"/>
          <w:sz w:val="28"/>
          <w:szCs w:val="28"/>
          <w:highlight w:val="none"/>
          <w:lang w:val="en-US" w:eastAsia="zh-CN"/>
        </w:rPr>
        <w:t>出口附近</w:t>
      </w:r>
      <w:r>
        <w:rPr>
          <w:rFonts w:hint="eastAsia" w:ascii="Times New Roman" w:hAnsi="Times New Roman" w:cs="宋体"/>
          <w:color w:val="auto"/>
          <w:sz w:val="28"/>
          <w:szCs w:val="28"/>
          <w:highlight w:val="none"/>
          <w:lang w:val="zh-CN"/>
        </w:rPr>
        <w:t>。</w:t>
      </w:r>
    </w:p>
    <w:p w14:paraId="61EFC624">
      <w:pPr>
        <w:spacing w:line="360" w:lineRule="auto"/>
        <w:ind w:firstLine="562" w:firstLineChars="200"/>
        <w:jc w:val="left"/>
        <w:rPr>
          <w:rFonts w:hint="eastAsia" w:ascii="Times New Roman" w:hAnsi="Times New Roman" w:cs="宋体"/>
          <w:color w:val="auto"/>
          <w:sz w:val="28"/>
          <w:szCs w:val="28"/>
          <w:highlight w:val="none"/>
          <w:lang w:val="zh-CN"/>
        </w:rPr>
      </w:pPr>
      <w:r>
        <w:rPr>
          <w:rFonts w:hint="eastAsia" w:ascii="Times New Roman" w:hAnsi="Times New Roman" w:cs="宋体"/>
          <w:b/>
          <w:bCs/>
          <w:color w:val="auto"/>
          <w:sz w:val="28"/>
          <w:szCs w:val="28"/>
          <w:highlight w:val="none"/>
          <w:lang w:val="en-US" w:eastAsia="zh-CN"/>
        </w:rPr>
        <w:t>1#</w:t>
      </w:r>
      <w:r>
        <w:rPr>
          <w:rFonts w:hint="eastAsia" w:ascii="Times New Roman" w:hAnsi="Times New Roman" w:cs="宋体"/>
          <w:b/>
          <w:bCs/>
          <w:color w:val="auto"/>
          <w:sz w:val="28"/>
          <w:szCs w:val="28"/>
          <w:highlight w:val="none"/>
          <w:lang w:val="zh-CN"/>
        </w:rPr>
        <w:t>辅</w:t>
      </w:r>
      <w:r>
        <w:rPr>
          <w:rFonts w:hint="eastAsia" w:ascii="Times New Roman" w:hAnsi="Times New Roman" w:cs="宋体"/>
          <w:b/>
          <w:bCs/>
          <w:color w:val="auto"/>
          <w:sz w:val="28"/>
          <w:szCs w:val="28"/>
          <w:highlight w:val="none"/>
          <w:lang w:val="en-US" w:eastAsia="zh-CN"/>
        </w:rPr>
        <w:t>房</w:t>
      </w:r>
      <w:r>
        <w:rPr>
          <w:rFonts w:hint="eastAsia" w:ascii="Times New Roman" w:hAnsi="Times New Roman" w:cs="宋体"/>
          <w:b/>
          <w:bCs/>
          <w:color w:val="auto"/>
          <w:sz w:val="28"/>
          <w:szCs w:val="28"/>
          <w:highlight w:val="none"/>
          <w:lang w:val="zh-CN"/>
        </w:rPr>
        <w:t>：</w:t>
      </w:r>
      <w:r>
        <w:rPr>
          <w:rFonts w:hint="eastAsia" w:ascii="Times New Roman" w:hAnsi="Times New Roman" w:cs="宋体"/>
          <w:color w:val="auto"/>
          <w:sz w:val="28"/>
          <w:szCs w:val="28"/>
          <w:highlight w:val="none"/>
          <w:lang w:val="zh-CN"/>
        </w:rPr>
        <w:t>位于站区西南侧，为一层建筑，砖混结构，砼地面，占地面积80m</w:t>
      </w:r>
      <w:r>
        <w:rPr>
          <w:rFonts w:hint="eastAsia" w:ascii="Times New Roman" w:hAnsi="Times New Roman" w:cs="宋体"/>
          <w:color w:val="auto"/>
          <w:sz w:val="28"/>
          <w:szCs w:val="28"/>
          <w:highlight w:val="none"/>
          <w:vertAlign w:val="superscript"/>
          <w:lang w:val="zh-CN"/>
        </w:rPr>
        <w:t>2</w:t>
      </w:r>
      <w:r>
        <w:rPr>
          <w:rFonts w:hint="eastAsia" w:ascii="Times New Roman" w:hAnsi="Times New Roman" w:cs="宋体"/>
          <w:color w:val="auto"/>
          <w:sz w:val="28"/>
          <w:szCs w:val="28"/>
          <w:highlight w:val="none"/>
          <w:lang w:val="zh-CN"/>
        </w:rPr>
        <w:t>，内设配电间、工具间等。耐火极限不低于 2.00h。配电间设置在作业区外。</w:t>
      </w:r>
    </w:p>
    <w:p w14:paraId="3BEF6828">
      <w:pPr>
        <w:spacing w:line="360" w:lineRule="auto"/>
        <w:ind w:firstLine="562" w:firstLineChars="200"/>
        <w:jc w:val="left"/>
        <w:rPr>
          <w:rFonts w:hint="eastAsia" w:ascii="Times New Roman" w:hAnsi="Times New Roman" w:eastAsia="宋体" w:cs="宋体"/>
          <w:color w:val="auto"/>
          <w:sz w:val="28"/>
          <w:szCs w:val="28"/>
          <w:highlight w:val="none"/>
          <w:lang w:val="en-US" w:eastAsia="zh-CN"/>
        </w:rPr>
      </w:pPr>
      <w:r>
        <w:rPr>
          <w:rFonts w:hint="eastAsia" w:ascii="Times New Roman" w:hAnsi="Times New Roman" w:cs="宋体"/>
          <w:b/>
          <w:bCs/>
          <w:color w:val="auto"/>
          <w:sz w:val="28"/>
          <w:szCs w:val="28"/>
          <w:highlight w:val="none"/>
          <w:lang w:val="en-US" w:eastAsia="zh-CN"/>
        </w:rPr>
        <w:t>2#辅房：</w:t>
      </w:r>
      <w:r>
        <w:rPr>
          <w:rFonts w:hint="eastAsia" w:ascii="Times New Roman" w:hAnsi="Times New Roman" w:cs="宋体"/>
          <w:color w:val="auto"/>
          <w:sz w:val="28"/>
          <w:szCs w:val="28"/>
          <w:highlight w:val="none"/>
          <w:lang w:val="zh-CN"/>
        </w:rPr>
        <w:t xml:space="preserve">位于1#辅助南侧，为一层建筑，砖混结构，砼地面，占地面积 </w:t>
      </w:r>
      <w:r>
        <w:rPr>
          <w:rFonts w:hint="eastAsia" w:ascii="Times New Roman" w:hAnsi="Times New Roman" w:cs="宋体"/>
          <w:color w:val="auto"/>
          <w:sz w:val="28"/>
          <w:szCs w:val="28"/>
          <w:highlight w:val="none"/>
          <w:lang w:val="en-US" w:eastAsia="zh-CN"/>
        </w:rPr>
        <w:t>7.8</w:t>
      </w:r>
      <w:r>
        <w:rPr>
          <w:rFonts w:hint="eastAsia" w:ascii="Times New Roman" w:hAnsi="Times New Roman" w:cs="宋体"/>
          <w:color w:val="auto"/>
          <w:sz w:val="28"/>
          <w:szCs w:val="28"/>
          <w:highlight w:val="none"/>
          <w:lang w:val="zh-CN"/>
        </w:rPr>
        <w:t>m</w:t>
      </w:r>
      <w:r>
        <w:rPr>
          <w:rFonts w:hint="eastAsia" w:ascii="Times New Roman" w:hAnsi="Times New Roman" w:cs="宋体"/>
          <w:color w:val="auto"/>
          <w:sz w:val="28"/>
          <w:szCs w:val="28"/>
          <w:highlight w:val="none"/>
          <w:vertAlign w:val="superscript"/>
          <w:lang w:val="zh-CN"/>
        </w:rPr>
        <w:t>2</w:t>
      </w:r>
      <w:r>
        <w:rPr>
          <w:rFonts w:hint="eastAsia" w:ascii="Times New Roman" w:hAnsi="Times New Roman" w:cs="宋体"/>
          <w:color w:val="auto"/>
          <w:sz w:val="28"/>
          <w:szCs w:val="28"/>
          <w:highlight w:val="none"/>
          <w:lang w:val="en-US" w:eastAsia="zh-CN"/>
        </w:rPr>
        <w:t>。</w:t>
      </w:r>
    </w:p>
    <w:p w14:paraId="4FC48E00">
      <w:pPr>
        <w:spacing w:line="360" w:lineRule="auto"/>
        <w:ind w:firstLine="562" w:firstLineChars="200"/>
        <w:jc w:val="left"/>
        <w:rPr>
          <w:rFonts w:hint="default" w:ascii="Times New Roman" w:hAnsi="Times New Roman" w:eastAsia="宋体" w:cs="宋体"/>
          <w:color w:val="auto"/>
          <w:sz w:val="28"/>
          <w:szCs w:val="28"/>
          <w:highlight w:val="none"/>
          <w:lang w:val="en-US" w:eastAsia="zh-CN"/>
        </w:rPr>
      </w:pPr>
      <w:r>
        <w:rPr>
          <w:rFonts w:hint="eastAsia" w:ascii="Times New Roman" w:hAnsi="Times New Roman" w:cs="宋体"/>
          <w:b/>
          <w:bCs/>
          <w:color w:val="auto"/>
          <w:sz w:val="28"/>
          <w:szCs w:val="28"/>
          <w:highlight w:val="none"/>
          <w:lang w:val="en-US" w:eastAsia="zh-CN"/>
        </w:rPr>
        <w:t>洗车机：</w:t>
      </w:r>
      <w:r>
        <w:rPr>
          <w:rFonts w:hint="eastAsia" w:ascii="Times New Roman" w:hAnsi="Times New Roman" w:cs="宋体"/>
          <w:color w:val="auto"/>
          <w:sz w:val="28"/>
          <w:szCs w:val="28"/>
          <w:highlight w:val="none"/>
          <w:lang w:val="en-US" w:eastAsia="zh-CN"/>
        </w:rPr>
        <w:t>站区西侧设洗车机一台。</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52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6"/>
        <w:gridCol w:w="2138"/>
        <w:gridCol w:w="2941"/>
        <w:gridCol w:w="2173"/>
        <w:gridCol w:w="1846"/>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3"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108"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524"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126"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956"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524"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126"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956" w:type="pct"/>
            <w:vAlign w:val="center"/>
          </w:tcPr>
          <w:p w14:paraId="7116D2D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524"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956"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5.3</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524"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956"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14.6</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524"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26"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956"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524"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26"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956"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5.7</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524"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956"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524"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956"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524"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26"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956"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8.8</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524"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26"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956"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8.8</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524"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26"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956"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6.0</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524"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26"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956"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6.0</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0B6ACC0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524"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956"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10.1</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28" w:hRule="atLeast"/>
          <w:jc w:val="center"/>
        </w:trPr>
        <w:tc>
          <w:tcPr>
            <w:tcW w:w="283"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524"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956"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524"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26"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956"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524"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26"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956"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45.7</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524"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26"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956"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51.7</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3"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524"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26"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956"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3562028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524"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26"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956"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19.2</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234665D9">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524" w:type="pct"/>
            <w:vAlign w:val="center"/>
          </w:tcPr>
          <w:p w14:paraId="03487F0B">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126" w:type="pct"/>
            <w:vAlign w:val="center"/>
          </w:tcPr>
          <w:p w14:paraId="54480503">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956" w:type="pct"/>
            <w:vAlign w:val="center"/>
          </w:tcPr>
          <w:p w14:paraId="690610C3">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14.5</w:t>
            </w:r>
          </w:p>
        </w:tc>
      </w:tr>
      <w:tr w14:paraId="34CB8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83" w:type="pct"/>
            <w:vAlign w:val="center"/>
          </w:tcPr>
          <w:p w14:paraId="78A2553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002BE890">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524" w:type="pct"/>
            <w:vAlign w:val="center"/>
          </w:tcPr>
          <w:p w14:paraId="5893D22F">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126" w:type="pct"/>
            <w:vAlign w:val="center"/>
          </w:tcPr>
          <w:p w14:paraId="43856491">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956" w:type="pct"/>
            <w:vAlign w:val="center"/>
          </w:tcPr>
          <w:p w14:paraId="05B5A39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21.4</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283"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211B0D9A">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524" w:type="pct"/>
            <w:vAlign w:val="center"/>
          </w:tcPr>
          <w:p w14:paraId="7B41A448">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126" w:type="pct"/>
            <w:vAlign w:val="center"/>
          </w:tcPr>
          <w:p w14:paraId="7F8A9024">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956" w:type="pct"/>
            <w:vAlign w:val="center"/>
          </w:tcPr>
          <w:p w14:paraId="0CA672AF">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46.5</w:t>
            </w:r>
          </w:p>
        </w:tc>
      </w:tr>
      <w:tr w14:paraId="2F1F73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283" w:type="pct"/>
            <w:vAlign w:val="center"/>
          </w:tcPr>
          <w:p w14:paraId="381D60F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1149212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524" w:type="pct"/>
            <w:shd w:val="clear" w:color="auto" w:fill="auto"/>
            <w:vAlign w:val="center"/>
          </w:tcPr>
          <w:p w14:paraId="6531C14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1#辅房（三类保护物）</w:t>
            </w:r>
          </w:p>
        </w:tc>
        <w:tc>
          <w:tcPr>
            <w:tcW w:w="1126" w:type="pct"/>
            <w:shd w:val="clear" w:color="auto" w:fill="auto"/>
            <w:vAlign w:val="center"/>
          </w:tcPr>
          <w:p w14:paraId="26F6707F">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956" w:type="pct"/>
            <w:vAlign w:val="center"/>
          </w:tcPr>
          <w:p w14:paraId="08DC768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46.5</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791B54B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03DB385D">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524" w:type="pct"/>
            <w:vAlign w:val="center"/>
          </w:tcPr>
          <w:p w14:paraId="5DE6BD69">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126" w:type="pct"/>
            <w:vAlign w:val="center"/>
          </w:tcPr>
          <w:p w14:paraId="2561C2B0">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956" w:type="pct"/>
            <w:vAlign w:val="center"/>
          </w:tcPr>
          <w:p w14:paraId="2920972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4D887D83">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524" w:type="pct"/>
            <w:vAlign w:val="center"/>
          </w:tcPr>
          <w:p w14:paraId="3CAF9FC4">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126" w:type="pct"/>
            <w:vAlign w:val="center"/>
          </w:tcPr>
          <w:p w14:paraId="3A0E6D8B">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8.5</w:t>
            </w:r>
          </w:p>
        </w:tc>
        <w:tc>
          <w:tcPr>
            <w:tcW w:w="956" w:type="pct"/>
            <w:vAlign w:val="center"/>
          </w:tcPr>
          <w:p w14:paraId="603CF3D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40.5</w:t>
            </w:r>
          </w:p>
        </w:tc>
      </w:tr>
      <w:tr w14:paraId="7036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16774A3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580A1D26">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524" w:type="pct"/>
            <w:vAlign w:val="center"/>
          </w:tcPr>
          <w:p w14:paraId="2E57DAE3">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126" w:type="pct"/>
            <w:vAlign w:val="center"/>
          </w:tcPr>
          <w:p w14:paraId="08039ECA">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956" w:type="pct"/>
            <w:vAlign w:val="center"/>
          </w:tcPr>
          <w:p w14:paraId="5D488AD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r>
      <w:tr w14:paraId="68192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83" w:type="pct"/>
            <w:vAlign w:val="center"/>
          </w:tcPr>
          <w:p w14:paraId="4305D77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606BCB9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524" w:type="pct"/>
            <w:shd w:val="clear" w:color="auto" w:fill="auto"/>
            <w:vAlign w:val="center"/>
          </w:tcPr>
          <w:p w14:paraId="5F3FB054">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126" w:type="pct"/>
            <w:shd w:val="clear" w:color="auto" w:fill="auto"/>
            <w:vAlign w:val="center"/>
          </w:tcPr>
          <w:p w14:paraId="7A237809">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956" w:type="pct"/>
            <w:vAlign w:val="center"/>
          </w:tcPr>
          <w:p w14:paraId="330951D7">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30.6</w:t>
            </w:r>
          </w:p>
        </w:tc>
      </w:tr>
      <w:tr w14:paraId="60328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04D32CB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41DF568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524" w:type="pct"/>
            <w:shd w:val="clear" w:color="auto" w:fill="auto"/>
            <w:vAlign w:val="center"/>
          </w:tcPr>
          <w:p w14:paraId="696AA90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126" w:type="pct"/>
            <w:shd w:val="clear" w:color="auto" w:fill="auto"/>
            <w:vAlign w:val="center"/>
          </w:tcPr>
          <w:p w14:paraId="7FDE51EA">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956" w:type="pct"/>
            <w:vAlign w:val="center"/>
          </w:tcPr>
          <w:p w14:paraId="67A3F408">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36.2</w:t>
            </w:r>
          </w:p>
        </w:tc>
      </w:tr>
      <w:tr w14:paraId="66374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050031B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7CC5989D">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524" w:type="pct"/>
            <w:shd w:val="clear" w:color="auto" w:fill="auto"/>
            <w:vAlign w:val="center"/>
          </w:tcPr>
          <w:p w14:paraId="1F99B7B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126" w:type="pct"/>
            <w:shd w:val="clear" w:color="auto" w:fill="auto"/>
            <w:vAlign w:val="center"/>
          </w:tcPr>
          <w:p w14:paraId="7DB16419">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956" w:type="pct"/>
            <w:vAlign w:val="center"/>
          </w:tcPr>
          <w:p w14:paraId="3A25C820">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61.5</w:t>
            </w:r>
          </w:p>
        </w:tc>
      </w:tr>
      <w:tr w14:paraId="2B8D29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62F89F0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50B3B36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524" w:type="pct"/>
            <w:shd w:val="clear" w:color="auto" w:fill="auto"/>
            <w:vAlign w:val="center"/>
          </w:tcPr>
          <w:p w14:paraId="2E0049C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126" w:type="pct"/>
            <w:shd w:val="clear" w:color="auto" w:fill="auto"/>
            <w:vAlign w:val="center"/>
          </w:tcPr>
          <w:p w14:paraId="0764A9DB">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956" w:type="pct"/>
            <w:vAlign w:val="center"/>
          </w:tcPr>
          <w:p w14:paraId="2B5F12D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61.5</w:t>
            </w:r>
          </w:p>
        </w:tc>
      </w:tr>
      <w:tr w14:paraId="2FC2E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6158A8E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7E160E47">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524" w:type="pct"/>
            <w:shd w:val="clear" w:color="auto" w:fill="auto"/>
            <w:vAlign w:val="center"/>
          </w:tcPr>
          <w:p w14:paraId="708AFE8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126" w:type="pct"/>
            <w:shd w:val="clear" w:color="auto" w:fill="auto"/>
            <w:vAlign w:val="center"/>
          </w:tcPr>
          <w:p w14:paraId="184633D0">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956" w:type="pct"/>
            <w:vAlign w:val="center"/>
          </w:tcPr>
          <w:p w14:paraId="49ABE99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61</w:t>
            </w:r>
          </w:p>
        </w:tc>
      </w:tr>
      <w:tr w14:paraId="15370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7318BFE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5A68C1D2">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524" w:type="pct"/>
            <w:shd w:val="clear" w:color="auto" w:fill="auto"/>
            <w:vAlign w:val="center"/>
          </w:tcPr>
          <w:p w14:paraId="3CE60AC8">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126" w:type="pct"/>
            <w:shd w:val="clear" w:color="auto" w:fill="auto"/>
            <w:vAlign w:val="center"/>
          </w:tcPr>
          <w:p w14:paraId="6AF665B3">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956" w:type="pct"/>
            <w:vAlign w:val="center"/>
          </w:tcPr>
          <w:p w14:paraId="192F994E">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55.7</w:t>
            </w:r>
          </w:p>
        </w:tc>
      </w:tr>
      <w:tr w14:paraId="60BA0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2D9E85D3">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5E6F8F7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524" w:type="pct"/>
            <w:shd w:val="clear" w:color="auto" w:fill="auto"/>
            <w:vAlign w:val="center"/>
          </w:tcPr>
          <w:p w14:paraId="4D81A9E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126" w:type="pct"/>
            <w:shd w:val="clear" w:color="auto" w:fill="auto"/>
            <w:vAlign w:val="center"/>
          </w:tcPr>
          <w:p w14:paraId="024A2381">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956" w:type="pct"/>
            <w:vAlign w:val="center"/>
          </w:tcPr>
          <w:p w14:paraId="661D4ADF">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65</w:t>
            </w:r>
          </w:p>
        </w:tc>
      </w:tr>
      <w:tr w14:paraId="2464A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130B6DD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6A226FA6">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524" w:type="pct"/>
            <w:vAlign w:val="center"/>
          </w:tcPr>
          <w:p w14:paraId="2F1DCB4B">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126" w:type="pct"/>
            <w:vAlign w:val="center"/>
          </w:tcPr>
          <w:p w14:paraId="7EFEC1EB">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956" w:type="pct"/>
            <w:vAlign w:val="center"/>
          </w:tcPr>
          <w:p w14:paraId="56B9600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25.5</w:t>
            </w:r>
          </w:p>
        </w:tc>
      </w:tr>
      <w:tr w14:paraId="09661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1684B21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524" w:type="pct"/>
            <w:vAlign w:val="center"/>
          </w:tcPr>
          <w:p w14:paraId="45174D3F">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126" w:type="pct"/>
            <w:vAlign w:val="center"/>
          </w:tcPr>
          <w:p w14:paraId="144AAB9E">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956" w:type="pct"/>
            <w:vAlign w:val="center"/>
          </w:tcPr>
          <w:p w14:paraId="00BADCB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25.5</w:t>
            </w:r>
          </w:p>
        </w:tc>
      </w:tr>
      <w:tr w14:paraId="2983E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291E2EC2">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524" w:type="pct"/>
            <w:vAlign w:val="center"/>
          </w:tcPr>
          <w:p w14:paraId="640CD589">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126" w:type="pct"/>
            <w:vAlign w:val="center"/>
          </w:tcPr>
          <w:p w14:paraId="0AF8D3BF">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956" w:type="pct"/>
            <w:vAlign w:val="center"/>
          </w:tcPr>
          <w:p w14:paraId="5EF437D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60.7</w:t>
            </w:r>
          </w:p>
        </w:tc>
      </w:tr>
      <w:tr w14:paraId="56324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53B4DBA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shd w:val="clear" w:color="auto" w:fill="auto"/>
            <w:vAlign w:val="center"/>
          </w:tcPr>
          <w:p w14:paraId="4E31B87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524" w:type="pct"/>
            <w:shd w:val="clear" w:color="auto" w:fill="auto"/>
            <w:vAlign w:val="center"/>
          </w:tcPr>
          <w:p w14:paraId="2FC1EAF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洗车机（三类保护物）</w:t>
            </w:r>
          </w:p>
        </w:tc>
        <w:tc>
          <w:tcPr>
            <w:tcW w:w="1126" w:type="pct"/>
            <w:shd w:val="clear" w:color="auto" w:fill="auto"/>
            <w:vAlign w:val="center"/>
          </w:tcPr>
          <w:p w14:paraId="22FAB64F">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956" w:type="pct"/>
            <w:vAlign w:val="center"/>
          </w:tcPr>
          <w:p w14:paraId="71FC58B1">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60.7</w:t>
            </w:r>
          </w:p>
        </w:tc>
      </w:tr>
      <w:tr w14:paraId="74018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1D6C8E0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24C0D2C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524" w:type="pct"/>
            <w:vAlign w:val="center"/>
          </w:tcPr>
          <w:p w14:paraId="73AB0B86">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126" w:type="pct"/>
            <w:vAlign w:val="center"/>
          </w:tcPr>
          <w:p w14:paraId="3E2AE1C7">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956" w:type="pct"/>
            <w:vAlign w:val="center"/>
          </w:tcPr>
          <w:p w14:paraId="088DC70F">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58.4</w:t>
            </w:r>
          </w:p>
        </w:tc>
      </w:tr>
      <w:tr w14:paraId="4C0D9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4BC5D679">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524" w:type="pct"/>
            <w:vAlign w:val="center"/>
          </w:tcPr>
          <w:p w14:paraId="21EC4C51">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126" w:type="pct"/>
            <w:vAlign w:val="center"/>
          </w:tcPr>
          <w:p w14:paraId="0FE01E8B">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956" w:type="pct"/>
            <w:vAlign w:val="center"/>
          </w:tcPr>
          <w:p w14:paraId="5A55945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53.8</w:t>
            </w:r>
          </w:p>
        </w:tc>
      </w:tr>
      <w:tr w14:paraId="1B7C3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3"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108" w:type="pct"/>
            <w:vAlign w:val="center"/>
          </w:tcPr>
          <w:p w14:paraId="0CC9FBAC">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524" w:type="pct"/>
            <w:vAlign w:val="center"/>
          </w:tcPr>
          <w:p w14:paraId="092C6B57">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126" w:type="pct"/>
            <w:vAlign w:val="center"/>
          </w:tcPr>
          <w:p w14:paraId="45817F5C">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956" w:type="pct"/>
            <w:vAlign w:val="center"/>
          </w:tcPr>
          <w:p w14:paraId="313884E4">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62.9</w:t>
            </w:r>
          </w:p>
        </w:tc>
      </w:tr>
    </w:tbl>
    <w:p w14:paraId="719FD588">
      <w:pPr>
        <w:pStyle w:val="4"/>
        <w:rPr>
          <w:rFonts w:cs="Times New Roman"/>
          <w:color w:val="auto"/>
          <w:highlight w:val="none"/>
        </w:rPr>
      </w:pPr>
      <w:r>
        <w:rPr>
          <w:color w:val="auto"/>
          <w:highlight w:val="none"/>
        </w:rPr>
        <w:t xml:space="preserve">2.2.2 </w:t>
      </w:r>
      <w:r>
        <w:rPr>
          <w:rFonts w:hint="eastAsia" w:cs="宋体"/>
          <w:color w:val="auto"/>
          <w:highlight w:val="none"/>
        </w:rPr>
        <w:t>气象条件</w:t>
      </w:r>
    </w:p>
    <w:p w14:paraId="2F67A3DF">
      <w:pPr>
        <w:pStyle w:val="33"/>
        <w:ind w:firstLine="536" w:firstLineChars="200"/>
        <w:rPr>
          <w:rFonts w:hint="eastAsia" w:ascii="Times New Roman" w:cs="Times New Roman"/>
          <w:color w:val="auto"/>
          <w:spacing w:val="-6"/>
          <w:sz w:val="28"/>
          <w:szCs w:val="28"/>
          <w:highlight w:val="none"/>
        </w:rPr>
      </w:pPr>
      <w:r>
        <w:rPr>
          <w:rFonts w:hint="eastAsia" w:ascii="Times New Roman" w:cs="Times New Roman"/>
          <w:color w:val="auto"/>
          <w:spacing w:val="-6"/>
          <w:sz w:val="28"/>
          <w:szCs w:val="28"/>
          <w:highlight w:val="none"/>
        </w:rPr>
        <w:t>龙南市气候为亚热带季风湿润型。主要特征是生长季节长，气候温暖，雨量充沛，四季分明，光照充足。年平均气温为 19.5℃。年平均气温变幅为 29℃，1月份平均气温变辐为 4.8℃，7 月份平均气温变幅为 3.4℃。龙南市降水年平均降水量为 1526.2 毫米。蒸发年蒸发量为 1376.6 毫米。日照以气象局所在地为代表，年平均日照时数为 1600.8 小时，日照百分率为 36%，最多月份为 7 月，平均为219.4 小时，日照百分率为 53%；最少月份为 3 月，平均为 68.4 小时，日照百分率 18%。年平均风速 1.60 米/秒。湿度年平均相对湿度为 80%。</w:t>
      </w:r>
    </w:p>
    <w:p w14:paraId="3DCB8E08">
      <w:pPr>
        <w:pStyle w:val="33"/>
        <w:ind w:firstLine="560" w:firstLineChars="200"/>
        <w:rPr>
          <w:rFonts w:hint="eastAsia" w:ascii="Times New Roman" w:cs="Times New Roman"/>
          <w:color w:val="auto"/>
          <w:sz w:val="28"/>
          <w:szCs w:val="28"/>
          <w:highlight w:val="none"/>
        </w:rPr>
      </w:pPr>
      <w:r>
        <w:rPr>
          <w:rFonts w:hint="eastAsia" w:ascii="Times New Roman" w:cs="Times New Roman"/>
          <w:color w:val="auto"/>
          <w:sz w:val="28"/>
          <w:szCs w:val="28"/>
          <w:highlight w:val="none"/>
          <w:lang w:eastAsia="zh-CN"/>
        </w:rPr>
        <w:t>年平均雷暴日</w:t>
      </w:r>
      <w:r>
        <w:rPr>
          <w:rFonts w:hint="eastAsia" w:ascii="Times New Roman" w:cs="Times New Roman"/>
          <w:color w:val="auto"/>
          <w:sz w:val="28"/>
          <w:szCs w:val="28"/>
          <w:highlight w:val="none"/>
          <w:lang w:val="en-US" w:eastAsia="zh-CN"/>
        </w:rPr>
        <w:t>67.2</w:t>
      </w:r>
      <w:r>
        <w:rPr>
          <w:rFonts w:hint="eastAsia" w:ascii="Times New Roman" w:cs="Times New Roman"/>
          <w:color w:val="auto"/>
          <w:sz w:val="28"/>
          <w:szCs w:val="28"/>
          <w:highlight w:val="none"/>
          <w:lang w:eastAsia="zh-CN"/>
        </w:rPr>
        <w:t>d/a，无雷灾历史，属于雷电易发区。</w:t>
      </w:r>
    </w:p>
    <w:p w14:paraId="1458ACC0">
      <w:pPr>
        <w:pStyle w:val="3"/>
        <w:spacing w:line="580" w:lineRule="exact"/>
        <w:rPr>
          <w:color w:val="auto"/>
          <w:highlight w:val="none"/>
        </w:rPr>
      </w:pPr>
      <w:bookmarkStart w:id="31" w:name="_Toc31407"/>
      <w:bookmarkStart w:id="32" w:name="_Toc19009"/>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2"/>
        <w:gridCol w:w="1915"/>
        <w:gridCol w:w="698"/>
        <w:gridCol w:w="698"/>
        <w:gridCol w:w="1622"/>
        <w:gridCol w:w="2039"/>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7"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rPr>
              <w:t>30m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2</w:t>
            </w:r>
          </w:p>
        </w:tc>
        <w:tc>
          <w:tcPr>
            <w:tcW w:w="873" w:type="pct"/>
            <w:shd w:val="clear" w:color="auto" w:fill="auto"/>
            <w:vAlign w:val="center"/>
          </w:tcPr>
          <w:p w14:paraId="2378C459">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7" w:type="pct"/>
            <w:shd w:val="clear" w:color="auto" w:fill="auto"/>
            <w:vAlign w:val="center"/>
          </w:tcPr>
          <w:p w14:paraId="5C7D2A47">
            <w:pPr>
              <w:spacing w:line="260" w:lineRule="exact"/>
              <w:jc w:val="center"/>
              <w:rPr>
                <w:bCs/>
                <w:color w:val="auto"/>
                <w:highlight w:val="none"/>
              </w:rPr>
            </w:pPr>
            <w:r>
              <w:rPr>
                <w:rFonts w:hint="eastAsia"/>
                <w:bCs/>
                <w:color w:val="auto"/>
                <w:highlight w:val="none"/>
              </w:rPr>
              <w:t>9</w:t>
            </w:r>
            <w:r>
              <w:rPr>
                <w:rFonts w:hint="eastAsia"/>
                <w:bCs/>
                <w:color w:val="auto"/>
                <w:highlight w:val="none"/>
                <w:lang w:val="en-US" w:eastAsia="zh-CN"/>
              </w:rPr>
              <w:t>2</w:t>
            </w:r>
            <w:r>
              <w:rPr>
                <w:rFonts w:hint="eastAsia"/>
                <w:bCs/>
                <w:color w:val="auto"/>
                <w:highlight w:val="none"/>
              </w:rPr>
              <w:t>#汽油</w:t>
            </w:r>
          </w:p>
        </w:tc>
      </w:tr>
      <w:tr w14:paraId="72BAB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31CAF91">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2</w:t>
            </w:r>
          </w:p>
        </w:tc>
        <w:tc>
          <w:tcPr>
            <w:tcW w:w="873" w:type="pct"/>
            <w:shd w:val="clear" w:color="auto" w:fill="auto"/>
            <w:vAlign w:val="center"/>
          </w:tcPr>
          <w:p w14:paraId="71C765D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汽油储罐</w:t>
            </w:r>
          </w:p>
        </w:tc>
        <w:tc>
          <w:tcPr>
            <w:tcW w:w="1031" w:type="pct"/>
            <w:shd w:val="clear" w:color="auto" w:fill="auto"/>
            <w:vAlign w:val="center"/>
          </w:tcPr>
          <w:p w14:paraId="72635616">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3</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5DA8562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个</w:t>
            </w:r>
          </w:p>
        </w:tc>
        <w:tc>
          <w:tcPr>
            <w:tcW w:w="376" w:type="pct"/>
            <w:shd w:val="clear" w:color="auto" w:fill="auto"/>
            <w:vAlign w:val="center"/>
          </w:tcPr>
          <w:p w14:paraId="500198EC">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1</w:t>
            </w:r>
          </w:p>
        </w:tc>
        <w:tc>
          <w:tcPr>
            <w:tcW w:w="873" w:type="pct"/>
            <w:shd w:val="clear" w:color="auto" w:fill="auto"/>
            <w:vAlign w:val="center"/>
          </w:tcPr>
          <w:p w14:paraId="55EFCE06">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default" w:ascii="Times New Roman" w:hAnsi="Times New Roman" w:eastAsia="宋体" w:cs="宋体"/>
                <w:color w:val="auto"/>
                <w:highlight w:val="none"/>
                <w:lang w:val="en-US" w:eastAsia="zh-CN"/>
              </w:rPr>
              <w:t>SF 双层储罐</w:t>
            </w:r>
          </w:p>
        </w:tc>
        <w:tc>
          <w:tcPr>
            <w:tcW w:w="1097" w:type="pct"/>
            <w:shd w:val="clear" w:color="auto" w:fill="auto"/>
            <w:vAlign w:val="center"/>
          </w:tcPr>
          <w:p w14:paraId="7D0AA45F">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9</w:t>
            </w:r>
            <w:r>
              <w:rPr>
                <w:rFonts w:hint="eastAsia"/>
                <w:bCs/>
                <w:color w:val="auto"/>
                <w:highlight w:val="none"/>
                <w:lang w:val="en-US" w:eastAsia="zh-CN"/>
              </w:rPr>
              <w:t>5</w:t>
            </w:r>
            <w:r>
              <w:rPr>
                <w:rFonts w:hint="eastAsia"/>
                <w:bCs/>
                <w:color w:val="auto"/>
                <w:highlight w:val="none"/>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10855101">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3</w:t>
            </w:r>
          </w:p>
        </w:tc>
        <w:tc>
          <w:tcPr>
            <w:tcW w:w="873" w:type="pct"/>
            <w:shd w:val="clear" w:color="auto" w:fill="auto"/>
            <w:vAlign w:val="center"/>
          </w:tcPr>
          <w:p w14:paraId="12F38595">
            <w:pPr>
              <w:spacing w:line="260" w:lineRule="exact"/>
              <w:jc w:val="center"/>
              <w:rPr>
                <w:bCs/>
                <w:color w:val="auto"/>
                <w:highlight w:val="none"/>
              </w:rPr>
            </w:pPr>
            <w:r>
              <w:rPr>
                <w:rFonts w:hint="eastAsia"/>
                <w:bCs/>
                <w:color w:val="auto"/>
                <w:highlight w:val="none"/>
              </w:rPr>
              <w:t>柴油储罐</w:t>
            </w:r>
          </w:p>
        </w:tc>
        <w:tc>
          <w:tcPr>
            <w:tcW w:w="1031" w:type="pct"/>
            <w:shd w:val="clear" w:color="auto" w:fill="auto"/>
            <w:vAlign w:val="center"/>
          </w:tcPr>
          <w:p w14:paraId="3589C42B">
            <w:pPr>
              <w:spacing w:line="260" w:lineRule="exact"/>
              <w:jc w:val="center"/>
              <w:rPr>
                <w:bCs/>
                <w:color w:val="auto"/>
                <w:highlight w:val="none"/>
              </w:rPr>
            </w:pPr>
            <w:r>
              <w:rPr>
                <w:rFonts w:hint="eastAsia"/>
                <w:bCs/>
                <w:color w:val="auto"/>
                <w:highlight w:val="none"/>
                <w:lang w:val="en-US" w:eastAsia="zh-CN"/>
              </w:rPr>
              <w:t>30</w:t>
            </w:r>
            <w:r>
              <w:rPr>
                <w:rFonts w:hint="eastAsia"/>
                <w:bCs/>
                <w:color w:val="auto"/>
                <w:highlight w:val="none"/>
              </w:rPr>
              <w:t>m</w:t>
            </w:r>
            <w:r>
              <w:rPr>
                <w:rFonts w:hint="eastAsia"/>
                <w:bCs/>
                <w:color w:val="auto"/>
                <w:highlight w:val="none"/>
                <w:vertAlign w:val="superscript"/>
              </w:rPr>
              <w:t>3</w:t>
            </w:r>
          </w:p>
        </w:tc>
        <w:tc>
          <w:tcPr>
            <w:tcW w:w="376" w:type="pct"/>
            <w:shd w:val="clear" w:color="auto" w:fill="auto"/>
            <w:vAlign w:val="center"/>
          </w:tcPr>
          <w:p w14:paraId="781EEEA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1642EF81">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shd w:val="clear" w:color="auto" w:fill="auto"/>
            <w:vAlign w:val="center"/>
          </w:tcPr>
          <w:p w14:paraId="0AB70744">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7" w:type="pct"/>
            <w:shd w:val="clear" w:color="auto" w:fill="auto"/>
            <w:vAlign w:val="center"/>
          </w:tcPr>
          <w:p w14:paraId="0AF29216">
            <w:pPr>
              <w:spacing w:line="260" w:lineRule="exact"/>
              <w:jc w:val="center"/>
              <w:rPr>
                <w:bCs/>
                <w:color w:val="auto"/>
                <w:highlight w:val="none"/>
              </w:rPr>
            </w:pPr>
            <w:r>
              <w:rPr>
                <w:rFonts w:hint="eastAsia"/>
                <w:bCs/>
                <w:color w:val="auto"/>
                <w:highlight w:val="none"/>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4</w:t>
            </w:r>
          </w:p>
        </w:tc>
        <w:tc>
          <w:tcPr>
            <w:tcW w:w="873" w:type="pct"/>
            <w:vAlign w:val="center"/>
          </w:tcPr>
          <w:p w14:paraId="38FF651D">
            <w:pPr>
              <w:spacing w:line="260" w:lineRule="exact"/>
              <w:jc w:val="center"/>
              <w:rPr>
                <w:bCs/>
                <w:color w:val="auto"/>
                <w:highlight w:val="none"/>
              </w:rPr>
            </w:pPr>
            <w:r>
              <w:rPr>
                <w:rFonts w:hint="eastAsia"/>
                <w:bCs/>
                <w:color w:val="auto"/>
                <w:highlight w:val="none"/>
              </w:rPr>
              <w:t>燃油加油机</w:t>
            </w:r>
          </w:p>
        </w:tc>
        <w:tc>
          <w:tcPr>
            <w:tcW w:w="1031" w:type="pct"/>
            <w:vAlign w:val="center"/>
          </w:tcPr>
          <w:p w14:paraId="64008698">
            <w:pPr>
              <w:spacing w:line="260" w:lineRule="exact"/>
              <w:rPr>
                <w:bCs/>
                <w:color w:val="auto"/>
                <w:highlight w:val="none"/>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vAlign w:val="center"/>
          </w:tcPr>
          <w:p w14:paraId="2CC071DE">
            <w:pPr>
              <w:spacing w:line="260" w:lineRule="exact"/>
              <w:jc w:val="center"/>
              <w:rPr>
                <w:bCs/>
                <w:color w:val="auto"/>
                <w:highlight w:val="none"/>
              </w:rPr>
            </w:pPr>
            <w:r>
              <w:rPr>
                <w:rFonts w:hint="eastAsia"/>
                <w:bCs/>
                <w:color w:val="auto"/>
                <w:highlight w:val="none"/>
              </w:rPr>
              <w:t>台</w:t>
            </w:r>
          </w:p>
        </w:tc>
        <w:tc>
          <w:tcPr>
            <w:tcW w:w="376" w:type="pct"/>
            <w:vAlign w:val="center"/>
          </w:tcPr>
          <w:p w14:paraId="19757907">
            <w:pPr>
              <w:spacing w:line="260" w:lineRule="exact"/>
              <w:jc w:val="center"/>
              <w:rPr>
                <w:rFonts w:hint="eastAsia" w:eastAsia="宋体"/>
                <w:bCs/>
                <w:color w:val="auto"/>
                <w:highlight w:val="none"/>
                <w:lang w:eastAsia="zh-CN"/>
              </w:rPr>
            </w:pPr>
            <w:r>
              <w:rPr>
                <w:rFonts w:hint="eastAsia"/>
                <w:bCs/>
                <w:color w:val="auto"/>
                <w:highlight w:val="none"/>
                <w:lang w:val="en-US" w:eastAsia="zh-CN"/>
              </w:rPr>
              <w:t>4</w:t>
            </w:r>
          </w:p>
        </w:tc>
        <w:tc>
          <w:tcPr>
            <w:tcW w:w="873" w:type="pct"/>
            <w:vAlign w:val="center"/>
          </w:tcPr>
          <w:p w14:paraId="2908A827">
            <w:pPr>
              <w:spacing w:line="260" w:lineRule="exact"/>
              <w:jc w:val="center"/>
              <w:rPr>
                <w:bCs/>
                <w:color w:val="auto"/>
                <w:highlight w:val="none"/>
              </w:rPr>
            </w:pPr>
            <w:r>
              <w:rPr>
                <w:rFonts w:hint="eastAsia"/>
                <w:bCs/>
                <w:color w:val="auto"/>
                <w:highlight w:val="none"/>
              </w:rPr>
              <w:t>-</w:t>
            </w:r>
          </w:p>
        </w:tc>
        <w:tc>
          <w:tcPr>
            <w:tcW w:w="1097" w:type="pct"/>
            <w:vAlign w:val="center"/>
          </w:tcPr>
          <w:p w14:paraId="29C1063F">
            <w:pPr>
              <w:spacing w:line="260" w:lineRule="exact"/>
              <w:jc w:val="center"/>
              <w:rPr>
                <w:rFonts w:hint="eastAsia" w:ascii="宋体" w:hAnsi="宋体" w:eastAsia="宋体"/>
                <w:bCs/>
                <w:color w:val="auto"/>
                <w:highlight w:val="none"/>
                <w:lang w:eastAsia="zh-CN"/>
              </w:rPr>
            </w:pPr>
            <w:r>
              <w:rPr>
                <w:rFonts w:hint="eastAsia"/>
                <w:bCs/>
                <w:color w:val="auto"/>
                <w:highlight w:val="none"/>
                <w:lang w:val="en-US" w:eastAsia="zh-CN"/>
              </w:rPr>
              <w:t>4</w:t>
            </w:r>
            <w:r>
              <w:rPr>
                <w:rFonts w:hint="eastAsia"/>
                <w:bCs/>
                <w:color w:val="auto"/>
                <w:highlight w:val="none"/>
              </w:rPr>
              <w:t>台</w:t>
            </w:r>
            <w:r>
              <w:rPr>
                <w:rFonts w:hint="eastAsia"/>
                <w:bCs/>
                <w:color w:val="auto"/>
                <w:highlight w:val="none"/>
                <w:lang w:val="en-US" w:eastAsia="zh-CN"/>
              </w:rPr>
              <w:t>四</w:t>
            </w:r>
            <w:r>
              <w:rPr>
                <w:rFonts w:hint="eastAsia"/>
                <w:bCs/>
                <w:color w:val="auto"/>
                <w:highlight w:val="none"/>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5</w:t>
            </w:r>
          </w:p>
        </w:tc>
        <w:tc>
          <w:tcPr>
            <w:tcW w:w="873" w:type="pct"/>
            <w:vAlign w:val="center"/>
          </w:tcPr>
          <w:p w14:paraId="3B5F1E0E">
            <w:pPr>
              <w:spacing w:line="260" w:lineRule="exact"/>
              <w:jc w:val="center"/>
              <w:rPr>
                <w:bCs/>
                <w:color w:val="auto"/>
                <w:highlight w:val="none"/>
              </w:rPr>
            </w:pPr>
            <w:r>
              <w:rPr>
                <w:rFonts w:hint="eastAsia"/>
                <w:bCs/>
                <w:color w:val="auto"/>
                <w:highlight w:val="none"/>
              </w:rPr>
              <w:t>防静电报警仪</w:t>
            </w:r>
          </w:p>
        </w:tc>
        <w:tc>
          <w:tcPr>
            <w:tcW w:w="1031" w:type="pct"/>
            <w:vAlign w:val="center"/>
          </w:tcPr>
          <w:p w14:paraId="685A10D4">
            <w:pPr>
              <w:spacing w:line="260" w:lineRule="exact"/>
              <w:jc w:val="center"/>
              <w:rPr>
                <w:bCs/>
                <w:color w:val="auto"/>
                <w:highlight w:val="none"/>
              </w:rPr>
            </w:pPr>
            <w:r>
              <w:rPr>
                <w:rFonts w:hint="eastAsia"/>
                <w:bCs/>
                <w:color w:val="auto"/>
                <w:highlight w:val="none"/>
              </w:rPr>
              <w:t>-</w:t>
            </w:r>
          </w:p>
        </w:tc>
        <w:tc>
          <w:tcPr>
            <w:tcW w:w="376" w:type="pct"/>
            <w:vAlign w:val="center"/>
          </w:tcPr>
          <w:p w14:paraId="13C81D46">
            <w:pPr>
              <w:spacing w:line="260" w:lineRule="exact"/>
              <w:jc w:val="center"/>
              <w:rPr>
                <w:bCs/>
                <w:color w:val="auto"/>
                <w:highlight w:val="none"/>
              </w:rPr>
            </w:pPr>
            <w:r>
              <w:rPr>
                <w:rFonts w:hint="eastAsia"/>
                <w:bCs/>
                <w:color w:val="auto"/>
                <w:highlight w:val="none"/>
              </w:rPr>
              <w:t>台</w:t>
            </w:r>
          </w:p>
        </w:tc>
        <w:tc>
          <w:tcPr>
            <w:tcW w:w="376" w:type="pct"/>
            <w:vAlign w:val="center"/>
          </w:tcPr>
          <w:p w14:paraId="7EC95CB2">
            <w:pPr>
              <w:spacing w:line="260" w:lineRule="exact"/>
              <w:jc w:val="center"/>
              <w:rPr>
                <w:bCs/>
                <w:color w:val="auto"/>
                <w:highlight w:val="none"/>
              </w:rPr>
            </w:pPr>
            <w:r>
              <w:rPr>
                <w:rFonts w:hint="eastAsia"/>
                <w:bCs/>
                <w:color w:val="auto"/>
                <w:highlight w:val="none"/>
              </w:rPr>
              <w:t>1</w:t>
            </w:r>
          </w:p>
        </w:tc>
        <w:tc>
          <w:tcPr>
            <w:tcW w:w="873" w:type="pct"/>
            <w:vAlign w:val="center"/>
          </w:tcPr>
          <w:p w14:paraId="409E3EA3">
            <w:pPr>
              <w:spacing w:line="260" w:lineRule="exact"/>
              <w:jc w:val="center"/>
              <w:rPr>
                <w:bCs/>
                <w:color w:val="auto"/>
                <w:highlight w:val="none"/>
              </w:rPr>
            </w:pPr>
            <w:r>
              <w:rPr>
                <w:rFonts w:hint="eastAsia"/>
                <w:bCs/>
                <w:color w:val="auto"/>
                <w:highlight w:val="none"/>
              </w:rPr>
              <w:t>-</w:t>
            </w:r>
          </w:p>
        </w:tc>
        <w:tc>
          <w:tcPr>
            <w:tcW w:w="1097" w:type="pct"/>
            <w:vAlign w:val="center"/>
          </w:tcPr>
          <w:p w14:paraId="2C7CA1E4">
            <w:pPr>
              <w:spacing w:line="260" w:lineRule="exact"/>
              <w:jc w:val="center"/>
              <w:rPr>
                <w:rFonts w:ascii="宋体" w:hAnsi="宋体" w:cs="宋体"/>
                <w:bCs/>
                <w:color w:val="auto"/>
                <w:highlight w:val="none"/>
              </w:rPr>
            </w:pPr>
            <w:r>
              <w:rPr>
                <w:rFonts w:hint="eastAsia"/>
                <w:bCs/>
                <w:color w:val="auto"/>
                <w:highlight w:val="none"/>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6</w:t>
            </w:r>
          </w:p>
        </w:tc>
        <w:tc>
          <w:tcPr>
            <w:tcW w:w="873" w:type="pct"/>
            <w:vAlign w:val="center"/>
          </w:tcPr>
          <w:p w14:paraId="56279505">
            <w:pPr>
              <w:spacing w:line="260" w:lineRule="exact"/>
              <w:jc w:val="center"/>
              <w:rPr>
                <w:bCs/>
                <w:color w:val="auto"/>
                <w:highlight w:val="none"/>
              </w:rPr>
            </w:pPr>
            <w:r>
              <w:rPr>
                <w:rFonts w:hint="eastAsia"/>
                <w:bCs/>
                <w:color w:val="auto"/>
                <w:highlight w:val="none"/>
              </w:rPr>
              <w:t>液位仪</w:t>
            </w:r>
          </w:p>
        </w:tc>
        <w:tc>
          <w:tcPr>
            <w:tcW w:w="1031" w:type="pct"/>
            <w:vAlign w:val="center"/>
          </w:tcPr>
          <w:p w14:paraId="17113ADF">
            <w:pPr>
              <w:spacing w:line="260" w:lineRule="exact"/>
              <w:jc w:val="center"/>
              <w:rPr>
                <w:bCs/>
                <w:color w:val="auto"/>
                <w:highlight w:val="none"/>
              </w:rPr>
            </w:pPr>
            <w:r>
              <w:rPr>
                <w:rFonts w:hint="eastAsia"/>
                <w:bCs/>
                <w:color w:val="auto"/>
                <w:highlight w:val="none"/>
              </w:rPr>
              <w:t>-</w:t>
            </w:r>
          </w:p>
        </w:tc>
        <w:tc>
          <w:tcPr>
            <w:tcW w:w="376" w:type="pct"/>
            <w:vAlign w:val="center"/>
          </w:tcPr>
          <w:p w14:paraId="0FEAEC55">
            <w:pPr>
              <w:spacing w:line="260" w:lineRule="exact"/>
              <w:jc w:val="center"/>
              <w:rPr>
                <w:bCs/>
                <w:color w:val="auto"/>
                <w:highlight w:val="none"/>
              </w:rPr>
            </w:pPr>
            <w:r>
              <w:rPr>
                <w:rFonts w:hint="eastAsia"/>
                <w:bCs/>
                <w:color w:val="auto"/>
                <w:highlight w:val="none"/>
              </w:rPr>
              <w:t>台</w:t>
            </w:r>
          </w:p>
        </w:tc>
        <w:tc>
          <w:tcPr>
            <w:tcW w:w="376" w:type="pct"/>
            <w:vAlign w:val="center"/>
          </w:tcPr>
          <w:p w14:paraId="0DBD6027">
            <w:pPr>
              <w:spacing w:line="260" w:lineRule="exact"/>
              <w:jc w:val="center"/>
              <w:rPr>
                <w:bCs/>
                <w:color w:val="auto"/>
                <w:highlight w:val="none"/>
              </w:rPr>
            </w:pPr>
            <w:r>
              <w:rPr>
                <w:rFonts w:hint="eastAsia"/>
                <w:bCs/>
                <w:color w:val="auto"/>
                <w:highlight w:val="none"/>
              </w:rPr>
              <w:t>1</w:t>
            </w:r>
          </w:p>
        </w:tc>
        <w:tc>
          <w:tcPr>
            <w:tcW w:w="873" w:type="pct"/>
            <w:vAlign w:val="center"/>
          </w:tcPr>
          <w:p w14:paraId="35B6FDB2">
            <w:pPr>
              <w:spacing w:line="260" w:lineRule="exact"/>
              <w:jc w:val="center"/>
              <w:rPr>
                <w:bCs/>
                <w:color w:val="auto"/>
                <w:highlight w:val="none"/>
              </w:rPr>
            </w:pPr>
            <w:r>
              <w:rPr>
                <w:rFonts w:hint="eastAsia"/>
                <w:bCs/>
                <w:color w:val="auto"/>
                <w:highlight w:val="none"/>
              </w:rPr>
              <w:t>-</w:t>
            </w:r>
          </w:p>
        </w:tc>
        <w:tc>
          <w:tcPr>
            <w:tcW w:w="1097" w:type="pct"/>
            <w:vAlign w:val="center"/>
          </w:tcPr>
          <w:p w14:paraId="6030DE3A">
            <w:pPr>
              <w:spacing w:line="260" w:lineRule="exact"/>
              <w:jc w:val="center"/>
              <w:rPr>
                <w:bCs/>
                <w:color w:val="auto"/>
                <w:highlight w:val="none"/>
              </w:rPr>
            </w:pPr>
            <w:r>
              <w:rPr>
                <w:rFonts w:hint="eastAsia"/>
                <w:bCs/>
                <w:color w:val="auto"/>
                <w:highlight w:val="none"/>
                <w:lang w:val="en-US" w:eastAsia="zh-CN"/>
              </w:rPr>
              <w:t>5</w:t>
            </w:r>
            <w:r>
              <w:rPr>
                <w:bCs/>
                <w:color w:val="auto"/>
                <w:highlight w:val="none"/>
              </w:rPr>
              <w:t>个检测传感器。</w:t>
            </w:r>
          </w:p>
        </w:tc>
      </w:tr>
      <w:tr w14:paraId="18288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D6A0465">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7</w:t>
            </w:r>
          </w:p>
        </w:tc>
        <w:tc>
          <w:tcPr>
            <w:tcW w:w="873" w:type="pct"/>
            <w:shd w:val="clear" w:color="auto" w:fill="auto"/>
            <w:vAlign w:val="center"/>
          </w:tcPr>
          <w:p w14:paraId="1F11C48F">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泄漏检测仪</w:t>
            </w:r>
          </w:p>
        </w:tc>
        <w:tc>
          <w:tcPr>
            <w:tcW w:w="1031" w:type="pct"/>
            <w:shd w:val="clear" w:color="auto" w:fill="auto"/>
            <w:vAlign w:val="center"/>
          </w:tcPr>
          <w:p w14:paraId="2671E41B">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162B6E2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7629C51E">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61D4F97A">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7" w:type="pct"/>
            <w:shd w:val="clear" w:color="auto" w:fill="auto"/>
            <w:vAlign w:val="center"/>
          </w:tcPr>
          <w:p w14:paraId="717B2AC7">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5</w:t>
            </w:r>
            <w:r>
              <w:rPr>
                <w:bCs/>
                <w:color w:val="auto"/>
                <w:highlight w:val="none"/>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8</w:t>
            </w:r>
          </w:p>
        </w:tc>
        <w:tc>
          <w:tcPr>
            <w:tcW w:w="873" w:type="pct"/>
            <w:vAlign w:val="center"/>
          </w:tcPr>
          <w:p w14:paraId="686B8C77">
            <w:pPr>
              <w:spacing w:line="260" w:lineRule="exact"/>
              <w:jc w:val="center"/>
              <w:rPr>
                <w:bCs/>
                <w:color w:val="auto"/>
                <w:highlight w:val="none"/>
              </w:rPr>
            </w:pPr>
            <w:r>
              <w:rPr>
                <w:rFonts w:hint="eastAsia"/>
                <w:bCs/>
                <w:color w:val="auto"/>
                <w:highlight w:val="none"/>
              </w:rPr>
              <w:t>视频监控系统</w:t>
            </w:r>
          </w:p>
        </w:tc>
        <w:tc>
          <w:tcPr>
            <w:tcW w:w="1031" w:type="pct"/>
            <w:vAlign w:val="center"/>
          </w:tcPr>
          <w:p w14:paraId="27FDFD1D">
            <w:pPr>
              <w:spacing w:line="260" w:lineRule="exact"/>
              <w:jc w:val="center"/>
              <w:rPr>
                <w:bCs/>
                <w:color w:val="auto"/>
                <w:highlight w:val="none"/>
              </w:rPr>
            </w:pPr>
            <w:r>
              <w:rPr>
                <w:rFonts w:hint="eastAsia"/>
                <w:bCs/>
                <w:color w:val="auto"/>
                <w:highlight w:val="none"/>
              </w:rPr>
              <w:t>-</w:t>
            </w:r>
          </w:p>
        </w:tc>
        <w:tc>
          <w:tcPr>
            <w:tcW w:w="376" w:type="pct"/>
            <w:vAlign w:val="center"/>
          </w:tcPr>
          <w:p w14:paraId="73F64BB6">
            <w:pPr>
              <w:spacing w:line="260" w:lineRule="exact"/>
              <w:jc w:val="center"/>
              <w:rPr>
                <w:bCs/>
                <w:color w:val="auto"/>
                <w:highlight w:val="none"/>
              </w:rPr>
            </w:pPr>
            <w:r>
              <w:rPr>
                <w:rFonts w:hint="eastAsia"/>
                <w:bCs/>
                <w:color w:val="auto"/>
                <w:highlight w:val="none"/>
              </w:rPr>
              <w:t>套</w:t>
            </w:r>
          </w:p>
        </w:tc>
        <w:tc>
          <w:tcPr>
            <w:tcW w:w="376" w:type="pct"/>
            <w:vAlign w:val="center"/>
          </w:tcPr>
          <w:p w14:paraId="6BAD6ECD">
            <w:pPr>
              <w:spacing w:line="260" w:lineRule="exact"/>
              <w:jc w:val="center"/>
              <w:rPr>
                <w:bCs/>
                <w:color w:val="auto"/>
                <w:highlight w:val="none"/>
              </w:rPr>
            </w:pPr>
            <w:r>
              <w:rPr>
                <w:rFonts w:hint="eastAsia"/>
                <w:bCs/>
                <w:color w:val="auto"/>
                <w:highlight w:val="none"/>
              </w:rPr>
              <w:t>1</w:t>
            </w:r>
          </w:p>
        </w:tc>
        <w:tc>
          <w:tcPr>
            <w:tcW w:w="873" w:type="pct"/>
            <w:vAlign w:val="center"/>
          </w:tcPr>
          <w:p w14:paraId="199BBCD5">
            <w:pPr>
              <w:spacing w:line="260" w:lineRule="exact"/>
              <w:jc w:val="center"/>
              <w:rPr>
                <w:bCs/>
                <w:color w:val="auto"/>
                <w:highlight w:val="none"/>
              </w:rPr>
            </w:pPr>
            <w:r>
              <w:rPr>
                <w:rFonts w:hint="eastAsia"/>
                <w:bCs/>
                <w:color w:val="auto"/>
                <w:highlight w:val="none"/>
              </w:rPr>
              <w:t>-</w:t>
            </w:r>
          </w:p>
        </w:tc>
        <w:tc>
          <w:tcPr>
            <w:tcW w:w="1097" w:type="pct"/>
            <w:vAlign w:val="center"/>
          </w:tcPr>
          <w:p w14:paraId="46442572">
            <w:pPr>
              <w:spacing w:line="260" w:lineRule="exact"/>
              <w:jc w:val="center"/>
              <w:rPr>
                <w:bCs/>
                <w:color w:val="auto"/>
                <w:highlight w:val="none"/>
              </w:rPr>
            </w:pPr>
            <w:r>
              <w:rPr>
                <w:rFonts w:hint="eastAsia"/>
                <w:bCs/>
                <w:color w:val="auto"/>
                <w:highlight w:val="none"/>
              </w:rPr>
              <w:t>-</w:t>
            </w:r>
          </w:p>
        </w:tc>
      </w:tr>
      <w:tr w14:paraId="42F59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2C1C5934">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9</w:t>
            </w:r>
          </w:p>
        </w:tc>
        <w:tc>
          <w:tcPr>
            <w:tcW w:w="873" w:type="pct"/>
            <w:shd w:val="clear" w:color="auto" w:fill="auto"/>
            <w:vAlign w:val="center"/>
          </w:tcPr>
          <w:p w14:paraId="601C907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洗车机</w:t>
            </w:r>
          </w:p>
        </w:tc>
        <w:tc>
          <w:tcPr>
            <w:tcW w:w="1031" w:type="pct"/>
            <w:shd w:val="clear" w:color="auto" w:fill="auto"/>
            <w:vAlign w:val="center"/>
          </w:tcPr>
          <w:p w14:paraId="6BE9D2A7">
            <w:pPr>
              <w:spacing w:line="260" w:lineRule="exact"/>
              <w:jc w:val="center"/>
              <w:rPr>
                <w:rFonts w:hint="eastAsia" w:ascii="Times New Roman" w:hAnsi="Times New Roman" w:eastAsia="宋体" w:cs="Times New Roman"/>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3C2CA3E1">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44D8589C">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1F3CB5F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7" w:type="pct"/>
            <w:shd w:val="clear" w:color="auto" w:fill="auto"/>
            <w:vAlign w:val="center"/>
          </w:tcPr>
          <w:p w14:paraId="506F7623">
            <w:pPr>
              <w:spacing w:line="260" w:lineRule="exact"/>
              <w:jc w:val="center"/>
              <w:rPr>
                <w:rFonts w:hint="default" w:ascii="Calibri" w:hAnsi="Calibri" w:eastAsia="宋体" w:cs="Calibri"/>
                <w:bCs/>
                <w:color w:val="auto"/>
                <w:kern w:val="2"/>
                <w:sz w:val="21"/>
                <w:szCs w:val="21"/>
                <w:highlight w:val="none"/>
                <w:lang w:val="en-US" w:eastAsia="zh-CN" w:bidi="ar-SA"/>
              </w:rPr>
            </w:pP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707"/>
        <w:gridCol w:w="656"/>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vAlign w:val="center"/>
          </w:tcPr>
          <w:p w14:paraId="3B51431C">
            <w:pPr>
              <w:jc w:val="center"/>
              <w:rPr>
                <w:b/>
                <w:color w:val="auto"/>
                <w:highlight w:val="none"/>
              </w:rPr>
            </w:pPr>
            <w:r>
              <w:rPr>
                <w:rFonts w:hint="eastAsia"/>
                <w:b/>
                <w:color w:val="auto"/>
                <w:highlight w:val="none"/>
              </w:rPr>
              <w:t>序号</w:t>
            </w:r>
          </w:p>
        </w:tc>
        <w:tc>
          <w:tcPr>
            <w:tcW w:w="1707" w:type="dxa"/>
            <w:vAlign w:val="center"/>
          </w:tcPr>
          <w:p w14:paraId="6A0D1A1E">
            <w:pPr>
              <w:jc w:val="center"/>
              <w:rPr>
                <w:b/>
                <w:color w:val="auto"/>
                <w:highlight w:val="none"/>
              </w:rPr>
            </w:pPr>
            <w:r>
              <w:rPr>
                <w:rFonts w:hint="eastAsia"/>
                <w:b/>
                <w:color w:val="auto"/>
                <w:highlight w:val="none"/>
              </w:rPr>
              <w:t>名称</w:t>
            </w:r>
          </w:p>
        </w:tc>
        <w:tc>
          <w:tcPr>
            <w:tcW w:w="656"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占地面积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770" w:type="dxa"/>
            <w:vAlign w:val="center"/>
          </w:tcPr>
          <w:p w14:paraId="2EC47E2E">
            <w:pPr>
              <w:jc w:val="center"/>
              <w:rPr>
                <w:b/>
                <w:color w:val="auto"/>
                <w:highlight w:val="none"/>
              </w:rPr>
            </w:pPr>
            <w:r>
              <w:rPr>
                <w:rFonts w:hint="eastAsia"/>
                <w:b/>
                <w:color w:val="auto"/>
                <w:highlight w:val="none"/>
              </w:rPr>
              <w:t>结构类型</w:t>
            </w:r>
          </w:p>
        </w:tc>
        <w:tc>
          <w:tcPr>
            <w:tcW w:w="1907"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vAlign w:val="center"/>
          </w:tcPr>
          <w:p w14:paraId="6B6F14C9">
            <w:pPr>
              <w:jc w:val="center"/>
              <w:rPr>
                <w:bCs/>
                <w:color w:val="auto"/>
                <w:highlight w:val="none"/>
              </w:rPr>
            </w:pPr>
            <w:r>
              <w:rPr>
                <w:bCs/>
                <w:color w:val="auto"/>
                <w:highlight w:val="none"/>
              </w:rPr>
              <w:t>1</w:t>
            </w:r>
          </w:p>
        </w:tc>
        <w:tc>
          <w:tcPr>
            <w:tcW w:w="1707" w:type="dxa"/>
            <w:vAlign w:val="center"/>
          </w:tcPr>
          <w:p w14:paraId="2F344382">
            <w:pPr>
              <w:jc w:val="center"/>
              <w:rPr>
                <w:bCs/>
                <w:color w:val="auto"/>
                <w:highlight w:val="none"/>
              </w:rPr>
            </w:pPr>
            <w:r>
              <w:rPr>
                <w:rFonts w:hint="eastAsia"/>
                <w:bCs/>
                <w:color w:val="auto"/>
                <w:highlight w:val="none"/>
              </w:rPr>
              <w:t>罩棚</w:t>
            </w:r>
          </w:p>
        </w:tc>
        <w:tc>
          <w:tcPr>
            <w:tcW w:w="656"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594</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770" w:type="dxa"/>
            <w:vAlign w:val="center"/>
          </w:tcPr>
          <w:p w14:paraId="2D4B0A76">
            <w:pPr>
              <w:jc w:val="center"/>
              <w:rPr>
                <w:bCs/>
                <w:color w:val="auto"/>
                <w:highlight w:val="none"/>
              </w:rPr>
            </w:pPr>
            <w:r>
              <w:rPr>
                <w:rFonts w:hint="eastAsia"/>
                <w:bCs/>
                <w:color w:val="auto"/>
                <w:highlight w:val="none"/>
              </w:rPr>
              <w:t>钢架结构</w:t>
            </w:r>
          </w:p>
        </w:tc>
        <w:tc>
          <w:tcPr>
            <w:tcW w:w="1907"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1F1F385C">
            <w:pPr>
              <w:jc w:val="center"/>
              <w:rPr>
                <w:bCs/>
                <w:color w:val="auto"/>
                <w:highlight w:val="none"/>
              </w:rPr>
            </w:pPr>
            <w:r>
              <w:rPr>
                <w:rFonts w:hint="eastAsia"/>
                <w:bCs/>
                <w:color w:val="auto"/>
                <w:highlight w:val="none"/>
              </w:rPr>
              <w:t>2</w:t>
            </w:r>
          </w:p>
        </w:tc>
        <w:tc>
          <w:tcPr>
            <w:tcW w:w="1707" w:type="dxa"/>
            <w:vAlign w:val="center"/>
          </w:tcPr>
          <w:p w14:paraId="506AC7DB">
            <w:pPr>
              <w:jc w:val="center"/>
              <w:rPr>
                <w:bCs/>
                <w:color w:val="auto"/>
                <w:highlight w:val="none"/>
              </w:rPr>
            </w:pPr>
            <w:r>
              <w:rPr>
                <w:rFonts w:hint="eastAsia"/>
                <w:bCs/>
                <w:color w:val="auto"/>
                <w:highlight w:val="none"/>
              </w:rPr>
              <w:t>站房</w:t>
            </w:r>
          </w:p>
        </w:tc>
        <w:tc>
          <w:tcPr>
            <w:tcW w:w="656"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158</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770" w:type="dxa"/>
            <w:vAlign w:val="center"/>
          </w:tcPr>
          <w:p w14:paraId="18777D8D">
            <w:pPr>
              <w:jc w:val="center"/>
              <w:rPr>
                <w:bCs/>
                <w:color w:val="auto"/>
                <w:highlight w:val="none"/>
              </w:rPr>
            </w:pPr>
            <w:r>
              <w:rPr>
                <w:rFonts w:hint="eastAsia"/>
                <w:bCs/>
                <w:color w:val="auto"/>
                <w:highlight w:val="none"/>
              </w:rPr>
              <w:t>砖混</w:t>
            </w:r>
          </w:p>
        </w:tc>
        <w:tc>
          <w:tcPr>
            <w:tcW w:w="1907" w:type="dxa"/>
            <w:vAlign w:val="center"/>
          </w:tcPr>
          <w:p w14:paraId="2DD227D4">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6BEA1FCE">
            <w:pPr>
              <w:jc w:val="center"/>
              <w:rPr>
                <w:bCs/>
                <w:color w:val="auto"/>
                <w:highlight w:val="none"/>
              </w:rPr>
            </w:pPr>
            <w:r>
              <w:rPr>
                <w:rFonts w:hint="eastAsia"/>
                <w:bCs/>
                <w:color w:val="auto"/>
                <w:highlight w:val="none"/>
              </w:rPr>
              <w:t>3</w:t>
            </w:r>
          </w:p>
        </w:tc>
        <w:tc>
          <w:tcPr>
            <w:tcW w:w="1707" w:type="dxa"/>
            <w:vAlign w:val="center"/>
          </w:tcPr>
          <w:p w14:paraId="009EA450">
            <w:pPr>
              <w:jc w:val="center"/>
              <w:rPr>
                <w:bCs/>
                <w:color w:val="auto"/>
                <w:highlight w:val="none"/>
              </w:rPr>
            </w:pPr>
            <w:r>
              <w:rPr>
                <w:rFonts w:hint="eastAsia"/>
                <w:bCs/>
                <w:color w:val="auto"/>
                <w:highlight w:val="none"/>
              </w:rPr>
              <w:t>油罐区</w:t>
            </w:r>
          </w:p>
        </w:tc>
        <w:tc>
          <w:tcPr>
            <w:tcW w:w="656"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770" w:type="dxa"/>
            <w:vAlign w:val="center"/>
          </w:tcPr>
          <w:p w14:paraId="4E89FCD2">
            <w:pPr>
              <w:jc w:val="center"/>
              <w:rPr>
                <w:bCs/>
                <w:color w:val="auto"/>
                <w:highlight w:val="none"/>
              </w:rPr>
            </w:pPr>
            <w:r>
              <w:rPr>
                <w:rFonts w:hint="eastAsia"/>
                <w:bCs/>
                <w:color w:val="auto"/>
                <w:highlight w:val="none"/>
              </w:rPr>
              <w:t>砼</w:t>
            </w:r>
          </w:p>
        </w:tc>
        <w:tc>
          <w:tcPr>
            <w:tcW w:w="1907" w:type="dxa"/>
            <w:vAlign w:val="center"/>
          </w:tcPr>
          <w:p w14:paraId="4ADF93F0">
            <w:pPr>
              <w:jc w:val="center"/>
              <w:rPr>
                <w:bCs/>
                <w:color w:val="auto"/>
                <w:highlight w:val="none"/>
              </w:rPr>
            </w:pPr>
            <w:r>
              <w:rPr>
                <w:rFonts w:hint="eastAsia"/>
                <w:bCs/>
                <w:color w:val="auto"/>
                <w:highlight w:val="none"/>
                <w:lang w:val="en-US" w:eastAsia="zh-CN"/>
              </w:rPr>
              <w:t>非</w:t>
            </w: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7CDC71B3">
            <w:pPr>
              <w:jc w:val="center"/>
              <w:rPr>
                <w:bCs/>
                <w:color w:val="auto"/>
                <w:highlight w:val="none"/>
              </w:rPr>
            </w:pPr>
            <w:r>
              <w:rPr>
                <w:rFonts w:hint="eastAsia"/>
                <w:bCs/>
                <w:color w:val="auto"/>
                <w:highlight w:val="none"/>
              </w:rPr>
              <w:t>4</w:t>
            </w:r>
          </w:p>
        </w:tc>
        <w:tc>
          <w:tcPr>
            <w:tcW w:w="1707" w:type="dxa"/>
            <w:vAlign w:val="center"/>
          </w:tcPr>
          <w:p w14:paraId="33D54701">
            <w:pPr>
              <w:jc w:val="center"/>
              <w:rPr>
                <w:bCs/>
                <w:color w:val="auto"/>
                <w:highlight w:val="none"/>
              </w:rPr>
            </w:pPr>
            <w:r>
              <w:rPr>
                <w:rFonts w:hint="eastAsia"/>
                <w:bCs/>
                <w:color w:val="auto"/>
                <w:highlight w:val="none"/>
              </w:rPr>
              <w:t>隔油池</w:t>
            </w:r>
          </w:p>
        </w:tc>
        <w:tc>
          <w:tcPr>
            <w:tcW w:w="656"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bCs/>
                <w:color w:val="auto"/>
                <w:highlight w:val="none"/>
              </w:rPr>
            </w:pPr>
          </w:p>
        </w:tc>
        <w:tc>
          <w:tcPr>
            <w:tcW w:w="1251" w:type="dxa"/>
            <w:vAlign w:val="center"/>
          </w:tcPr>
          <w:p w14:paraId="6E7590C8">
            <w:pPr>
              <w:jc w:val="center"/>
              <w:rPr>
                <w:bCs/>
                <w:color w:val="auto"/>
                <w:highlight w:val="none"/>
              </w:rPr>
            </w:pPr>
            <w:r>
              <w:rPr>
                <w:rFonts w:hint="eastAsia"/>
                <w:bCs/>
                <w:color w:val="auto"/>
                <w:highlight w:val="none"/>
              </w:rPr>
              <w:t>/</w:t>
            </w:r>
          </w:p>
        </w:tc>
        <w:tc>
          <w:tcPr>
            <w:tcW w:w="1770" w:type="dxa"/>
            <w:vAlign w:val="center"/>
          </w:tcPr>
          <w:p w14:paraId="64A96C9F">
            <w:pPr>
              <w:jc w:val="center"/>
              <w:rPr>
                <w:bCs/>
                <w:color w:val="auto"/>
                <w:highlight w:val="none"/>
              </w:rPr>
            </w:pPr>
            <w:r>
              <w:rPr>
                <w:rFonts w:hint="eastAsia"/>
                <w:bCs/>
                <w:color w:val="auto"/>
                <w:highlight w:val="none"/>
              </w:rPr>
              <w:t>砼</w:t>
            </w:r>
          </w:p>
        </w:tc>
        <w:tc>
          <w:tcPr>
            <w:tcW w:w="1907" w:type="dxa"/>
            <w:vAlign w:val="center"/>
          </w:tcPr>
          <w:p w14:paraId="5A0D8739">
            <w:pPr>
              <w:jc w:val="center"/>
              <w:rPr>
                <w:bCs/>
                <w:color w:val="auto"/>
                <w:highlight w:val="none"/>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33C34865">
            <w:pPr>
              <w:jc w:val="center"/>
              <w:rPr>
                <w:rFonts w:hint="eastAsia" w:eastAsia="宋体"/>
                <w:bCs/>
                <w:color w:val="auto"/>
                <w:highlight w:val="none"/>
                <w:lang w:val="en-US" w:eastAsia="zh-CN"/>
              </w:rPr>
            </w:pPr>
            <w:bookmarkStart w:id="34" w:name="_Toc24392"/>
            <w:r>
              <w:rPr>
                <w:rFonts w:hint="eastAsia"/>
                <w:bCs/>
                <w:color w:val="auto"/>
                <w:highlight w:val="none"/>
                <w:lang w:val="en-US" w:eastAsia="zh-CN"/>
              </w:rPr>
              <w:t>5</w:t>
            </w:r>
          </w:p>
        </w:tc>
        <w:tc>
          <w:tcPr>
            <w:tcW w:w="1707" w:type="dxa"/>
            <w:vAlign w:val="center"/>
          </w:tcPr>
          <w:p w14:paraId="2C489F17">
            <w:pPr>
              <w:jc w:val="center"/>
              <w:rPr>
                <w:rFonts w:hint="default" w:eastAsia="宋体"/>
                <w:bCs/>
                <w:color w:val="auto"/>
                <w:highlight w:val="none"/>
                <w:lang w:val="en-US" w:eastAsia="zh-CN"/>
              </w:rPr>
            </w:pPr>
            <w:r>
              <w:rPr>
                <w:rFonts w:hint="eastAsia"/>
                <w:bCs/>
                <w:color w:val="auto"/>
                <w:highlight w:val="none"/>
                <w:lang w:val="en-US" w:eastAsia="zh-CN"/>
              </w:rPr>
              <w:t>1#</w:t>
            </w:r>
            <w:r>
              <w:rPr>
                <w:rFonts w:hint="eastAsia"/>
                <w:bCs/>
                <w:color w:val="auto"/>
                <w:highlight w:val="none"/>
              </w:rPr>
              <w:t>辅房</w:t>
            </w:r>
          </w:p>
          <w:p w14:paraId="621EA51F">
            <w:pPr>
              <w:jc w:val="center"/>
              <w:rPr>
                <w:rFonts w:hint="eastAsia"/>
                <w:bCs/>
                <w:color w:val="auto"/>
                <w:highlight w:val="none"/>
              </w:rPr>
            </w:pPr>
          </w:p>
        </w:tc>
        <w:tc>
          <w:tcPr>
            <w:tcW w:w="656" w:type="dxa"/>
            <w:vAlign w:val="center"/>
          </w:tcPr>
          <w:p w14:paraId="21126231">
            <w:pPr>
              <w:jc w:val="center"/>
              <w:rPr>
                <w:rFonts w:hint="eastAsia"/>
                <w:bCs/>
                <w:color w:val="auto"/>
                <w:highlight w:val="none"/>
              </w:rPr>
            </w:pPr>
            <w:r>
              <w:rPr>
                <w:rFonts w:hint="eastAsia"/>
                <w:bCs/>
                <w:color w:val="auto"/>
                <w:highlight w:val="none"/>
              </w:rPr>
              <w:t>1座</w:t>
            </w:r>
          </w:p>
        </w:tc>
        <w:tc>
          <w:tcPr>
            <w:tcW w:w="1102" w:type="dxa"/>
            <w:vAlign w:val="center"/>
          </w:tcPr>
          <w:p w14:paraId="455DC6F0">
            <w:pPr>
              <w:jc w:val="center"/>
              <w:rPr>
                <w:rFonts w:hint="eastAsia"/>
                <w:bCs/>
                <w:color w:val="auto"/>
                <w:highlight w:val="none"/>
              </w:rPr>
            </w:pPr>
            <w:r>
              <w:rPr>
                <w:rFonts w:hint="eastAsia"/>
                <w:bCs/>
                <w:color w:val="auto"/>
                <w:highlight w:val="none"/>
                <w:lang w:val="en-US" w:eastAsia="zh-CN"/>
              </w:rPr>
              <w:t>80</w:t>
            </w:r>
            <w:r>
              <w:rPr>
                <w:rFonts w:hint="eastAsia"/>
                <w:bCs/>
                <w:color w:val="auto"/>
                <w:highlight w:val="none"/>
              </w:rPr>
              <w:t>m</w:t>
            </w:r>
            <w:r>
              <w:rPr>
                <w:rFonts w:hint="eastAsia"/>
                <w:bCs/>
                <w:color w:val="auto"/>
                <w:highlight w:val="none"/>
                <w:vertAlign w:val="superscript"/>
              </w:rPr>
              <w:t>2</w:t>
            </w:r>
          </w:p>
          <w:p w14:paraId="6CA82C08">
            <w:pPr>
              <w:jc w:val="center"/>
              <w:rPr>
                <w:rFonts w:hint="eastAsia"/>
                <w:bCs/>
                <w:color w:val="auto"/>
                <w:highlight w:val="none"/>
              </w:rPr>
            </w:pPr>
          </w:p>
        </w:tc>
        <w:tc>
          <w:tcPr>
            <w:tcW w:w="1251" w:type="dxa"/>
            <w:vAlign w:val="center"/>
          </w:tcPr>
          <w:p w14:paraId="14FAA71D">
            <w:pPr>
              <w:jc w:val="center"/>
              <w:rPr>
                <w:rFonts w:hint="eastAsia"/>
                <w:bCs/>
                <w:color w:val="auto"/>
                <w:highlight w:val="none"/>
              </w:rPr>
            </w:pPr>
            <w:r>
              <w:rPr>
                <w:rFonts w:hint="eastAsia"/>
                <w:bCs/>
                <w:color w:val="auto"/>
                <w:highlight w:val="none"/>
              </w:rPr>
              <w:t>二级</w:t>
            </w:r>
          </w:p>
        </w:tc>
        <w:tc>
          <w:tcPr>
            <w:tcW w:w="1770" w:type="dxa"/>
            <w:vAlign w:val="center"/>
          </w:tcPr>
          <w:p w14:paraId="16030F14">
            <w:pPr>
              <w:jc w:val="center"/>
              <w:rPr>
                <w:rFonts w:hint="eastAsia"/>
                <w:bCs/>
                <w:color w:val="auto"/>
                <w:highlight w:val="none"/>
              </w:rPr>
            </w:pPr>
            <w:r>
              <w:rPr>
                <w:rFonts w:hint="eastAsia"/>
                <w:bCs/>
                <w:color w:val="auto"/>
                <w:highlight w:val="none"/>
              </w:rPr>
              <w:t>砖混</w:t>
            </w:r>
          </w:p>
        </w:tc>
        <w:tc>
          <w:tcPr>
            <w:tcW w:w="1907" w:type="dxa"/>
            <w:vAlign w:val="center"/>
          </w:tcPr>
          <w:p w14:paraId="4777ED77">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12207E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63" w:type="dxa"/>
            <w:shd w:val="clear" w:color="auto" w:fill="auto"/>
            <w:vAlign w:val="center"/>
          </w:tcPr>
          <w:p w14:paraId="2CDC0AC5">
            <w:pPr>
              <w:jc w:val="center"/>
              <w:rPr>
                <w:rFonts w:hint="default"/>
                <w:bCs/>
                <w:color w:val="auto"/>
                <w:highlight w:val="none"/>
                <w:lang w:val="en-US" w:eastAsia="zh-CN"/>
              </w:rPr>
            </w:pPr>
            <w:r>
              <w:rPr>
                <w:rFonts w:hint="eastAsia"/>
                <w:bCs/>
                <w:color w:val="auto"/>
                <w:highlight w:val="none"/>
                <w:lang w:val="en-US" w:eastAsia="zh-CN"/>
              </w:rPr>
              <w:t>6</w:t>
            </w:r>
          </w:p>
        </w:tc>
        <w:tc>
          <w:tcPr>
            <w:tcW w:w="1707" w:type="dxa"/>
            <w:shd w:val="clear" w:color="auto" w:fill="auto"/>
            <w:vAlign w:val="center"/>
          </w:tcPr>
          <w:p w14:paraId="70D016DE">
            <w:pPr>
              <w:jc w:val="center"/>
              <w:rPr>
                <w:rFonts w:hint="default" w:eastAsia="宋体"/>
                <w:bCs/>
                <w:color w:val="auto"/>
                <w:highlight w:val="none"/>
                <w:lang w:val="en-US" w:eastAsia="zh-CN"/>
              </w:rPr>
            </w:pPr>
            <w:r>
              <w:rPr>
                <w:rFonts w:hint="eastAsia"/>
                <w:bCs/>
                <w:color w:val="auto"/>
                <w:highlight w:val="none"/>
                <w:lang w:val="en-US" w:eastAsia="zh-CN"/>
              </w:rPr>
              <w:t>2#</w:t>
            </w:r>
            <w:r>
              <w:rPr>
                <w:rFonts w:hint="eastAsia"/>
                <w:bCs/>
                <w:color w:val="auto"/>
                <w:highlight w:val="none"/>
              </w:rPr>
              <w:t>辅房</w:t>
            </w:r>
          </w:p>
          <w:p w14:paraId="734CCF70">
            <w:pPr>
              <w:jc w:val="center"/>
              <w:rPr>
                <w:rFonts w:hint="eastAsia" w:ascii="Calibri" w:hAnsi="Calibri" w:eastAsia="宋体" w:cs="Calibri"/>
                <w:bCs/>
                <w:color w:val="auto"/>
                <w:kern w:val="2"/>
                <w:sz w:val="21"/>
                <w:szCs w:val="21"/>
                <w:highlight w:val="none"/>
                <w:lang w:val="en-US" w:eastAsia="zh-CN" w:bidi="ar-SA"/>
              </w:rPr>
            </w:pPr>
          </w:p>
        </w:tc>
        <w:tc>
          <w:tcPr>
            <w:tcW w:w="656" w:type="dxa"/>
            <w:shd w:val="clear" w:color="auto" w:fill="auto"/>
            <w:vAlign w:val="center"/>
          </w:tcPr>
          <w:p w14:paraId="09E50679">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1座</w:t>
            </w:r>
          </w:p>
        </w:tc>
        <w:tc>
          <w:tcPr>
            <w:tcW w:w="1102" w:type="dxa"/>
            <w:shd w:val="clear" w:color="auto" w:fill="auto"/>
            <w:vAlign w:val="center"/>
          </w:tcPr>
          <w:p w14:paraId="3E84DFB7">
            <w:pPr>
              <w:jc w:val="center"/>
              <w:rPr>
                <w:rFonts w:hint="eastAsia"/>
                <w:bCs/>
                <w:color w:val="auto"/>
                <w:highlight w:val="none"/>
              </w:rPr>
            </w:pPr>
            <w:r>
              <w:rPr>
                <w:rFonts w:hint="eastAsia"/>
                <w:bCs/>
                <w:color w:val="auto"/>
                <w:highlight w:val="none"/>
                <w:lang w:val="en-US" w:eastAsia="zh-CN"/>
              </w:rPr>
              <w:t>7.8</w:t>
            </w:r>
            <w:r>
              <w:rPr>
                <w:rFonts w:hint="eastAsia"/>
                <w:bCs/>
                <w:color w:val="auto"/>
                <w:highlight w:val="none"/>
              </w:rPr>
              <w:t>m</w:t>
            </w:r>
            <w:r>
              <w:rPr>
                <w:rFonts w:hint="eastAsia"/>
                <w:bCs/>
                <w:color w:val="auto"/>
                <w:highlight w:val="none"/>
                <w:vertAlign w:val="superscript"/>
              </w:rPr>
              <w:t>2</w:t>
            </w:r>
          </w:p>
          <w:p w14:paraId="6F9C34B1">
            <w:pPr>
              <w:jc w:val="center"/>
              <w:rPr>
                <w:rFonts w:hint="eastAsia" w:ascii="Calibri" w:hAnsi="Calibri" w:eastAsia="宋体" w:cs="Calibri"/>
                <w:bCs/>
                <w:color w:val="auto"/>
                <w:kern w:val="2"/>
                <w:sz w:val="21"/>
                <w:szCs w:val="21"/>
                <w:highlight w:val="none"/>
                <w:lang w:val="en-US" w:eastAsia="zh-CN" w:bidi="ar-SA"/>
              </w:rPr>
            </w:pPr>
          </w:p>
        </w:tc>
        <w:tc>
          <w:tcPr>
            <w:tcW w:w="1251" w:type="dxa"/>
            <w:shd w:val="clear" w:color="auto" w:fill="auto"/>
            <w:vAlign w:val="center"/>
          </w:tcPr>
          <w:p w14:paraId="1158D797">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二级</w:t>
            </w:r>
          </w:p>
        </w:tc>
        <w:tc>
          <w:tcPr>
            <w:tcW w:w="1770" w:type="dxa"/>
            <w:shd w:val="clear" w:color="auto" w:fill="auto"/>
            <w:vAlign w:val="center"/>
          </w:tcPr>
          <w:p w14:paraId="3791F162">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砖混</w:t>
            </w:r>
          </w:p>
        </w:tc>
        <w:tc>
          <w:tcPr>
            <w:tcW w:w="1907" w:type="dxa"/>
            <w:shd w:val="clear" w:color="auto" w:fill="auto"/>
            <w:vAlign w:val="center"/>
          </w:tcPr>
          <w:p w14:paraId="591D1135">
            <w:pPr>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一</w:t>
            </w:r>
            <w:r>
              <w:rPr>
                <w:rFonts w:hint="eastAsia"/>
                <w:bCs/>
                <w:color w:val="auto"/>
                <w:highlight w:val="none"/>
              </w:rPr>
              <w:t>层</w:t>
            </w:r>
          </w:p>
        </w:tc>
      </w:tr>
    </w:tbl>
    <w:p w14:paraId="7185E348">
      <w:pPr>
        <w:keepNext/>
        <w:keepLines/>
        <w:spacing w:line="580" w:lineRule="exact"/>
        <w:outlineLvl w:val="2"/>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7343"/>
      <w:bookmarkStart w:id="39" w:name="_Toc20461"/>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11002"/>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highlight w:val="none"/>
        </w:rPr>
      </w:pPr>
      <w:r>
        <w:rPr>
          <w:rFonts w:hint="eastAsia" w:ascii="Times New Roman" w:hAnsi="Times New Roman"/>
          <w:color w:val="auto"/>
          <w:sz w:val="28"/>
          <w:szCs w:val="28"/>
          <w:highlight w:val="none"/>
        </w:rPr>
        <w:t>站房</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辅房、罩棚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val="en-US" w:eastAsia="zh-CN"/>
        </w:rPr>
        <w:t>站房、辅房</w:t>
      </w:r>
      <w:r>
        <w:rPr>
          <w:rFonts w:hint="eastAsia" w:ascii="Times New Roman" w:hAnsi="Times New Roman"/>
          <w:color w:val="auto"/>
          <w:sz w:val="28"/>
          <w:szCs w:val="28"/>
          <w:highlight w:val="none"/>
        </w:rPr>
        <w:t>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。接闪带平直，焊接质量符合要求，焊接长度合格、焊缝饱满、平整顺直、固定牢靠、涂防锈漆；罩棚通过铆钉连接成电气通路，焊缝饱满无遗漏，防松零件齐全，安装牢固</w:t>
      </w:r>
      <w:r>
        <w:rPr>
          <w:rFonts w:hint="eastAsia" w:ascii="Times New Roman" w:hAnsi="Times New Roman"/>
          <w:color w:val="auto"/>
          <w:sz w:val="28"/>
          <w:szCs w:val="28"/>
          <w:highlight w:val="none"/>
          <w:lang w:val="en-US" w:eastAsia="zh-CN"/>
        </w:rPr>
        <w:t>。引下线采用组合方式敷设，罩棚4根、站房4根，布置间距＜18m。</w:t>
      </w:r>
    </w:p>
    <w:p w14:paraId="27BDC26D">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该站防雷设施经江西省瑞天防雷检测有限公司赣州分公司进行检测，检测结论为合格，有效期至2026年</w:t>
      </w:r>
      <w:r>
        <w:rPr>
          <w:rFonts w:hint="eastAsia" w:ascii="Times New Roman" w:hAnsi="Times New Roman" w:cs="Times New Roman"/>
          <w:color w:val="auto"/>
          <w:sz w:val="28"/>
          <w:szCs w:val="28"/>
          <w:highlight w:val="none"/>
          <w:lang w:val="en-US" w:eastAsia="zh-CN"/>
        </w:rPr>
        <w:t>10</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8</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728989EB">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该站防静电接地经湖北雷特防雷检测有限公司进行检测，检测结论为合格，有效期至2026年</w:t>
      </w:r>
      <w:r>
        <w:rPr>
          <w:rFonts w:hint="eastAsia" w:ascii="Times New Roman" w:hAnsi="Times New Roman" w:cs="Times New Roman"/>
          <w:color w:val="auto"/>
          <w:sz w:val="28"/>
          <w:szCs w:val="28"/>
          <w:highlight w:val="none"/>
          <w:lang w:val="en-US" w:eastAsia="zh-CN"/>
        </w:rPr>
        <w:t>9</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3"/>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highlight w:val="none"/>
        </w:rPr>
      </w:pPr>
      <w:r>
        <w:rPr>
          <w:rFonts w:ascii="Times New Roman"/>
          <w:color w:val="auto"/>
          <w:kern w:val="2"/>
          <w:sz w:val="28"/>
          <w:szCs w:val="28"/>
          <w:highlight w:val="none"/>
        </w:rPr>
        <w:t>加油机采用自封式加油枪，枪身设计的自封装置能够确保在容器加满时自动关闭油枪，防止</w:t>
      </w:r>
      <w:r>
        <w:rPr>
          <w:rFonts w:hint="eastAsia" w:ascii="Times New Roman"/>
          <w:color w:val="auto"/>
          <w:kern w:val="2"/>
          <w:sz w:val="28"/>
          <w:szCs w:val="28"/>
          <w:highlight w:val="none"/>
        </w:rPr>
        <w:t>油品</w:t>
      </w:r>
      <w:r>
        <w:rPr>
          <w:rFonts w:ascii="Times New Roman"/>
          <w:color w:val="auto"/>
          <w:kern w:val="2"/>
          <w:sz w:val="28"/>
          <w:szCs w:val="28"/>
          <w:highlight w:val="none"/>
        </w:rPr>
        <w:t>外溢。铝合金枪身具有良好的导电性可及时安全地消除静电。</w:t>
      </w:r>
      <w:r>
        <w:rPr>
          <w:rFonts w:hint="eastAsia" w:ascii="Times New Roman"/>
          <w:color w:val="auto"/>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0410"/>
      <w:bookmarkStart w:id="42" w:name="_Toc23781"/>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21</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龙南县公安消防大队</w:t>
      </w:r>
      <w:r>
        <w:rPr>
          <w:rFonts w:hint="eastAsia" w:ascii="Times New Roman" w:hAnsi="Times New Roman" w:cs="Times New Roman"/>
          <w:color w:val="auto"/>
          <w:sz w:val="28"/>
          <w:szCs w:val="28"/>
          <w:highlight w:val="none"/>
        </w:rPr>
        <w:t>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39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8"/>
        <w:gridCol w:w="893"/>
        <w:gridCol w:w="1287"/>
        <w:gridCol w:w="3329"/>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30"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58"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93"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87"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329"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58"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93"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87"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58"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93"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16</w:t>
            </w:r>
            <w:r>
              <w:rPr>
                <w:rFonts w:hint="eastAsia" w:ascii="Times New Roman" w:hAnsi="Times New Roman" w:cs="宋体"/>
                <w:color w:val="auto"/>
                <w:highlight w:val="none"/>
              </w:rPr>
              <w:t>具</w:t>
            </w:r>
          </w:p>
        </w:tc>
        <w:tc>
          <w:tcPr>
            <w:tcW w:w="1287"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r>
              <w:rPr>
                <w:rFonts w:hint="eastAsia" w:ascii="Times New Roman" w:hAnsi="Times New Roman" w:cs="宋体"/>
                <w:color w:val="auto"/>
                <w:highlight w:val="none"/>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58"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93"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具</w:t>
            </w:r>
          </w:p>
        </w:tc>
        <w:tc>
          <w:tcPr>
            <w:tcW w:w="1287"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58" w:type="dxa"/>
            <w:vAlign w:val="center"/>
          </w:tcPr>
          <w:p w14:paraId="20320680">
            <w:pPr>
              <w:spacing w:line="280" w:lineRule="exact"/>
              <w:jc w:val="center"/>
              <w:rPr>
                <w:rFonts w:ascii="Times New Roman" w:hAnsi="Times New Roman" w:cs="宋体"/>
                <w:color w:val="auto"/>
                <w:highlight w:val="none"/>
              </w:rPr>
            </w:pPr>
          </w:p>
        </w:tc>
        <w:tc>
          <w:tcPr>
            <w:tcW w:w="893"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块</w:t>
            </w:r>
          </w:p>
        </w:tc>
        <w:tc>
          <w:tcPr>
            <w:tcW w:w="1287"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5E8B77E6">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58"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93"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87"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30" w:type="dxa"/>
            <w:vAlign w:val="center"/>
          </w:tcPr>
          <w:p w14:paraId="41DF72C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消防铲、桶</w:t>
            </w:r>
          </w:p>
        </w:tc>
        <w:tc>
          <w:tcPr>
            <w:tcW w:w="2058" w:type="dxa"/>
            <w:vAlign w:val="center"/>
          </w:tcPr>
          <w:p w14:paraId="4AAA628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手提式</w:t>
            </w:r>
          </w:p>
        </w:tc>
        <w:tc>
          <w:tcPr>
            <w:tcW w:w="893" w:type="dxa"/>
            <w:vAlign w:val="center"/>
          </w:tcPr>
          <w:p w14:paraId="5BBB5F3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4套</w:t>
            </w:r>
          </w:p>
        </w:tc>
        <w:tc>
          <w:tcPr>
            <w:tcW w:w="1287" w:type="dxa"/>
            <w:vAlign w:val="center"/>
          </w:tcPr>
          <w:p w14:paraId="04092DB4">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9" w:type="dxa"/>
            <w:vAlign w:val="center"/>
          </w:tcPr>
          <w:p w14:paraId="1A89A86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lang w:val="zh-CN"/>
        </w:rPr>
        <w:t>柴油通气管、汽油通气管设置罐区南侧，为DN50的无缝钢管，通气管高 4m。</w:t>
      </w:r>
      <w:r>
        <w:rPr>
          <w:rFonts w:hint="eastAsia" w:ascii="Times New Roman" w:hAnsi="Times New Roman" w:cs="宋体"/>
          <w:color w:val="auto"/>
          <w:sz w:val="28"/>
          <w:szCs w:val="28"/>
          <w:highlight w:val="none"/>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龙南石油分公司冯湾加油站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曾荣胜</w:t>
      </w:r>
      <w:r>
        <w:rPr>
          <w:rFonts w:hint="eastAsia" w:ascii="Times New Roman" w:hAnsi="Times New Roman" w:cs="宋体"/>
          <w:color w:val="auto"/>
          <w:sz w:val="28"/>
          <w:szCs w:val="28"/>
          <w:highlight w:val="none"/>
        </w:rPr>
        <w:t>和刘燊分别取得危险化学品经营单位主要负责人、安全生产管理人员考核合格证，详见附件。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03"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82"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20"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187"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45"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03"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曾荣胜</w:t>
            </w:r>
          </w:p>
        </w:tc>
        <w:tc>
          <w:tcPr>
            <w:tcW w:w="1282"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20"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2025-06-06至2028-06-05</w:t>
            </w:r>
          </w:p>
        </w:tc>
        <w:tc>
          <w:tcPr>
            <w:tcW w:w="2145"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03" w:type="dxa"/>
            <w:vAlign w:val="center"/>
          </w:tcPr>
          <w:p w14:paraId="0DF335F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刘燊</w:t>
            </w:r>
          </w:p>
        </w:tc>
        <w:tc>
          <w:tcPr>
            <w:tcW w:w="1282"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20"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2025-06-06至2028-06-05</w:t>
            </w:r>
          </w:p>
        </w:tc>
        <w:tc>
          <w:tcPr>
            <w:tcW w:w="2145"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11"/>
          <w:sz w:val="28"/>
          <w:szCs w:val="28"/>
          <w:highlight w:val="none"/>
        </w:rPr>
        <w:t>该站制定了各种安全管理制度，包括：全员安全生产责任制度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企业法人(负责人)的安全职责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站经理安全职责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计量员安全职责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核算员安全职责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加油员安全职责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安全禁令</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安全投入保障制度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安全检查制度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安全风险管理制度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安全生产教育培训制度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设备管理制度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安全生产奖惩制度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危险化学品购销管理制度</w:t>
      </w:r>
      <w:r>
        <w:rPr>
          <w:rFonts w:hint="eastAsia" w:ascii="Times New Roman" w:hAnsi="Times New Roman" w:cs="Times New Roman"/>
          <w:color w:val="auto"/>
          <w:spacing w:val="-11"/>
          <w:sz w:val="28"/>
          <w:szCs w:val="28"/>
          <w:highlight w:val="none"/>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highlight w:val="none"/>
        </w:rPr>
        <w:t>等。</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龙南石油分公司冯湾加油站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8</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龙南市</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331F22B1">
      <w:pPr>
        <w:spacing w:line="600" w:lineRule="exact"/>
        <w:outlineLvl w:val="0"/>
        <w:rPr>
          <w:rFonts w:ascii="Times New Roman" w:hAnsi="Times New Roman" w:cs="Times New Roman"/>
          <w:b/>
          <w:bCs/>
          <w:color w:val="auto"/>
          <w:kern w:val="36"/>
          <w:sz w:val="32"/>
          <w:szCs w:val="32"/>
          <w:highlight w:val="none"/>
        </w:rPr>
      </w:pPr>
      <w:bookmarkStart w:id="44" w:name="_Toc17098"/>
      <w:r>
        <w:rPr>
          <w:rFonts w:ascii="Times New Roman" w:hAnsi="Times New Roman" w:cs="Times New Roman"/>
          <w:b/>
          <w:bCs/>
          <w:color w:val="auto"/>
          <w:kern w:val="36"/>
          <w:sz w:val="28"/>
          <w:szCs w:val="28"/>
          <w:highlight w:val="none"/>
        </w:rPr>
        <w:br w:type="page"/>
      </w:r>
      <w:bookmarkStart w:id="45" w:name="_Toc10610"/>
      <w:r>
        <w:rPr>
          <w:rFonts w:ascii="Times New Roman" w:hAnsi="Times New Roman" w:cs="Times New Roman"/>
          <w:b/>
          <w:bCs/>
          <w:color w:val="auto"/>
          <w:kern w:val="36"/>
          <w:sz w:val="32"/>
          <w:szCs w:val="32"/>
          <w:highlight w:val="none"/>
        </w:rPr>
        <w:t xml:space="preserve">3 </w:t>
      </w:r>
      <w:r>
        <w:rPr>
          <w:rFonts w:hint="eastAsia" w:ascii="Times New Roman" w:hAnsi="Times New Roman" w:cs="宋体"/>
          <w:b/>
          <w:bCs/>
          <w:color w:val="auto"/>
          <w:kern w:val="36"/>
          <w:sz w:val="32"/>
          <w:szCs w:val="32"/>
          <w:highlight w:val="none"/>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highlight w:val="none"/>
        </w:rPr>
      </w:pPr>
      <w:bookmarkStart w:id="46" w:name="_Toc343692251"/>
      <w:bookmarkStart w:id="47" w:name="_Toc23758"/>
      <w:bookmarkStart w:id="48" w:name="_Toc2209"/>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根据《危险化学品目录》（</w:t>
      </w:r>
      <w:r>
        <w:rPr>
          <w:rFonts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rPr>
        <w:t>15</w:t>
      </w:r>
      <w:r>
        <w:rPr>
          <w:rFonts w:hint="eastAsia" w:ascii="Times New Roman" w:hAnsi="Times New Roman" w:cs="宋体"/>
          <w:color w:val="auto"/>
          <w:sz w:val="28"/>
          <w:szCs w:val="28"/>
          <w:highlight w:val="none"/>
        </w:rPr>
        <w:t>年版，202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年调整），该站涉及的危险化学品物质是汽油和柴油，汽油和柴油危险特性见下表所示。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8"/>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highlight w:val="none"/>
              </w:rPr>
            </w:pPr>
            <w:r>
              <w:rPr>
                <w:rFonts w:hint="eastAsia" w:ascii="Times New Roman" w:hAnsi="Times New Roman" w:cs="宋体"/>
                <w:color w:val="auto"/>
                <w:highlight w:val="none"/>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B3661D">
      <w:pPr>
        <w:rPr>
          <w:rFonts w:hint="eastAsia"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br w:type="page"/>
      </w: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highlight w:val="none"/>
        </w:rPr>
      </w:pPr>
      <w:bookmarkStart w:id="49" w:name="_Toc30692"/>
      <w:bookmarkStart w:id="50" w:name="_Toc15326"/>
      <w:bookmarkStart w:id="51" w:name="_Toc10889"/>
      <w:bookmarkStart w:id="52" w:name="_Toc343692252"/>
      <w:bookmarkStart w:id="53" w:name="_Toc17924"/>
      <w:r>
        <w:rPr>
          <w:color w:val="auto"/>
          <w:highlight w:val="none"/>
        </w:rPr>
        <w:t>3.2</w:t>
      </w:r>
      <w:r>
        <w:rPr>
          <w:rFonts w:hint="eastAsia" w:cs="宋体"/>
          <w:color w:val="auto"/>
          <w:highlight w:val="none"/>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根据《危险化学品目录》（2015年版、202</w:t>
      </w:r>
      <w:r>
        <w:rPr>
          <w:rFonts w:hint="eastAsia" w:ascii="Times New Roman" w:hAnsi="Times New Roman" w:cs="Times New Roman"/>
          <w:color w:val="auto"/>
          <w:kern w:val="0"/>
          <w:sz w:val="28"/>
          <w:szCs w:val="28"/>
          <w:highlight w:val="none"/>
          <w:lang w:val="en-US" w:eastAsia="zh-CN"/>
        </w:rPr>
        <w:t>6</w:t>
      </w:r>
      <w:r>
        <w:rPr>
          <w:rFonts w:hint="eastAsia" w:ascii="Times New Roman" w:hAnsi="Times New Roman" w:cs="Times New Roman"/>
          <w:color w:val="auto"/>
          <w:kern w:val="0"/>
          <w:sz w:val="28"/>
          <w:szCs w:val="28"/>
          <w:highlight w:val="none"/>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highlight w:val="none"/>
        </w:rPr>
      </w:pPr>
      <w:bookmarkStart w:id="54" w:name="_Toc18070"/>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2"/>
      <w:bookmarkEnd w:id="53"/>
      <w:bookmarkEnd w:id="54"/>
      <w:bookmarkStart w:id="55" w:name="_Toc9706"/>
      <w:bookmarkStart w:id="56" w:name="_Toc32342"/>
      <w:bookmarkStart w:id="57" w:name="_Toc343692253"/>
      <w:bookmarkStart w:id="58" w:name="_Toc28936"/>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7F46DDA1">
      <w:pPr>
        <w:rPr>
          <w:rFonts w:hint="eastAsia"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59" w:name="_Toc19249"/>
      <w:bookmarkStart w:id="60" w:name="_Toc1761"/>
      <w:bookmarkStart w:id="61" w:name="_Toc15806"/>
      <w:bookmarkStart w:id="62" w:name="_Toc23823"/>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3</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9</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67.5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2</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51</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089"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2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57"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089"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四</w:t>
            </w:r>
            <w:r>
              <w:rPr>
                <w:rFonts w:ascii="Times New Roman" w:hAnsi="Times New Roman" w:cs="Times New Roman"/>
                <w:color w:val="auto"/>
                <w:highlight w:val="none"/>
              </w:rPr>
              <w:t>枪加油机</w:t>
            </w:r>
          </w:p>
        </w:tc>
        <w:tc>
          <w:tcPr>
            <w:tcW w:w="3157"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10</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6</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6</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45</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6</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51</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4"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4"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4"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67.5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3375</w:t>
            </w:r>
          </w:p>
        </w:tc>
        <w:tc>
          <w:tcPr>
            <w:tcW w:w="957"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4"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51</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102</w:t>
            </w:r>
          </w:p>
        </w:tc>
        <w:tc>
          <w:tcPr>
            <w:tcW w:w="957"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4261</w:t>
            </w:r>
            <w:r>
              <w:rPr>
                <w:rFonts w:hint="eastAsia" w:ascii="Times New Roman" w:hAnsi="Times New Roman" w:cs="Times New Roman"/>
                <w:b/>
                <w:bCs/>
                <w:color w:val="auto"/>
                <w:highlight w:val="none"/>
              </w:rPr>
              <w:t>＜1</w:t>
            </w:r>
          </w:p>
        </w:tc>
      </w:tr>
    </w:tbl>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299"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88"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3"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097"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45</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225</w:t>
            </w:r>
          </w:p>
        </w:tc>
        <w:tc>
          <w:tcPr>
            <w:tcW w:w="1073"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67"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97"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51</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102</w:t>
            </w:r>
          </w:p>
        </w:tc>
        <w:tc>
          <w:tcPr>
            <w:tcW w:w="1073"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2352</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3" w:name="_Toc31826"/>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4" w:name="_Toc20706"/>
      <w:bookmarkStart w:id="65" w:name="_Toc17404"/>
      <w:bookmarkStart w:id="66" w:name="_Toc12440"/>
      <w:bookmarkStart w:id="67" w:name="_Toc16859"/>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bookmarkStart w:id="68" w:name="_Toc9570"/>
      <w:bookmarkStart w:id="69" w:name="_Toc16083"/>
      <w:bookmarkStart w:id="70" w:name="_Toc12873"/>
      <w:r>
        <w:rPr>
          <w:rFonts w:ascii="Times New Roman" w:hAnsi="Times New Roman" w:cs="Times New Roman"/>
          <w:b/>
          <w:bCs/>
          <w:color w:val="auto"/>
          <w:kern w:val="0"/>
          <w:sz w:val="28"/>
          <w:szCs w:val="28"/>
          <w:highlight w:val="none"/>
        </w:rPr>
        <w:t>3.5.1</w:t>
      </w:r>
      <w:bookmarkEnd w:id="68"/>
      <w:bookmarkEnd w:id="69"/>
      <w:bookmarkEnd w:id="70"/>
      <w:r>
        <w:rPr>
          <w:rFonts w:hint="eastAsia" w:ascii="Times New Roman" w:hAnsi="Times New Roman" w:cs="宋体"/>
          <w:b/>
          <w:bCs/>
          <w:color w:val="auto"/>
          <w:kern w:val="0"/>
          <w:sz w:val="28"/>
          <w:szCs w:val="28"/>
          <w:highlight w:val="none"/>
        </w:rPr>
        <w:t>火灾、可燃液体蒸汽爆炸、容器爆</w:t>
      </w:r>
      <w:r>
        <w:rPr>
          <w:rFonts w:hint="eastAsia" w:ascii="Times New Roman" w:hAnsi="Times New Roman" w:cs="宋体"/>
          <w:b/>
          <w:bCs/>
          <w:color w:val="auto"/>
          <w:kern w:val="0"/>
          <w:sz w:val="28"/>
          <w:szCs w:val="28"/>
          <w:highlight w:val="none"/>
          <w:lang w:val="en-US" w:eastAsia="zh-CN"/>
        </w:rPr>
        <w:t>炸</w:t>
      </w:r>
    </w:p>
    <w:p w14:paraId="744D11C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w:t>
      </w:r>
      <w:r>
        <w:rPr>
          <w:rFonts w:hint="eastAsia" w:ascii="Times New Roman" w:hAnsi="Times New Roman" w:cs="Times New Roman"/>
          <w:b/>
          <w:bCs/>
          <w:color w:val="auto"/>
          <w:kern w:val="0"/>
          <w:sz w:val="28"/>
          <w:szCs w:val="28"/>
          <w:highlight w:val="none"/>
          <w:lang w:eastAsia="zh-CN"/>
        </w:rPr>
        <w:t>、</w:t>
      </w:r>
      <w:r>
        <w:rPr>
          <w:rFonts w:hint="eastAsia" w:ascii="Times New Roman" w:hAnsi="Times New Roman" w:cs="Times New Roman"/>
          <w:b/>
          <w:bCs/>
          <w:color w:val="auto"/>
          <w:kern w:val="0"/>
          <w:sz w:val="28"/>
          <w:szCs w:val="28"/>
          <w:highlight w:val="none"/>
        </w:rPr>
        <w:t>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窒息。</w:t>
      </w:r>
    </w:p>
    <w:p w14:paraId="7631B35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6C0B36F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0EAC8B1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洗车区水泵、高压水枪、照明、控制箱长期处于潮湿环境，易导致绝缘老化、破损、漏电；接地保护失效、线路敷设不规范可引发触电；露天作业存在雷击风险，易造成电击伤害及次生电气火灾。</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4AF0DA9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洗车区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348AD2C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20261FA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1" w:name="_Toc258"/>
      <w:bookmarkStart w:id="72" w:name="_Toc24976"/>
      <w:bookmarkStart w:id="73" w:name="_Toc8840"/>
      <w:bookmarkStart w:id="74" w:name="_Toc3570"/>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highlight w:val="none"/>
        </w:rPr>
      </w:pPr>
      <w:bookmarkStart w:id="75" w:name="_Toc10194"/>
      <w:bookmarkStart w:id="76" w:name="_Toc313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54693DFA">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60586930">
      <w:pPr>
        <w:spacing w:line="600" w:lineRule="exact"/>
        <w:ind w:firstLine="516" w:firstLineChars="200"/>
        <w:rPr>
          <w:rFonts w:hint="eastAsia" w:ascii="Times New Roman" w:hAnsi="Times New Roman" w:cs="宋体"/>
          <w:color w:val="auto"/>
          <w:spacing w:val="-11"/>
          <w:sz w:val="28"/>
          <w:szCs w:val="28"/>
          <w:highlight w:val="none"/>
          <w:lang w:val="en-US" w:eastAsia="zh-CN"/>
        </w:rPr>
      </w:pPr>
      <w:r>
        <w:rPr>
          <w:rFonts w:hint="eastAsia" w:ascii="Times New Roman" w:hAnsi="Times New Roman" w:cs="宋体"/>
          <w:color w:val="auto"/>
          <w:spacing w:val="-11"/>
          <w:sz w:val="28"/>
          <w:szCs w:val="28"/>
          <w:highlight w:val="none"/>
          <w:lang w:val="en-US" w:eastAsia="zh-CN"/>
        </w:rPr>
        <w:t>6、大风</w:t>
      </w:r>
    </w:p>
    <w:p w14:paraId="0A9E327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加油站涉及罩棚、站房及其他建筑，如果安装质量不符合要求，可能会发生坍塌事故。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7" w:name="_Toc13024"/>
      <w:bookmarkStart w:id="78" w:name="_Toc5009"/>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highlight w:val="none"/>
        </w:rPr>
      </w:pPr>
      <w:bookmarkStart w:id="79" w:name="_Toc14200"/>
      <w:bookmarkStart w:id="80" w:name="_Toc28615"/>
      <w:bookmarkStart w:id="81" w:name="_Toc14090"/>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2" w:name="_Toc13751"/>
      <w:bookmarkStart w:id="83" w:name="_Toc5946"/>
      <w:bookmarkStart w:id="84" w:name="_Toc20651"/>
      <w:bookmarkStart w:id="85" w:name="_Toc19293"/>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highlight w:val="none"/>
        </w:rPr>
      </w:pPr>
      <w:bookmarkStart w:id="86" w:name="_Toc31633"/>
      <w:bookmarkStart w:id="87" w:name="_Toc22537"/>
      <w:bookmarkStart w:id="88" w:name="_Toc18812"/>
      <w:bookmarkStart w:id="89" w:name="_Toc8607"/>
      <w:bookmarkStart w:id="90" w:name="_Toc22089"/>
      <w:bookmarkStart w:id="91" w:name="_Toc343692256"/>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2FF18D33">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1882" w:type="dxa"/>
            <w:vAlign w:val="center"/>
          </w:tcPr>
          <w:p w14:paraId="25509D2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502" w:type="dxa"/>
            <w:vAlign w:val="center"/>
          </w:tcPr>
          <w:p w14:paraId="6F9EAC1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16" w:type="dxa"/>
            <w:vAlign w:val="center"/>
          </w:tcPr>
          <w:p w14:paraId="7E67D28D">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4AC948C7">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882" w:type="dxa"/>
            <w:vAlign w:val="center"/>
          </w:tcPr>
          <w:p w14:paraId="3B049B9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502" w:type="dxa"/>
            <w:vAlign w:val="center"/>
          </w:tcPr>
          <w:p w14:paraId="39C6EEF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25727ED0">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3C3488F4">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882" w:type="dxa"/>
            <w:vAlign w:val="center"/>
          </w:tcPr>
          <w:p w14:paraId="253E85E2">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1882" w:type="dxa"/>
            <w:vAlign w:val="center"/>
          </w:tcPr>
          <w:p w14:paraId="7E362E1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5CEDC814">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882" w:type="dxa"/>
            <w:vAlign w:val="center"/>
          </w:tcPr>
          <w:p w14:paraId="3D5DA509">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70965A0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882" w:type="dxa"/>
            <w:vAlign w:val="center"/>
          </w:tcPr>
          <w:p w14:paraId="2CDCAC8B">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vAlign w:val="center"/>
          </w:tcPr>
          <w:p w14:paraId="61304B7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1882" w:type="dxa"/>
            <w:vAlign w:val="center"/>
          </w:tcPr>
          <w:p w14:paraId="2D8D2B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882" w:type="dxa"/>
            <w:vAlign w:val="center"/>
          </w:tcPr>
          <w:p w14:paraId="7A7D748B">
            <w:pPr>
              <w:spacing w:line="32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502" w:type="dxa"/>
            <w:vAlign w:val="center"/>
          </w:tcPr>
          <w:p w14:paraId="2A09723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r>
              <w:rPr>
                <w:rFonts w:hint="eastAsia" w:ascii="Times New Roman" w:hAnsi="Times New Roman" w:cs="宋体"/>
                <w:color w:val="auto"/>
                <w:highlight w:val="none"/>
                <w:lang w:eastAsia="zh-CN"/>
              </w:rPr>
              <w:t>、</w:t>
            </w:r>
            <w:r>
              <w:rPr>
                <w:rFonts w:hint="eastAsia" w:ascii="Times New Roman" w:hAnsi="Times New Roman" w:cs="宋体"/>
                <w:color w:val="auto"/>
                <w:highlight w:val="none"/>
                <w:lang w:val="en-US" w:eastAsia="zh-CN"/>
              </w:rPr>
              <w:t>洗车区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502" w:type="dxa"/>
            <w:vAlign w:val="center"/>
          </w:tcPr>
          <w:p w14:paraId="1D108ADB">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highlight w:val="none"/>
                <w:lang w:val="en-US" w:eastAsia="zh-CN"/>
              </w:rPr>
            </w:pPr>
            <w:bookmarkStart w:id="92" w:name="_Toc30431"/>
            <w:bookmarkStart w:id="93" w:name="_Toc28553"/>
            <w:bookmarkStart w:id="94" w:name="_Toc7354"/>
            <w:bookmarkStart w:id="95" w:name="_Toc1204"/>
            <w:bookmarkStart w:id="96" w:name="_Toc30502"/>
            <w:r>
              <w:rPr>
                <w:rFonts w:hint="eastAsia" w:ascii="Times New Roman" w:hAnsi="Times New Roman" w:cs="Times New Roman"/>
                <w:color w:val="auto"/>
                <w:highlight w:val="none"/>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加油作业区、站房、罩棚、洗车区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洗车区、加油作业区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highlight w:val="none"/>
                <w:lang w:val="en-US" w:eastAsia="zh-CN"/>
              </w:rPr>
            </w:pPr>
            <w:bookmarkStart w:id="97" w:name="_Toc3053"/>
            <w:r>
              <w:rPr>
                <w:rFonts w:hint="eastAsia" w:ascii="Times New Roman" w:hAnsi="Times New Roman" w:cs="Times New Roman"/>
                <w:color w:val="auto"/>
                <w:highlight w:val="none"/>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98" w:name="_Toc21593"/>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08A3BC1F">
      <w:pPr>
        <w:rPr>
          <w:rFonts w:ascii="宋体" w:hAnsi="宋体"/>
          <w:color w:val="auto"/>
          <w:sz w:val="32"/>
          <w:szCs w:val="32"/>
          <w:highlight w:val="none"/>
        </w:rPr>
      </w:pPr>
      <w:bookmarkStart w:id="99" w:name="_Toc8100"/>
      <w:bookmarkStart w:id="100" w:name="_Toc10015"/>
      <w:r>
        <w:rPr>
          <w:rFonts w:ascii="Times New Roman" w:hAnsi="Times New Roman" w:cs="Times New Roman"/>
          <w:b/>
          <w:bCs/>
          <w:color w:val="auto"/>
          <w:kern w:val="36"/>
          <w:sz w:val="28"/>
          <w:szCs w:val="28"/>
          <w:highlight w:val="none"/>
        </w:rPr>
        <w:br w:type="page"/>
      </w:r>
      <w:bookmarkEnd w:id="99"/>
      <w:bookmarkEnd w:id="100"/>
      <w:bookmarkStart w:id="101" w:name="_Toc19195"/>
    </w:p>
    <w:p w14:paraId="4A46093E">
      <w:pPr>
        <w:pStyle w:val="2"/>
        <w:jc w:val="center"/>
        <w:rPr>
          <w:rFonts w:ascii="宋体" w:hAnsi="宋体"/>
          <w:color w:val="auto"/>
          <w:sz w:val="32"/>
          <w:szCs w:val="32"/>
          <w:highlight w:val="none"/>
        </w:rPr>
      </w:pPr>
      <w:bookmarkStart w:id="102" w:name="_Toc9281"/>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101"/>
      <w:bookmarkEnd w:id="102"/>
    </w:p>
    <w:p w14:paraId="16AFE590">
      <w:pPr>
        <w:pStyle w:val="3"/>
        <w:jc w:val="center"/>
        <w:rPr>
          <w:rFonts w:ascii="宋体" w:hAnsi="宋体"/>
          <w:color w:val="auto"/>
          <w:sz w:val="30"/>
          <w:szCs w:val="30"/>
          <w:highlight w:val="none"/>
        </w:rPr>
      </w:pPr>
      <w:bookmarkStart w:id="103" w:name="_Toc20468418"/>
      <w:bookmarkStart w:id="104" w:name="_Toc18672"/>
      <w:bookmarkStart w:id="105" w:name="_Toc1174"/>
      <w:bookmarkStart w:id="106" w:name="_Toc23345"/>
      <w:bookmarkStart w:id="107" w:name="_Toc90566109"/>
      <w:bookmarkStart w:id="108" w:name="_Toc11638"/>
      <w:bookmarkStart w:id="109" w:name="_Toc30901"/>
      <w:bookmarkStart w:id="110" w:name="_Toc92712580"/>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3"/>
      <w:bookmarkEnd w:id="104"/>
      <w:bookmarkEnd w:id="105"/>
      <w:bookmarkEnd w:id="106"/>
      <w:r>
        <w:rPr>
          <w:rFonts w:hint="eastAsia" w:ascii="宋体" w:hAnsi="宋体"/>
          <w:color w:val="auto"/>
          <w:sz w:val="30"/>
          <w:szCs w:val="30"/>
          <w:highlight w:val="none"/>
        </w:rPr>
        <w:t>划分</w:t>
      </w:r>
      <w:bookmarkEnd w:id="107"/>
      <w:r>
        <w:rPr>
          <w:rFonts w:hint="eastAsia" w:ascii="宋体" w:hAnsi="宋体"/>
          <w:color w:val="auto"/>
          <w:sz w:val="30"/>
          <w:szCs w:val="30"/>
          <w:highlight w:val="none"/>
        </w:rPr>
        <w:t>和评价方法选择</w:t>
      </w:r>
      <w:bookmarkEnd w:id="108"/>
      <w:bookmarkEnd w:id="109"/>
      <w:bookmarkEnd w:id="110"/>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w:t>
            </w:r>
            <w:r>
              <w:rPr>
                <w:rFonts w:hint="eastAsia" w:ascii="宋体" w:hAnsi="宋体"/>
                <w:color w:val="auto"/>
                <w:highlight w:val="none"/>
                <w:lang w:eastAsia="zh-CN"/>
              </w:rPr>
              <w:t>、</w:t>
            </w:r>
            <w:r>
              <w:rPr>
                <w:rFonts w:hint="eastAsia" w:ascii="宋体" w:hAnsi="宋体"/>
                <w:color w:val="auto"/>
                <w:highlight w:val="none"/>
                <w:lang w:val="en-US" w:eastAsia="zh-CN"/>
              </w:rPr>
              <w:t>洗车区</w:t>
            </w:r>
            <w:r>
              <w:rPr>
                <w:rFonts w:hint="eastAsia" w:ascii="宋体" w:hAnsi="宋体"/>
                <w:color w:val="auto"/>
                <w:highlight w:val="none"/>
              </w:rPr>
              <w:t>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11" w:name="_Toc90566110"/>
      <w:bookmarkStart w:id="112" w:name="_Toc12230"/>
      <w:bookmarkStart w:id="113" w:name="_Toc24868"/>
      <w:bookmarkStart w:id="114" w:name="_Toc92712581"/>
      <w:r>
        <w:rPr>
          <w:rFonts w:ascii="宋体" w:hAnsi="宋体"/>
          <w:color w:val="auto"/>
          <w:sz w:val="30"/>
          <w:szCs w:val="30"/>
          <w:highlight w:val="none"/>
        </w:rPr>
        <w:t>4.</w:t>
      </w:r>
      <w:r>
        <w:rPr>
          <w:rFonts w:hint="eastAsia" w:ascii="宋体" w:hAnsi="宋体"/>
          <w:color w:val="auto"/>
          <w:sz w:val="30"/>
          <w:szCs w:val="30"/>
          <w:highlight w:val="none"/>
        </w:rPr>
        <w:t>2</w:t>
      </w:r>
      <w:bookmarkEnd w:id="111"/>
      <w:bookmarkStart w:id="115" w:name="_Toc90566111"/>
      <w:r>
        <w:rPr>
          <w:rFonts w:hint="eastAsia" w:ascii="宋体" w:hAnsi="宋体"/>
          <w:color w:val="auto"/>
          <w:sz w:val="30"/>
          <w:szCs w:val="30"/>
          <w:highlight w:val="none"/>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highlight w:val="none"/>
        </w:rPr>
      </w:pPr>
      <w:bookmarkStart w:id="116" w:name="_Toc92712582"/>
      <w:bookmarkStart w:id="117" w:name="_Toc68180459"/>
      <w:bookmarkStart w:id="118" w:name="_Toc13417"/>
      <w:bookmarkStart w:id="119" w:name="_Toc20468420"/>
      <w:bookmarkStart w:id="120" w:name="_Toc25391"/>
      <w:bookmarkStart w:id="121" w:name="_Toc28161"/>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6"/>
      <w:bookmarkEnd w:id="117"/>
      <w:bookmarkEnd w:id="118"/>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2" w:name="_Toc28176"/>
      <w:bookmarkStart w:id="123" w:name="_Toc92712583"/>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09"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09"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09"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09"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4" w:name="_Toc92712584"/>
      <w:bookmarkStart w:id="125" w:name="_Toc22797"/>
      <w:bookmarkStart w:id="126" w:name="_Toc5789"/>
      <w:bookmarkStart w:id="127" w:name="_Toc20468421"/>
      <w:bookmarkStart w:id="128" w:name="_Toc7145"/>
      <w:r>
        <w:rPr>
          <w:rFonts w:ascii="宋体" w:hAnsi="宋体"/>
          <w:b/>
          <w:bCs/>
          <w:color w:val="auto"/>
          <w:sz w:val="28"/>
          <w:szCs w:val="28"/>
          <w:highlight w:val="none"/>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29" w:name="_Toc20468422"/>
      <w:bookmarkStart w:id="130" w:name="_Toc2146"/>
      <w:bookmarkStart w:id="131" w:name="_Toc92712585"/>
      <w:bookmarkStart w:id="132" w:name="_Toc10875"/>
      <w:bookmarkStart w:id="133" w:name="_Toc90566112"/>
      <w:bookmarkStart w:id="134" w:name="_Toc2095"/>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highlight w:val="none"/>
        </w:rPr>
      </w:pPr>
      <w:bookmarkStart w:id="135" w:name="_Toc4733"/>
      <w:bookmarkStart w:id="136" w:name="_Toc3486"/>
      <w:bookmarkStart w:id="137" w:name="_Toc92712586"/>
      <w:bookmarkStart w:id="138" w:name="_Toc25365"/>
      <w:bookmarkStart w:id="139" w:name="_Toc343692262"/>
      <w:bookmarkStart w:id="140" w:name="_Toc20468423"/>
      <w:bookmarkStart w:id="141" w:name="_Toc24115"/>
      <w:bookmarkStart w:id="142" w:name="_Toc21479"/>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highlight w:val="none"/>
        </w:rPr>
      </w:pPr>
      <w:bookmarkStart w:id="143" w:name="_Toc20468424"/>
      <w:bookmarkStart w:id="144" w:name="_Toc22504"/>
      <w:bookmarkStart w:id="145" w:name="_Toc92712587"/>
      <w:bookmarkStart w:id="146" w:name="_Toc25880"/>
      <w:bookmarkStart w:id="147" w:name="_Toc4861"/>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洗车作业</w:t>
      </w:r>
      <w:r>
        <w:rPr>
          <w:rFonts w:ascii="宋体" w:hAnsi="宋体"/>
          <w:color w:val="auto"/>
          <w:sz w:val="28"/>
          <w:szCs w:val="28"/>
          <w:highlight w:val="none"/>
        </w:rPr>
        <w:t>等单元。</w:t>
      </w:r>
    </w:p>
    <w:p w14:paraId="068A3030">
      <w:pPr>
        <w:spacing w:line="560" w:lineRule="exact"/>
        <w:rPr>
          <w:rFonts w:ascii="宋体" w:hAnsi="宋体"/>
          <w:b/>
          <w:bCs/>
          <w:color w:val="auto"/>
          <w:sz w:val="30"/>
          <w:szCs w:val="30"/>
          <w:highlight w:val="none"/>
        </w:rPr>
      </w:pPr>
      <w:bookmarkStart w:id="148" w:name="_Toc32059"/>
      <w:bookmarkStart w:id="149" w:name="_Toc9784"/>
      <w:bookmarkStart w:id="150" w:name="_Toc92712588"/>
      <w:bookmarkStart w:id="151" w:name="_Toc23097"/>
      <w:bookmarkStart w:id="152" w:name="_Toc20468425"/>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7"/>
        <w:gridCol w:w="2976"/>
        <w:gridCol w:w="575"/>
        <w:gridCol w:w="344"/>
        <w:gridCol w:w="460"/>
        <w:gridCol w:w="691"/>
        <w:gridCol w:w="1156"/>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5"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11"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1"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6"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4"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5"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11"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1"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6"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4"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highlight w:val="none"/>
              </w:rPr>
            </w:pPr>
          </w:p>
        </w:tc>
        <w:tc>
          <w:tcPr>
            <w:tcW w:w="1265" w:type="pct"/>
            <w:vMerge w:val="continue"/>
            <w:shd w:val="clear" w:color="auto" w:fill="auto"/>
            <w:vAlign w:val="center"/>
          </w:tcPr>
          <w:p w14:paraId="78BAB5F5">
            <w:pPr>
              <w:jc w:val="center"/>
              <w:rPr>
                <w:rFonts w:ascii="宋体" w:hAnsi="宋体"/>
                <w:color w:val="auto"/>
                <w:highlight w:val="none"/>
              </w:rPr>
            </w:pPr>
          </w:p>
        </w:tc>
        <w:tc>
          <w:tcPr>
            <w:tcW w:w="1611"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1"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6"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4"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highlight w:val="none"/>
              </w:rPr>
            </w:pPr>
          </w:p>
        </w:tc>
        <w:tc>
          <w:tcPr>
            <w:tcW w:w="1265" w:type="pct"/>
            <w:vMerge w:val="continue"/>
            <w:shd w:val="clear" w:color="auto" w:fill="auto"/>
            <w:vAlign w:val="center"/>
          </w:tcPr>
          <w:p w14:paraId="0165DE72">
            <w:pPr>
              <w:jc w:val="center"/>
              <w:rPr>
                <w:rFonts w:ascii="宋体" w:hAnsi="宋体"/>
                <w:color w:val="auto"/>
                <w:highlight w:val="none"/>
              </w:rPr>
            </w:pPr>
          </w:p>
        </w:tc>
        <w:tc>
          <w:tcPr>
            <w:tcW w:w="1611"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1"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6"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highlight w:val="none"/>
              </w:rPr>
            </w:pPr>
          </w:p>
        </w:tc>
        <w:tc>
          <w:tcPr>
            <w:tcW w:w="1265" w:type="pct"/>
            <w:vMerge w:val="continue"/>
            <w:shd w:val="clear" w:color="auto" w:fill="auto"/>
            <w:vAlign w:val="center"/>
          </w:tcPr>
          <w:p w14:paraId="7E24B7B5">
            <w:pPr>
              <w:jc w:val="center"/>
              <w:rPr>
                <w:rFonts w:ascii="宋体" w:hAnsi="宋体"/>
                <w:color w:val="auto"/>
                <w:highlight w:val="none"/>
              </w:rPr>
            </w:pPr>
          </w:p>
        </w:tc>
        <w:tc>
          <w:tcPr>
            <w:tcW w:w="1611"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1"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6"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5"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11"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1"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6"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4"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highlight w:val="none"/>
              </w:rPr>
            </w:pPr>
          </w:p>
        </w:tc>
        <w:tc>
          <w:tcPr>
            <w:tcW w:w="1265" w:type="pct"/>
            <w:vMerge w:val="continue"/>
            <w:shd w:val="clear" w:color="auto" w:fill="auto"/>
            <w:vAlign w:val="center"/>
          </w:tcPr>
          <w:p w14:paraId="23F2B14C">
            <w:pPr>
              <w:jc w:val="center"/>
              <w:rPr>
                <w:rFonts w:ascii="宋体" w:hAnsi="宋体"/>
                <w:color w:val="auto"/>
                <w:highlight w:val="none"/>
              </w:rPr>
            </w:pPr>
          </w:p>
        </w:tc>
        <w:tc>
          <w:tcPr>
            <w:tcW w:w="1611"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1"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6"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highlight w:val="none"/>
              </w:rPr>
            </w:pPr>
          </w:p>
        </w:tc>
        <w:tc>
          <w:tcPr>
            <w:tcW w:w="1265" w:type="pct"/>
            <w:vMerge w:val="continue"/>
            <w:shd w:val="clear" w:color="auto" w:fill="auto"/>
            <w:vAlign w:val="center"/>
          </w:tcPr>
          <w:p w14:paraId="299C8414">
            <w:pPr>
              <w:jc w:val="center"/>
              <w:rPr>
                <w:rFonts w:ascii="宋体" w:hAnsi="宋体"/>
                <w:color w:val="auto"/>
                <w:highlight w:val="none"/>
              </w:rPr>
            </w:pPr>
          </w:p>
        </w:tc>
        <w:tc>
          <w:tcPr>
            <w:tcW w:w="1611"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1"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6"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highlight w:val="none"/>
              </w:rPr>
            </w:pPr>
          </w:p>
        </w:tc>
        <w:tc>
          <w:tcPr>
            <w:tcW w:w="1265" w:type="pct"/>
            <w:vMerge w:val="continue"/>
            <w:shd w:val="clear" w:color="auto" w:fill="auto"/>
            <w:vAlign w:val="center"/>
          </w:tcPr>
          <w:p w14:paraId="72E43FA2">
            <w:pPr>
              <w:jc w:val="center"/>
              <w:rPr>
                <w:rFonts w:ascii="宋体" w:hAnsi="宋体"/>
                <w:color w:val="auto"/>
                <w:highlight w:val="none"/>
              </w:rPr>
            </w:pPr>
          </w:p>
        </w:tc>
        <w:tc>
          <w:tcPr>
            <w:tcW w:w="1611"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1"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4"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highlight w:val="none"/>
              </w:rPr>
            </w:pPr>
          </w:p>
        </w:tc>
        <w:tc>
          <w:tcPr>
            <w:tcW w:w="1265" w:type="pct"/>
            <w:vMerge w:val="continue"/>
            <w:shd w:val="clear" w:color="auto" w:fill="auto"/>
            <w:vAlign w:val="center"/>
          </w:tcPr>
          <w:p w14:paraId="3D2859D5">
            <w:pPr>
              <w:jc w:val="center"/>
              <w:rPr>
                <w:rFonts w:ascii="宋体" w:hAnsi="宋体"/>
                <w:color w:val="auto"/>
                <w:highlight w:val="none"/>
              </w:rPr>
            </w:pPr>
          </w:p>
        </w:tc>
        <w:tc>
          <w:tcPr>
            <w:tcW w:w="1611"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1"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4"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5"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11"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1"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6"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highlight w:val="none"/>
              </w:rPr>
            </w:pPr>
          </w:p>
        </w:tc>
        <w:tc>
          <w:tcPr>
            <w:tcW w:w="1265" w:type="pct"/>
            <w:vMerge w:val="continue"/>
            <w:shd w:val="clear" w:color="auto" w:fill="auto"/>
            <w:vAlign w:val="center"/>
          </w:tcPr>
          <w:p w14:paraId="031C303E">
            <w:pPr>
              <w:jc w:val="center"/>
              <w:rPr>
                <w:rFonts w:ascii="宋体" w:hAnsi="宋体"/>
                <w:color w:val="auto"/>
                <w:highlight w:val="none"/>
              </w:rPr>
            </w:pPr>
          </w:p>
        </w:tc>
        <w:tc>
          <w:tcPr>
            <w:tcW w:w="1611"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1"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5"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11"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1"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6"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4"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restart"/>
            <w:shd w:val="clear" w:color="auto" w:fill="auto"/>
            <w:vAlign w:val="center"/>
          </w:tcPr>
          <w:p w14:paraId="45C0BA8D">
            <w:pPr>
              <w:jc w:val="center"/>
              <w:rPr>
                <w:rFonts w:hint="eastAsia" w:ascii="宋体" w:hAnsi="宋体" w:eastAsia="宋体"/>
                <w:color w:val="auto"/>
                <w:highlight w:val="none"/>
                <w:lang w:val="en-US" w:eastAsia="zh-CN"/>
              </w:rPr>
            </w:pPr>
            <w:r>
              <w:rPr>
                <w:rFonts w:hint="eastAsia" w:ascii="宋体" w:hAnsi="宋体"/>
                <w:color w:val="auto"/>
                <w:highlight w:val="none"/>
                <w:lang w:val="en-US" w:eastAsia="zh-CN"/>
              </w:rPr>
              <w:t>5</w:t>
            </w:r>
          </w:p>
        </w:tc>
        <w:tc>
          <w:tcPr>
            <w:tcW w:w="1265" w:type="pct"/>
            <w:vMerge w:val="restart"/>
            <w:shd w:val="clear" w:color="auto" w:fill="auto"/>
            <w:vAlign w:val="center"/>
          </w:tcPr>
          <w:p w14:paraId="3B9F7E67">
            <w:pPr>
              <w:jc w:val="center"/>
              <w:rPr>
                <w:rFonts w:hint="eastAsia" w:ascii="宋体" w:hAnsi="宋体"/>
                <w:color w:val="auto"/>
                <w:highlight w:val="none"/>
              </w:rPr>
            </w:pPr>
            <w:r>
              <w:rPr>
                <w:rFonts w:hint="eastAsia" w:ascii="宋体" w:hAnsi="宋体"/>
                <w:color w:val="auto"/>
                <w:highlight w:val="none"/>
              </w:rPr>
              <w:t>洗车作业</w:t>
            </w:r>
          </w:p>
        </w:tc>
        <w:tc>
          <w:tcPr>
            <w:tcW w:w="1611" w:type="pct"/>
            <w:shd w:val="clear" w:color="auto" w:fill="auto"/>
            <w:vAlign w:val="center"/>
          </w:tcPr>
          <w:p w14:paraId="0F282925">
            <w:pPr>
              <w:jc w:val="center"/>
              <w:rPr>
                <w:rFonts w:ascii="宋体" w:hAnsi="宋体" w:eastAsia="宋体"/>
                <w:color w:val="auto"/>
                <w:highlight w:val="none"/>
              </w:rPr>
            </w:pPr>
            <w:r>
              <w:rPr>
                <w:rFonts w:ascii="宋体" w:hAnsi="宋体" w:eastAsia="宋体"/>
                <w:color w:val="auto"/>
                <w:highlight w:val="none"/>
              </w:rPr>
              <w:t>火灾，爆炸</w:t>
            </w:r>
          </w:p>
        </w:tc>
        <w:tc>
          <w:tcPr>
            <w:tcW w:w="311" w:type="pct"/>
            <w:shd w:val="clear" w:color="auto" w:fill="auto"/>
            <w:vAlign w:val="center"/>
          </w:tcPr>
          <w:p w14:paraId="255DCAC8">
            <w:pPr>
              <w:jc w:val="center"/>
              <w:rPr>
                <w:rFonts w:ascii="宋体" w:hAnsi="宋体" w:eastAsia="宋体"/>
                <w:color w:val="auto"/>
                <w:highlight w:val="none"/>
              </w:rPr>
            </w:pPr>
            <w:r>
              <w:rPr>
                <w:rFonts w:ascii="宋体" w:hAnsi="宋体" w:eastAsia="宋体"/>
                <w:color w:val="auto"/>
                <w:highlight w:val="none"/>
                <w:lang w:val="en-US" w:eastAsia="zh-CN"/>
              </w:rPr>
              <w:t>0.5</w:t>
            </w:r>
          </w:p>
        </w:tc>
        <w:tc>
          <w:tcPr>
            <w:tcW w:w="186" w:type="pct"/>
            <w:shd w:val="clear" w:color="auto" w:fill="auto"/>
            <w:vAlign w:val="center"/>
          </w:tcPr>
          <w:p w14:paraId="2AD0E99D">
            <w:pPr>
              <w:jc w:val="center"/>
              <w:rPr>
                <w:rFonts w:ascii="宋体" w:hAnsi="宋体" w:eastAsia="宋体"/>
                <w:color w:val="auto"/>
                <w:highlight w:val="none"/>
              </w:rPr>
            </w:pPr>
            <w:r>
              <w:rPr>
                <w:rFonts w:ascii="宋体" w:hAnsi="宋体" w:eastAsia="宋体"/>
                <w:color w:val="auto"/>
                <w:highlight w:val="none"/>
                <w:lang w:val="en-US" w:eastAsia="zh-CN"/>
              </w:rPr>
              <w:t>3</w:t>
            </w:r>
          </w:p>
        </w:tc>
        <w:tc>
          <w:tcPr>
            <w:tcW w:w="249" w:type="pct"/>
            <w:shd w:val="clear" w:color="auto" w:fill="auto"/>
            <w:vAlign w:val="center"/>
          </w:tcPr>
          <w:p w14:paraId="74E7EB9D">
            <w:pPr>
              <w:jc w:val="center"/>
              <w:rPr>
                <w:rFonts w:ascii="宋体" w:hAnsi="宋体" w:eastAsia="宋体"/>
                <w:color w:val="auto"/>
                <w:highlight w:val="none"/>
              </w:rPr>
            </w:pPr>
            <w:r>
              <w:rPr>
                <w:rFonts w:ascii="宋体" w:hAnsi="宋体" w:eastAsia="宋体"/>
                <w:color w:val="auto"/>
                <w:highlight w:val="none"/>
                <w:lang w:val="en-US" w:eastAsia="zh-CN"/>
              </w:rPr>
              <w:t>7</w:t>
            </w:r>
          </w:p>
        </w:tc>
        <w:tc>
          <w:tcPr>
            <w:tcW w:w="374" w:type="pct"/>
            <w:shd w:val="clear" w:color="auto" w:fill="auto"/>
            <w:vAlign w:val="center"/>
          </w:tcPr>
          <w:p w14:paraId="277EFCA3">
            <w:pPr>
              <w:jc w:val="center"/>
              <w:rPr>
                <w:rFonts w:ascii="宋体" w:hAnsi="宋体" w:eastAsia="宋体"/>
                <w:color w:val="auto"/>
                <w:highlight w:val="none"/>
              </w:rPr>
            </w:pPr>
            <w:r>
              <w:rPr>
                <w:rFonts w:ascii="宋体" w:hAnsi="宋体" w:eastAsia="宋体"/>
                <w:color w:val="auto"/>
                <w:highlight w:val="none"/>
                <w:lang w:val="en-US" w:eastAsia="zh-CN"/>
              </w:rPr>
              <w:t>10.5</w:t>
            </w:r>
          </w:p>
        </w:tc>
        <w:tc>
          <w:tcPr>
            <w:tcW w:w="626" w:type="pct"/>
            <w:tcBorders>
              <w:top w:val="single" w:color="auto" w:sz="6" w:space="0"/>
              <w:bottom w:val="single" w:color="auto" w:sz="6" w:space="0"/>
            </w:tcBorders>
            <w:shd w:val="clear" w:color="auto" w:fill="0000FF"/>
            <w:vAlign w:val="center"/>
          </w:tcPr>
          <w:p w14:paraId="6C6DC146">
            <w:pPr>
              <w:jc w:val="center"/>
              <w:rPr>
                <w:rFonts w:ascii="宋体" w:hAnsi="宋体" w:eastAsia="宋体"/>
                <w:color w:val="auto"/>
                <w:highlight w:val="none"/>
              </w:rPr>
            </w:pPr>
            <w:r>
              <w:rPr>
                <w:rFonts w:ascii="宋体" w:hAnsi="宋体" w:eastAsia="宋体"/>
                <w:color w:val="auto"/>
                <w:highlight w:val="none"/>
                <w:lang w:val="en-US" w:eastAsia="zh-CN"/>
              </w:rPr>
              <w:t>稍有危险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0D2B4548">
            <w:pPr>
              <w:jc w:val="center"/>
              <w:rPr>
                <w:rFonts w:hint="eastAsia" w:ascii="宋体" w:hAnsi="宋体"/>
                <w:color w:val="auto"/>
                <w:highlight w:val="none"/>
                <w:lang w:val="en-US" w:eastAsia="zh-CN"/>
              </w:rPr>
            </w:pPr>
          </w:p>
        </w:tc>
        <w:tc>
          <w:tcPr>
            <w:tcW w:w="1265" w:type="pct"/>
            <w:vMerge w:val="continue"/>
            <w:shd w:val="clear" w:color="auto" w:fill="auto"/>
            <w:vAlign w:val="center"/>
          </w:tcPr>
          <w:p w14:paraId="622BFC37">
            <w:pPr>
              <w:jc w:val="center"/>
              <w:rPr>
                <w:rFonts w:hint="eastAsia" w:ascii="宋体" w:hAnsi="宋体"/>
                <w:color w:val="auto"/>
                <w:highlight w:val="none"/>
              </w:rPr>
            </w:pPr>
          </w:p>
        </w:tc>
        <w:tc>
          <w:tcPr>
            <w:tcW w:w="1611" w:type="pct"/>
            <w:shd w:val="clear" w:color="auto" w:fill="auto"/>
            <w:vAlign w:val="center"/>
          </w:tcPr>
          <w:p w14:paraId="4FB8DC1B">
            <w:pPr>
              <w:jc w:val="center"/>
              <w:rPr>
                <w:rFonts w:ascii="宋体" w:hAnsi="宋体" w:eastAsia="宋体"/>
                <w:color w:val="auto"/>
                <w:highlight w:val="none"/>
              </w:rPr>
            </w:pPr>
            <w:r>
              <w:rPr>
                <w:rFonts w:hint="eastAsia" w:ascii="宋体" w:hAnsi="宋体" w:eastAsia="宋体"/>
                <w:color w:val="auto"/>
                <w:highlight w:val="none"/>
                <w:lang w:val="en-US" w:eastAsia="zh-CN"/>
              </w:rPr>
              <w:t>触电</w:t>
            </w:r>
          </w:p>
        </w:tc>
        <w:tc>
          <w:tcPr>
            <w:tcW w:w="311" w:type="pct"/>
            <w:shd w:val="clear" w:color="auto" w:fill="auto"/>
            <w:vAlign w:val="center"/>
          </w:tcPr>
          <w:p w14:paraId="08496357">
            <w:pPr>
              <w:jc w:val="center"/>
              <w:rPr>
                <w:rFonts w:ascii="宋体" w:hAnsi="宋体" w:eastAsia="宋体"/>
                <w:color w:val="auto"/>
                <w:highlight w:val="none"/>
              </w:rPr>
            </w:pPr>
            <w:r>
              <w:rPr>
                <w:rFonts w:ascii="宋体" w:hAnsi="宋体" w:eastAsia="宋体"/>
                <w:color w:val="auto"/>
                <w:highlight w:val="none"/>
                <w:lang w:val="en-US" w:eastAsia="zh-CN"/>
              </w:rPr>
              <w:t>0.5</w:t>
            </w:r>
          </w:p>
        </w:tc>
        <w:tc>
          <w:tcPr>
            <w:tcW w:w="186" w:type="pct"/>
            <w:shd w:val="clear" w:color="auto" w:fill="auto"/>
            <w:vAlign w:val="center"/>
          </w:tcPr>
          <w:p w14:paraId="02672B17">
            <w:pPr>
              <w:jc w:val="center"/>
              <w:rPr>
                <w:rFonts w:ascii="宋体" w:hAnsi="宋体" w:eastAsia="宋体"/>
                <w:color w:val="auto"/>
                <w:highlight w:val="none"/>
              </w:rPr>
            </w:pPr>
            <w:r>
              <w:rPr>
                <w:rFonts w:ascii="宋体" w:hAnsi="宋体" w:eastAsia="宋体"/>
                <w:color w:val="auto"/>
                <w:highlight w:val="none"/>
                <w:lang w:val="en-US" w:eastAsia="zh-CN"/>
              </w:rPr>
              <w:t>6</w:t>
            </w:r>
          </w:p>
        </w:tc>
        <w:tc>
          <w:tcPr>
            <w:tcW w:w="249" w:type="pct"/>
            <w:shd w:val="clear" w:color="auto" w:fill="auto"/>
            <w:vAlign w:val="center"/>
          </w:tcPr>
          <w:p w14:paraId="5458D299">
            <w:pPr>
              <w:jc w:val="center"/>
              <w:rPr>
                <w:rFonts w:ascii="宋体" w:hAnsi="宋体" w:eastAsia="宋体"/>
                <w:color w:val="auto"/>
                <w:highlight w:val="none"/>
              </w:rPr>
            </w:pPr>
            <w:r>
              <w:rPr>
                <w:rFonts w:ascii="宋体" w:hAnsi="宋体" w:eastAsia="宋体"/>
                <w:color w:val="auto"/>
                <w:highlight w:val="none"/>
                <w:lang w:val="en-US" w:eastAsia="zh-CN"/>
              </w:rPr>
              <w:t>15</w:t>
            </w:r>
          </w:p>
        </w:tc>
        <w:tc>
          <w:tcPr>
            <w:tcW w:w="374" w:type="pct"/>
            <w:shd w:val="clear" w:color="auto" w:fill="auto"/>
            <w:vAlign w:val="center"/>
          </w:tcPr>
          <w:p w14:paraId="01E67D70">
            <w:pPr>
              <w:jc w:val="center"/>
              <w:rPr>
                <w:rFonts w:ascii="宋体" w:hAnsi="宋体" w:eastAsia="宋体"/>
                <w:color w:val="auto"/>
                <w:highlight w:val="none"/>
              </w:rPr>
            </w:pPr>
            <w:r>
              <w:rPr>
                <w:rFonts w:ascii="宋体" w:hAnsi="宋体" w:eastAsia="宋体"/>
                <w:color w:val="auto"/>
                <w:highlight w:val="none"/>
                <w:lang w:val="en-US" w:eastAsia="zh-CN"/>
              </w:rPr>
              <w:t>45.0</w:t>
            </w:r>
          </w:p>
        </w:tc>
        <w:tc>
          <w:tcPr>
            <w:tcW w:w="626" w:type="pct"/>
            <w:tcBorders>
              <w:top w:val="single" w:color="auto" w:sz="6" w:space="0"/>
              <w:bottom w:val="single" w:color="auto" w:sz="6" w:space="0"/>
            </w:tcBorders>
            <w:shd w:val="clear" w:color="auto" w:fill="0000FF"/>
            <w:vAlign w:val="center"/>
          </w:tcPr>
          <w:p w14:paraId="714B69F2">
            <w:pPr>
              <w:jc w:val="center"/>
              <w:rPr>
                <w:rFonts w:ascii="宋体" w:hAnsi="宋体" w:eastAsia="宋体"/>
                <w:color w:val="auto"/>
                <w:highlight w:val="none"/>
              </w:rPr>
            </w:pPr>
            <w:r>
              <w:rPr>
                <w:rFonts w:ascii="宋体" w:hAnsi="宋体" w:eastAsia="宋体"/>
                <w:color w:val="auto"/>
                <w:highlight w:val="none"/>
                <w:lang w:val="en-US" w:eastAsia="zh-CN"/>
              </w:rPr>
              <w:t>一般危险</w:t>
            </w:r>
          </w:p>
        </w:tc>
      </w:tr>
      <w:tr w14:paraId="59D81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115304A9">
            <w:pPr>
              <w:jc w:val="center"/>
              <w:rPr>
                <w:rFonts w:hint="eastAsia" w:ascii="宋体" w:hAnsi="宋体"/>
                <w:color w:val="auto"/>
                <w:highlight w:val="none"/>
                <w:lang w:val="en-US" w:eastAsia="zh-CN"/>
              </w:rPr>
            </w:pPr>
          </w:p>
        </w:tc>
        <w:tc>
          <w:tcPr>
            <w:tcW w:w="1265" w:type="pct"/>
            <w:vMerge w:val="continue"/>
            <w:shd w:val="clear" w:color="auto" w:fill="auto"/>
            <w:vAlign w:val="center"/>
          </w:tcPr>
          <w:p w14:paraId="7A8AAB09">
            <w:pPr>
              <w:jc w:val="center"/>
              <w:rPr>
                <w:rFonts w:hint="eastAsia" w:ascii="宋体" w:hAnsi="宋体"/>
                <w:color w:val="auto"/>
                <w:highlight w:val="none"/>
              </w:rPr>
            </w:pPr>
          </w:p>
        </w:tc>
        <w:tc>
          <w:tcPr>
            <w:tcW w:w="1611" w:type="pct"/>
            <w:shd w:val="clear" w:color="auto" w:fill="auto"/>
            <w:vAlign w:val="center"/>
          </w:tcPr>
          <w:p w14:paraId="20950F74">
            <w:pPr>
              <w:jc w:val="center"/>
              <w:rPr>
                <w:rFonts w:hint="eastAsia" w:ascii="宋体" w:hAnsi="宋体" w:eastAsia="宋体"/>
                <w:color w:val="auto"/>
                <w:highlight w:val="none"/>
              </w:rPr>
            </w:pPr>
            <w:r>
              <w:rPr>
                <w:rFonts w:hint="eastAsia" w:ascii="宋体" w:hAnsi="宋体" w:eastAsia="宋体"/>
                <w:color w:val="auto"/>
                <w:highlight w:val="none"/>
              </w:rPr>
              <w:t>厂(场)内车辆致害</w:t>
            </w:r>
          </w:p>
        </w:tc>
        <w:tc>
          <w:tcPr>
            <w:tcW w:w="311" w:type="pct"/>
            <w:shd w:val="clear" w:color="auto" w:fill="auto"/>
            <w:vAlign w:val="center"/>
          </w:tcPr>
          <w:p w14:paraId="1B05532C">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0.5</w:t>
            </w:r>
          </w:p>
        </w:tc>
        <w:tc>
          <w:tcPr>
            <w:tcW w:w="186" w:type="pct"/>
            <w:shd w:val="clear" w:color="auto" w:fill="auto"/>
            <w:vAlign w:val="center"/>
          </w:tcPr>
          <w:p w14:paraId="0461C79B">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6</w:t>
            </w:r>
          </w:p>
        </w:tc>
        <w:tc>
          <w:tcPr>
            <w:tcW w:w="249" w:type="pct"/>
            <w:shd w:val="clear" w:color="auto" w:fill="auto"/>
            <w:vAlign w:val="center"/>
          </w:tcPr>
          <w:p w14:paraId="1D642E55">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7</w:t>
            </w:r>
          </w:p>
        </w:tc>
        <w:tc>
          <w:tcPr>
            <w:tcW w:w="374" w:type="pct"/>
            <w:shd w:val="clear" w:color="auto" w:fill="auto"/>
            <w:vAlign w:val="center"/>
          </w:tcPr>
          <w:p w14:paraId="7C61868A">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21.0</w:t>
            </w:r>
          </w:p>
        </w:tc>
        <w:tc>
          <w:tcPr>
            <w:tcW w:w="626" w:type="pct"/>
            <w:tcBorders>
              <w:top w:val="single" w:color="auto" w:sz="6" w:space="0"/>
              <w:bottom w:val="single" w:color="auto" w:sz="6" w:space="0"/>
            </w:tcBorders>
            <w:shd w:val="clear" w:color="auto" w:fill="0000FF"/>
            <w:vAlign w:val="center"/>
          </w:tcPr>
          <w:p w14:paraId="34098B1C">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一般危险</w:t>
            </w:r>
          </w:p>
        </w:tc>
      </w:tr>
      <w:tr w14:paraId="04EC9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4DD116BA">
            <w:pPr>
              <w:jc w:val="center"/>
              <w:rPr>
                <w:rFonts w:hint="eastAsia" w:ascii="宋体" w:hAnsi="宋体"/>
                <w:color w:val="auto"/>
                <w:highlight w:val="none"/>
                <w:lang w:val="en-US" w:eastAsia="zh-CN"/>
              </w:rPr>
            </w:pPr>
          </w:p>
        </w:tc>
        <w:tc>
          <w:tcPr>
            <w:tcW w:w="1265" w:type="pct"/>
            <w:vMerge w:val="continue"/>
            <w:shd w:val="clear" w:color="auto" w:fill="auto"/>
            <w:vAlign w:val="center"/>
          </w:tcPr>
          <w:p w14:paraId="272CA732">
            <w:pPr>
              <w:jc w:val="center"/>
              <w:rPr>
                <w:rFonts w:hint="eastAsia" w:ascii="宋体" w:hAnsi="宋体"/>
                <w:color w:val="auto"/>
                <w:highlight w:val="none"/>
              </w:rPr>
            </w:pPr>
          </w:p>
        </w:tc>
        <w:tc>
          <w:tcPr>
            <w:tcW w:w="1611" w:type="pct"/>
            <w:shd w:val="clear" w:color="auto" w:fill="auto"/>
            <w:vAlign w:val="center"/>
          </w:tcPr>
          <w:p w14:paraId="2DA58762">
            <w:pPr>
              <w:jc w:val="center"/>
              <w:rPr>
                <w:rFonts w:hint="eastAsia" w:ascii="宋体" w:hAnsi="宋体" w:eastAsia="宋体"/>
                <w:color w:val="auto"/>
                <w:highlight w:val="none"/>
              </w:rPr>
            </w:pPr>
            <w:r>
              <w:rPr>
                <w:rFonts w:ascii="宋体" w:hAnsi="宋体" w:eastAsia="宋体"/>
                <w:color w:val="auto"/>
                <w:highlight w:val="none"/>
              </w:rPr>
              <w:t>物体打击</w:t>
            </w:r>
          </w:p>
        </w:tc>
        <w:tc>
          <w:tcPr>
            <w:tcW w:w="311" w:type="pct"/>
            <w:shd w:val="clear" w:color="auto" w:fill="auto"/>
            <w:vAlign w:val="center"/>
          </w:tcPr>
          <w:p w14:paraId="1B73E310">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0.5</w:t>
            </w:r>
          </w:p>
        </w:tc>
        <w:tc>
          <w:tcPr>
            <w:tcW w:w="186" w:type="pct"/>
            <w:shd w:val="clear" w:color="auto" w:fill="auto"/>
            <w:vAlign w:val="center"/>
          </w:tcPr>
          <w:p w14:paraId="35414357">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3</w:t>
            </w:r>
          </w:p>
        </w:tc>
        <w:tc>
          <w:tcPr>
            <w:tcW w:w="249" w:type="pct"/>
            <w:shd w:val="clear" w:color="auto" w:fill="auto"/>
            <w:vAlign w:val="center"/>
          </w:tcPr>
          <w:p w14:paraId="03F2F0FA">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3</w:t>
            </w:r>
          </w:p>
        </w:tc>
        <w:tc>
          <w:tcPr>
            <w:tcW w:w="374" w:type="pct"/>
            <w:shd w:val="clear" w:color="auto" w:fill="auto"/>
            <w:vAlign w:val="center"/>
          </w:tcPr>
          <w:p w14:paraId="0D67A930">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4.5</w:t>
            </w:r>
          </w:p>
        </w:tc>
        <w:tc>
          <w:tcPr>
            <w:tcW w:w="626" w:type="pct"/>
            <w:tcBorders>
              <w:top w:val="single" w:color="auto" w:sz="6" w:space="0"/>
              <w:bottom w:val="single" w:color="auto" w:sz="6" w:space="0"/>
            </w:tcBorders>
            <w:shd w:val="clear" w:color="auto" w:fill="0000FF"/>
            <w:vAlign w:val="center"/>
          </w:tcPr>
          <w:p w14:paraId="43807F5A">
            <w:pPr>
              <w:jc w:val="center"/>
              <w:rPr>
                <w:rFonts w:ascii="宋体" w:hAnsi="宋体" w:eastAsia="宋体"/>
                <w:color w:val="auto"/>
                <w:highlight w:val="none"/>
                <w:lang w:val="en-US" w:eastAsia="zh-CN"/>
              </w:rPr>
            </w:pPr>
            <w:r>
              <w:rPr>
                <w:rFonts w:ascii="宋体" w:hAnsi="宋体" w:eastAsia="宋体"/>
                <w:color w:val="auto"/>
                <w:highlight w:val="none"/>
                <w:lang w:val="en-US" w:eastAsia="zh-CN"/>
              </w:rPr>
              <w:t>稍有危险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3" w:name="_Toc92712589"/>
      <w:bookmarkStart w:id="154" w:name="_Toc25652"/>
      <w:bookmarkStart w:id="155" w:name="_Toc2584"/>
      <w:bookmarkStart w:id="156" w:name="_Toc26056"/>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3"/>
      <w:bookmarkEnd w:id="154"/>
      <w:bookmarkEnd w:id="155"/>
      <w:bookmarkEnd w:id="156"/>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9</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5</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highlight w:val="none"/>
                <w:lang w:eastAsia="zh-CN"/>
              </w:rPr>
            </w:pPr>
            <w:r>
              <w:rPr>
                <w:rFonts w:hint="eastAsia" w:ascii="宋体" w:hAnsi="宋体"/>
                <w:b/>
                <w:color w:val="auto"/>
                <w:highlight w:val="none"/>
              </w:rPr>
              <w:t>1</w:t>
            </w:r>
            <w:r>
              <w:rPr>
                <w:rFonts w:hint="eastAsia" w:ascii="宋体" w:hAnsi="宋体"/>
                <w:b/>
                <w:color w:val="auto"/>
                <w:highlight w:val="none"/>
                <w:lang w:val="en-US" w:eastAsia="zh-CN"/>
              </w:rPr>
              <w:t>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highlight w:val="none"/>
                <w:lang w:eastAsia="zh-CN"/>
              </w:rPr>
            </w:pPr>
            <w:r>
              <w:rPr>
                <w:rFonts w:hint="eastAsia" w:ascii="Times New Roman" w:hAnsi="Times New Roman" w:cs="Times New Roman"/>
                <w:color w:val="auto"/>
                <w:highlight w:val="none"/>
                <w:lang w:val="en-US" w:eastAsia="zh-CN"/>
              </w:rPr>
              <w:t>Ⅱ</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rPr>
        <w:t>1</w:t>
      </w:r>
      <w:r>
        <w:rPr>
          <w:rFonts w:hint="eastAsia" w:ascii="宋体" w:hAnsi="宋体"/>
          <w:color w:val="auto"/>
          <w:sz w:val="28"/>
          <w:szCs w:val="28"/>
          <w:highlight w:val="none"/>
          <w:lang w:val="en-US" w:eastAsia="zh-CN"/>
        </w:rPr>
        <w:t>2</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Ⅱ</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中</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w:t>
      </w:r>
      <w:r>
        <w:rPr>
          <w:rFonts w:hint="eastAsia" w:ascii="宋体" w:hAnsi="宋体"/>
          <w:color w:val="auto"/>
          <w:sz w:val="28"/>
          <w:szCs w:val="28"/>
          <w:highlight w:val="none"/>
        </w:rPr>
        <w:t>储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7" w:name="_Toc92712590"/>
      <w:bookmarkStart w:id="158" w:name="_Toc10888"/>
      <w:bookmarkStart w:id="159" w:name="_Toc4183"/>
      <w:bookmarkStart w:id="160" w:name="_Toc19007"/>
      <w:bookmarkStart w:id="161" w:name="_Toc9240"/>
      <w:bookmarkStart w:id="162" w:name="_Toc92712591"/>
      <w:bookmarkStart w:id="163" w:name="_Toc3721"/>
      <w:bookmarkStart w:id="164" w:name="_Toc30385"/>
      <w:bookmarkStart w:id="165" w:name="_Toc92712592"/>
      <w:r>
        <w:rPr>
          <w:rFonts w:hint="eastAsia" w:ascii="宋体" w:hAnsi="宋体"/>
          <w:color w:val="auto"/>
          <w:sz w:val="30"/>
          <w:szCs w:val="30"/>
          <w:highlight w:val="none"/>
        </w:rPr>
        <w:t xml:space="preserve">5.3 </w:t>
      </w:r>
      <w:bookmarkEnd w:id="157"/>
      <w:bookmarkEnd w:id="158"/>
      <w:bookmarkEnd w:id="159"/>
      <w:bookmarkEnd w:id="160"/>
      <w:r>
        <w:rPr>
          <w:rFonts w:ascii="宋体" w:hAnsi="宋体"/>
          <w:color w:val="auto"/>
          <w:sz w:val="30"/>
          <w:szCs w:val="30"/>
          <w:highlight w:val="none"/>
        </w:rPr>
        <w:t>安全管理</w:t>
      </w:r>
      <w:bookmarkEnd w:id="161"/>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37C576FF">
      <w:pPr>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br w:type="page"/>
      </w:r>
    </w:p>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6" w:name="_Toc29212"/>
      <w:r>
        <w:rPr>
          <w:rFonts w:hint="eastAsia" w:ascii="宋体" w:hAnsi="宋体"/>
          <w:color w:val="auto"/>
          <w:sz w:val="30"/>
          <w:szCs w:val="30"/>
          <w:highlight w:val="none"/>
        </w:rPr>
        <w:t>5.4 站址选择符合性评价</w:t>
      </w:r>
      <w:bookmarkEnd w:id="162"/>
      <w:bookmarkEnd w:id="163"/>
      <w:bookmarkEnd w:id="166"/>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highlight w:val="none"/>
              </w:rPr>
            </w:pPr>
          </w:p>
        </w:tc>
        <w:tc>
          <w:tcPr>
            <w:tcW w:w="362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highlight w:val="none"/>
              </w:rPr>
            </w:pPr>
          </w:p>
        </w:tc>
        <w:tc>
          <w:tcPr>
            <w:tcW w:w="362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843" w:type="pct"/>
            <w:vAlign w:val="center"/>
          </w:tcPr>
          <w:p w14:paraId="6E1F83C2">
            <w:pPr>
              <w:rPr>
                <w:rFonts w:ascii="宋体" w:hAnsi="宋体"/>
                <w:color w:val="auto"/>
                <w:highlight w:val="none"/>
              </w:rPr>
            </w:pPr>
            <w:r>
              <w:rPr>
                <w:rFonts w:hint="eastAsia" w:ascii="宋体" w:hAnsi="宋体"/>
                <w:color w:val="auto"/>
                <w:highlight w:val="none"/>
                <w:lang w:val="en-US" w:eastAsia="zh-CN"/>
              </w:rPr>
              <w:t>二</w:t>
            </w:r>
            <w:r>
              <w:rPr>
                <w:rFonts w:hint="eastAsia" w:ascii="宋体" w:hAnsi="宋体"/>
                <w:color w:val="auto"/>
                <w:highlight w:val="none"/>
              </w:rPr>
              <w:t>级</w:t>
            </w:r>
            <w:r>
              <w:rPr>
                <w:rFonts w:ascii="宋体" w:hAnsi="宋体"/>
                <w:color w:val="auto"/>
                <w:highlight w:val="none"/>
              </w:rPr>
              <w:t>站</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highlight w:val="none"/>
              </w:rPr>
            </w:pPr>
          </w:p>
        </w:tc>
        <w:tc>
          <w:tcPr>
            <w:tcW w:w="362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843"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highlight w:val="none"/>
              </w:rPr>
            </w:pPr>
          </w:p>
        </w:tc>
        <w:tc>
          <w:tcPr>
            <w:tcW w:w="362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highlight w:val="none"/>
              </w:rPr>
            </w:pPr>
          </w:p>
        </w:tc>
        <w:tc>
          <w:tcPr>
            <w:tcW w:w="362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highlight w:val="none"/>
              </w:rPr>
            </w:pPr>
          </w:p>
        </w:tc>
        <w:tc>
          <w:tcPr>
            <w:tcW w:w="362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843"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3CF83523">
      <w:pPr>
        <w:rPr>
          <w:rFonts w:hint="eastAsia" w:ascii="宋体" w:hAnsi="宋体"/>
          <w:color w:val="auto"/>
          <w:sz w:val="28"/>
          <w:szCs w:val="28"/>
          <w:highlight w:val="none"/>
        </w:rPr>
      </w:pPr>
      <w:r>
        <w:rPr>
          <w:rFonts w:hint="eastAsia" w:ascii="宋体" w:hAnsi="宋体"/>
          <w:color w:val="auto"/>
          <w:sz w:val="28"/>
          <w:szCs w:val="28"/>
          <w:highlight w:val="none"/>
        </w:rPr>
        <w:br w:type="page"/>
      </w:r>
    </w:p>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54"/>
        <w:gridCol w:w="973"/>
        <w:gridCol w:w="3004"/>
        <w:gridCol w:w="1573"/>
        <w:gridCol w:w="1006"/>
        <w:gridCol w:w="978"/>
      </w:tblGrid>
      <w:tr w14:paraId="2BE18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44" w:type="pct"/>
            <w:vAlign w:val="center"/>
          </w:tcPr>
          <w:p w14:paraId="244C232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524" w:type="pct"/>
            <w:vAlign w:val="center"/>
          </w:tcPr>
          <w:p w14:paraId="478FC36A">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616" w:type="pct"/>
            <w:vAlign w:val="center"/>
          </w:tcPr>
          <w:p w14:paraId="7BA63940">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846" w:type="pct"/>
            <w:vAlign w:val="center"/>
          </w:tcPr>
          <w:p w14:paraId="6355FD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541" w:type="pct"/>
            <w:shd w:val="clear" w:color="auto" w:fill="auto"/>
            <w:vAlign w:val="center"/>
          </w:tcPr>
          <w:p w14:paraId="4662E031">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526" w:type="pct"/>
            <w:shd w:val="clear" w:color="auto" w:fill="auto"/>
            <w:vAlign w:val="center"/>
          </w:tcPr>
          <w:p w14:paraId="364784B1">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7A6D3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restart"/>
            <w:vAlign w:val="center"/>
          </w:tcPr>
          <w:p w14:paraId="00D4080A">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524" w:type="pct"/>
            <w:shd w:val="clear" w:color="auto" w:fill="auto"/>
            <w:vAlign w:val="center"/>
          </w:tcPr>
          <w:p w14:paraId="712CEA2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北</w:t>
            </w:r>
            <w:r>
              <w:rPr>
                <w:rFonts w:hint="eastAsia" w:ascii="Times New Roman" w:hAnsi="Times New Roman" w:eastAsia="宋体" w:cs="Times New Roman"/>
                <w:color w:val="auto"/>
                <w:kern w:val="2"/>
                <w:sz w:val="21"/>
                <w:szCs w:val="21"/>
                <w:highlight w:val="none"/>
                <w:lang w:val="en-US" w:eastAsia="zh-CN" w:bidi="ar-SA"/>
              </w:rPr>
              <w:t>侧</w:t>
            </w:r>
          </w:p>
        </w:tc>
        <w:tc>
          <w:tcPr>
            <w:tcW w:w="1616" w:type="pct"/>
            <w:shd w:val="clear" w:color="auto" w:fill="auto"/>
            <w:vAlign w:val="center"/>
          </w:tcPr>
          <w:p w14:paraId="61FADBB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迎宾大道</w:t>
            </w:r>
          </w:p>
        </w:tc>
        <w:tc>
          <w:tcPr>
            <w:tcW w:w="846" w:type="pct"/>
            <w:vAlign w:val="center"/>
          </w:tcPr>
          <w:p w14:paraId="56FE8F63">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31.8/31.8</w:t>
            </w:r>
          </w:p>
        </w:tc>
        <w:tc>
          <w:tcPr>
            <w:tcW w:w="541" w:type="pct"/>
            <w:shd w:val="clear" w:color="auto" w:fill="auto"/>
            <w:vAlign w:val="center"/>
          </w:tcPr>
          <w:p w14:paraId="3D407568">
            <w:pPr>
              <w:snapToGrid w:val="0"/>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5.5/3</w:t>
            </w:r>
          </w:p>
        </w:tc>
        <w:tc>
          <w:tcPr>
            <w:tcW w:w="526" w:type="pct"/>
            <w:shd w:val="clear" w:color="auto" w:fill="auto"/>
            <w:vAlign w:val="center"/>
          </w:tcPr>
          <w:p w14:paraId="2B829B7A">
            <w:pPr>
              <w:snapToGrid w:val="0"/>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41291C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00468FE5">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509F826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1616" w:type="pct"/>
            <w:shd w:val="clear" w:color="auto" w:fill="auto"/>
            <w:vAlign w:val="center"/>
          </w:tcPr>
          <w:p w14:paraId="47563FEE">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846" w:type="pct"/>
            <w:vAlign w:val="center"/>
          </w:tcPr>
          <w:p w14:paraId="4B3AD61E">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15.1/9</w:t>
            </w:r>
          </w:p>
        </w:tc>
        <w:tc>
          <w:tcPr>
            <w:tcW w:w="541" w:type="pct"/>
            <w:vAlign w:val="center"/>
          </w:tcPr>
          <w:p w14:paraId="3B822046">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8.5/6</w:t>
            </w:r>
          </w:p>
        </w:tc>
        <w:tc>
          <w:tcPr>
            <w:tcW w:w="526" w:type="pct"/>
            <w:vAlign w:val="center"/>
          </w:tcPr>
          <w:p w14:paraId="6E0356FF">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5D2C1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68640422">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184418C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1616" w:type="pct"/>
            <w:shd w:val="clear" w:color="auto" w:fill="auto"/>
            <w:vAlign w:val="center"/>
          </w:tcPr>
          <w:p w14:paraId="7847BB8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通讯线（H=6m）</w:t>
            </w:r>
          </w:p>
        </w:tc>
        <w:tc>
          <w:tcPr>
            <w:tcW w:w="846" w:type="pct"/>
            <w:vAlign w:val="center"/>
          </w:tcPr>
          <w:p w14:paraId="7199D6B5">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14.6/8.5</w:t>
            </w:r>
          </w:p>
        </w:tc>
        <w:tc>
          <w:tcPr>
            <w:tcW w:w="541" w:type="pct"/>
            <w:vAlign w:val="center"/>
          </w:tcPr>
          <w:p w14:paraId="42558CBB">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26" w:type="pct"/>
            <w:vAlign w:val="center"/>
          </w:tcPr>
          <w:p w14:paraId="152AD62D">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425A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45E82D96">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51D16A5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西侧</w:t>
            </w:r>
          </w:p>
        </w:tc>
        <w:tc>
          <w:tcPr>
            <w:tcW w:w="1616" w:type="pct"/>
            <w:shd w:val="clear" w:color="auto" w:fill="auto"/>
            <w:vAlign w:val="center"/>
          </w:tcPr>
          <w:p w14:paraId="6E55501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846" w:type="pct"/>
            <w:vAlign w:val="center"/>
          </w:tcPr>
          <w:p w14:paraId="0EA975E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59/68.3</w:t>
            </w:r>
          </w:p>
        </w:tc>
        <w:tc>
          <w:tcPr>
            <w:tcW w:w="541" w:type="pct"/>
            <w:vAlign w:val="center"/>
          </w:tcPr>
          <w:p w14:paraId="62A1590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8.5/6</w:t>
            </w:r>
          </w:p>
        </w:tc>
        <w:tc>
          <w:tcPr>
            <w:tcW w:w="526" w:type="pct"/>
            <w:vAlign w:val="center"/>
          </w:tcPr>
          <w:p w14:paraId="4F33081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89492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4AFC11AD">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6F502BD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南侧</w:t>
            </w:r>
          </w:p>
        </w:tc>
        <w:tc>
          <w:tcPr>
            <w:tcW w:w="1616" w:type="pct"/>
            <w:shd w:val="clear" w:color="auto" w:fill="auto"/>
            <w:vAlign w:val="center"/>
          </w:tcPr>
          <w:p w14:paraId="5292823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架空电力线（H=4m，有绝缘层）</w:t>
            </w:r>
          </w:p>
        </w:tc>
        <w:tc>
          <w:tcPr>
            <w:tcW w:w="846" w:type="pct"/>
            <w:vAlign w:val="center"/>
          </w:tcPr>
          <w:p w14:paraId="10120B69">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32.7/42</w:t>
            </w:r>
          </w:p>
        </w:tc>
        <w:tc>
          <w:tcPr>
            <w:tcW w:w="541" w:type="pct"/>
            <w:vAlign w:val="center"/>
          </w:tcPr>
          <w:p w14:paraId="63D48F90">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26" w:type="pct"/>
            <w:vAlign w:val="center"/>
          </w:tcPr>
          <w:p w14:paraId="1A544187">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211D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restart"/>
            <w:vAlign w:val="center"/>
          </w:tcPr>
          <w:p w14:paraId="0F55CE14">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524" w:type="pct"/>
            <w:shd w:val="clear" w:color="auto" w:fill="auto"/>
            <w:vAlign w:val="center"/>
          </w:tcPr>
          <w:p w14:paraId="0017907F">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北</w:t>
            </w:r>
            <w:r>
              <w:rPr>
                <w:rFonts w:hint="eastAsia" w:ascii="Times New Roman" w:hAnsi="Times New Roman" w:eastAsia="宋体" w:cs="Times New Roman"/>
                <w:color w:val="auto"/>
                <w:kern w:val="2"/>
                <w:sz w:val="21"/>
                <w:szCs w:val="21"/>
                <w:highlight w:val="none"/>
                <w:lang w:val="en-US" w:eastAsia="zh-CN" w:bidi="ar-SA"/>
              </w:rPr>
              <w:t>侧</w:t>
            </w:r>
          </w:p>
        </w:tc>
        <w:tc>
          <w:tcPr>
            <w:tcW w:w="1616" w:type="pct"/>
            <w:shd w:val="clear" w:color="auto" w:fill="auto"/>
            <w:vAlign w:val="center"/>
          </w:tcPr>
          <w:p w14:paraId="2C0E6E2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迎宾大道</w:t>
            </w:r>
          </w:p>
        </w:tc>
        <w:tc>
          <w:tcPr>
            <w:tcW w:w="846" w:type="pct"/>
            <w:vAlign w:val="center"/>
          </w:tcPr>
          <w:p w14:paraId="2A1E378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38/38</w:t>
            </w:r>
          </w:p>
        </w:tc>
        <w:tc>
          <w:tcPr>
            <w:tcW w:w="541" w:type="pct"/>
            <w:vAlign w:val="center"/>
          </w:tcPr>
          <w:p w14:paraId="62A3B235">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526" w:type="pct"/>
            <w:vAlign w:val="center"/>
          </w:tcPr>
          <w:p w14:paraId="212EDED2">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909A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6D6A479A">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3ACDCC7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1616" w:type="pct"/>
            <w:shd w:val="clear" w:color="auto" w:fill="auto"/>
            <w:vAlign w:val="center"/>
          </w:tcPr>
          <w:p w14:paraId="52D7FE2D">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846" w:type="pct"/>
            <w:vAlign w:val="center"/>
          </w:tcPr>
          <w:p w14:paraId="3163E0E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18.8/18.8</w:t>
            </w:r>
          </w:p>
        </w:tc>
        <w:tc>
          <w:tcPr>
            <w:tcW w:w="541" w:type="pct"/>
            <w:vAlign w:val="center"/>
          </w:tcPr>
          <w:p w14:paraId="72AEA55F">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526" w:type="pct"/>
            <w:vAlign w:val="center"/>
          </w:tcPr>
          <w:p w14:paraId="010DE343">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35E07B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4" w:type="pct"/>
            <w:vMerge w:val="continue"/>
            <w:vAlign w:val="center"/>
          </w:tcPr>
          <w:p w14:paraId="653E8AFD">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7AF76D36">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1616" w:type="pct"/>
            <w:shd w:val="clear" w:color="auto" w:fill="auto"/>
            <w:vAlign w:val="center"/>
          </w:tcPr>
          <w:p w14:paraId="645905A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通讯线（H=6m）</w:t>
            </w:r>
          </w:p>
        </w:tc>
        <w:tc>
          <w:tcPr>
            <w:tcW w:w="846" w:type="pct"/>
            <w:vAlign w:val="center"/>
          </w:tcPr>
          <w:p w14:paraId="4991588B">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18.5/18.5</w:t>
            </w:r>
          </w:p>
        </w:tc>
        <w:tc>
          <w:tcPr>
            <w:tcW w:w="541" w:type="pct"/>
            <w:vAlign w:val="center"/>
          </w:tcPr>
          <w:p w14:paraId="2AA7985E">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26" w:type="pct"/>
            <w:vAlign w:val="center"/>
          </w:tcPr>
          <w:p w14:paraId="6F10F012">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48A5C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4" w:type="pct"/>
            <w:vMerge w:val="continue"/>
            <w:vAlign w:val="center"/>
          </w:tcPr>
          <w:p w14:paraId="37F373D7">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5C64088E">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西侧</w:t>
            </w:r>
          </w:p>
        </w:tc>
        <w:tc>
          <w:tcPr>
            <w:tcW w:w="1616" w:type="pct"/>
            <w:shd w:val="clear" w:color="auto" w:fill="auto"/>
            <w:vAlign w:val="center"/>
          </w:tcPr>
          <w:p w14:paraId="5EF6C01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846" w:type="pct"/>
            <w:vAlign w:val="center"/>
          </w:tcPr>
          <w:p w14:paraId="5848BD7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65.5/65.5</w:t>
            </w:r>
          </w:p>
        </w:tc>
        <w:tc>
          <w:tcPr>
            <w:tcW w:w="541" w:type="pct"/>
            <w:vAlign w:val="center"/>
          </w:tcPr>
          <w:p w14:paraId="46E3EE27">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526" w:type="pct"/>
            <w:vAlign w:val="center"/>
          </w:tcPr>
          <w:p w14:paraId="0B8F38C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BDC02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4" w:type="pct"/>
            <w:vMerge w:val="continue"/>
            <w:vAlign w:val="center"/>
          </w:tcPr>
          <w:p w14:paraId="4BC61E59">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2D7E9FA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南侧</w:t>
            </w:r>
          </w:p>
        </w:tc>
        <w:tc>
          <w:tcPr>
            <w:tcW w:w="1616" w:type="pct"/>
            <w:shd w:val="clear" w:color="auto" w:fill="auto"/>
            <w:vAlign w:val="center"/>
          </w:tcPr>
          <w:p w14:paraId="482676E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架空电力线（H=4m，有绝缘层）</w:t>
            </w:r>
          </w:p>
        </w:tc>
        <w:tc>
          <w:tcPr>
            <w:tcW w:w="846" w:type="pct"/>
            <w:vAlign w:val="center"/>
          </w:tcPr>
          <w:p w14:paraId="488DF107">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38.8/38.8</w:t>
            </w:r>
          </w:p>
        </w:tc>
        <w:tc>
          <w:tcPr>
            <w:tcW w:w="541" w:type="pct"/>
            <w:vAlign w:val="center"/>
          </w:tcPr>
          <w:p w14:paraId="57D762C0">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526" w:type="pct"/>
            <w:vAlign w:val="center"/>
          </w:tcPr>
          <w:p w14:paraId="2370BCD5">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62C09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restart"/>
            <w:vAlign w:val="center"/>
          </w:tcPr>
          <w:p w14:paraId="70AEA3CB">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524" w:type="pct"/>
            <w:shd w:val="clear" w:color="auto" w:fill="auto"/>
            <w:vAlign w:val="center"/>
          </w:tcPr>
          <w:p w14:paraId="379DB7A7">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北</w:t>
            </w:r>
            <w:r>
              <w:rPr>
                <w:rFonts w:hint="eastAsia" w:ascii="Times New Roman" w:hAnsi="Times New Roman" w:eastAsia="宋体" w:cs="Times New Roman"/>
                <w:color w:val="auto"/>
                <w:kern w:val="2"/>
                <w:sz w:val="21"/>
                <w:szCs w:val="21"/>
                <w:highlight w:val="none"/>
                <w:lang w:val="en-US" w:eastAsia="zh-CN" w:bidi="ar-SA"/>
              </w:rPr>
              <w:t>侧</w:t>
            </w:r>
          </w:p>
        </w:tc>
        <w:tc>
          <w:tcPr>
            <w:tcW w:w="1616" w:type="pct"/>
            <w:shd w:val="clear" w:color="auto" w:fill="auto"/>
            <w:vAlign w:val="center"/>
          </w:tcPr>
          <w:p w14:paraId="139505F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迎宾大道</w:t>
            </w:r>
          </w:p>
        </w:tc>
        <w:tc>
          <w:tcPr>
            <w:tcW w:w="846" w:type="pct"/>
            <w:vAlign w:val="center"/>
          </w:tcPr>
          <w:p w14:paraId="12A0866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12.3/12.3</w:t>
            </w:r>
          </w:p>
        </w:tc>
        <w:tc>
          <w:tcPr>
            <w:tcW w:w="541" w:type="pct"/>
            <w:shd w:val="clear" w:color="auto" w:fill="auto"/>
            <w:vAlign w:val="center"/>
          </w:tcPr>
          <w:p w14:paraId="521A081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526" w:type="pct"/>
            <w:vAlign w:val="center"/>
          </w:tcPr>
          <w:p w14:paraId="74926789">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03E9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2456FDCE">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391DC85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1616" w:type="pct"/>
            <w:shd w:val="clear" w:color="auto" w:fill="auto"/>
            <w:vAlign w:val="center"/>
          </w:tcPr>
          <w:p w14:paraId="2FFBEEB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846" w:type="pct"/>
            <w:vAlign w:val="center"/>
          </w:tcPr>
          <w:p w14:paraId="0DC0EB7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32.4/33.1</w:t>
            </w:r>
          </w:p>
        </w:tc>
        <w:tc>
          <w:tcPr>
            <w:tcW w:w="541" w:type="pct"/>
            <w:shd w:val="clear" w:color="auto" w:fill="auto"/>
            <w:vAlign w:val="center"/>
          </w:tcPr>
          <w:p w14:paraId="00BA3DD2">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526" w:type="pct"/>
            <w:vAlign w:val="center"/>
          </w:tcPr>
          <w:p w14:paraId="08D90D18">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5999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01616B5F">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3998961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东</w:t>
            </w:r>
            <w:r>
              <w:rPr>
                <w:rFonts w:hint="eastAsia" w:ascii="Times New Roman" w:hAnsi="Times New Roman" w:cs="Times New Roman"/>
                <w:color w:val="auto"/>
                <w:kern w:val="2"/>
                <w:sz w:val="21"/>
                <w:szCs w:val="21"/>
                <w:highlight w:val="none"/>
                <w:lang w:val="en-US" w:eastAsia="zh-CN" w:bidi="ar-SA"/>
              </w:rPr>
              <w:t>侧</w:t>
            </w:r>
          </w:p>
        </w:tc>
        <w:tc>
          <w:tcPr>
            <w:tcW w:w="1616" w:type="pct"/>
            <w:shd w:val="clear" w:color="auto" w:fill="auto"/>
            <w:vAlign w:val="center"/>
          </w:tcPr>
          <w:p w14:paraId="7F911DA2">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通讯线（H=6m）</w:t>
            </w:r>
          </w:p>
        </w:tc>
        <w:tc>
          <w:tcPr>
            <w:tcW w:w="846" w:type="pct"/>
            <w:vAlign w:val="center"/>
          </w:tcPr>
          <w:p w14:paraId="451099B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32.3/34.4</w:t>
            </w:r>
          </w:p>
        </w:tc>
        <w:tc>
          <w:tcPr>
            <w:tcW w:w="541" w:type="pct"/>
            <w:shd w:val="clear" w:color="auto" w:fill="auto"/>
            <w:vAlign w:val="center"/>
          </w:tcPr>
          <w:p w14:paraId="4765AF9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26" w:type="pct"/>
            <w:vAlign w:val="center"/>
          </w:tcPr>
          <w:p w14:paraId="14AF06E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91638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1826AFD4">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2039A8D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西侧</w:t>
            </w:r>
          </w:p>
        </w:tc>
        <w:tc>
          <w:tcPr>
            <w:tcW w:w="1616" w:type="pct"/>
            <w:shd w:val="clear" w:color="auto" w:fill="auto"/>
            <w:vAlign w:val="center"/>
          </w:tcPr>
          <w:p w14:paraId="1A0E735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民房(三类保护物)</w:t>
            </w:r>
          </w:p>
        </w:tc>
        <w:tc>
          <w:tcPr>
            <w:tcW w:w="846" w:type="pct"/>
            <w:vAlign w:val="center"/>
          </w:tcPr>
          <w:p w14:paraId="7718C1A6">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31.5/31.5</w:t>
            </w:r>
          </w:p>
        </w:tc>
        <w:tc>
          <w:tcPr>
            <w:tcW w:w="541" w:type="pct"/>
            <w:shd w:val="clear" w:color="auto" w:fill="auto"/>
            <w:vAlign w:val="center"/>
          </w:tcPr>
          <w:p w14:paraId="30445EA1">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526" w:type="pct"/>
            <w:vAlign w:val="center"/>
          </w:tcPr>
          <w:p w14:paraId="34B5853D">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EDCB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44" w:type="pct"/>
            <w:vMerge w:val="continue"/>
            <w:vAlign w:val="center"/>
          </w:tcPr>
          <w:p w14:paraId="41DE26DF">
            <w:pPr>
              <w:spacing w:line="240" w:lineRule="exact"/>
              <w:jc w:val="center"/>
              <w:rPr>
                <w:rFonts w:ascii="Times New Roman" w:hAnsi="Times New Roman" w:cs="Times New Roman"/>
                <w:bCs/>
                <w:color w:val="auto"/>
                <w:szCs w:val="24"/>
                <w:highlight w:val="none"/>
              </w:rPr>
            </w:pPr>
          </w:p>
        </w:tc>
        <w:tc>
          <w:tcPr>
            <w:tcW w:w="524" w:type="pct"/>
            <w:shd w:val="clear" w:color="auto" w:fill="auto"/>
            <w:vAlign w:val="center"/>
          </w:tcPr>
          <w:p w14:paraId="2C5AC26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南侧</w:t>
            </w:r>
          </w:p>
        </w:tc>
        <w:tc>
          <w:tcPr>
            <w:tcW w:w="1616" w:type="pct"/>
            <w:shd w:val="clear" w:color="auto" w:fill="auto"/>
            <w:vAlign w:val="center"/>
          </w:tcPr>
          <w:p w14:paraId="1159E27E">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架空电力线（H=4m，有绝缘层）</w:t>
            </w:r>
          </w:p>
        </w:tc>
        <w:tc>
          <w:tcPr>
            <w:tcW w:w="846" w:type="pct"/>
            <w:vAlign w:val="center"/>
          </w:tcPr>
          <w:p w14:paraId="732621A9">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14/23</w:t>
            </w:r>
          </w:p>
        </w:tc>
        <w:tc>
          <w:tcPr>
            <w:tcW w:w="541" w:type="pct"/>
            <w:shd w:val="clear" w:color="auto" w:fill="auto"/>
            <w:vAlign w:val="center"/>
          </w:tcPr>
          <w:p w14:paraId="697D6BE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526" w:type="pct"/>
            <w:vAlign w:val="center"/>
          </w:tcPr>
          <w:p w14:paraId="6C69556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Times New Roman" w:hAnsi="Times New Roman"/>
          <w:color w:val="auto"/>
          <w:spacing w:val="-6"/>
          <w:highlight w:val="none"/>
        </w:rPr>
      </w:pPr>
      <w:r>
        <w:rPr>
          <w:rFonts w:ascii="Times New Roman" w:hAnsi="Times New Roman"/>
          <w:color w:val="auto"/>
          <w:spacing w:val="-6"/>
          <w:sz w:val="28"/>
          <w:szCs w:val="28"/>
          <w:highlight w:val="none"/>
        </w:rPr>
        <w:t>从表</w:t>
      </w:r>
      <w:r>
        <w:rPr>
          <w:rFonts w:hint="eastAsia" w:ascii="Times New Roman" w:hAnsi="Times New Roman"/>
          <w:color w:val="auto"/>
          <w:spacing w:val="-6"/>
          <w:sz w:val="28"/>
          <w:szCs w:val="28"/>
          <w:highlight w:val="none"/>
        </w:rPr>
        <w:t>5.4-2</w:t>
      </w:r>
      <w:r>
        <w:rPr>
          <w:rFonts w:ascii="Times New Roman" w:hAnsi="Times New Roman"/>
          <w:color w:val="auto"/>
          <w:spacing w:val="-6"/>
          <w:sz w:val="28"/>
          <w:szCs w:val="28"/>
          <w:highlight w:val="none"/>
        </w:rPr>
        <w:t>可以看出，</w:t>
      </w:r>
      <w:r>
        <w:rPr>
          <w:rFonts w:hint="eastAsia" w:ascii="Times New Roman" w:hAnsi="Times New Roman"/>
          <w:color w:val="auto"/>
          <w:spacing w:val="-6"/>
          <w:sz w:val="28"/>
          <w:szCs w:val="28"/>
          <w:highlight w:val="none"/>
        </w:rPr>
        <w:t>该加油站的</w:t>
      </w:r>
      <w:r>
        <w:rPr>
          <w:rFonts w:ascii="Times New Roman" w:hAnsi="Times New Roman"/>
          <w:color w:val="auto"/>
          <w:spacing w:val="-6"/>
          <w:sz w:val="28"/>
          <w:szCs w:val="28"/>
          <w:highlight w:val="none"/>
        </w:rPr>
        <w:t>油罐、加油机、通气管管口与站外建、构筑物的防火距离符合《汽车加油</w:t>
      </w:r>
      <w:r>
        <w:rPr>
          <w:rFonts w:hint="eastAsia" w:ascii="Times New Roman" w:hAnsi="Times New Roman"/>
          <w:color w:val="auto"/>
          <w:spacing w:val="-6"/>
          <w:sz w:val="28"/>
          <w:szCs w:val="28"/>
          <w:highlight w:val="none"/>
          <w:lang w:eastAsia="zh-CN"/>
        </w:rPr>
        <w:t>加气</w:t>
      </w:r>
      <w:r>
        <w:rPr>
          <w:rFonts w:ascii="Times New Roman" w:hAnsi="Times New Roman"/>
          <w:color w:val="auto"/>
          <w:spacing w:val="-6"/>
          <w:sz w:val="28"/>
          <w:szCs w:val="28"/>
          <w:highlight w:val="none"/>
        </w:rPr>
        <w:t>加氢站技术标准》（GB50156-2021）第4.0.4条的规定。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7" w:name="_Toc6353"/>
      <w:bookmarkStart w:id="168" w:name="_Toc6308"/>
      <w:r>
        <w:rPr>
          <w:rFonts w:hint="eastAsia" w:ascii="宋体" w:hAnsi="宋体"/>
          <w:color w:val="auto"/>
          <w:sz w:val="30"/>
          <w:szCs w:val="30"/>
          <w:highlight w:val="none"/>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6</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双车道或双车停车位宽度</w:t>
            </w:r>
            <w:r>
              <w:rPr>
                <w:rFonts w:hint="eastAsia" w:ascii="宋体" w:hAnsi="宋体"/>
                <w:color w:val="auto"/>
                <w:highlight w:val="none"/>
                <w:lang w:val="en-US" w:eastAsia="zh-CN"/>
              </w:rPr>
              <w:t>11</w:t>
            </w:r>
            <w:r>
              <w:rPr>
                <w:rFonts w:ascii="宋体" w:hAnsi="宋体"/>
                <w:color w:val="auto"/>
                <w:highlight w:val="none"/>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未</w:t>
            </w:r>
            <w:r>
              <w:rPr>
                <w:rFonts w:hint="eastAsia" w:ascii="宋体" w:hAnsi="宋体"/>
                <w:color w:val="auto"/>
                <w:highlight w:val="none"/>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highlight w:val="none"/>
              </w:rPr>
            </w:pPr>
            <w:r>
              <w:rPr>
                <w:rFonts w:hint="eastAsia" w:ascii="宋体" w:hAnsi="宋体"/>
                <w:color w:val="auto"/>
                <w:highlight w:val="none"/>
              </w:rPr>
              <w:t>符合</w:t>
            </w:r>
          </w:p>
        </w:tc>
      </w:tr>
    </w:tbl>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84"/>
        <w:gridCol w:w="1859"/>
        <w:gridCol w:w="2319"/>
        <w:gridCol w:w="1891"/>
        <w:gridCol w:w="1595"/>
        <w:gridCol w:w="950"/>
      </w:tblGrid>
      <w:tr w14:paraId="2ECA4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66" w:type="pct"/>
            <w:vAlign w:val="center"/>
          </w:tcPr>
          <w:p w14:paraId="5830F22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021" w:type="pct"/>
            <w:vAlign w:val="center"/>
          </w:tcPr>
          <w:p w14:paraId="6E9552DF">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274" w:type="pct"/>
            <w:vAlign w:val="center"/>
          </w:tcPr>
          <w:p w14:paraId="7CC7FD0C">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039" w:type="pct"/>
            <w:vAlign w:val="center"/>
          </w:tcPr>
          <w:p w14:paraId="7F7C130E">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76" w:type="pct"/>
            <w:vAlign w:val="center"/>
          </w:tcPr>
          <w:p w14:paraId="19C48882">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22" w:type="pct"/>
            <w:shd w:val="clear" w:color="auto" w:fill="auto"/>
            <w:vAlign w:val="center"/>
          </w:tcPr>
          <w:p w14:paraId="74005C95">
            <w:pPr>
              <w:snapToGrid w:val="0"/>
              <w:ind w:left="0" w:leftChars="0" w:right="0" w:rightChars="0" w:firstLine="0" w:firstLineChars="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2A557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468BF8E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1BB22B1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274" w:type="pct"/>
            <w:vAlign w:val="center"/>
          </w:tcPr>
          <w:p w14:paraId="0D6D308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039" w:type="pct"/>
            <w:vAlign w:val="center"/>
          </w:tcPr>
          <w:p w14:paraId="40391751">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76" w:type="pct"/>
            <w:vAlign w:val="center"/>
          </w:tcPr>
          <w:p w14:paraId="7673993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c>
          <w:tcPr>
            <w:tcW w:w="522" w:type="pct"/>
            <w:shd w:val="clear" w:color="auto" w:fill="auto"/>
            <w:vAlign w:val="center"/>
          </w:tcPr>
          <w:p w14:paraId="4EF15DF1">
            <w:pPr>
              <w:snapToGrid w:val="0"/>
              <w:ind w:left="0" w:leftChars="0" w:right="0" w:rightChars="0" w:firstLine="0" w:firstLineChars="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eastAsia="宋体"/>
                <w:color w:val="auto"/>
                <w:sz w:val="21"/>
                <w:highlight w:val="none"/>
              </w:rPr>
              <w:t>符合</w:t>
            </w:r>
          </w:p>
        </w:tc>
      </w:tr>
      <w:tr w14:paraId="52091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4FF289F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6377E81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274" w:type="pct"/>
            <w:vAlign w:val="center"/>
          </w:tcPr>
          <w:p w14:paraId="6DE7CB5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120CD00E">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76" w:type="pct"/>
            <w:vAlign w:val="center"/>
          </w:tcPr>
          <w:p w14:paraId="0D2B52B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5.3</w:t>
            </w:r>
          </w:p>
        </w:tc>
        <w:tc>
          <w:tcPr>
            <w:tcW w:w="522" w:type="pct"/>
            <w:vAlign w:val="center"/>
          </w:tcPr>
          <w:p w14:paraId="6F9BCBF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E30AC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5A05BD5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EEDA11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274" w:type="pct"/>
            <w:vAlign w:val="center"/>
          </w:tcPr>
          <w:p w14:paraId="11CE632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78308B46">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76" w:type="pct"/>
            <w:vAlign w:val="center"/>
          </w:tcPr>
          <w:p w14:paraId="207E41A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14.6</w:t>
            </w:r>
          </w:p>
        </w:tc>
        <w:tc>
          <w:tcPr>
            <w:tcW w:w="522" w:type="pct"/>
            <w:vAlign w:val="center"/>
          </w:tcPr>
          <w:p w14:paraId="567E98F6">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AF770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0159C80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50885E4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274" w:type="pct"/>
            <w:shd w:val="clear" w:color="auto" w:fill="auto"/>
            <w:vAlign w:val="center"/>
          </w:tcPr>
          <w:p w14:paraId="0BDDCA0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shd w:val="clear" w:color="auto" w:fill="auto"/>
            <w:vAlign w:val="center"/>
          </w:tcPr>
          <w:p w14:paraId="008E9DC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30C96AB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w:t>
            </w:r>
          </w:p>
        </w:tc>
        <w:tc>
          <w:tcPr>
            <w:tcW w:w="522" w:type="pct"/>
            <w:vAlign w:val="center"/>
          </w:tcPr>
          <w:p w14:paraId="26D4832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F5AF8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57D6EEC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2A995F3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274" w:type="pct"/>
            <w:shd w:val="clear" w:color="auto" w:fill="auto"/>
            <w:vAlign w:val="center"/>
          </w:tcPr>
          <w:p w14:paraId="321D562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shd w:val="clear" w:color="auto" w:fill="auto"/>
            <w:vAlign w:val="center"/>
          </w:tcPr>
          <w:p w14:paraId="4711013D">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7A7E84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5.7</w:t>
            </w:r>
          </w:p>
        </w:tc>
        <w:tc>
          <w:tcPr>
            <w:tcW w:w="522" w:type="pct"/>
            <w:vAlign w:val="center"/>
          </w:tcPr>
          <w:p w14:paraId="7C91E881">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3D04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69FB9C8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02F9D9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5212AE4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5BEA219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76" w:type="pct"/>
            <w:vAlign w:val="center"/>
          </w:tcPr>
          <w:p w14:paraId="483805E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c>
          <w:tcPr>
            <w:tcW w:w="522" w:type="pct"/>
            <w:vAlign w:val="center"/>
          </w:tcPr>
          <w:p w14:paraId="70C4B2C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41AA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27EE374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9DB16B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0C2C7A4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632C568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76" w:type="pct"/>
            <w:vAlign w:val="center"/>
          </w:tcPr>
          <w:p w14:paraId="56E8548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11.1</w:t>
            </w:r>
          </w:p>
        </w:tc>
        <w:tc>
          <w:tcPr>
            <w:tcW w:w="522" w:type="pct"/>
            <w:vAlign w:val="center"/>
          </w:tcPr>
          <w:p w14:paraId="4DC47F74">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5EC1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64D692D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726F25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4D14735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39" w:type="pct"/>
            <w:vAlign w:val="center"/>
          </w:tcPr>
          <w:p w14:paraId="1E44F5A7">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76" w:type="pct"/>
            <w:vAlign w:val="center"/>
          </w:tcPr>
          <w:p w14:paraId="4E5D882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8.8</w:t>
            </w:r>
          </w:p>
        </w:tc>
        <w:tc>
          <w:tcPr>
            <w:tcW w:w="522" w:type="pct"/>
            <w:vAlign w:val="center"/>
          </w:tcPr>
          <w:p w14:paraId="6974AF63">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D70A0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1FED433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4619E7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4B935DE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39" w:type="pct"/>
            <w:vAlign w:val="center"/>
          </w:tcPr>
          <w:p w14:paraId="67342A86">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76" w:type="pct"/>
            <w:vAlign w:val="center"/>
          </w:tcPr>
          <w:p w14:paraId="60227AA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8.8</w:t>
            </w:r>
          </w:p>
        </w:tc>
        <w:tc>
          <w:tcPr>
            <w:tcW w:w="522" w:type="pct"/>
            <w:vAlign w:val="center"/>
          </w:tcPr>
          <w:p w14:paraId="72F5A9F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2749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4824982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7A08E9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6E09857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vAlign w:val="center"/>
          </w:tcPr>
          <w:p w14:paraId="29EBD216">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708E987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6.0</w:t>
            </w:r>
          </w:p>
        </w:tc>
        <w:tc>
          <w:tcPr>
            <w:tcW w:w="522" w:type="pct"/>
            <w:vAlign w:val="center"/>
          </w:tcPr>
          <w:p w14:paraId="28304E88">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D7FB2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5EA7843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AF636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291CD81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vAlign w:val="center"/>
          </w:tcPr>
          <w:p w14:paraId="660C81B2">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3331134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6.0</w:t>
            </w:r>
          </w:p>
        </w:tc>
        <w:tc>
          <w:tcPr>
            <w:tcW w:w="522" w:type="pct"/>
            <w:vAlign w:val="center"/>
          </w:tcPr>
          <w:p w14:paraId="37981C8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A8D3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6CB4D43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594B221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274" w:type="pct"/>
            <w:vAlign w:val="center"/>
          </w:tcPr>
          <w:p w14:paraId="27DAA1E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38EE1C72">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76" w:type="pct"/>
            <w:vAlign w:val="center"/>
          </w:tcPr>
          <w:p w14:paraId="7878C87C">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10.1</w:t>
            </w:r>
          </w:p>
        </w:tc>
        <w:tc>
          <w:tcPr>
            <w:tcW w:w="522" w:type="pct"/>
            <w:vAlign w:val="center"/>
          </w:tcPr>
          <w:p w14:paraId="2E7B6B9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06E2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3863B1BB">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2942F6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274" w:type="pct"/>
            <w:vAlign w:val="center"/>
          </w:tcPr>
          <w:p w14:paraId="7C2E954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6A62B817">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76" w:type="pct"/>
            <w:vAlign w:val="center"/>
          </w:tcPr>
          <w:p w14:paraId="7A2C1BB6">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w:t>
            </w:r>
          </w:p>
        </w:tc>
        <w:tc>
          <w:tcPr>
            <w:tcW w:w="522" w:type="pct"/>
            <w:vAlign w:val="center"/>
          </w:tcPr>
          <w:p w14:paraId="7E2D989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5358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2874233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7AD797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274" w:type="pct"/>
            <w:vAlign w:val="center"/>
          </w:tcPr>
          <w:p w14:paraId="7451038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73B31296">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76" w:type="pct"/>
            <w:vAlign w:val="center"/>
          </w:tcPr>
          <w:p w14:paraId="342A137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w:t>
            </w:r>
          </w:p>
        </w:tc>
        <w:tc>
          <w:tcPr>
            <w:tcW w:w="522" w:type="pct"/>
            <w:vAlign w:val="center"/>
          </w:tcPr>
          <w:p w14:paraId="3A80B67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0B33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1B1AAD4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6842F9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274" w:type="pct"/>
            <w:vAlign w:val="center"/>
          </w:tcPr>
          <w:p w14:paraId="04C7197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2F07A921">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76" w:type="pct"/>
            <w:vAlign w:val="center"/>
          </w:tcPr>
          <w:p w14:paraId="093312D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45.7</w:t>
            </w:r>
          </w:p>
        </w:tc>
        <w:tc>
          <w:tcPr>
            <w:tcW w:w="522" w:type="pct"/>
            <w:vAlign w:val="center"/>
          </w:tcPr>
          <w:p w14:paraId="46E8A95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8B648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14E0DF5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79FBE35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218D8FFE">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7D1C7C96">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76" w:type="pct"/>
            <w:vAlign w:val="center"/>
          </w:tcPr>
          <w:p w14:paraId="368CF60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51.7</w:t>
            </w:r>
          </w:p>
        </w:tc>
        <w:tc>
          <w:tcPr>
            <w:tcW w:w="522" w:type="pct"/>
            <w:vAlign w:val="center"/>
          </w:tcPr>
          <w:p w14:paraId="56E07DE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F7B30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66" w:type="pct"/>
            <w:vAlign w:val="center"/>
          </w:tcPr>
          <w:p w14:paraId="12A4862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7AACA32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274" w:type="pct"/>
            <w:vAlign w:val="center"/>
          </w:tcPr>
          <w:p w14:paraId="18F3BDE8">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2F552F2B">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76" w:type="pct"/>
            <w:vAlign w:val="center"/>
          </w:tcPr>
          <w:p w14:paraId="434ACE0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w:t>
            </w:r>
          </w:p>
        </w:tc>
        <w:tc>
          <w:tcPr>
            <w:tcW w:w="522" w:type="pct"/>
            <w:vAlign w:val="center"/>
          </w:tcPr>
          <w:p w14:paraId="48B2CF0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9D06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720D95B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4882F9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274" w:type="pct"/>
            <w:vAlign w:val="center"/>
          </w:tcPr>
          <w:p w14:paraId="4F7D77AE">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3993C033">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76" w:type="pct"/>
            <w:vAlign w:val="center"/>
          </w:tcPr>
          <w:p w14:paraId="2FCA059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19.2</w:t>
            </w:r>
          </w:p>
        </w:tc>
        <w:tc>
          <w:tcPr>
            <w:tcW w:w="522" w:type="pct"/>
            <w:vAlign w:val="center"/>
          </w:tcPr>
          <w:p w14:paraId="004A702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3F4EC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7F163CF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57C4D1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274" w:type="pct"/>
            <w:vAlign w:val="center"/>
          </w:tcPr>
          <w:p w14:paraId="3B181981">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039" w:type="pct"/>
            <w:vAlign w:val="center"/>
          </w:tcPr>
          <w:p w14:paraId="54A79A8E">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65B7F9A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14.5</w:t>
            </w:r>
          </w:p>
        </w:tc>
        <w:tc>
          <w:tcPr>
            <w:tcW w:w="522" w:type="pct"/>
            <w:vAlign w:val="center"/>
          </w:tcPr>
          <w:p w14:paraId="695BD1F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02DB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66" w:type="pct"/>
            <w:vAlign w:val="center"/>
          </w:tcPr>
          <w:p w14:paraId="429DC21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7E44D40">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274" w:type="pct"/>
            <w:vAlign w:val="center"/>
          </w:tcPr>
          <w:p w14:paraId="3616652A">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039" w:type="pct"/>
            <w:vAlign w:val="center"/>
          </w:tcPr>
          <w:p w14:paraId="086B49A5">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10316C7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21.4</w:t>
            </w:r>
          </w:p>
        </w:tc>
        <w:tc>
          <w:tcPr>
            <w:tcW w:w="522" w:type="pct"/>
            <w:vAlign w:val="center"/>
          </w:tcPr>
          <w:p w14:paraId="492BD624">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328C7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266" w:type="pct"/>
            <w:vAlign w:val="center"/>
          </w:tcPr>
          <w:p w14:paraId="53AB23AD">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75369937">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274" w:type="pct"/>
            <w:vAlign w:val="center"/>
          </w:tcPr>
          <w:p w14:paraId="2FA29E3C">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039" w:type="pct"/>
            <w:vAlign w:val="center"/>
          </w:tcPr>
          <w:p w14:paraId="4CA1CC58">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30CB97F7">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46.5</w:t>
            </w:r>
          </w:p>
        </w:tc>
        <w:tc>
          <w:tcPr>
            <w:tcW w:w="522" w:type="pct"/>
            <w:vAlign w:val="center"/>
          </w:tcPr>
          <w:p w14:paraId="3836002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1D159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266" w:type="pct"/>
            <w:vAlign w:val="center"/>
          </w:tcPr>
          <w:p w14:paraId="115A7F74">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6116B21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shd w:val="clear" w:color="auto" w:fill="auto"/>
            <w:vAlign w:val="center"/>
          </w:tcPr>
          <w:p w14:paraId="7B346320">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1#辅房（三类保护物）</w:t>
            </w:r>
          </w:p>
        </w:tc>
        <w:tc>
          <w:tcPr>
            <w:tcW w:w="1039" w:type="pct"/>
            <w:shd w:val="clear" w:color="auto" w:fill="auto"/>
            <w:vAlign w:val="center"/>
          </w:tcPr>
          <w:p w14:paraId="160E4FFC">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6555C96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46.5</w:t>
            </w:r>
          </w:p>
        </w:tc>
        <w:tc>
          <w:tcPr>
            <w:tcW w:w="522" w:type="pct"/>
            <w:vAlign w:val="center"/>
          </w:tcPr>
          <w:p w14:paraId="4F8904F6">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6F2E5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545A89C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1B4DCEA">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274" w:type="pct"/>
            <w:vAlign w:val="center"/>
          </w:tcPr>
          <w:p w14:paraId="078C934E">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039" w:type="pct"/>
            <w:vAlign w:val="center"/>
          </w:tcPr>
          <w:p w14:paraId="5438E937">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76" w:type="pct"/>
            <w:vAlign w:val="center"/>
          </w:tcPr>
          <w:p w14:paraId="3BC5C825">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46</w:t>
            </w:r>
          </w:p>
        </w:tc>
        <w:tc>
          <w:tcPr>
            <w:tcW w:w="522" w:type="pct"/>
            <w:vAlign w:val="center"/>
          </w:tcPr>
          <w:p w14:paraId="7CE6A523">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78B8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7540185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27A4293">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274" w:type="pct"/>
            <w:vAlign w:val="center"/>
          </w:tcPr>
          <w:p w14:paraId="1ED3D6E5">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039" w:type="pct"/>
            <w:vAlign w:val="center"/>
          </w:tcPr>
          <w:p w14:paraId="21652016">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8.5</w:t>
            </w:r>
          </w:p>
        </w:tc>
        <w:tc>
          <w:tcPr>
            <w:tcW w:w="876" w:type="pct"/>
            <w:vAlign w:val="center"/>
          </w:tcPr>
          <w:p w14:paraId="720479F3">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40.5</w:t>
            </w:r>
          </w:p>
        </w:tc>
        <w:tc>
          <w:tcPr>
            <w:tcW w:w="522" w:type="pct"/>
            <w:vAlign w:val="center"/>
          </w:tcPr>
          <w:p w14:paraId="510C621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9D562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7A9B8F1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BC19A1D">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274" w:type="pct"/>
            <w:vAlign w:val="center"/>
          </w:tcPr>
          <w:p w14:paraId="71E07BED">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1#辅房（三类保护物）</w:t>
            </w:r>
          </w:p>
        </w:tc>
        <w:tc>
          <w:tcPr>
            <w:tcW w:w="1039" w:type="pct"/>
            <w:vAlign w:val="center"/>
          </w:tcPr>
          <w:p w14:paraId="08EDD2FD">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5707EA47">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w:t>
            </w:r>
          </w:p>
        </w:tc>
        <w:tc>
          <w:tcPr>
            <w:tcW w:w="522" w:type="pct"/>
            <w:vAlign w:val="center"/>
          </w:tcPr>
          <w:p w14:paraId="7AD12367">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B01A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66" w:type="pct"/>
            <w:vAlign w:val="center"/>
          </w:tcPr>
          <w:p w14:paraId="5E3650EB">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775754B9">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汽油加油机</w:t>
            </w:r>
          </w:p>
        </w:tc>
        <w:tc>
          <w:tcPr>
            <w:tcW w:w="1274" w:type="pct"/>
            <w:shd w:val="clear" w:color="auto" w:fill="auto"/>
            <w:vAlign w:val="center"/>
          </w:tcPr>
          <w:p w14:paraId="4808013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039" w:type="pct"/>
            <w:shd w:val="clear" w:color="auto" w:fill="auto"/>
            <w:vAlign w:val="center"/>
          </w:tcPr>
          <w:p w14:paraId="7156B2FD">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4228F5E4">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30.6</w:t>
            </w:r>
          </w:p>
        </w:tc>
        <w:tc>
          <w:tcPr>
            <w:tcW w:w="522" w:type="pct"/>
            <w:vAlign w:val="center"/>
          </w:tcPr>
          <w:p w14:paraId="0D45BCD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D716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6B43517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0AE83281">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柴油加油机</w:t>
            </w:r>
          </w:p>
        </w:tc>
        <w:tc>
          <w:tcPr>
            <w:tcW w:w="1274" w:type="pct"/>
            <w:shd w:val="clear" w:color="auto" w:fill="auto"/>
            <w:vAlign w:val="center"/>
          </w:tcPr>
          <w:p w14:paraId="6AF5DA4B">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039" w:type="pct"/>
            <w:shd w:val="clear" w:color="auto" w:fill="auto"/>
            <w:vAlign w:val="center"/>
          </w:tcPr>
          <w:p w14:paraId="173507F7">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58B19ED4">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36.2</w:t>
            </w:r>
          </w:p>
        </w:tc>
        <w:tc>
          <w:tcPr>
            <w:tcW w:w="522" w:type="pct"/>
            <w:vAlign w:val="center"/>
          </w:tcPr>
          <w:p w14:paraId="5E9BEEC9">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DDB6B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2239EF6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5586441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汽油通气管管口</w:t>
            </w:r>
          </w:p>
        </w:tc>
        <w:tc>
          <w:tcPr>
            <w:tcW w:w="1274" w:type="pct"/>
            <w:shd w:val="clear" w:color="auto" w:fill="auto"/>
            <w:vAlign w:val="center"/>
          </w:tcPr>
          <w:p w14:paraId="680EFE5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039" w:type="pct"/>
            <w:shd w:val="clear" w:color="auto" w:fill="auto"/>
            <w:vAlign w:val="center"/>
          </w:tcPr>
          <w:p w14:paraId="0B65BB31">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7</w:t>
            </w:r>
          </w:p>
        </w:tc>
        <w:tc>
          <w:tcPr>
            <w:tcW w:w="876" w:type="pct"/>
            <w:vAlign w:val="center"/>
          </w:tcPr>
          <w:p w14:paraId="511011D7">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61.5</w:t>
            </w:r>
          </w:p>
        </w:tc>
        <w:tc>
          <w:tcPr>
            <w:tcW w:w="522" w:type="pct"/>
            <w:vAlign w:val="center"/>
          </w:tcPr>
          <w:p w14:paraId="6A8C593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2955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2231420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0CA5F73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shd w:val="clear" w:color="auto" w:fill="auto"/>
            <w:vAlign w:val="center"/>
          </w:tcPr>
          <w:p w14:paraId="6C5BFF6B">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039" w:type="pct"/>
            <w:shd w:val="clear" w:color="auto" w:fill="auto"/>
            <w:vAlign w:val="center"/>
          </w:tcPr>
          <w:p w14:paraId="52D5C1B7">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56D2E47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61.5</w:t>
            </w:r>
          </w:p>
        </w:tc>
        <w:tc>
          <w:tcPr>
            <w:tcW w:w="522" w:type="pct"/>
            <w:vAlign w:val="center"/>
          </w:tcPr>
          <w:p w14:paraId="6C7CB71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641FE4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11EA9BB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7BDB8A6E">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密闭卸油点</w:t>
            </w:r>
          </w:p>
        </w:tc>
        <w:tc>
          <w:tcPr>
            <w:tcW w:w="1274" w:type="pct"/>
            <w:shd w:val="clear" w:color="auto" w:fill="auto"/>
            <w:vAlign w:val="center"/>
          </w:tcPr>
          <w:p w14:paraId="301E09F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039" w:type="pct"/>
            <w:shd w:val="clear" w:color="auto" w:fill="auto"/>
            <w:vAlign w:val="center"/>
          </w:tcPr>
          <w:p w14:paraId="467B2612">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4.5</w:t>
            </w:r>
          </w:p>
        </w:tc>
        <w:tc>
          <w:tcPr>
            <w:tcW w:w="876" w:type="pct"/>
            <w:vAlign w:val="center"/>
          </w:tcPr>
          <w:p w14:paraId="254A4983">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61</w:t>
            </w:r>
          </w:p>
        </w:tc>
        <w:tc>
          <w:tcPr>
            <w:tcW w:w="522" w:type="pct"/>
            <w:vAlign w:val="center"/>
          </w:tcPr>
          <w:p w14:paraId="6495389B">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4108A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704D952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55E1B92B">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汽油埋地油罐</w:t>
            </w:r>
          </w:p>
        </w:tc>
        <w:tc>
          <w:tcPr>
            <w:tcW w:w="1274" w:type="pct"/>
            <w:shd w:val="clear" w:color="auto" w:fill="auto"/>
            <w:vAlign w:val="center"/>
          </w:tcPr>
          <w:p w14:paraId="7D207326">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039" w:type="pct"/>
            <w:shd w:val="clear" w:color="auto" w:fill="auto"/>
            <w:vAlign w:val="center"/>
          </w:tcPr>
          <w:p w14:paraId="518952D2">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8.5</w:t>
            </w:r>
          </w:p>
        </w:tc>
        <w:tc>
          <w:tcPr>
            <w:tcW w:w="876" w:type="pct"/>
            <w:vAlign w:val="center"/>
          </w:tcPr>
          <w:p w14:paraId="1755DF1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55.7</w:t>
            </w:r>
          </w:p>
        </w:tc>
        <w:tc>
          <w:tcPr>
            <w:tcW w:w="522" w:type="pct"/>
            <w:vAlign w:val="center"/>
          </w:tcPr>
          <w:p w14:paraId="087A7D4D">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32880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13C28EB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7A2310DF">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eastAsia="宋体" w:cs="宋体"/>
                <w:bCs/>
                <w:color w:val="auto"/>
                <w:szCs w:val="21"/>
                <w:highlight w:val="none"/>
              </w:rPr>
              <w:t>柴油埋地油罐</w:t>
            </w:r>
          </w:p>
        </w:tc>
        <w:tc>
          <w:tcPr>
            <w:tcW w:w="1274" w:type="pct"/>
            <w:shd w:val="clear" w:color="auto" w:fill="auto"/>
            <w:vAlign w:val="center"/>
          </w:tcPr>
          <w:p w14:paraId="57857723">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2#辅房（三类保护物）</w:t>
            </w:r>
          </w:p>
        </w:tc>
        <w:tc>
          <w:tcPr>
            <w:tcW w:w="1039" w:type="pct"/>
            <w:shd w:val="clear" w:color="auto" w:fill="auto"/>
            <w:vAlign w:val="center"/>
          </w:tcPr>
          <w:p w14:paraId="2C361702">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eastAsia="宋体" w:cs="宋体"/>
                <w:bCs/>
                <w:color w:val="auto"/>
                <w:szCs w:val="21"/>
                <w:highlight w:val="none"/>
                <w:lang w:val="en-US" w:eastAsia="zh-CN"/>
              </w:rPr>
              <w:t>6</w:t>
            </w:r>
          </w:p>
        </w:tc>
        <w:tc>
          <w:tcPr>
            <w:tcW w:w="876" w:type="pct"/>
            <w:vAlign w:val="center"/>
          </w:tcPr>
          <w:p w14:paraId="3EE508C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65</w:t>
            </w:r>
          </w:p>
        </w:tc>
        <w:tc>
          <w:tcPr>
            <w:tcW w:w="522" w:type="pct"/>
            <w:vAlign w:val="center"/>
          </w:tcPr>
          <w:p w14:paraId="05A09CF2">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045CF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41E5980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57070B68">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274" w:type="pct"/>
            <w:vAlign w:val="center"/>
          </w:tcPr>
          <w:p w14:paraId="6C4FB68B">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vAlign w:val="center"/>
          </w:tcPr>
          <w:p w14:paraId="0064BA92">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5E6144BE">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25.5</w:t>
            </w:r>
          </w:p>
        </w:tc>
        <w:tc>
          <w:tcPr>
            <w:tcW w:w="522" w:type="pct"/>
            <w:vAlign w:val="center"/>
          </w:tcPr>
          <w:p w14:paraId="46395A3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2208A3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6920685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50775A8D">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274" w:type="pct"/>
            <w:vAlign w:val="center"/>
          </w:tcPr>
          <w:p w14:paraId="20ACA03F">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vAlign w:val="center"/>
          </w:tcPr>
          <w:p w14:paraId="3ABB79AF">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07584AD8">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25.5</w:t>
            </w:r>
          </w:p>
        </w:tc>
        <w:tc>
          <w:tcPr>
            <w:tcW w:w="522" w:type="pct"/>
            <w:vAlign w:val="center"/>
          </w:tcPr>
          <w:p w14:paraId="5B53C2AE">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CA672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74F3BF8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E88EC74">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274" w:type="pct"/>
            <w:vAlign w:val="center"/>
          </w:tcPr>
          <w:p w14:paraId="6EBCC15E">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vAlign w:val="center"/>
          </w:tcPr>
          <w:p w14:paraId="6F727AF5">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149B2D7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60.7</w:t>
            </w:r>
          </w:p>
        </w:tc>
        <w:tc>
          <w:tcPr>
            <w:tcW w:w="522" w:type="pct"/>
            <w:vAlign w:val="center"/>
          </w:tcPr>
          <w:p w14:paraId="205E3D35">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B321B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5DB0CFB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2882FDEC">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柴</w:t>
            </w:r>
            <w:r>
              <w:rPr>
                <w:rFonts w:hint="eastAsia" w:ascii="宋体" w:hAnsi="宋体" w:eastAsia="宋体" w:cs="宋体"/>
                <w:bCs/>
                <w:color w:val="auto"/>
                <w:szCs w:val="21"/>
                <w:highlight w:val="none"/>
              </w:rPr>
              <w:t>油通气管管口</w:t>
            </w:r>
          </w:p>
        </w:tc>
        <w:tc>
          <w:tcPr>
            <w:tcW w:w="1274" w:type="pct"/>
            <w:shd w:val="clear" w:color="auto" w:fill="auto"/>
            <w:vAlign w:val="center"/>
          </w:tcPr>
          <w:p w14:paraId="1379A205">
            <w:pPr>
              <w:spacing w:line="240" w:lineRule="exact"/>
              <w:jc w:val="center"/>
              <w:rPr>
                <w:rFonts w:hint="eastAsia" w:ascii="Times New Roman" w:hAnsi="Times New Roman" w:eastAsia="宋体" w:cs="Times New Roman"/>
                <w:color w:val="auto"/>
                <w:kern w:val="0"/>
                <w:sz w:val="21"/>
                <w:szCs w:val="21"/>
                <w:highlight w:val="none"/>
                <w:lang w:val="en-US" w:eastAsia="zh-CN" w:bidi="ar-SA"/>
              </w:rPr>
            </w:pPr>
            <w:r>
              <w:rPr>
                <w:rFonts w:hint="eastAsia" w:ascii="宋体" w:hAnsi="宋体" w:cs="宋体"/>
                <w:bCs/>
                <w:color w:val="auto"/>
                <w:szCs w:val="21"/>
                <w:highlight w:val="none"/>
                <w:lang w:val="en-US" w:eastAsia="zh-CN"/>
              </w:rPr>
              <w:t>洗车机（三类保护物）</w:t>
            </w:r>
          </w:p>
        </w:tc>
        <w:tc>
          <w:tcPr>
            <w:tcW w:w="1039" w:type="pct"/>
            <w:shd w:val="clear" w:color="auto" w:fill="auto"/>
            <w:vAlign w:val="center"/>
          </w:tcPr>
          <w:p w14:paraId="78A05452">
            <w:pPr>
              <w:spacing w:line="240" w:lineRule="exact"/>
              <w:jc w:val="center"/>
              <w:rPr>
                <w:rFonts w:hint="eastAsia" w:ascii="Times New Roman" w:hAnsi="Times New Roman" w:eastAsia="宋体" w:cs="Times New Roman"/>
                <w:color w:val="auto"/>
                <w:kern w:val="0"/>
                <w:sz w:val="18"/>
                <w:szCs w:val="18"/>
                <w:highlight w:val="none"/>
                <w:lang w:val="en-US" w:eastAsia="zh-CN" w:bidi="ar-SA"/>
              </w:rPr>
            </w:pPr>
            <w:r>
              <w:rPr>
                <w:rFonts w:hint="eastAsia" w:ascii="宋体" w:hAnsi="宋体" w:cs="宋体"/>
                <w:bCs/>
                <w:color w:val="auto"/>
                <w:szCs w:val="21"/>
                <w:highlight w:val="none"/>
                <w:lang w:val="en-US" w:eastAsia="zh-CN"/>
              </w:rPr>
              <w:t>6</w:t>
            </w:r>
          </w:p>
        </w:tc>
        <w:tc>
          <w:tcPr>
            <w:tcW w:w="876" w:type="pct"/>
            <w:vAlign w:val="center"/>
          </w:tcPr>
          <w:p w14:paraId="56E344F0">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60.7</w:t>
            </w:r>
          </w:p>
        </w:tc>
        <w:tc>
          <w:tcPr>
            <w:tcW w:w="522" w:type="pct"/>
            <w:vAlign w:val="center"/>
          </w:tcPr>
          <w:p w14:paraId="2E671640">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5D212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6830C9F9">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F3B72F2">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274" w:type="pct"/>
            <w:vAlign w:val="center"/>
          </w:tcPr>
          <w:p w14:paraId="557B4C0B">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vAlign w:val="center"/>
          </w:tcPr>
          <w:p w14:paraId="558A2442">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76" w:type="pct"/>
            <w:vAlign w:val="center"/>
          </w:tcPr>
          <w:p w14:paraId="074FD99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58.4</w:t>
            </w:r>
          </w:p>
        </w:tc>
        <w:tc>
          <w:tcPr>
            <w:tcW w:w="522" w:type="pct"/>
            <w:vAlign w:val="center"/>
          </w:tcPr>
          <w:p w14:paraId="2C23E0FC">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1878C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638B21F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D249679">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274" w:type="pct"/>
            <w:vAlign w:val="center"/>
          </w:tcPr>
          <w:p w14:paraId="507DB752">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vAlign w:val="center"/>
          </w:tcPr>
          <w:p w14:paraId="5F46AC94">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4361F270">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53.8</w:t>
            </w:r>
          </w:p>
        </w:tc>
        <w:tc>
          <w:tcPr>
            <w:tcW w:w="522" w:type="pct"/>
            <w:vAlign w:val="center"/>
          </w:tcPr>
          <w:p w14:paraId="011F9C6F">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r w14:paraId="7F3A2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66" w:type="pct"/>
            <w:vAlign w:val="center"/>
          </w:tcPr>
          <w:p w14:paraId="282212B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9B69E3E">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274" w:type="pct"/>
            <w:vAlign w:val="center"/>
          </w:tcPr>
          <w:p w14:paraId="4D2268FC">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洗车机（三类保护物）</w:t>
            </w:r>
          </w:p>
        </w:tc>
        <w:tc>
          <w:tcPr>
            <w:tcW w:w="1039" w:type="pct"/>
            <w:vAlign w:val="center"/>
          </w:tcPr>
          <w:p w14:paraId="37213763">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3D3B9F3A">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62.9</w:t>
            </w:r>
          </w:p>
        </w:tc>
        <w:tc>
          <w:tcPr>
            <w:tcW w:w="522" w:type="pct"/>
            <w:vAlign w:val="center"/>
          </w:tcPr>
          <w:p w14:paraId="5DEF68BA">
            <w:pPr>
              <w:jc w:val="center"/>
              <w:rPr>
                <w:rFonts w:hint="eastAsia" w:ascii="Times New Roman" w:hAnsi="Times New Roman" w:cs="Times New Roman"/>
                <w:color w:val="auto"/>
                <w:kern w:val="0"/>
                <w:highlight w:val="none"/>
                <w:lang w:val="en-US" w:eastAsia="zh-CN"/>
              </w:rPr>
            </w:pPr>
            <w:r>
              <w:rPr>
                <w:rFonts w:hint="eastAsia" w:ascii="Times New Roman" w:hAnsi="宋体" w:eastAsia="宋体"/>
                <w:color w:val="auto"/>
                <w:sz w:val="21"/>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，该加油站的站内平面布置、汽（柴）油设备与站外建（构）筑物的安全间距以及站内设施之间的防火距离符合</w:t>
      </w:r>
      <w:r>
        <w:rPr>
          <w:rFonts w:ascii="Times New Roman" w:hAnsi="Times New Roman"/>
          <w:color w:val="auto"/>
          <w:sz w:val="28"/>
          <w:szCs w:val="28"/>
          <w:highlight w:val="none"/>
        </w:rPr>
        <w:t>《汽车加油</w:t>
      </w:r>
      <w:r>
        <w:rPr>
          <w:rFonts w:hint="eastAsia" w:ascii="Times New Roman" w:hAnsi="Times New Roman"/>
          <w:color w:val="auto"/>
          <w:sz w:val="28"/>
          <w:szCs w:val="28"/>
          <w:highlight w:val="none"/>
          <w:lang w:eastAsia="zh-CN"/>
        </w:rPr>
        <w:t>加气</w:t>
      </w:r>
      <w:r>
        <w:rPr>
          <w:rFonts w:ascii="Times New Roman" w:hAnsi="Times New Roman"/>
          <w:color w:val="auto"/>
          <w:sz w:val="28"/>
          <w:szCs w:val="28"/>
          <w:highlight w:val="none"/>
        </w:rPr>
        <w:t>加氢站技术标准》（GB50156-2021）第4.0.4条</w:t>
      </w:r>
      <w:r>
        <w:rPr>
          <w:rFonts w:hint="eastAsia" w:ascii="Times New Roman" w:hAnsi="Times New Roman"/>
          <w:color w:val="auto"/>
          <w:sz w:val="28"/>
          <w:szCs w:val="28"/>
          <w:highlight w:val="none"/>
          <w:lang w:eastAsia="zh-CN"/>
        </w:rPr>
        <w:t>、《电动汽车充电站设计标准》 GB/T50966 -2024 表11.1.1</w:t>
      </w:r>
      <w:r>
        <w:rPr>
          <w:rFonts w:ascii="Times New Roman" w:hAnsi="Times New Roman"/>
          <w:color w:val="auto"/>
          <w:sz w:val="28"/>
          <w:szCs w:val="28"/>
          <w:highlight w:val="none"/>
        </w:rPr>
        <w:t>的规定</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69" w:name="_Toc1359"/>
      <w:bookmarkStart w:id="170" w:name="_Toc25228"/>
      <w:bookmarkStart w:id="171" w:name="_Toc92712593"/>
      <w:bookmarkStart w:id="172" w:name="_Toc12545"/>
      <w:r>
        <w:rPr>
          <w:rFonts w:hint="eastAsia" w:ascii="宋体" w:hAnsi="宋体"/>
          <w:color w:val="auto"/>
          <w:sz w:val="30"/>
          <w:szCs w:val="30"/>
          <w:highlight w:val="none"/>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表面电阻率满足符合要求</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SF双层罐，有泄漏检测仪</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w:t>
            </w:r>
            <w:r>
              <w:rPr>
                <w:rFonts w:hint="eastAsia" w:ascii="宋体" w:hAnsi="宋体"/>
                <w:color w:val="auto"/>
                <w:highlight w:val="none"/>
                <w:lang w:val="en-US" w:eastAsia="zh-CN"/>
              </w:rPr>
              <w:t>非</w:t>
            </w:r>
            <w:r>
              <w:rPr>
                <w:rFonts w:ascii="宋体" w:hAnsi="宋体"/>
                <w:color w:val="auto"/>
                <w:highlight w:val="none"/>
              </w:rPr>
              <w:t>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5</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防腐设计符合行业标准</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w:t>
            </w:r>
            <w:r>
              <w:rPr>
                <w:rFonts w:hint="eastAsia" w:ascii="宋体" w:hAnsi="宋体"/>
                <w:color w:val="auto"/>
                <w:highlight w:val="none"/>
                <w:lang w:val="en-US" w:eastAsia="zh-CN"/>
              </w:rPr>
              <w:t>4</w:t>
            </w:r>
            <w:r>
              <w:rPr>
                <w:rFonts w:hint="eastAsia" w:ascii="宋体" w:hAnsi="宋体"/>
                <w:color w:val="auto"/>
                <w:highlight w:val="none"/>
              </w:rPr>
              <w:t>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卸油管道坡度符合要求</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hint="eastAsia" w:ascii="宋体" w:hAnsi="宋体" w:eastAsia="宋体"/>
                <w:color w:val="auto"/>
                <w:highlight w:val="none"/>
                <w:lang w:eastAsia="zh-CN"/>
              </w:rPr>
            </w:pPr>
            <w:r>
              <w:rPr>
                <w:rFonts w:hint="eastAsia" w:ascii="宋体" w:hAnsi="宋体"/>
                <w:color w:val="auto"/>
                <w:highlight w:val="none"/>
                <w:lang w:val="en-US" w:eastAsia="zh-CN"/>
              </w:rPr>
              <w:t>-</w:t>
            </w:r>
          </w:p>
        </w:tc>
        <w:tc>
          <w:tcPr>
            <w:tcW w:w="364" w:type="pct"/>
            <w:vAlign w:val="center"/>
          </w:tcPr>
          <w:p w14:paraId="7A4583A8">
            <w:pPr>
              <w:spacing w:line="280" w:lineRule="exact"/>
              <w:rPr>
                <w:rFonts w:hint="eastAsia" w:ascii="宋体" w:hAnsi="宋体" w:eastAsia="宋体"/>
                <w:color w:val="auto"/>
                <w:highlight w:val="none"/>
                <w:lang w:eastAsia="zh-CN"/>
              </w:rPr>
            </w:pPr>
            <w:r>
              <w:rPr>
                <w:rFonts w:hint="eastAsia" w:ascii="宋体" w:hAnsi="宋体"/>
                <w:color w:val="auto"/>
                <w:highlight w:val="none"/>
                <w:lang w:val="en-US" w:eastAsia="zh-CN"/>
              </w:rPr>
              <w:t>-</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3" w:name="_Toc19196"/>
      <w:bookmarkStart w:id="174" w:name="_Toc4098"/>
      <w:bookmarkStart w:id="175" w:name="_Toc5653"/>
      <w:bookmarkStart w:id="176" w:name="_Toc92712594"/>
      <w:r>
        <w:rPr>
          <w:rFonts w:hint="eastAsia" w:ascii="宋体" w:hAnsi="宋体"/>
          <w:color w:val="auto"/>
          <w:sz w:val="30"/>
          <w:szCs w:val="30"/>
          <w:highlight w:val="none"/>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8</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4</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卸油口设置1具35kg灭火器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hint="default" w:ascii="宋体" w:hAnsi="宋体" w:eastAsia="宋体"/>
                <w:color w:val="auto"/>
                <w:highlight w:val="none"/>
                <w:lang w:val="en-US" w:eastAsia="zh-CN"/>
              </w:rPr>
            </w:pPr>
            <w:r>
              <w:rPr>
                <w:rFonts w:hint="eastAsia" w:ascii="宋体" w:hAnsi="宋体"/>
                <w:color w:val="auto"/>
                <w:highlight w:val="none"/>
              </w:rPr>
              <w:t>加油区、卸油区设有环保沟并引至隔油池</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lang w:val="en-US" w:eastAsia="zh-CN"/>
        </w:rPr>
        <w:t>均</w:t>
      </w:r>
      <w:r>
        <w:rPr>
          <w:rFonts w:hint="eastAsia" w:cs="宋体"/>
          <w:color w:val="auto"/>
          <w:spacing w:val="-11"/>
          <w:sz w:val="28"/>
          <w:szCs w:val="28"/>
          <w:highlight w:val="none"/>
        </w:rPr>
        <w:t>符合要求</w:t>
      </w:r>
      <w:r>
        <w:rPr>
          <w:rFonts w:hint="eastAsia" w:ascii="宋体" w:hAnsi="宋体"/>
          <w:color w:val="auto"/>
          <w:spacing w:val="-11"/>
          <w:sz w:val="28"/>
          <w:szCs w:val="28"/>
          <w:highlight w:val="none"/>
        </w:rPr>
        <w:t>。</w:t>
      </w:r>
      <w:bookmarkStart w:id="177" w:name="_Toc92712595"/>
      <w:bookmarkStart w:id="178" w:name="_Toc30243"/>
    </w:p>
    <w:p w14:paraId="3252F0C1">
      <w:pPr>
        <w:pStyle w:val="3"/>
        <w:jc w:val="center"/>
        <w:rPr>
          <w:rFonts w:ascii="宋体" w:hAnsi="宋体"/>
          <w:color w:val="auto"/>
          <w:sz w:val="30"/>
          <w:szCs w:val="30"/>
          <w:highlight w:val="none"/>
        </w:rPr>
      </w:pPr>
      <w:bookmarkStart w:id="179" w:name="_Toc32519"/>
      <w:bookmarkStart w:id="180" w:name="_Toc26838"/>
      <w:r>
        <w:rPr>
          <w:rFonts w:hint="eastAsia" w:ascii="宋体" w:hAnsi="宋体"/>
          <w:color w:val="auto"/>
          <w:sz w:val="30"/>
          <w:szCs w:val="30"/>
          <w:highlight w:val="none"/>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柴油发电机已停用</w:t>
            </w:r>
          </w:p>
        </w:tc>
        <w:tc>
          <w:tcPr>
            <w:tcW w:w="396" w:type="pct"/>
            <w:vAlign w:val="center"/>
          </w:tcPr>
          <w:p w14:paraId="340B4670">
            <w:pPr>
              <w:spacing w:line="280" w:lineRule="exact"/>
              <w:jc w:val="center"/>
              <w:rPr>
                <w:rFonts w:hint="eastAsia" w:ascii="宋体" w:hAnsi="宋体" w:eastAsia="宋体"/>
                <w:color w:val="auto"/>
                <w:highlight w:val="none"/>
                <w:lang w:eastAsia="zh-CN"/>
              </w:rPr>
            </w:pPr>
            <w:r>
              <w:rPr>
                <w:rFonts w:hint="eastAsia" w:ascii="宋体" w:hAnsi="宋体"/>
                <w:color w:val="auto"/>
                <w:highlight w:val="none"/>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ascii="宋体" w:hAnsi="宋体"/>
                <w:color w:val="auto"/>
                <w:highlight w:val="none"/>
              </w:rPr>
              <w:t>做电气连接并接地</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导电内衬应接地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81" w:name="_Toc1576"/>
      <w:bookmarkStart w:id="182" w:name="_Toc30531"/>
      <w:bookmarkStart w:id="183" w:name="_Toc92712596"/>
      <w:bookmarkStart w:id="184" w:name="_Toc7007"/>
      <w:r>
        <w:rPr>
          <w:rFonts w:hint="eastAsia" w:ascii="宋体" w:hAnsi="宋体"/>
          <w:color w:val="auto"/>
          <w:sz w:val="30"/>
          <w:szCs w:val="30"/>
          <w:highlight w:val="none"/>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7</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lang w:val="en-US" w:eastAsia="zh-CN"/>
              </w:rPr>
              <w:t>5</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5" w:name="_Toc13874"/>
      <w:bookmarkStart w:id="186" w:name="_Toc32029"/>
    </w:p>
    <w:p w14:paraId="74D9B514">
      <w:pPr>
        <w:pStyle w:val="3"/>
        <w:jc w:val="center"/>
        <w:rPr>
          <w:rFonts w:ascii="宋体" w:hAnsi="宋体"/>
          <w:color w:val="auto"/>
          <w:sz w:val="30"/>
          <w:szCs w:val="30"/>
          <w:highlight w:val="none"/>
        </w:rPr>
      </w:pPr>
      <w:bookmarkStart w:id="187" w:name="_Toc8603"/>
      <w:r>
        <w:rPr>
          <w:rFonts w:hint="eastAsia" w:ascii="宋体" w:hAnsi="宋体"/>
          <w:color w:val="auto"/>
          <w:sz w:val="30"/>
          <w:szCs w:val="30"/>
          <w:highlight w:val="none"/>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32"/>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88" w:name="_Toc12046"/>
      <w:bookmarkStart w:id="189" w:name="_Toc92712597"/>
      <w:bookmarkStart w:id="190" w:name="_Toc23537"/>
      <w:bookmarkStart w:id="191" w:name="_Toc9462"/>
      <w:r>
        <w:rPr>
          <w:rFonts w:hint="eastAsia" w:ascii="宋体" w:hAnsi="宋体"/>
          <w:color w:val="auto"/>
          <w:sz w:val="30"/>
          <w:szCs w:val="30"/>
          <w:highlight w:val="none"/>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7</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2" w:name="_Toc8063"/>
      <w:bookmarkStart w:id="193" w:name="_Toc92712598"/>
      <w:bookmarkStart w:id="194" w:name="_Toc20598"/>
      <w:r>
        <w:rPr>
          <w:rFonts w:hint="eastAsia" w:ascii="宋体" w:hAnsi="宋体"/>
          <w:color w:val="auto"/>
          <w:sz w:val="30"/>
          <w:szCs w:val="30"/>
          <w:highlight w:val="none"/>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5" w:name="_Toc20583"/>
      <w:bookmarkStart w:id="196" w:name="_Toc32166"/>
      <w:bookmarkStart w:id="197" w:name="_Toc14134"/>
      <w:bookmarkStart w:id="198" w:name="_Toc92712599"/>
      <w:r>
        <w:rPr>
          <w:rFonts w:hint="eastAsia" w:ascii="宋体" w:hAnsi="宋体"/>
          <w:color w:val="auto"/>
          <w:sz w:val="30"/>
          <w:szCs w:val="30"/>
          <w:highlight w:val="none"/>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199" w:name="_Toc25641"/>
      <w:bookmarkStart w:id="200" w:name="_Toc92712600"/>
      <w:bookmarkStart w:id="201" w:name="_Toc12089"/>
    </w:p>
    <w:p w14:paraId="5392B596">
      <w:pPr>
        <w:pStyle w:val="3"/>
        <w:spacing w:line="560" w:lineRule="exact"/>
        <w:jc w:val="center"/>
        <w:rPr>
          <w:rFonts w:ascii="宋体" w:hAnsi="宋体"/>
          <w:color w:val="auto"/>
          <w:sz w:val="30"/>
          <w:szCs w:val="30"/>
          <w:highlight w:val="none"/>
        </w:rPr>
      </w:pPr>
      <w:bookmarkStart w:id="202" w:name="_Toc8132"/>
      <w:r>
        <w:rPr>
          <w:rFonts w:hint="eastAsia" w:ascii="宋体" w:hAnsi="宋体"/>
          <w:color w:val="auto"/>
          <w:sz w:val="30"/>
          <w:szCs w:val="30"/>
          <w:highlight w:val="none"/>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3" w:name="_Toc4370"/>
      <w:bookmarkStart w:id="204" w:name="_Toc15085"/>
      <w:r>
        <w:rPr>
          <w:rFonts w:hint="eastAsia" w:ascii="宋体" w:hAnsi="宋体"/>
          <w:color w:val="auto"/>
          <w:sz w:val="30"/>
          <w:szCs w:val="30"/>
          <w:highlight w:val="none"/>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龙南石油分公司冯湾加油站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spacing w:line="240" w:lineRule="exact"/>
              <w:jc w:val="center"/>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highlight w:val="none"/>
              </w:rPr>
            </w:pPr>
            <w:r>
              <w:rPr>
                <w:rFonts w:hint="eastAsia" w:cs="宋体"/>
                <w:b/>
                <w:bCs/>
                <w:color w:val="auto"/>
                <w:sz w:val="18"/>
                <w:szCs w:val="18"/>
                <w:highlight w:val="none"/>
              </w:rPr>
              <w:t>现场情况</w:t>
            </w:r>
          </w:p>
        </w:tc>
        <w:tc>
          <w:tcPr>
            <w:tcW w:w="870" w:type="dxa"/>
            <w:vAlign w:val="center"/>
          </w:tcPr>
          <w:p w14:paraId="18D71528">
            <w:pPr>
              <w:spacing w:line="240" w:lineRule="exact"/>
              <w:jc w:val="center"/>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highlight w:val="none"/>
              </w:rPr>
            </w:pPr>
          </w:p>
        </w:tc>
        <w:tc>
          <w:tcPr>
            <w:tcW w:w="8380" w:type="dxa"/>
            <w:gridSpan w:val="3"/>
            <w:vAlign w:val="center"/>
          </w:tcPr>
          <w:p w14:paraId="65BDB14D">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highlight w:val="none"/>
              </w:rPr>
            </w:pPr>
          </w:p>
        </w:tc>
        <w:tc>
          <w:tcPr>
            <w:tcW w:w="8380" w:type="dxa"/>
            <w:gridSpan w:val="3"/>
            <w:vAlign w:val="center"/>
          </w:tcPr>
          <w:p w14:paraId="61D55316">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highlight w:val="none"/>
              </w:rPr>
            </w:pPr>
          </w:p>
        </w:tc>
        <w:tc>
          <w:tcPr>
            <w:tcW w:w="5930" w:type="dxa"/>
            <w:vAlign w:val="center"/>
          </w:tcPr>
          <w:p w14:paraId="0A1084F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（SF双层罐，Φ2.6×6m，V=30m³），内层钢制罐体的厚度至少为7mm，</w:t>
            </w:r>
          </w:p>
          <w:p w14:paraId="12BBBAA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1887BDB0">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highlight w:val="none"/>
              </w:rPr>
            </w:pPr>
          </w:p>
        </w:tc>
        <w:tc>
          <w:tcPr>
            <w:tcW w:w="5930" w:type="dxa"/>
            <w:vAlign w:val="center"/>
          </w:tcPr>
          <w:p w14:paraId="04B9BFB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870" w:type="dxa"/>
            <w:vAlign w:val="center"/>
          </w:tcPr>
          <w:p w14:paraId="25FB112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highlight w:val="none"/>
              </w:rPr>
            </w:pPr>
          </w:p>
        </w:tc>
        <w:tc>
          <w:tcPr>
            <w:tcW w:w="5930" w:type="dxa"/>
            <w:vAlign w:val="center"/>
          </w:tcPr>
          <w:p w14:paraId="43DE56D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spacing w:line="240" w:lineRule="exact"/>
              <w:jc w:val="center"/>
              <w:rPr>
                <w:rFonts w:cs="Times New Roman"/>
                <w:color w:val="auto"/>
                <w:sz w:val="18"/>
                <w:szCs w:val="18"/>
                <w:highlight w:val="none"/>
              </w:rPr>
            </w:pPr>
            <w:r>
              <w:rPr>
                <w:rFonts w:hint="eastAsia" w:cs="Times New Roman"/>
                <w:color w:val="auto"/>
                <w:sz w:val="18"/>
                <w:szCs w:val="18"/>
                <w:highlight w:val="none"/>
              </w:rPr>
              <w:t>汽油和柴油通气管分开设置，通气管管口高</w:t>
            </w:r>
            <w:r>
              <w:rPr>
                <w:rFonts w:hint="eastAsia" w:cs="Times New Roman"/>
                <w:color w:val="auto"/>
                <w:sz w:val="18"/>
                <w:szCs w:val="18"/>
                <w:highlight w:val="none"/>
                <w:lang w:val="en-US" w:eastAsia="zh-CN"/>
              </w:rPr>
              <w:t>4</w:t>
            </w:r>
            <w:r>
              <w:rPr>
                <w:rFonts w:hint="eastAsia" w:cs="Times New Roman"/>
                <w:color w:val="auto"/>
                <w:sz w:val="18"/>
                <w:szCs w:val="18"/>
                <w:highlight w:val="none"/>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highlight w:val="none"/>
              </w:rPr>
            </w:pPr>
          </w:p>
        </w:tc>
        <w:tc>
          <w:tcPr>
            <w:tcW w:w="5930" w:type="dxa"/>
            <w:vAlign w:val="center"/>
          </w:tcPr>
          <w:p w14:paraId="3ADB10D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highlight w:val="none"/>
              </w:rPr>
            </w:pPr>
          </w:p>
        </w:tc>
        <w:tc>
          <w:tcPr>
            <w:tcW w:w="5930" w:type="dxa"/>
            <w:vAlign w:val="center"/>
          </w:tcPr>
          <w:p w14:paraId="4D155CF9">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870" w:type="dxa"/>
            <w:vAlign w:val="center"/>
          </w:tcPr>
          <w:p w14:paraId="2E62584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highlight w:val="none"/>
              </w:rPr>
            </w:pPr>
          </w:p>
        </w:tc>
        <w:tc>
          <w:tcPr>
            <w:tcW w:w="5930" w:type="dxa"/>
            <w:vAlign w:val="center"/>
          </w:tcPr>
          <w:p w14:paraId="0D4860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vAlign w:val="center"/>
          </w:tcPr>
          <w:p w14:paraId="6F723F4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highlight w:val="none"/>
              </w:rPr>
            </w:pPr>
          </w:p>
        </w:tc>
        <w:tc>
          <w:tcPr>
            <w:tcW w:w="5930" w:type="dxa"/>
            <w:vAlign w:val="center"/>
          </w:tcPr>
          <w:p w14:paraId="331CE55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870" w:type="dxa"/>
            <w:vAlign w:val="center"/>
          </w:tcPr>
          <w:p w14:paraId="120FCF5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highlight w:val="none"/>
              </w:rPr>
            </w:pPr>
          </w:p>
        </w:tc>
        <w:tc>
          <w:tcPr>
            <w:tcW w:w="5930" w:type="dxa"/>
            <w:vAlign w:val="center"/>
          </w:tcPr>
          <w:p w14:paraId="764F55B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highlight w:val="none"/>
              </w:rPr>
            </w:pPr>
            <w:r>
              <w:rPr>
                <w:rFonts w:hint="eastAsia" w:cs="Times New Roman"/>
                <w:color w:val="auto"/>
                <w:sz w:val="18"/>
                <w:szCs w:val="18"/>
                <w:highlight w:val="none"/>
              </w:rPr>
              <w:t>易发生油罐渗漏的部位进行防渗处理。</w:t>
            </w:r>
          </w:p>
        </w:tc>
        <w:tc>
          <w:tcPr>
            <w:tcW w:w="870" w:type="dxa"/>
            <w:vAlign w:val="center"/>
          </w:tcPr>
          <w:p w14:paraId="2B51C3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highlight w:val="none"/>
              </w:rPr>
            </w:pPr>
          </w:p>
        </w:tc>
        <w:tc>
          <w:tcPr>
            <w:tcW w:w="5930" w:type="dxa"/>
            <w:vAlign w:val="center"/>
          </w:tcPr>
          <w:p w14:paraId="735E911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highlight w:val="none"/>
              </w:rPr>
            </w:pPr>
            <w:r>
              <w:rPr>
                <w:rFonts w:hint="eastAsia" w:cs="宋体"/>
                <w:color w:val="auto"/>
                <w:sz w:val="18"/>
                <w:szCs w:val="18"/>
                <w:highlight w:val="none"/>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highlight w:val="none"/>
              </w:rPr>
            </w:pPr>
          </w:p>
        </w:tc>
        <w:tc>
          <w:tcPr>
            <w:tcW w:w="5930" w:type="dxa"/>
            <w:vAlign w:val="center"/>
          </w:tcPr>
          <w:p w14:paraId="3F8A1B6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highlight w:val="none"/>
              </w:rPr>
            </w:pPr>
            <w:r>
              <w:rPr>
                <w:rFonts w:hint="eastAsia" w:cs="宋体"/>
                <w:color w:val="auto"/>
                <w:sz w:val="18"/>
                <w:szCs w:val="18"/>
                <w:highlight w:val="none"/>
              </w:rPr>
              <w:t>企业制定相应的管理制度</w:t>
            </w:r>
          </w:p>
        </w:tc>
        <w:tc>
          <w:tcPr>
            <w:tcW w:w="870" w:type="dxa"/>
            <w:vAlign w:val="center"/>
          </w:tcPr>
          <w:p w14:paraId="7099868E">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highlight w:val="none"/>
              </w:rPr>
            </w:pPr>
          </w:p>
        </w:tc>
        <w:tc>
          <w:tcPr>
            <w:tcW w:w="5930" w:type="dxa"/>
            <w:vAlign w:val="center"/>
          </w:tcPr>
          <w:p w14:paraId="0DE1FEC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highlight w:val="none"/>
              </w:rPr>
            </w:pPr>
          </w:p>
        </w:tc>
        <w:tc>
          <w:tcPr>
            <w:tcW w:w="5930" w:type="dxa"/>
            <w:vAlign w:val="center"/>
          </w:tcPr>
          <w:p w14:paraId="430DE0A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6137CA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highlight w:val="none"/>
              </w:rPr>
            </w:pPr>
            <w:r>
              <w:rPr>
                <w:rFonts w:hint="eastAsia" w:cs="Times New Roman"/>
                <w:color w:val="auto"/>
                <w:sz w:val="18"/>
                <w:szCs w:val="18"/>
                <w:highlight w:val="none"/>
              </w:rPr>
              <w:t>埋地油罐</w:t>
            </w:r>
          </w:p>
        </w:tc>
        <w:tc>
          <w:tcPr>
            <w:tcW w:w="870" w:type="dxa"/>
            <w:vAlign w:val="center"/>
          </w:tcPr>
          <w:p w14:paraId="48241E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highlight w:val="none"/>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highlight w:val="none"/>
              </w:rPr>
            </w:pPr>
            <w:r>
              <w:rPr>
                <w:rFonts w:hint="eastAsia" w:cs="Times New Roman"/>
                <w:color w:val="auto"/>
                <w:sz w:val="18"/>
                <w:szCs w:val="18"/>
                <w:highlight w:val="none"/>
              </w:rPr>
              <w:t>汽油及柴油通气管分开布置，高</w:t>
            </w:r>
            <w:r>
              <w:rPr>
                <w:rFonts w:hint="eastAsia" w:cs="Times New Roman"/>
                <w:color w:val="auto"/>
                <w:sz w:val="18"/>
                <w:szCs w:val="18"/>
                <w:highlight w:val="none"/>
                <w:lang w:val="en-US" w:eastAsia="zh-CN"/>
              </w:rPr>
              <w:t>4</w:t>
            </w:r>
            <w:r>
              <w:rPr>
                <w:rFonts w:hint="eastAsia" w:cs="Times New Roman"/>
                <w:color w:val="auto"/>
                <w:sz w:val="18"/>
                <w:szCs w:val="18"/>
                <w:highlight w:val="none"/>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highlight w:val="none"/>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highlight w:val="none"/>
              </w:rPr>
            </w:pPr>
            <w:r>
              <w:rPr>
                <w:rFonts w:hint="eastAsia"/>
                <w:color w:val="auto"/>
                <w:sz w:val="18"/>
                <w:szCs w:val="18"/>
                <w:highlight w:val="none"/>
              </w:rPr>
              <w:t>选用合适管径</w:t>
            </w:r>
          </w:p>
        </w:tc>
        <w:tc>
          <w:tcPr>
            <w:tcW w:w="870" w:type="dxa"/>
            <w:shd w:val="clear" w:color="auto" w:fill="auto"/>
            <w:vAlign w:val="center"/>
          </w:tcPr>
          <w:p w14:paraId="320EC1F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highlight w:val="none"/>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highlight w:val="none"/>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加油机两侧设置防撞柱</w:t>
            </w:r>
          </w:p>
        </w:tc>
        <w:tc>
          <w:tcPr>
            <w:tcW w:w="870" w:type="dxa"/>
            <w:vAlign w:val="center"/>
          </w:tcPr>
          <w:p w14:paraId="3B6AD87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highlight w:val="none"/>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870" w:type="dxa"/>
            <w:vAlign w:val="center"/>
          </w:tcPr>
          <w:p w14:paraId="7625936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highlight w:val="none"/>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highlight w:val="none"/>
              </w:rPr>
            </w:pPr>
            <w:r>
              <w:rPr>
                <w:rFonts w:hint="eastAsia" w:cs="Times New Roman"/>
                <w:color w:val="auto"/>
                <w:sz w:val="18"/>
                <w:szCs w:val="18"/>
                <w:highlight w:val="none"/>
              </w:rPr>
              <w:t>底部设置自动切断阀</w:t>
            </w:r>
          </w:p>
        </w:tc>
        <w:tc>
          <w:tcPr>
            <w:tcW w:w="870" w:type="dxa"/>
            <w:vAlign w:val="center"/>
          </w:tcPr>
          <w:p w14:paraId="2C91B53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highlight w:val="none"/>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highlight w:val="none"/>
              </w:rPr>
            </w:pPr>
            <w:r>
              <w:rPr>
                <w:rFonts w:hint="eastAsia" w:cs="Times New Roman"/>
                <w:color w:val="auto"/>
                <w:sz w:val="18"/>
                <w:szCs w:val="18"/>
                <w:highlight w:val="none"/>
              </w:rPr>
              <w:t>油罐底部进料</w:t>
            </w:r>
          </w:p>
        </w:tc>
        <w:tc>
          <w:tcPr>
            <w:tcW w:w="870" w:type="dxa"/>
            <w:vAlign w:val="center"/>
          </w:tcPr>
          <w:p w14:paraId="2819D90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highlight w:val="none"/>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0DEF11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highlight w:val="none"/>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1A07B2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highlight w:val="none"/>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highlight w:val="none"/>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highlight w:val="none"/>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p>
        </w:tc>
        <w:tc>
          <w:tcPr>
            <w:tcW w:w="870" w:type="dxa"/>
            <w:vAlign w:val="center"/>
          </w:tcPr>
          <w:p w14:paraId="11AC8D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highlight w:val="none"/>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highlight w:val="none"/>
              </w:rPr>
            </w:pPr>
          </w:p>
        </w:tc>
        <w:tc>
          <w:tcPr>
            <w:tcW w:w="5930" w:type="dxa"/>
            <w:vAlign w:val="center"/>
          </w:tcPr>
          <w:p w14:paraId="520D3E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2691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5BC95FE">
            <w:pPr>
              <w:widowControl/>
              <w:spacing w:line="240" w:lineRule="exact"/>
              <w:jc w:val="left"/>
              <w:rPr>
                <w:rFonts w:cs="Times New Roman"/>
                <w:color w:val="auto"/>
                <w:sz w:val="18"/>
                <w:szCs w:val="18"/>
                <w:highlight w:val="none"/>
              </w:rPr>
            </w:pPr>
          </w:p>
        </w:tc>
        <w:tc>
          <w:tcPr>
            <w:tcW w:w="5930" w:type="dxa"/>
            <w:shd w:val="clear" w:color="auto" w:fill="auto"/>
            <w:vAlign w:val="center"/>
          </w:tcPr>
          <w:p w14:paraId="762B0F35">
            <w:pPr>
              <w:adjustRightInd w:val="0"/>
              <w:snapToGrid w:val="0"/>
              <w:spacing w:line="240" w:lineRule="exact"/>
              <w:rPr>
                <w:rFonts w:hint="eastAsia" w:ascii="Calibri" w:hAnsi="Calibri" w:eastAsia="宋体" w:cs="Times New Roman"/>
                <w:color w:val="auto"/>
                <w:kern w:val="2"/>
                <w:sz w:val="18"/>
                <w:szCs w:val="18"/>
                <w:highlight w:val="none"/>
                <w:lang w:val="en-US" w:eastAsia="zh-CN" w:bidi="ar-SA"/>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580" w:type="dxa"/>
            <w:shd w:val="clear" w:color="auto" w:fill="auto"/>
            <w:vAlign w:val="center"/>
          </w:tcPr>
          <w:p w14:paraId="14D5D21E">
            <w:pPr>
              <w:spacing w:line="240" w:lineRule="exact"/>
              <w:jc w:val="center"/>
              <w:rPr>
                <w:rFonts w:hint="eastAsia" w:ascii="Calibri" w:hAnsi="Calibri" w:eastAsia="宋体" w:cs="Times New Roman"/>
                <w:color w:val="auto"/>
                <w:kern w:val="2"/>
                <w:sz w:val="18"/>
                <w:szCs w:val="18"/>
                <w:highlight w:val="none"/>
                <w:lang w:val="en-US" w:eastAsia="zh-CN" w:bidi="ar-SA"/>
              </w:rPr>
            </w:pPr>
            <w:r>
              <w:rPr>
                <w:rFonts w:hint="eastAsia" w:cs="Times New Roman"/>
                <w:color w:val="auto"/>
                <w:sz w:val="18"/>
                <w:szCs w:val="18"/>
                <w:highlight w:val="none"/>
              </w:rPr>
              <w:t>采用不发火花地面</w:t>
            </w:r>
          </w:p>
        </w:tc>
        <w:tc>
          <w:tcPr>
            <w:tcW w:w="870" w:type="dxa"/>
            <w:shd w:val="clear" w:color="auto" w:fill="auto"/>
            <w:vAlign w:val="center"/>
          </w:tcPr>
          <w:p w14:paraId="14167703">
            <w:pPr>
              <w:spacing w:line="240" w:lineRule="exact"/>
              <w:jc w:val="center"/>
              <w:rPr>
                <w:rFonts w:hint="eastAsia" w:ascii="Calibri" w:hAnsi="Calibri" w:eastAsia="宋体" w:cs="Times New Roman"/>
                <w:color w:val="auto"/>
                <w:kern w:val="2"/>
                <w:sz w:val="18"/>
                <w:szCs w:val="18"/>
                <w:highlight w:val="none"/>
                <w:lang w:val="en-US" w:eastAsia="zh-CN" w:bidi="ar-SA"/>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870" w:type="dxa"/>
            <w:vAlign w:val="center"/>
          </w:tcPr>
          <w:p w14:paraId="4966521A">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highlight w:val="none"/>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highlight w:val="none"/>
              </w:rPr>
            </w:pPr>
            <w:r>
              <w:rPr>
                <w:rFonts w:hint="eastAsia" w:cs="Times New Roman"/>
                <w:color w:val="auto"/>
                <w:sz w:val="18"/>
                <w:szCs w:val="18"/>
                <w:highlight w:val="none"/>
              </w:rPr>
              <w:t>罐区干净整洁</w:t>
            </w:r>
          </w:p>
        </w:tc>
        <w:tc>
          <w:tcPr>
            <w:tcW w:w="870" w:type="dxa"/>
            <w:vAlign w:val="center"/>
          </w:tcPr>
          <w:p w14:paraId="0ECFCA6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highlight w:val="none"/>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870" w:type="dxa"/>
            <w:vAlign w:val="center"/>
          </w:tcPr>
          <w:p w14:paraId="7050EB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highlight w:val="none"/>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highlight w:val="none"/>
              </w:rPr>
            </w:pPr>
            <w:r>
              <w:rPr>
                <w:rFonts w:hint="eastAsia" w:cs="Times New Roman"/>
                <w:color w:val="auto"/>
                <w:sz w:val="18"/>
                <w:szCs w:val="18"/>
                <w:highlight w:val="none"/>
              </w:rPr>
              <w:t>控制流速</w:t>
            </w:r>
          </w:p>
        </w:tc>
        <w:tc>
          <w:tcPr>
            <w:tcW w:w="870" w:type="dxa"/>
            <w:vAlign w:val="center"/>
          </w:tcPr>
          <w:p w14:paraId="7340D97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highlight w:val="none"/>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580" w:type="dxa"/>
            <w:vAlign w:val="center"/>
          </w:tcPr>
          <w:p w14:paraId="1C4E88C8">
            <w:pPr>
              <w:spacing w:line="240" w:lineRule="exact"/>
              <w:jc w:val="center"/>
              <w:rPr>
                <w:rFonts w:cs="Times New Roman"/>
                <w:color w:val="auto"/>
                <w:sz w:val="18"/>
                <w:szCs w:val="18"/>
                <w:highlight w:val="none"/>
              </w:rPr>
            </w:pPr>
            <w:r>
              <w:rPr>
                <w:rFonts w:hint="eastAsia" w:cs="Times New Roman"/>
                <w:color w:val="auto"/>
                <w:sz w:val="18"/>
                <w:szCs w:val="18"/>
                <w:highlight w:val="none"/>
              </w:rPr>
              <w:t>使用防爆工具及设备</w:t>
            </w:r>
          </w:p>
        </w:tc>
        <w:tc>
          <w:tcPr>
            <w:tcW w:w="870" w:type="dxa"/>
            <w:vAlign w:val="center"/>
          </w:tcPr>
          <w:p w14:paraId="64234BA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highlight w:val="none"/>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564CD0A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highlight w:val="none"/>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4940EB0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highlight w:val="none"/>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339E37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加油区设计为敞开式，采用自然通风;油罐区埋地设置，油罐设置在埋地罐池内，柴油、汽油通气管分开设置，通气管管口高出地面4m，柴油设置阻火通气帽，汽油通气管设置机械呼吸阀(带阻火器)和阻火通气帽。</w:t>
            </w:r>
          </w:p>
        </w:tc>
        <w:tc>
          <w:tcPr>
            <w:tcW w:w="1580" w:type="dxa"/>
            <w:vAlign w:val="center"/>
          </w:tcPr>
          <w:p w14:paraId="44BBDF13">
            <w:pPr>
              <w:spacing w:line="240" w:lineRule="exact"/>
              <w:jc w:val="center"/>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highlight w:val="none"/>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highlight w:val="none"/>
              </w:rPr>
            </w:pPr>
            <w:r>
              <w:rPr>
                <w:rFonts w:hint="eastAsia" w:cs="宋体"/>
                <w:color w:val="auto"/>
                <w:sz w:val="18"/>
                <w:szCs w:val="18"/>
                <w:highlight w:val="none"/>
              </w:rPr>
              <w:t>配备相应的防护器具</w:t>
            </w:r>
          </w:p>
        </w:tc>
        <w:tc>
          <w:tcPr>
            <w:tcW w:w="870" w:type="dxa"/>
            <w:vAlign w:val="center"/>
          </w:tcPr>
          <w:p w14:paraId="508D14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highlight w:val="none"/>
              </w:rPr>
            </w:pPr>
            <w:r>
              <w:rPr>
                <w:rFonts w:hint="eastAsia" w:cs="Times New Roman"/>
                <w:color w:val="auto"/>
                <w:sz w:val="18"/>
                <w:szCs w:val="18"/>
                <w:highlight w:val="none"/>
              </w:rPr>
              <w:t>进行相应的防腐</w:t>
            </w:r>
          </w:p>
        </w:tc>
        <w:tc>
          <w:tcPr>
            <w:tcW w:w="870" w:type="dxa"/>
            <w:vAlign w:val="center"/>
          </w:tcPr>
          <w:p w14:paraId="42772810">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highlight w:val="none"/>
              </w:rPr>
            </w:pPr>
          </w:p>
        </w:tc>
        <w:tc>
          <w:tcPr>
            <w:tcW w:w="8380" w:type="dxa"/>
            <w:gridSpan w:val="3"/>
            <w:vAlign w:val="center"/>
          </w:tcPr>
          <w:p w14:paraId="31652D47">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highlight w:val="none"/>
              </w:rPr>
            </w:pPr>
          </w:p>
        </w:tc>
        <w:tc>
          <w:tcPr>
            <w:tcW w:w="5930" w:type="dxa"/>
            <w:vAlign w:val="center"/>
          </w:tcPr>
          <w:p w14:paraId="1E672D0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870" w:type="dxa"/>
            <w:vAlign w:val="center"/>
          </w:tcPr>
          <w:p w14:paraId="77FBECDA">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highlight w:val="none"/>
              </w:rPr>
            </w:pPr>
          </w:p>
        </w:tc>
        <w:tc>
          <w:tcPr>
            <w:tcW w:w="5930" w:type="dxa"/>
            <w:vAlign w:val="center"/>
          </w:tcPr>
          <w:p w14:paraId="1B8EA95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highlight w:val="none"/>
              </w:rPr>
            </w:pPr>
            <w:r>
              <w:rPr>
                <w:rFonts w:hint="eastAsia" w:cs="Times New Roman"/>
                <w:color w:val="auto"/>
                <w:sz w:val="18"/>
                <w:szCs w:val="18"/>
                <w:highlight w:val="none"/>
              </w:rPr>
              <w:t>卸油、加油均设有油气回收系统，卸油油气回收主管直径DN100</w:t>
            </w:r>
          </w:p>
        </w:tc>
        <w:tc>
          <w:tcPr>
            <w:tcW w:w="870" w:type="dxa"/>
            <w:vAlign w:val="center"/>
          </w:tcPr>
          <w:p w14:paraId="2BDFDD83">
            <w:pPr>
              <w:jc w:val="left"/>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highlight w:val="none"/>
              </w:rPr>
            </w:pPr>
          </w:p>
        </w:tc>
        <w:tc>
          <w:tcPr>
            <w:tcW w:w="5930" w:type="dxa"/>
            <w:vAlign w:val="center"/>
          </w:tcPr>
          <w:p w14:paraId="6388B93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highlight w:val="none"/>
              </w:rPr>
            </w:pPr>
            <w:r>
              <w:rPr>
                <w:rFonts w:hint="eastAsia" w:cs="Times New Roman"/>
                <w:color w:val="auto"/>
                <w:sz w:val="18"/>
                <w:szCs w:val="18"/>
                <w:highlight w:val="none"/>
              </w:rPr>
              <w:t>一泵供多枪</w:t>
            </w:r>
          </w:p>
        </w:tc>
        <w:tc>
          <w:tcPr>
            <w:tcW w:w="870" w:type="dxa"/>
            <w:vAlign w:val="center"/>
          </w:tcPr>
          <w:p w14:paraId="50171E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highlight w:val="none"/>
              </w:rPr>
            </w:pPr>
          </w:p>
        </w:tc>
        <w:tc>
          <w:tcPr>
            <w:tcW w:w="5930" w:type="dxa"/>
            <w:vAlign w:val="center"/>
          </w:tcPr>
          <w:p w14:paraId="378A116D">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920FCD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highlight w:val="none"/>
              </w:rPr>
            </w:pPr>
          </w:p>
        </w:tc>
        <w:tc>
          <w:tcPr>
            <w:tcW w:w="5930" w:type="dxa"/>
            <w:vAlign w:val="center"/>
          </w:tcPr>
          <w:p w14:paraId="01C383B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870" w:type="dxa"/>
            <w:vAlign w:val="center"/>
          </w:tcPr>
          <w:p w14:paraId="18C9591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highlight w:val="none"/>
              </w:rPr>
            </w:pPr>
          </w:p>
        </w:tc>
        <w:tc>
          <w:tcPr>
            <w:tcW w:w="5930" w:type="dxa"/>
            <w:vAlign w:val="center"/>
          </w:tcPr>
          <w:p w14:paraId="0E496BC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870" w:type="dxa"/>
            <w:vAlign w:val="center"/>
          </w:tcPr>
          <w:p w14:paraId="189B73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highlight w:val="none"/>
              </w:rPr>
            </w:pPr>
          </w:p>
        </w:tc>
        <w:tc>
          <w:tcPr>
            <w:tcW w:w="5930" w:type="dxa"/>
            <w:vAlign w:val="center"/>
          </w:tcPr>
          <w:p w14:paraId="2DC0C20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按要求进行埋深</w:t>
            </w:r>
          </w:p>
        </w:tc>
        <w:tc>
          <w:tcPr>
            <w:tcW w:w="870" w:type="dxa"/>
            <w:vAlign w:val="center"/>
          </w:tcPr>
          <w:p w14:paraId="577A668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highlight w:val="none"/>
              </w:rPr>
            </w:pPr>
          </w:p>
        </w:tc>
        <w:tc>
          <w:tcPr>
            <w:tcW w:w="5930" w:type="dxa"/>
            <w:vAlign w:val="center"/>
          </w:tcPr>
          <w:p w14:paraId="5DF8AF3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6A41855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highlight w:val="none"/>
              </w:rPr>
            </w:pPr>
          </w:p>
        </w:tc>
        <w:tc>
          <w:tcPr>
            <w:tcW w:w="5930" w:type="dxa"/>
            <w:vAlign w:val="center"/>
          </w:tcPr>
          <w:p w14:paraId="5306FD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580" w:type="dxa"/>
            <w:vAlign w:val="center"/>
          </w:tcPr>
          <w:p w14:paraId="55ED6EB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设有油气回收系统</w:t>
            </w:r>
          </w:p>
        </w:tc>
        <w:tc>
          <w:tcPr>
            <w:tcW w:w="870" w:type="dxa"/>
            <w:vAlign w:val="center"/>
          </w:tcPr>
          <w:p w14:paraId="7711F0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highlight w:val="none"/>
              </w:rPr>
            </w:pPr>
          </w:p>
        </w:tc>
        <w:tc>
          <w:tcPr>
            <w:tcW w:w="5930" w:type="dxa"/>
            <w:vAlign w:val="center"/>
          </w:tcPr>
          <w:p w14:paraId="67616CB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701132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highlight w:val="none"/>
              </w:rPr>
            </w:pPr>
          </w:p>
        </w:tc>
        <w:tc>
          <w:tcPr>
            <w:tcW w:w="5930" w:type="dxa"/>
            <w:vAlign w:val="center"/>
          </w:tcPr>
          <w:p w14:paraId="765562B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w:t>
            </w:r>
          </w:p>
        </w:tc>
        <w:tc>
          <w:tcPr>
            <w:tcW w:w="870" w:type="dxa"/>
            <w:vAlign w:val="center"/>
          </w:tcPr>
          <w:p w14:paraId="1987518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highlight w:val="none"/>
              </w:rPr>
            </w:pPr>
          </w:p>
        </w:tc>
        <w:tc>
          <w:tcPr>
            <w:tcW w:w="5930" w:type="dxa"/>
            <w:vAlign w:val="center"/>
          </w:tcPr>
          <w:p w14:paraId="10268E6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highlight w:val="none"/>
              </w:rPr>
            </w:pPr>
          </w:p>
        </w:tc>
        <w:tc>
          <w:tcPr>
            <w:tcW w:w="8380" w:type="dxa"/>
            <w:gridSpan w:val="3"/>
            <w:vAlign w:val="center"/>
          </w:tcPr>
          <w:p w14:paraId="4BAD49B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65FA38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580" w:type="dxa"/>
            <w:vAlign w:val="center"/>
          </w:tcPr>
          <w:p w14:paraId="4EB12A9C">
            <w:pPr>
              <w:spacing w:line="240" w:lineRule="exact"/>
              <w:jc w:val="center"/>
              <w:rPr>
                <w:rFonts w:cs="Times New Roman"/>
                <w:color w:val="auto"/>
                <w:sz w:val="18"/>
                <w:szCs w:val="18"/>
                <w:highlight w:val="none"/>
              </w:rPr>
            </w:pPr>
            <w:r>
              <w:rPr>
                <w:rFonts w:hint="eastAsia" w:cs="宋体"/>
                <w:color w:val="auto"/>
                <w:sz w:val="18"/>
                <w:szCs w:val="18"/>
                <w:highlight w:val="none"/>
              </w:rPr>
              <w:t>进出口设置指示牌和减速带</w:t>
            </w:r>
          </w:p>
        </w:tc>
        <w:tc>
          <w:tcPr>
            <w:tcW w:w="870" w:type="dxa"/>
            <w:vAlign w:val="center"/>
          </w:tcPr>
          <w:p w14:paraId="4095AA4B">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097DB14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设置安全标识</w:t>
            </w:r>
          </w:p>
        </w:tc>
        <w:tc>
          <w:tcPr>
            <w:tcW w:w="870" w:type="dxa"/>
            <w:vAlign w:val="center"/>
          </w:tcPr>
          <w:p w14:paraId="5A4F5BB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5531629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highlight w:val="none"/>
              </w:rPr>
            </w:pPr>
            <w:r>
              <w:rPr>
                <w:rFonts w:hint="eastAsia" w:cs="宋体"/>
                <w:color w:val="auto"/>
                <w:sz w:val="18"/>
                <w:szCs w:val="18"/>
                <w:highlight w:val="none"/>
              </w:rPr>
              <w:t>设有标识</w:t>
            </w:r>
          </w:p>
        </w:tc>
        <w:tc>
          <w:tcPr>
            <w:tcW w:w="870" w:type="dxa"/>
            <w:vAlign w:val="center"/>
          </w:tcPr>
          <w:p w14:paraId="1D42AEFF">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5A2C71F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580" w:type="dxa"/>
            <w:vAlign w:val="center"/>
          </w:tcPr>
          <w:p w14:paraId="6204C59D">
            <w:pPr>
              <w:spacing w:line="240" w:lineRule="exact"/>
              <w:jc w:val="center"/>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870" w:type="dxa"/>
            <w:vAlign w:val="center"/>
          </w:tcPr>
          <w:p w14:paraId="47414CF1">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highlight w:val="none"/>
              </w:rPr>
            </w:pPr>
            <w:r>
              <w:rPr>
                <w:color w:val="auto"/>
                <w:sz w:val="18"/>
                <w:szCs w:val="18"/>
                <w:highlight w:val="none"/>
              </w:rPr>
              <w:t>5</w:t>
            </w:r>
          </w:p>
        </w:tc>
        <w:tc>
          <w:tcPr>
            <w:tcW w:w="5930" w:type="dxa"/>
            <w:vAlign w:val="center"/>
          </w:tcPr>
          <w:p w14:paraId="77E56FF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本站在站区</w:t>
            </w:r>
            <w:r>
              <w:rPr>
                <w:rFonts w:hint="eastAsia" w:ascii="宋体" w:cs="Times New Roman"/>
                <w:color w:val="auto"/>
                <w:sz w:val="18"/>
                <w:szCs w:val="18"/>
                <w:highlight w:val="none"/>
                <w:lang w:val="en-US" w:eastAsia="zh-CN"/>
              </w:rPr>
              <w:t>出口处</w:t>
            </w:r>
            <w:r>
              <w:rPr>
                <w:rFonts w:hint="eastAsia" w:ascii="宋体" w:cs="Times New Roman"/>
                <w:color w:val="auto"/>
                <w:sz w:val="18"/>
                <w:szCs w:val="18"/>
                <w:highlight w:val="none"/>
              </w:rPr>
              <w:t>设置隔油池，隔油池设置盖板。</w:t>
            </w:r>
          </w:p>
        </w:tc>
        <w:tc>
          <w:tcPr>
            <w:tcW w:w="1580" w:type="dxa"/>
            <w:vAlign w:val="center"/>
          </w:tcPr>
          <w:p w14:paraId="2D535E18">
            <w:pPr>
              <w:spacing w:line="240" w:lineRule="exact"/>
              <w:jc w:val="center"/>
              <w:rPr>
                <w:rFonts w:cs="Times New Roman"/>
                <w:color w:val="auto"/>
                <w:sz w:val="18"/>
                <w:szCs w:val="18"/>
                <w:highlight w:val="none"/>
              </w:rPr>
            </w:pPr>
            <w:r>
              <w:rPr>
                <w:rFonts w:hint="eastAsia" w:cs="Times New Roman"/>
                <w:color w:val="auto"/>
                <w:sz w:val="18"/>
                <w:szCs w:val="18"/>
                <w:highlight w:val="none"/>
              </w:rPr>
              <w:t>设置隔油池</w:t>
            </w:r>
          </w:p>
        </w:tc>
        <w:tc>
          <w:tcPr>
            <w:tcW w:w="870" w:type="dxa"/>
            <w:vAlign w:val="center"/>
          </w:tcPr>
          <w:p w14:paraId="5B05A9C3">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highlight w:val="none"/>
              </w:rPr>
            </w:pPr>
            <w:r>
              <w:rPr>
                <w:color w:val="auto"/>
                <w:sz w:val="18"/>
                <w:szCs w:val="18"/>
                <w:highlight w:val="none"/>
              </w:rPr>
              <w:t>6</w:t>
            </w:r>
          </w:p>
        </w:tc>
        <w:tc>
          <w:tcPr>
            <w:tcW w:w="5930" w:type="dxa"/>
            <w:vAlign w:val="center"/>
          </w:tcPr>
          <w:p w14:paraId="50BB569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870" w:type="dxa"/>
            <w:vAlign w:val="center"/>
          </w:tcPr>
          <w:p w14:paraId="78CF1C4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23006E9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870" w:type="dxa"/>
            <w:vAlign w:val="center"/>
          </w:tcPr>
          <w:p w14:paraId="7BB9F9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2F2260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本加油站汽油储罐和柴油储罐分别设置通气管，通气管高出地面</w:t>
            </w:r>
            <w:r>
              <w:rPr>
                <w:rFonts w:hint="eastAsia" w:ascii="宋体" w:cs="Times New Roman"/>
                <w:color w:val="auto"/>
                <w:sz w:val="18"/>
                <w:szCs w:val="18"/>
                <w:highlight w:val="none"/>
                <w:lang w:val="en-US" w:eastAsia="zh-CN"/>
              </w:rPr>
              <w:t>4</w:t>
            </w:r>
            <w:r>
              <w:rPr>
                <w:rFonts w:hint="eastAsia" w:ascii="宋体" w:cs="Times New Roman"/>
                <w:color w:val="auto"/>
                <w:sz w:val="18"/>
                <w:szCs w:val="18"/>
                <w:highlight w:val="none"/>
              </w:rPr>
              <w:t>m。汽油储罐的两根通气管下部连通，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highlight w:val="none"/>
              </w:rPr>
            </w:pPr>
            <w:r>
              <w:rPr>
                <w:rFonts w:hint="eastAsia" w:cs="Times New Roman"/>
                <w:color w:val="auto"/>
                <w:sz w:val="18"/>
                <w:szCs w:val="18"/>
                <w:highlight w:val="none"/>
              </w:rPr>
              <w:t>通气管按要求设置</w:t>
            </w:r>
          </w:p>
        </w:tc>
        <w:tc>
          <w:tcPr>
            <w:tcW w:w="870" w:type="dxa"/>
            <w:vAlign w:val="center"/>
          </w:tcPr>
          <w:p w14:paraId="60D672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highlight w:val="none"/>
              </w:rPr>
            </w:pPr>
          </w:p>
        </w:tc>
        <w:tc>
          <w:tcPr>
            <w:tcW w:w="8380" w:type="dxa"/>
            <w:gridSpan w:val="3"/>
            <w:vAlign w:val="center"/>
          </w:tcPr>
          <w:p w14:paraId="6C444D71">
            <w:pPr>
              <w:spacing w:line="240" w:lineRule="exact"/>
              <w:jc w:val="center"/>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7347FD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highlight w:val="none"/>
              </w:rPr>
            </w:pPr>
            <w:r>
              <w:rPr>
                <w:rFonts w:hint="eastAsia" w:cs="Times New Roman"/>
                <w:color w:val="auto"/>
                <w:sz w:val="18"/>
                <w:szCs w:val="18"/>
                <w:highlight w:val="none"/>
              </w:rPr>
              <w:t>已补充相应的图纸</w:t>
            </w:r>
          </w:p>
        </w:tc>
        <w:tc>
          <w:tcPr>
            <w:tcW w:w="870" w:type="dxa"/>
            <w:vAlign w:val="center"/>
          </w:tcPr>
          <w:p w14:paraId="2B00E46D">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highlight w:val="none"/>
              </w:rPr>
            </w:pPr>
          </w:p>
        </w:tc>
        <w:tc>
          <w:tcPr>
            <w:tcW w:w="8380" w:type="dxa"/>
            <w:gridSpan w:val="3"/>
            <w:vAlign w:val="center"/>
          </w:tcPr>
          <w:p w14:paraId="72BF1527">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highlight w:val="none"/>
              </w:rPr>
            </w:pPr>
          </w:p>
        </w:tc>
        <w:tc>
          <w:tcPr>
            <w:tcW w:w="8380" w:type="dxa"/>
            <w:gridSpan w:val="3"/>
            <w:vAlign w:val="center"/>
          </w:tcPr>
          <w:p w14:paraId="0838A03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7454A193">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870" w:type="dxa"/>
            <w:vAlign w:val="center"/>
          </w:tcPr>
          <w:p w14:paraId="41C08549">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highlight w:val="none"/>
              </w:rPr>
            </w:pPr>
          </w:p>
        </w:tc>
        <w:tc>
          <w:tcPr>
            <w:tcW w:w="8380" w:type="dxa"/>
            <w:gridSpan w:val="3"/>
            <w:vAlign w:val="center"/>
          </w:tcPr>
          <w:p w14:paraId="09F1101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580" w:type="dxa"/>
            <w:vAlign w:val="center"/>
          </w:tcPr>
          <w:p w14:paraId="072EFE61">
            <w:pPr>
              <w:spacing w:line="240" w:lineRule="exact"/>
              <w:jc w:val="center"/>
              <w:rPr>
                <w:rFonts w:cs="Times New Roman"/>
                <w:color w:val="auto"/>
                <w:sz w:val="18"/>
                <w:szCs w:val="18"/>
                <w:highlight w:val="none"/>
              </w:rPr>
            </w:pPr>
            <w:r>
              <w:rPr>
                <w:rFonts w:hint="eastAsia" w:cs="宋体"/>
                <w:color w:val="auto"/>
                <w:sz w:val="18"/>
                <w:szCs w:val="18"/>
                <w:highlight w:val="none"/>
              </w:rPr>
              <w:t>坡向站外</w:t>
            </w:r>
          </w:p>
        </w:tc>
        <w:tc>
          <w:tcPr>
            <w:tcW w:w="870" w:type="dxa"/>
            <w:vAlign w:val="center"/>
          </w:tcPr>
          <w:p w14:paraId="140E003C">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870" w:type="dxa"/>
            <w:vAlign w:val="center"/>
          </w:tcPr>
          <w:p w14:paraId="097E762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highlight w:val="none"/>
              </w:rPr>
            </w:pPr>
          </w:p>
        </w:tc>
        <w:tc>
          <w:tcPr>
            <w:tcW w:w="8380" w:type="dxa"/>
            <w:gridSpan w:val="3"/>
            <w:vAlign w:val="center"/>
          </w:tcPr>
          <w:p w14:paraId="67BFB05B">
            <w:pPr>
              <w:spacing w:line="240" w:lineRule="exact"/>
              <w:jc w:val="center"/>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19B012D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870" w:type="dxa"/>
            <w:vAlign w:val="center"/>
          </w:tcPr>
          <w:p w14:paraId="3E5137D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highlight w:val="none"/>
              </w:rPr>
            </w:pPr>
          </w:p>
        </w:tc>
        <w:tc>
          <w:tcPr>
            <w:tcW w:w="8380" w:type="dxa"/>
            <w:gridSpan w:val="3"/>
            <w:vAlign w:val="center"/>
          </w:tcPr>
          <w:p w14:paraId="587817D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3B61FA5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highlight w:val="none"/>
              </w:rPr>
            </w:pPr>
            <w:r>
              <w:rPr>
                <w:rFonts w:hint="eastAsia" w:cs="Times New Roman"/>
                <w:color w:val="auto"/>
                <w:sz w:val="18"/>
                <w:szCs w:val="18"/>
                <w:highlight w:val="none"/>
              </w:rPr>
              <w:t>站区道路按要求设置</w:t>
            </w:r>
          </w:p>
        </w:tc>
        <w:tc>
          <w:tcPr>
            <w:tcW w:w="870" w:type="dxa"/>
            <w:vAlign w:val="center"/>
          </w:tcPr>
          <w:p w14:paraId="3BAF833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A3222A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highlight w:val="none"/>
              </w:rPr>
            </w:pPr>
            <w:r>
              <w:rPr>
                <w:rFonts w:hint="eastAsia"/>
                <w:color w:val="auto"/>
                <w:sz w:val="18"/>
                <w:szCs w:val="18"/>
                <w:highlight w:val="none"/>
              </w:rPr>
              <w:t>混凝土路面，道路畅通</w:t>
            </w:r>
          </w:p>
        </w:tc>
        <w:tc>
          <w:tcPr>
            <w:tcW w:w="870" w:type="dxa"/>
            <w:vAlign w:val="center"/>
          </w:tcPr>
          <w:p w14:paraId="1F6D106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1672705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highlight w:val="none"/>
              </w:rPr>
            </w:pPr>
            <w:r>
              <w:rPr>
                <w:rFonts w:hint="eastAsia"/>
                <w:color w:val="auto"/>
                <w:sz w:val="18"/>
                <w:szCs w:val="18"/>
                <w:highlight w:val="none"/>
              </w:rPr>
              <w:t>道路按要求布置</w:t>
            </w:r>
          </w:p>
        </w:tc>
        <w:tc>
          <w:tcPr>
            <w:tcW w:w="870" w:type="dxa"/>
            <w:vAlign w:val="center"/>
          </w:tcPr>
          <w:p w14:paraId="7FC64CC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2929A2D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6</w:t>
            </w:r>
            <w:r>
              <w:rPr>
                <w:rFonts w:hint="eastAsia" w:cs="Times New Roman"/>
                <w:color w:val="auto"/>
                <w:sz w:val="18"/>
                <w:szCs w:val="18"/>
                <w:highlight w:val="none"/>
              </w:rPr>
              <w:t>%，且宜坡向站外。</w:t>
            </w:r>
          </w:p>
        </w:tc>
        <w:tc>
          <w:tcPr>
            <w:tcW w:w="1580" w:type="dxa"/>
            <w:vAlign w:val="center"/>
          </w:tcPr>
          <w:p w14:paraId="03F5ED44">
            <w:pPr>
              <w:spacing w:line="240" w:lineRule="exact"/>
              <w:jc w:val="center"/>
              <w:rPr>
                <w:rFonts w:cs="Times New Roman"/>
                <w:color w:val="auto"/>
                <w:sz w:val="18"/>
                <w:szCs w:val="18"/>
                <w:highlight w:val="none"/>
              </w:rPr>
            </w:pPr>
            <w:r>
              <w:rPr>
                <w:rFonts w:hint="eastAsia" w:cs="Times New Roman"/>
                <w:color w:val="auto"/>
                <w:sz w:val="18"/>
                <w:szCs w:val="18"/>
                <w:highlight w:val="none"/>
              </w:rPr>
              <w:t>坡向站外</w:t>
            </w:r>
          </w:p>
        </w:tc>
        <w:tc>
          <w:tcPr>
            <w:tcW w:w="870" w:type="dxa"/>
            <w:vAlign w:val="center"/>
          </w:tcPr>
          <w:p w14:paraId="0571503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highlight w:val="none"/>
              </w:rPr>
            </w:pPr>
          </w:p>
        </w:tc>
        <w:tc>
          <w:tcPr>
            <w:tcW w:w="8380" w:type="dxa"/>
            <w:gridSpan w:val="3"/>
            <w:vAlign w:val="center"/>
          </w:tcPr>
          <w:p w14:paraId="75F7081F">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4FDA4E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lang w:val="en-US" w:eastAsia="zh-CN"/>
              </w:rPr>
              <w:t>本加油站埋地油罐采用内钢外玻璃纤维增强塑料双层油罐（</w:t>
            </w:r>
            <w:r>
              <w:rPr>
                <w:rFonts w:hint="default" w:cs="Times New Roman"/>
                <w:color w:val="auto"/>
                <w:sz w:val="18"/>
                <w:szCs w:val="18"/>
                <w:highlight w:val="none"/>
                <w:lang w:val="en-US" w:eastAsia="zh-CN"/>
              </w:rPr>
              <w:t xml:space="preserve">SF </w:t>
            </w:r>
            <w:r>
              <w:rPr>
                <w:rFonts w:hint="eastAsia" w:cs="Times New Roman"/>
                <w:color w:val="auto"/>
                <w:sz w:val="18"/>
                <w:szCs w:val="18"/>
                <w:highlight w:val="none"/>
                <w:lang w:val="en-US" w:eastAsia="zh-CN"/>
              </w:rPr>
              <w:t>双层罐，</w:t>
            </w:r>
            <w:r>
              <w:rPr>
                <w:rFonts w:hint="default" w:cs="Times New Roman"/>
                <w:color w:val="auto"/>
                <w:sz w:val="18"/>
                <w:szCs w:val="18"/>
                <w:highlight w:val="none"/>
                <w:lang w:val="en-US" w:eastAsia="zh-CN"/>
              </w:rPr>
              <w:t>Φ2.6×6.2m</w:t>
            </w:r>
            <w:r>
              <w:rPr>
                <w:rFonts w:hint="eastAsia" w:cs="Times New Roman"/>
                <w:color w:val="auto"/>
                <w:sz w:val="18"/>
                <w:szCs w:val="18"/>
                <w:highlight w:val="none"/>
                <w:lang w:val="en-US" w:eastAsia="zh-CN"/>
              </w:rPr>
              <w:t>，</w:t>
            </w:r>
            <w:r>
              <w:rPr>
                <w:rFonts w:hint="default" w:cs="Times New Roman"/>
                <w:color w:val="auto"/>
                <w:sz w:val="18"/>
                <w:szCs w:val="18"/>
                <w:highlight w:val="none"/>
                <w:lang w:val="en-US" w:eastAsia="zh-CN"/>
              </w:rPr>
              <w:t>V=30m</w:t>
            </w:r>
            <w:r>
              <w:rPr>
                <w:rFonts w:hint="eastAsia" w:cs="Times New Roman"/>
                <w:color w:val="auto"/>
                <w:sz w:val="18"/>
                <w:szCs w:val="18"/>
                <w:highlight w:val="none"/>
                <w:lang w:val="en-US" w:eastAsia="zh-CN"/>
              </w:rPr>
              <w:t xml:space="preserve">³ ）， 内层钢制罐体的厚度至少为 </w:t>
            </w:r>
            <w:r>
              <w:rPr>
                <w:rFonts w:hint="default" w:cs="Times New Roman"/>
                <w:color w:val="auto"/>
                <w:sz w:val="18"/>
                <w:szCs w:val="18"/>
                <w:highlight w:val="none"/>
                <w:lang w:val="en-US" w:eastAsia="zh-CN"/>
              </w:rPr>
              <w:t>7mm</w:t>
            </w:r>
            <w:r>
              <w:rPr>
                <w:rFonts w:hint="eastAsia" w:cs="Times New Roman"/>
                <w:color w:val="auto"/>
                <w:sz w:val="18"/>
                <w:szCs w:val="18"/>
                <w:highlight w:val="none"/>
                <w:lang w:val="en-US" w:eastAsia="zh-CN"/>
              </w:rPr>
              <w:t xml:space="preserve">，封头厚度至少为 </w:t>
            </w:r>
            <w:r>
              <w:rPr>
                <w:rFonts w:hint="default" w:cs="Times New Roman"/>
                <w:color w:val="auto"/>
                <w:sz w:val="18"/>
                <w:szCs w:val="18"/>
                <w:highlight w:val="none"/>
                <w:lang w:val="en-US" w:eastAsia="zh-CN"/>
              </w:rPr>
              <w:t>8mm</w:t>
            </w:r>
            <w:r>
              <w:rPr>
                <w:rFonts w:hint="eastAsia" w:cs="Times New Roman"/>
                <w:color w:val="auto"/>
                <w:sz w:val="18"/>
                <w:szCs w:val="18"/>
                <w:highlight w:val="none"/>
                <w:lang w:val="en-US" w:eastAsia="zh-CN"/>
              </w:rPr>
              <w:t xml:space="preserve">，且外层玻璃纤 维增强塑料的外层壁厚不小于 </w:t>
            </w:r>
            <w:r>
              <w:rPr>
                <w:rFonts w:hint="default" w:cs="Times New Roman"/>
                <w:color w:val="auto"/>
                <w:sz w:val="18"/>
                <w:szCs w:val="18"/>
                <w:highlight w:val="none"/>
                <w:lang w:val="en-US" w:eastAsia="zh-CN"/>
              </w:rPr>
              <w:t>5mm</w:t>
            </w:r>
            <w:r>
              <w:rPr>
                <w:rFonts w:hint="eastAsia" w:cs="Times New Roman"/>
                <w:color w:val="auto"/>
                <w:sz w:val="18"/>
                <w:szCs w:val="18"/>
                <w:highlight w:val="none"/>
                <w:lang w:val="en-US" w:eastAsia="zh-CN"/>
              </w:rPr>
              <w:t xml:space="preserve">，封头厚度至少为 </w:t>
            </w:r>
            <w:r>
              <w:rPr>
                <w:rFonts w:hint="default" w:cs="Times New Roman"/>
                <w:color w:val="auto"/>
                <w:sz w:val="18"/>
                <w:szCs w:val="18"/>
                <w:highlight w:val="none"/>
                <w:lang w:val="en-US" w:eastAsia="zh-CN"/>
              </w:rPr>
              <w:t>6mm</w:t>
            </w:r>
            <w:r>
              <w:rPr>
                <w:rFonts w:hint="eastAsia" w:cs="Times New Roman"/>
                <w:color w:val="auto"/>
                <w:sz w:val="18"/>
                <w:szCs w:val="18"/>
                <w:highlight w:val="none"/>
                <w:lang w:val="en-US" w:eastAsia="zh-CN"/>
              </w:rPr>
              <w:t xml:space="preserve">；内层钢制油 罐的设计内压不低于 </w:t>
            </w:r>
            <w:r>
              <w:rPr>
                <w:rFonts w:hint="default" w:cs="Times New Roman"/>
                <w:color w:val="auto"/>
                <w:sz w:val="18"/>
                <w:szCs w:val="18"/>
                <w:highlight w:val="none"/>
                <w:lang w:val="en-US" w:eastAsia="zh-CN"/>
              </w:rPr>
              <w:t>0.08MPa</w:t>
            </w:r>
            <w:r>
              <w:rPr>
                <w:rFonts w:hint="eastAsia" w:cs="Times New Roman"/>
                <w:color w:val="auto"/>
                <w:sz w:val="18"/>
                <w:szCs w:val="18"/>
                <w:highlight w:val="none"/>
                <w:lang w:val="en-US" w:eastAsia="zh-CN"/>
              </w:rPr>
              <w:t>，双层油罐上设置设渗漏检测立管，并配备 防渗漏检测仪，防止内层罐的油品泄漏。本加油站采用的油罐选用符合《加 油站用埋地钢</w:t>
            </w:r>
            <w:r>
              <w:rPr>
                <w:rFonts w:hint="default" w:cs="Times New Roman"/>
                <w:color w:val="auto"/>
                <w:sz w:val="18"/>
                <w:szCs w:val="18"/>
                <w:highlight w:val="none"/>
                <w:lang w:val="en-US" w:eastAsia="zh-CN"/>
              </w:rPr>
              <w:t>-</w:t>
            </w:r>
            <w:r>
              <w:rPr>
                <w:rFonts w:hint="eastAsia" w:cs="Times New Roman"/>
                <w:color w:val="auto"/>
                <w:sz w:val="18"/>
                <w:szCs w:val="18"/>
                <w:highlight w:val="none"/>
                <w:lang w:val="en-US" w:eastAsia="zh-CN"/>
              </w:rPr>
              <w:t>玻璃纤维增强塑料双层油罐工程技术规范》</w:t>
            </w:r>
            <w:r>
              <w:rPr>
                <w:rFonts w:hint="default" w:cs="Times New Roman"/>
                <w:color w:val="auto"/>
                <w:sz w:val="18"/>
                <w:szCs w:val="18"/>
                <w:highlight w:val="none"/>
                <w:lang w:val="en-US" w:eastAsia="zh-CN"/>
              </w:rPr>
              <w:t xml:space="preserve">SH/T3178-2015 </w:t>
            </w:r>
            <w:r>
              <w:rPr>
                <w:rFonts w:hint="eastAsia" w:cs="Times New Roman"/>
                <w:color w:val="auto"/>
                <w:sz w:val="18"/>
                <w:szCs w:val="18"/>
                <w:highlight w:val="none"/>
                <w:lang w:val="en-US" w:eastAsia="zh-CN"/>
              </w:rPr>
              <w:t>的设备，并应有质量证明文件。</w:t>
            </w:r>
          </w:p>
        </w:tc>
        <w:tc>
          <w:tcPr>
            <w:tcW w:w="1580" w:type="dxa"/>
            <w:vAlign w:val="center"/>
          </w:tcPr>
          <w:p w14:paraId="50341005">
            <w:pPr>
              <w:spacing w:line="240" w:lineRule="exact"/>
              <w:jc w:val="center"/>
              <w:rPr>
                <w:rFonts w:cs="Times New Roman"/>
                <w:color w:val="auto"/>
                <w:sz w:val="18"/>
                <w:szCs w:val="18"/>
                <w:highlight w:val="none"/>
              </w:rPr>
            </w:pPr>
            <w:r>
              <w:rPr>
                <w:rFonts w:hint="eastAsia" w:eastAsia="宋体" w:cs="Times New Roman"/>
                <w:color w:val="auto"/>
                <w:sz w:val="18"/>
                <w:szCs w:val="18"/>
                <w:highlight w:val="none"/>
              </w:rPr>
              <w:t>SF双层储罐</w:t>
            </w:r>
          </w:p>
        </w:tc>
        <w:tc>
          <w:tcPr>
            <w:tcW w:w="870" w:type="dxa"/>
            <w:vAlign w:val="center"/>
          </w:tcPr>
          <w:p w14:paraId="3D56774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25DFEC8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580" w:type="dxa"/>
            <w:vAlign w:val="center"/>
          </w:tcPr>
          <w:p w14:paraId="46911AA7">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1、油罐</w:t>
            </w:r>
          </w:p>
          <w:p w14:paraId="0099EF4D">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油罐采用内钢外玻璃纤维增强塑料双层油罐（</w:t>
            </w:r>
            <w:r>
              <w:rPr>
                <w:rFonts w:hint="default" w:ascii="Times New Roman" w:hAnsi="Times New Roman" w:cs="Times New Roman"/>
                <w:color w:val="auto"/>
                <w:sz w:val="18"/>
                <w:szCs w:val="18"/>
                <w:highlight w:val="none"/>
                <w:lang w:val="en-US" w:eastAsia="zh-CN"/>
              </w:rPr>
              <w:t xml:space="preserve">SF </w:t>
            </w:r>
            <w:r>
              <w:rPr>
                <w:rFonts w:hint="eastAsia" w:ascii="Times New Roman" w:hAnsi="Times New Roman" w:cs="Times New Roman"/>
                <w:color w:val="auto"/>
                <w:sz w:val="18"/>
                <w:szCs w:val="18"/>
                <w:highlight w:val="none"/>
                <w:lang w:val="en-US" w:eastAsia="zh-CN"/>
              </w:rPr>
              <w:t>双层罐，</w:t>
            </w:r>
            <w:r>
              <w:rPr>
                <w:rFonts w:hint="default" w:ascii="Times New Roman" w:hAnsi="Times New Roman" w:cs="Times New Roman"/>
                <w:color w:val="auto"/>
                <w:sz w:val="18"/>
                <w:szCs w:val="18"/>
                <w:highlight w:val="none"/>
                <w:lang w:val="en-US" w:eastAsia="zh-CN"/>
              </w:rPr>
              <w:t>Φ2.6×6.2m</w:t>
            </w:r>
            <w:r>
              <w:rPr>
                <w:rFonts w:hint="eastAsia" w:ascii="Times New Roman" w:hAnsi="Times New Roman" w:cs="Times New Roman"/>
                <w:color w:val="auto"/>
                <w:sz w:val="18"/>
                <w:szCs w:val="18"/>
                <w:highlight w:val="none"/>
                <w:lang w:val="en-US" w:eastAsia="zh-CN"/>
              </w:rPr>
              <w:t>，</w:t>
            </w:r>
            <w:r>
              <w:rPr>
                <w:rFonts w:hint="default" w:ascii="Times New Roman" w:hAnsi="Times New Roman" w:cs="Times New Roman"/>
                <w:color w:val="auto"/>
                <w:sz w:val="18"/>
                <w:szCs w:val="18"/>
                <w:highlight w:val="none"/>
                <w:lang w:val="en-US" w:eastAsia="zh-CN"/>
              </w:rPr>
              <w:t>V=30m</w:t>
            </w:r>
            <w:r>
              <w:rPr>
                <w:rFonts w:hint="eastAsia" w:ascii="Times New Roman" w:hAnsi="Times New Roman" w:cs="Times New Roman"/>
                <w:color w:val="auto"/>
                <w:sz w:val="18"/>
                <w:szCs w:val="18"/>
                <w:highlight w:val="none"/>
                <w:lang w:val="en-US" w:eastAsia="zh-CN"/>
              </w:rPr>
              <w:t xml:space="preserve">³ ），内层钢制罐体的厚度至少为 </w:t>
            </w:r>
            <w:r>
              <w:rPr>
                <w:rFonts w:hint="default" w:ascii="Times New Roman" w:hAnsi="Times New Roman" w:cs="Times New Roman"/>
                <w:color w:val="auto"/>
                <w:sz w:val="18"/>
                <w:szCs w:val="18"/>
                <w:highlight w:val="none"/>
                <w:lang w:val="en-US" w:eastAsia="zh-CN"/>
              </w:rPr>
              <w:t>7mm</w:t>
            </w:r>
            <w:r>
              <w:rPr>
                <w:rFonts w:hint="eastAsia" w:ascii="Times New Roman" w:hAnsi="Times New Roman" w:cs="Times New Roman"/>
                <w:color w:val="auto"/>
                <w:sz w:val="18"/>
                <w:szCs w:val="18"/>
                <w:highlight w:val="none"/>
                <w:lang w:val="en-US" w:eastAsia="zh-CN"/>
              </w:rPr>
              <w:t xml:space="preserve">，封头厚度至少为 </w:t>
            </w:r>
            <w:r>
              <w:rPr>
                <w:rFonts w:hint="default" w:ascii="Times New Roman" w:hAnsi="Times New Roman" w:cs="Times New Roman"/>
                <w:color w:val="auto"/>
                <w:sz w:val="18"/>
                <w:szCs w:val="18"/>
                <w:highlight w:val="none"/>
                <w:lang w:val="en-US" w:eastAsia="zh-CN"/>
              </w:rPr>
              <w:t>8mm</w:t>
            </w:r>
            <w:r>
              <w:rPr>
                <w:rFonts w:hint="eastAsia" w:ascii="Times New Roman" w:hAnsi="Times New Roman" w:cs="Times New Roman"/>
                <w:color w:val="auto"/>
                <w:sz w:val="18"/>
                <w:szCs w:val="18"/>
                <w:highlight w:val="none"/>
                <w:lang w:val="en-US" w:eastAsia="zh-CN"/>
              </w:rPr>
              <w:t xml:space="preserve">，且外层玻璃纤维增强塑料的外 </w:t>
            </w:r>
          </w:p>
          <w:p w14:paraId="740A7598">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 xml:space="preserve">层壁厚不小于 </w:t>
            </w:r>
            <w:r>
              <w:rPr>
                <w:rFonts w:hint="default" w:ascii="Times New Roman" w:hAnsi="Times New Roman" w:cs="Times New Roman"/>
                <w:color w:val="auto"/>
                <w:sz w:val="18"/>
                <w:szCs w:val="18"/>
                <w:highlight w:val="none"/>
                <w:lang w:val="en-US" w:eastAsia="zh-CN"/>
              </w:rPr>
              <w:t>5mm</w:t>
            </w:r>
            <w:r>
              <w:rPr>
                <w:rFonts w:hint="eastAsia" w:ascii="Times New Roman" w:hAnsi="Times New Roman" w:cs="Times New Roman"/>
                <w:color w:val="auto"/>
                <w:sz w:val="18"/>
                <w:szCs w:val="18"/>
                <w:highlight w:val="none"/>
                <w:lang w:val="en-US" w:eastAsia="zh-CN"/>
              </w:rPr>
              <w:t xml:space="preserve">，封头厚度至少为 </w:t>
            </w:r>
            <w:r>
              <w:rPr>
                <w:rFonts w:hint="default" w:ascii="Times New Roman" w:hAnsi="Times New Roman" w:cs="Times New Roman"/>
                <w:color w:val="auto"/>
                <w:sz w:val="18"/>
                <w:szCs w:val="18"/>
                <w:highlight w:val="none"/>
                <w:lang w:val="en-US" w:eastAsia="zh-CN"/>
              </w:rPr>
              <w:t>6mm</w:t>
            </w:r>
            <w:r>
              <w:rPr>
                <w:rFonts w:hint="eastAsia" w:ascii="Times New Roman" w:hAnsi="Times New Roman" w:cs="Times New Roman"/>
                <w:color w:val="auto"/>
                <w:sz w:val="18"/>
                <w:szCs w:val="18"/>
                <w:highlight w:val="none"/>
                <w:lang w:val="en-US" w:eastAsia="zh-CN"/>
              </w:rPr>
              <w:t xml:space="preserve">；内层钢制油罐的设计内压不 </w:t>
            </w:r>
          </w:p>
          <w:p w14:paraId="4F358814">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 xml:space="preserve">低于 </w:t>
            </w:r>
            <w:r>
              <w:rPr>
                <w:rFonts w:hint="default" w:ascii="Times New Roman" w:hAnsi="Times New Roman" w:cs="Times New Roman"/>
                <w:color w:val="auto"/>
                <w:sz w:val="18"/>
                <w:szCs w:val="18"/>
                <w:highlight w:val="none"/>
                <w:lang w:val="en-US" w:eastAsia="zh-CN"/>
              </w:rPr>
              <w:t>0.08MPa</w:t>
            </w:r>
            <w:r>
              <w:rPr>
                <w:rFonts w:hint="eastAsia" w:ascii="Times New Roman" w:hAnsi="Times New Roman" w:cs="Times New Roman"/>
                <w:color w:val="auto"/>
                <w:sz w:val="18"/>
                <w:szCs w:val="18"/>
                <w:highlight w:val="none"/>
                <w:lang w:val="en-US" w:eastAsia="zh-CN"/>
              </w:rPr>
              <w:t xml:space="preserve">，满足规范要求。双层油罐上设置渗漏检测立管，并配备防 </w:t>
            </w:r>
          </w:p>
          <w:p w14:paraId="15EF4600">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渗漏检测仪，防止内层罐的油品泄漏。</w:t>
            </w:r>
          </w:p>
          <w:p w14:paraId="05DCA4D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4）油罐埋地设置，罐顶低于路面1.2m。</w:t>
            </w:r>
          </w:p>
          <w:p w14:paraId="7CE541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highlight w:val="none"/>
              </w:rPr>
            </w:pPr>
            <w:r>
              <w:rPr>
                <w:rFonts w:hint="eastAsia" w:cs="Times New Roman"/>
                <w:color w:val="auto"/>
                <w:sz w:val="18"/>
                <w:szCs w:val="18"/>
                <w:highlight w:val="none"/>
              </w:rPr>
              <w:t>采用SF双层储罐</w:t>
            </w:r>
          </w:p>
        </w:tc>
        <w:tc>
          <w:tcPr>
            <w:tcW w:w="870" w:type="dxa"/>
            <w:vAlign w:val="center"/>
          </w:tcPr>
          <w:p w14:paraId="27F4E06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shd w:val="clear" w:color="auto" w:fill="auto"/>
            <w:vAlign w:val="center"/>
          </w:tcPr>
          <w:p w14:paraId="54ADB57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highlight w:val="none"/>
              </w:rPr>
            </w:pPr>
          </w:p>
        </w:tc>
        <w:tc>
          <w:tcPr>
            <w:tcW w:w="8380" w:type="dxa"/>
            <w:gridSpan w:val="3"/>
            <w:vAlign w:val="center"/>
          </w:tcPr>
          <w:p w14:paraId="164C01F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449410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配电房安全对策措施：</w:t>
            </w:r>
          </w:p>
          <w:p w14:paraId="186CC0D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1）配电房设</w:t>
            </w:r>
            <w:r>
              <w:rPr>
                <w:rFonts w:hint="eastAsia" w:cs="Times New Roman"/>
                <w:color w:val="auto"/>
                <w:sz w:val="18"/>
                <w:szCs w:val="18"/>
                <w:highlight w:val="none"/>
                <w:lang w:eastAsia="zh-CN"/>
              </w:rPr>
              <w:t>置在</w:t>
            </w:r>
            <w:r>
              <w:rPr>
                <w:rFonts w:hint="eastAsia" w:cs="Times New Roman"/>
                <w:color w:val="auto"/>
                <w:sz w:val="18"/>
                <w:szCs w:val="18"/>
                <w:highlight w:val="none"/>
              </w:rPr>
              <w:t>站房内，在爆炸危险区域之外，且与爆炸危险区域边界线的距离大于3m。</w:t>
            </w:r>
          </w:p>
          <w:p w14:paraId="17496BC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3）配电房配备MT7二氧化碳灭火器2具，并配置防冻手套。</w:t>
            </w:r>
          </w:p>
          <w:p w14:paraId="75A29B7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5）配电室张贴“机房重地闲人免进”标志，控制无关人员进入。</w:t>
            </w:r>
          </w:p>
          <w:p w14:paraId="5DB64D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91A54F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7）配电室内不得堆放杂物及与工作无关的物品</w:t>
            </w:r>
            <w:r>
              <w:rPr>
                <w:rFonts w:hint="eastAsia" w:cs="Times New Roman"/>
                <w:color w:val="auto"/>
                <w:sz w:val="18"/>
                <w:szCs w:val="18"/>
                <w:highlight w:val="none"/>
                <w:lang w:eastAsia="zh-CN"/>
              </w:rPr>
              <w:t>，</w:t>
            </w:r>
            <w:r>
              <w:rPr>
                <w:rFonts w:hint="eastAsia" w:cs="Times New Roman"/>
                <w:color w:val="auto"/>
                <w:sz w:val="18"/>
                <w:szCs w:val="18"/>
                <w:highlight w:val="none"/>
              </w:rPr>
              <w:t>严禁堆放可燃物品和存放易燃易爆物品。</w:t>
            </w:r>
          </w:p>
          <w:p w14:paraId="3BBB8A6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w:t>
            </w:r>
            <w:r>
              <w:rPr>
                <w:rFonts w:hint="eastAsia" w:cs="Times New Roman"/>
                <w:color w:val="auto"/>
                <w:sz w:val="18"/>
                <w:szCs w:val="18"/>
                <w:highlight w:val="none"/>
                <w:lang w:eastAsia="zh-CN"/>
              </w:rPr>
              <w:t>”</w:t>
            </w:r>
            <w:r>
              <w:rPr>
                <w:rFonts w:hint="eastAsia" w:cs="Times New Roman"/>
                <w:color w:val="auto"/>
                <w:sz w:val="18"/>
                <w:szCs w:val="18"/>
                <w:highlight w:val="none"/>
              </w:rPr>
              <w:t>的标志牌，严格执行安全操作规程。</w:t>
            </w:r>
          </w:p>
          <w:p w14:paraId="7A640A4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9）配电室通往室外要设置挡鼠板</w:t>
            </w:r>
            <w:r>
              <w:rPr>
                <w:rFonts w:hint="eastAsia" w:cs="Times New Roman"/>
                <w:color w:val="auto"/>
                <w:sz w:val="18"/>
                <w:szCs w:val="18"/>
                <w:highlight w:val="none"/>
                <w:lang w:eastAsia="zh-CN"/>
              </w:rPr>
              <w:t>，</w:t>
            </w:r>
            <w:r>
              <w:rPr>
                <w:rFonts w:hint="eastAsia" w:cs="Times New Roman"/>
                <w:color w:val="auto"/>
                <w:sz w:val="18"/>
                <w:szCs w:val="18"/>
                <w:highlight w:val="none"/>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12）配电间设计要求：附设在建筑内配电室，采用耐火极限不低于2.00h 的防火隔墙和 1.50h 的楼板与其他部位分隔。变配电室开向建筑内的门采用甲级防火门。加油加气加氢站的变配电间或室外变压器布置在作业区之外。变配电间的起算点为门窗等洞口。</w:t>
            </w:r>
          </w:p>
        </w:tc>
        <w:tc>
          <w:tcPr>
            <w:tcW w:w="1580" w:type="dxa"/>
            <w:vAlign w:val="center"/>
          </w:tcPr>
          <w:p w14:paraId="73FA46CD">
            <w:pPr>
              <w:spacing w:line="240" w:lineRule="exact"/>
              <w:jc w:val="center"/>
              <w:rPr>
                <w:rFonts w:cs="Times New Roman"/>
                <w:color w:val="auto"/>
                <w:sz w:val="18"/>
                <w:szCs w:val="18"/>
                <w:highlight w:val="none"/>
              </w:rPr>
            </w:pPr>
            <w:r>
              <w:rPr>
                <w:rFonts w:hint="eastAsia" w:cs="Times New Roman"/>
                <w:color w:val="auto"/>
                <w:sz w:val="18"/>
                <w:szCs w:val="18"/>
                <w:highlight w:val="none"/>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24AE465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580" w:type="dxa"/>
            <w:vAlign w:val="center"/>
          </w:tcPr>
          <w:p w14:paraId="17F1721A">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设置安全防护装置</w:t>
            </w:r>
          </w:p>
        </w:tc>
        <w:tc>
          <w:tcPr>
            <w:tcW w:w="870" w:type="dxa"/>
            <w:vAlign w:val="center"/>
          </w:tcPr>
          <w:p w14:paraId="5B5EA9B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0D4D1A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highlight w:val="none"/>
              </w:rPr>
            </w:pPr>
            <w:r>
              <w:rPr>
                <w:rFonts w:hint="eastAsia" w:cs="Times New Roman"/>
                <w:color w:val="auto"/>
                <w:sz w:val="18"/>
                <w:szCs w:val="18"/>
                <w:highlight w:val="none"/>
              </w:rPr>
              <w:t>设置警示标志</w:t>
            </w:r>
          </w:p>
        </w:tc>
        <w:tc>
          <w:tcPr>
            <w:tcW w:w="870" w:type="dxa"/>
            <w:vAlign w:val="center"/>
          </w:tcPr>
          <w:p w14:paraId="7A07D9D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8529AE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870" w:type="dxa"/>
            <w:vAlign w:val="center"/>
          </w:tcPr>
          <w:p w14:paraId="6E68BA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DAC422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highlight w:val="none"/>
              </w:rPr>
            </w:pPr>
            <w:r>
              <w:rPr>
                <w:rFonts w:hint="eastAsia" w:cs="Times New Roman"/>
                <w:color w:val="auto"/>
                <w:sz w:val="18"/>
                <w:szCs w:val="18"/>
                <w:highlight w:val="none"/>
              </w:rPr>
              <w:t>进行培训</w:t>
            </w:r>
          </w:p>
        </w:tc>
        <w:tc>
          <w:tcPr>
            <w:tcW w:w="870" w:type="dxa"/>
            <w:vAlign w:val="center"/>
          </w:tcPr>
          <w:p w14:paraId="4F18433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highlight w:val="none"/>
              </w:rPr>
            </w:pPr>
            <w:r>
              <w:rPr>
                <w:rFonts w:hint="eastAsia"/>
                <w:color w:val="auto"/>
                <w:sz w:val="18"/>
                <w:szCs w:val="18"/>
                <w:highlight w:val="none"/>
              </w:rPr>
              <w:t>6</w:t>
            </w:r>
          </w:p>
        </w:tc>
        <w:tc>
          <w:tcPr>
            <w:tcW w:w="5930" w:type="dxa"/>
            <w:vAlign w:val="center"/>
          </w:tcPr>
          <w:p w14:paraId="19C064B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highlight w:val="none"/>
              </w:rPr>
            </w:pPr>
            <w:r>
              <w:rPr>
                <w:rFonts w:hint="eastAsia" w:cs="Times New Roman"/>
                <w:color w:val="auto"/>
                <w:sz w:val="18"/>
                <w:szCs w:val="18"/>
                <w:highlight w:val="none"/>
              </w:rPr>
              <w:t>穿管保护</w:t>
            </w:r>
          </w:p>
        </w:tc>
        <w:tc>
          <w:tcPr>
            <w:tcW w:w="870" w:type="dxa"/>
            <w:vAlign w:val="center"/>
          </w:tcPr>
          <w:p w14:paraId="7537418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0F9605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870" w:type="dxa"/>
            <w:vAlign w:val="center"/>
          </w:tcPr>
          <w:p w14:paraId="5AC4F81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D3D950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870" w:type="dxa"/>
            <w:vAlign w:val="center"/>
          </w:tcPr>
          <w:p w14:paraId="7006AC6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highlight w:val="none"/>
              </w:rPr>
            </w:pPr>
            <w:r>
              <w:rPr>
                <w:rFonts w:hint="eastAsia"/>
                <w:color w:val="auto"/>
                <w:sz w:val="18"/>
                <w:szCs w:val="18"/>
                <w:highlight w:val="none"/>
              </w:rPr>
              <w:t>9</w:t>
            </w:r>
          </w:p>
        </w:tc>
        <w:tc>
          <w:tcPr>
            <w:tcW w:w="5930" w:type="dxa"/>
            <w:vAlign w:val="center"/>
          </w:tcPr>
          <w:p w14:paraId="5DDEA6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highlight w:val="none"/>
              </w:rPr>
            </w:pPr>
            <w:r>
              <w:rPr>
                <w:rFonts w:hint="eastAsia" w:cs="Times New Roman"/>
                <w:color w:val="auto"/>
                <w:sz w:val="18"/>
                <w:szCs w:val="18"/>
                <w:highlight w:val="none"/>
              </w:rPr>
              <w:t>照明设施符合要求</w:t>
            </w:r>
          </w:p>
        </w:tc>
        <w:tc>
          <w:tcPr>
            <w:tcW w:w="870" w:type="dxa"/>
            <w:vAlign w:val="center"/>
          </w:tcPr>
          <w:p w14:paraId="05AD3FF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highlight w:val="none"/>
              </w:rPr>
            </w:pPr>
            <w:r>
              <w:rPr>
                <w:rFonts w:hint="eastAsia"/>
                <w:color w:val="auto"/>
                <w:sz w:val="18"/>
                <w:szCs w:val="18"/>
                <w:highlight w:val="none"/>
              </w:rPr>
              <w:t>10</w:t>
            </w:r>
          </w:p>
        </w:tc>
        <w:tc>
          <w:tcPr>
            <w:tcW w:w="5930" w:type="dxa"/>
            <w:vAlign w:val="center"/>
          </w:tcPr>
          <w:p w14:paraId="158211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w:t>
            </w:r>
          </w:p>
          <w:p w14:paraId="1EB2366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580" w:type="dxa"/>
            <w:vAlign w:val="center"/>
          </w:tcPr>
          <w:p w14:paraId="5D9B8AE5">
            <w:pPr>
              <w:spacing w:line="240" w:lineRule="exact"/>
              <w:jc w:val="center"/>
              <w:rPr>
                <w:rFonts w:cs="Times New Roman"/>
                <w:color w:val="auto"/>
                <w:sz w:val="18"/>
                <w:szCs w:val="18"/>
                <w:highlight w:val="none"/>
              </w:rPr>
            </w:pPr>
            <w:r>
              <w:rPr>
                <w:rFonts w:hint="eastAsia" w:cs="Times New Roman"/>
                <w:color w:val="auto"/>
                <w:sz w:val="18"/>
                <w:szCs w:val="18"/>
                <w:highlight w:val="none"/>
              </w:rPr>
              <w:t>设置紧急切断系统</w:t>
            </w:r>
          </w:p>
        </w:tc>
        <w:tc>
          <w:tcPr>
            <w:tcW w:w="870" w:type="dxa"/>
            <w:vAlign w:val="center"/>
          </w:tcPr>
          <w:p w14:paraId="0AB29C7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highlight w:val="none"/>
              </w:rPr>
            </w:pPr>
          </w:p>
        </w:tc>
        <w:tc>
          <w:tcPr>
            <w:tcW w:w="8380" w:type="dxa"/>
            <w:gridSpan w:val="3"/>
            <w:vAlign w:val="center"/>
          </w:tcPr>
          <w:p w14:paraId="434E7AB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highlight w:val="none"/>
              </w:rPr>
            </w:pPr>
          </w:p>
        </w:tc>
        <w:tc>
          <w:tcPr>
            <w:tcW w:w="8380" w:type="dxa"/>
            <w:gridSpan w:val="3"/>
            <w:vAlign w:val="center"/>
          </w:tcPr>
          <w:p w14:paraId="0DBE120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highlight w:val="none"/>
              </w:rPr>
            </w:pPr>
          </w:p>
        </w:tc>
        <w:tc>
          <w:tcPr>
            <w:tcW w:w="5930" w:type="dxa"/>
            <w:vAlign w:val="center"/>
          </w:tcPr>
          <w:p w14:paraId="09746C1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580" w:type="dxa"/>
            <w:vAlign w:val="center"/>
          </w:tcPr>
          <w:p w14:paraId="396DEA21">
            <w:pPr>
              <w:spacing w:line="240" w:lineRule="exact"/>
              <w:jc w:val="center"/>
              <w:rPr>
                <w:rFonts w:cs="Times New Roman"/>
                <w:color w:val="auto"/>
                <w:sz w:val="18"/>
                <w:szCs w:val="18"/>
                <w:highlight w:val="none"/>
              </w:rPr>
            </w:pPr>
            <w:r>
              <w:rPr>
                <w:rFonts w:hint="eastAsia" w:cs="Times New Roman"/>
                <w:color w:val="auto"/>
                <w:sz w:val="18"/>
                <w:szCs w:val="18"/>
                <w:highlight w:val="none"/>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highlight w:val="none"/>
              </w:rPr>
            </w:pPr>
          </w:p>
        </w:tc>
        <w:tc>
          <w:tcPr>
            <w:tcW w:w="8380" w:type="dxa"/>
            <w:gridSpan w:val="3"/>
            <w:vAlign w:val="center"/>
          </w:tcPr>
          <w:p w14:paraId="732FF91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21888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BA1A35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7DB83436">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2640249">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50F847E">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8233CAF">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B347AFD">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1BF8857">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F41FD31">
            <w:pPr>
              <w:tabs>
                <w:tab w:val="right" w:pos="6124"/>
              </w:tabs>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highlight w:val="none"/>
              </w:rPr>
            </w:pPr>
            <w:r>
              <w:rPr>
                <w:rFonts w:hint="eastAsia" w:cs="宋体"/>
                <w:color w:val="auto"/>
                <w:sz w:val="18"/>
                <w:szCs w:val="18"/>
                <w:highlight w:val="none"/>
              </w:rPr>
              <w:t>自封式加油枪</w:t>
            </w:r>
          </w:p>
        </w:tc>
        <w:tc>
          <w:tcPr>
            <w:tcW w:w="870" w:type="dxa"/>
            <w:vAlign w:val="center"/>
          </w:tcPr>
          <w:p w14:paraId="68A078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highlight w:val="none"/>
              </w:rPr>
            </w:pPr>
          </w:p>
        </w:tc>
        <w:tc>
          <w:tcPr>
            <w:tcW w:w="8380" w:type="dxa"/>
            <w:gridSpan w:val="3"/>
            <w:vAlign w:val="center"/>
          </w:tcPr>
          <w:p w14:paraId="33FC07A1">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486D7B0">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w:t>
            </w:r>
          </w:p>
          <w:p w14:paraId="44870082">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本加油站共设置14台室外网络摄像机，现场摄像仪视频信号引至站房站长室内监控主机。视频监控系统配置UPS电源，容量为1kVA。系统中硬盘录像机储存时间大于30天。</w:t>
            </w:r>
          </w:p>
          <w:p w14:paraId="2F24D993">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加油区罩棚安装不小于4m，防护等级不低于IP67级。</w:t>
            </w:r>
          </w:p>
          <w:p w14:paraId="0CEB732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站房室内设置5台摄像机和1台监视用摄像机，设于营业厅、值班室。工作人员在值班室监视，监控器画面就可以实现对罐区、加油区、站房的全天候全方位的动态监视。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870" w:type="dxa"/>
            <w:vAlign w:val="center"/>
          </w:tcPr>
          <w:p w14:paraId="01A5AA9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highlight w:val="none"/>
              </w:rPr>
            </w:pPr>
          </w:p>
        </w:tc>
        <w:tc>
          <w:tcPr>
            <w:tcW w:w="8380" w:type="dxa"/>
            <w:gridSpan w:val="3"/>
            <w:vAlign w:val="center"/>
          </w:tcPr>
          <w:p w14:paraId="7308C36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7FFDDAD5">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580" w:type="dxa"/>
            <w:vAlign w:val="center"/>
          </w:tcPr>
          <w:p w14:paraId="1EE45354">
            <w:pPr>
              <w:spacing w:line="240" w:lineRule="exact"/>
              <w:jc w:val="center"/>
              <w:rPr>
                <w:rFonts w:cs="Times New Roman"/>
                <w:color w:val="auto"/>
                <w:sz w:val="18"/>
                <w:szCs w:val="18"/>
                <w:highlight w:val="none"/>
              </w:rPr>
            </w:pPr>
            <w:r>
              <w:rPr>
                <w:rFonts w:hint="eastAsia" w:cs="宋体"/>
                <w:color w:val="auto"/>
                <w:sz w:val="18"/>
                <w:szCs w:val="18"/>
                <w:highlight w:val="none"/>
              </w:rPr>
              <w:t>站内采用不发火花地面</w:t>
            </w:r>
          </w:p>
        </w:tc>
        <w:tc>
          <w:tcPr>
            <w:tcW w:w="870" w:type="dxa"/>
            <w:vAlign w:val="center"/>
          </w:tcPr>
          <w:p w14:paraId="32BFCB1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E766CA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870" w:type="dxa"/>
            <w:vAlign w:val="center"/>
          </w:tcPr>
          <w:p w14:paraId="1FFAA11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highlight w:val="none"/>
              </w:rPr>
            </w:pPr>
          </w:p>
        </w:tc>
        <w:tc>
          <w:tcPr>
            <w:tcW w:w="8380" w:type="dxa"/>
            <w:gridSpan w:val="3"/>
            <w:vAlign w:val="center"/>
          </w:tcPr>
          <w:p w14:paraId="37F9625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highlight w:val="none"/>
              </w:rPr>
            </w:pPr>
          </w:p>
        </w:tc>
        <w:tc>
          <w:tcPr>
            <w:tcW w:w="8380" w:type="dxa"/>
            <w:gridSpan w:val="3"/>
            <w:vAlign w:val="center"/>
          </w:tcPr>
          <w:p w14:paraId="3EE3D24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D7F899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highlight w:val="none"/>
              </w:rPr>
            </w:pPr>
            <w:r>
              <w:rPr>
                <w:rFonts w:hint="eastAsia" w:cs="Times New Roman"/>
                <w:color w:val="auto"/>
                <w:sz w:val="18"/>
                <w:szCs w:val="18"/>
                <w:highlight w:val="none"/>
              </w:rPr>
              <w:t>设置了排水沟和导流沟，排水顺畅</w:t>
            </w:r>
          </w:p>
        </w:tc>
        <w:tc>
          <w:tcPr>
            <w:tcW w:w="870" w:type="dxa"/>
            <w:vAlign w:val="center"/>
          </w:tcPr>
          <w:p w14:paraId="4CC51F89">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37A58967">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w:t>
            </w:r>
            <w:r>
              <w:rPr>
                <w:rFonts w:hint="eastAsia" w:cs="宋体"/>
                <w:color w:val="auto"/>
                <w:sz w:val="18"/>
                <w:szCs w:val="18"/>
                <w:highlight w:val="none"/>
                <w:lang w:val="en-US" w:eastAsia="zh-CN"/>
              </w:rPr>
              <w:t>龙南市</w:t>
            </w:r>
            <w:r>
              <w:rPr>
                <w:rFonts w:hint="eastAsia" w:cs="宋体"/>
                <w:color w:val="auto"/>
                <w:sz w:val="18"/>
                <w:szCs w:val="18"/>
                <w:highlight w:val="none"/>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highlight w:val="none"/>
              </w:rPr>
            </w:pPr>
            <w:r>
              <w:rPr>
                <w:rFonts w:hint="eastAsia" w:cs="宋体"/>
                <w:color w:val="auto"/>
                <w:sz w:val="18"/>
                <w:szCs w:val="18"/>
                <w:highlight w:val="none"/>
              </w:rPr>
              <w:t>6度抗震</w:t>
            </w:r>
          </w:p>
        </w:tc>
        <w:tc>
          <w:tcPr>
            <w:tcW w:w="870" w:type="dxa"/>
            <w:vAlign w:val="center"/>
          </w:tcPr>
          <w:p w14:paraId="6D6B6C08">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highlight w:val="none"/>
              </w:rPr>
            </w:pPr>
          </w:p>
        </w:tc>
        <w:tc>
          <w:tcPr>
            <w:tcW w:w="8380" w:type="dxa"/>
            <w:gridSpan w:val="3"/>
            <w:vAlign w:val="center"/>
          </w:tcPr>
          <w:p w14:paraId="07A7A114">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highlight w:val="none"/>
              </w:rPr>
            </w:pPr>
            <w:r>
              <w:rPr>
                <w:rFonts w:hint="eastAsia" w:cs="宋体"/>
                <w:color w:val="auto"/>
                <w:sz w:val="18"/>
                <w:szCs w:val="18"/>
                <w:highlight w:val="none"/>
              </w:rPr>
              <w:t>站内选用低噪声、振动设备</w:t>
            </w:r>
          </w:p>
        </w:tc>
        <w:tc>
          <w:tcPr>
            <w:tcW w:w="870" w:type="dxa"/>
            <w:vAlign w:val="center"/>
          </w:tcPr>
          <w:p w14:paraId="59C8984D">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870" w:type="dxa"/>
            <w:vAlign w:val="center"/>
          </w:tcPr>
          <w:p w14:paraId="6036CB71">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870" w:type="dxa"/>
            <w:vAlign w:val="center"/>
          </w:tcPr>
          <w:p w14:paraId="6F61BAC2">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highlight w:val="none"/>
              </w:rPr>
            </w:pPr>
          </w:p>
        </w:tc>
        <w:tc>
          <w:tcPr>
            <w:tcW w:w="5930" w:type="dxa"/>
            <w:vAlign w:val="center"/>
          </w:tcPr>
          <w:p w14:paraId="3052729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6E2A89D1">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highlight w:val="none"/>
              </w:rPr>
            </w:pPr>
          </w:p>
        </w:tc>
        <w:tc>
          <w:tcPr>
            <w:tcW w:w="5930" w:type="dxa"/>
            <w:vAlign w:val="center"/>
          </w:tcPr>
          <w:p w14:paraId="48BEBC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01E66CB9">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highlight w:val="none"/>
              </w:rPr>
            </w:pPr>
          </w:p>
        </w:tc>
        <w:tc>
          <w:tcPr>
            <w:tcW w:w="5930" w:type="dxa"/>
            <w:vAlign w:val="center"/>
          </w:tcPr>
          <w:p w14:paraId="265C2E1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580" w:type="dxa"/>
            <w:vAlign w:val="center"/>
          </w:tcPr>
          <w:p w14:paraId="686E730A">
            <w:pPr>
              <w:spacing w:line="240" w:lineRule="exact"/>
              <w:jc w:val="center"/>
              <w:rPr>
                <w:rFonts w:cs="宋体"/>
                <w:color w:val="auto"/>
                <w:sz w:val="18"/>
                <w:szCs w:val="18"/>
                <w:highlight w:val="none"/>
              </w:rPr>
            </w:pPr>
            <w:r>
              <w:rPr>
                <w:rFonts w:hint="eastAsia" w:cs="宋体"/>
                <w:color w:val="auto"/>
                <w:sz w:val="18"/>
                <w:szCs w:val="18"/>
                <w:highlight w:val="none"/>
              </w:rPr>
              <w:t>出入口设置限速标志</w:t>
            </w:r>
          </w:p>
        </w:tc>
        <w:tc>
          <w:tcPr>
            <w:tcW w:w="870" w:type="dxa"/>
            <w:vAlign w:val="center"/>
          </w:tcPr>
          <w:p w14:paraId="77809834">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highlight w:val="none"/>
              </w:rPr>
            </w:pPr>
          </w:p>
        </w:tc>
        <w:tc>
          <w:tcPr>
            <w:tcW w:w="5930" w:type="dxa"/>
            <w:vAlign w:val="center"/>
          </w:tcPr>
          <w:p w14:paraId="78DA9A8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highlight w:val="none"/>
              </w:rPr>
            </w:pPr>
            <w:r>
              <w:rPr>
                <w:rFonts w:hint="eastAsia" w:cs="宋体"/>
                <w:color w:val="auto"/>
                <w:sz w:val="18"/>
                <w:szCs w:val="18"/>
                <w:highlight w:val="none"/>
              </w:rPr>
              <w:t>设置安全标识等</w:t>
            </w:r>
          </w:p>
        </w:tc>
        <w:tc>
          <w:tcPr>
            <w:tcW w:w="870" w:type="dxa"/>
            <w:vAlign w:val="center"/>
          </w:tcPr>
          <w:p w14:paraId="5FDB5BF7">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highlight w:val="none"/>
              </w:rPr>
            </w:pPr>
          </w:p>
        </w:tc>
        <w:tc>
          <w:tcPr>
            <w:tcW w:w="5930" w:type="dxa"/>
            <w:vAlign w:val="center"/>
          </w:tcPr>
          <w:p w14:paraId="02DD00C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highlight w:val="none"/>
              </w:rPr>
            </w:pPr>
            <w:r>
              <w:rPr>
                <w:rFonts w:hint="eastAsia" w:cs="宋体"/>
                <w:color w:val="auto"/>
                <w:sz w:val="18"/>
                <w:szCs w:val="18"/>
                <w:highlight w:val="none"/>
              </w:rPr>
              <w:t>设置危害告知牌</w:t>
            </w:r>
          </w:p>
        </w:tc>
        <w:tc>
          <w:tcPr>
            <w:tcW w:w="870" w:type="dxa"/>
            <w:vAlign w:val="center"/>
          </w:tcPr>
          <w:p w14:paraId="50F1D636">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bookmarkEnd w:id="204"/>
    </w:tbl>
    <w:p w14:paraId="1A1C1945">
      <w:pPr>
        <w:spacing w:line="600" w:lineRule="exact"/>
        <w:ind w:firstLine="560" w:firstLineChars="200"/>
        <w:rPr>
          <w:rFonts w:ascii="Times New Roman" w:hAnsi="Times New Roman" w:cs="宋体"/>
          <w:color w:val="auto"/>
          <w:sz w:val="28"/>
          <w:szCs w:val="28"/>
          <w:highlight w:val="none"/>
        </w:rPr>
      </w:pPr>
      <w:bookmarkStart w:id="205" w:name="_Toc19100"/>
      <w:bookmarkStart w:id="206" w:name="_Toc18913"/>
      <w:bookmarkStart w:id="207" w:name="_Toc9371"/>
      <w:bookmarkStart w:id="208" w:name="_Toc343692275"/>
      <w:bookmarkStart w:id="209" w:name="_Toc16646"/>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均</w:t>
      </w:r>
      <w:r>
        <w:rPr>
          <w:rFonts w:hint="eastAsia" w:ascii="Times New Roman" w:hAnsi="Times New Roman" w:cs="宋体"/>
          <w:color w:val="auto"/>
          <w:sz w:val="28"/>
          <w:szCs w:val="28"/>
          <w:highlight w:val="none"/>
        </w:rPr>
        <w:t>落实。</w:t>
      </w:r>
    </w:p>
    <w:p w14:paraId="6C079258">
      <w:pPr>
        <w:pStyle w:val="3"/>
        <w:spacing w:line="560" w:lineRule="exact"/>
        <w:jc w:val="center"/>
        <w:rPr>
          <w:rFonts w:ascii="宋体" w:hAnsi="宋体"/>
          <w:color w:val="auto"/>
          <w:sz w:val="30"/>
          <w:szCs w:val="30"/>
          <w:highlight w:val="none"/>
        </w:rPr>
      </w:pPr>
      <w:bookmarkStart w:id="210" w:name="_Toc30760"/>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经设计</w:t>
            </w:r>
            <w:r>
              <w:rPr>
                <w:rFonts w:hint="eastAsia" w:ascii="Times New Roman" w:hAnsi="Times New Roman" w:eastAsia="宋" w:cs="Times New Roman"/>
                <w:bCs/>
                <w:color w:val="auto"/>
                <w:highlight w:val="none"/>
                <w:lang w:val="en-US" w:eastAsia="zh-CN"/>
              </w:rPr>
              <w:t>诊断</w:t>
            </w:r>
            <w:r>
              <w:rPr>
                <w:rFonts w:hint="eastAsia" w:ascii="Times New Roman" w:hAnsi="Times New Roman" w:eastAsia="宋" w:cs="Times New Roman"/>
                <w:bCs/>
                <w:color w:val="auto"/>
                <w:highlight w:val="none"/>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highlight w:val="none"/>
              </w:rPr>
            </w:pPr>
            <w:r>
              <w:rPr>
                <w:rFonts w:ascii="Times New Roman" w:hAnsi="Times New Roman" w:eastAsia="宋" w:cs="Times New Roman"/>
                <w:bCs/>
                <w:color w:val="auto"/>
                <w:highlight w:val="none"/>
              </w:rPr>
              <w:t>属</w:t>
            </w:r>
            <w:r>
              <w:rPr>
                <w:rFonts w:hint="eastAsia" w:ascii="Times New Roman" w:hAnsi="Times New Roman" w:eastAsia="宋" w:cs="Times New Roman"/>
                <w:bCs/>
                <w:color w:val="auto"/>
                <w:highlight w:val="none"/>
              </w:rPr>
              <w:t>于</w:t>
            </w:r>
            <w:r>
              <w:rPr>
                <w:rFonts w:hint="eastAsia" w:ascii="Times New Roman" w:hAnsi="Times New Roman" w:eastAsia="宋" w:cs="Times New Roman"/>
                <w:bCs/>
                <w:color w:val="auto"/>
                <w:highlight w:val="none"/>
                <w:lang w:val="en-US" w:eastAsia="zh-CN"/>
              </w:rPr>
              <w:t>二</w:t>
            </w:r>
            <w:r>
              <w:rPr>
                <w:rFonts w:ascii="Times New Roman" w:hAnsi="Times New Roman" w:eastAsia="宋" w:cs="Times New Roman"/>
                <w:bCs/>
                <w:color w:val="auto"/>
                <w:highlight w:val="none"/>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未设置</w:t>
            </w:r>
            <w:r>
              <w:rPr>
                <w:rFonts w:hint="eastAsia" w:ascii="Times New Roman" w:hAnsi="Times New Roman" w:eastAsia="宋" w:cs="Times New Roman"/>
                <w:bCs/>
                <w:color w:val="auto"/>
                <w:highlight w:val="none"/>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辅房</w:t>
            </w:r>
            <w:r>
              <w:rPr>
                <w:rFonts w:hint="eastAsia" w:ascii="Times New Roman" w:hAnsi="Times New Roman" w:eastAsia="宋" w:cs="Times New Roman"/>
                <w:bCs/>
                <w:color w:val="auto"/>
                <w:highlight w:val="none"/>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r>
              <w:rPr>
                <w:rFonts w:hint="eastAsia" w:ascii="Times New Roman" w:hAnsi="Times New Roman" w:eastAsia="宋" w:cs="Times New Roman"/>
                <w:bCs/>
                <w:color w:val="auto"/>
                <w:highlight w:val="none"/>
              </w:rPr>
              <w:t>。</w:t>
            </w:r>
            <w:r>
              <w:rPr>
                <w:rFonts w:hint="eastAsia" w:ascii="Times New Roman" w:hAnsi="Times New Roman" w:eastAsia="宋" w:cs="Times New Roman"/>
                <w:bCs/>
                <w:color w:val="auto"/>
                <w:highlight w:val="none"/>
                <w:lang w:val="en-US" w:eastAsia="zh-CN"/>
              </w:rPr>
              <w:t>但</w:t>
            </w:r>
            <w:r>
              <w:rPr>
                <w:rFonts w:hint="eastAsia" w:ascii="Times New Roman" w:hAnsi="Times New Roman" w:eastAsia="宋" w:cs="Times New Roman"/>
                <w:bCs/>
                <w:color w:val="auto"/>
                <w:highlight w:val="none"/>
              </w:rPr>
              <w:t>站内泄漏检测仪显示4号油罐通道故障</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通气管装设有阻火器，汽油通气管还设置呼吸阀</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但</w:t>
            </w:r>
            <w:r>
              <w:rPr>
                <w:rFonts w:hint="default" w:ascii="宋体" w:hAnsi="宋体" w:cs="宋体"/>
                <w:i w:val="0"/>
                <w:iCs w:val="0"/>
                <w:color w:val="auto"/>
                <w:kern w:val="2"/>
                <w:sz w:val="21"/>
                <w:szCs w:val="21"/>
                <w:highlight w:val="none"/>
                <w:u w:val="none"/>
                <w:lang w:val="en-US" w:eastAsia="zh-CN" w:bidi="ar-SA"/>
              </w:rPr>
              <w:t>加油站油罐</w:t>
            </w:r>
            <w:r>
              <w:rPr>
                <w:rFonts w:hint="eastAsia" w:ascii="宋体" w:hAnsi="宋体" w:cs="宋体"/>
                <w:i w:val="0"/>
                <w:iCs w:val="0"/>
                <w:color w:val="auto"/>
                <w:kern w:val="2"/>
                <w:sz w:val="21"/>
                <w:szCs w:val="21"/>
                <w:highlight w:val="none"/>
                <w:u w:val="none"/>
                <w:lang w:val="en-US" w:eastAsia="zh-CN" w:bidi="ar-SA"/>
              </w:rPr>
              <w:t>汽油</w:t>
            </w:r>
            <w:r>
              <w:rPr>
                <w:rFonts w:hint="default" w:ascii="宋体" w:hAnsi="宋体" w:cs="宋体"/>
                <w:i w:val="0"/>
                <w:iCs w:val="0"/>
                <w:color w:val="auto"/>
                <w:kern w:val="2"/>
                <w:sz w:val="21"/>
                <w:szCs w:val="21"/>
                <w:highlight w:val="none"/>
                <w:u w:val="none"/>
                <w:lang w:val="en-US" w:eastAsia="zh-CN" w:bidi="ar-SA"/>
              </w:rPr>
              <w:t>通气管标识标注错误</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柴油</w:t>
            </w:r>
            <w:r>
              <w:rPr>
                <w:rFonts w:hint="eastAsia" w:ascii="Times New Roman" w:hAnsi="Times New Roman" w:eastAsia="宋" w:cs="Times New Roman"/>
                <w:bCs/>
                <w:color w:val="auto"/>
                <w:highlight w:val="none"/>
              </w:rPr>
              <w:t>发电机</w:t>
            </w:r>
            <w:r>
              <w:rPr>
                <w:rFonts w:hint="eastAsia" w:ascii="Times New Roman" w:hAnsi="Times New Roman" w:eastAsia="宋" w:cs="Times New Roman"/>
                <w:bCs/>
                <w:color w:val="auto"/>
                <w:highlight w:val="none"/>
                <w:lang w:val="en-US" w:eastAsia="zh-CN"/>
              </w:rPr>
              <w:t>已停用</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w:t>
            </w:r>
            <w:r>
              <w:rPr>
                <w:rFonts w:hint="eastAsia" w:ascii="Times New Roman" w:hAnsi="Times New Roman" w:eastAsia="宋" w:cs="Times New Roman"/>
                <w:bCs/>
                <w:color w:val="auto"/>
                <w:highlight w:val="none"/>
                <w:lang w:val="en-US" w:eastAsia="zh-CN"/>
              </w:rPr>
              <w:t>但</w:t>
            </w:r>
            <w:r>
              <w:rPr>
                <w:rFonts w:hint="default" w:ascii="宋体" w:hAnsi="宋体" w:cs="宋体"/>
                <w:i w:val="0"/>
                <w:iCs w:val="0"/>
                <w:color w:val="auto"/>
                <w:kern w:val="2"/>
                <w:sz w:val="21"/>
                <w:szCs w:val="21"/>
                <w:highlight w:val="none"/>
                <w:u w:val="none"/>
                <w:lang w:val="en-US" w:eastAsia="zh-CN" w:bidi="ar-SA"/>
              </w:rPr>
              <w:t>油罐卸油区静电接地夹不灵敏</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均</w:t>
      </w:r>
      <w:r>
        <w:rPr>
          <w:rFonts w:hint="eastAsia" w:ascii="Times New Roman" w:hAnsi="Times New Roman" w:cs="Times New Roman"/>
          <w:color w:val="auto"/>
          <w:sz w:val="28"/>
          <w:szCs w:val="28"/>
          <w:highlight w:val="none"/>
        </w:rPr>
        <w:t>符合要求</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lang w:eastAsia="zh-CN"/>
        </w:rPr>
        <w:t>油罐卸油区静电接地夹不灵敏，</w:t>
      </w:r>
      <w:r>
        <w:rPr>
          <w:rFonts w:hint="eastAsia" w:ascii="Times New Roman" w:hAnsi="Times New Roman" w:cs="Times New Roman"/>
          <w:color w:val="auto"/>
          <w:sz w:val="28"/>
          <w:szCs w:val="28"/>
          <w:highlight w:val="none"/>
          <w:lang w:val="en-US" w:eastAsia="zh-CN"/>
        </w:rPr>
        <w:t>2）</w:t>
      </w:r>
      <w:r>
        <w:rPr>
          <w:rFonts w:hint="eastAsia" w:ascii="Times New Roman" w:hAnsi="Times New Roman" w:cs="Times New Roman"/>
          <w:color w:val="auto"/>
          <w:sz w:val="28"/>
          <w:szCs w:val="28"/>
          <w:highlight w:val="none"/>
          <w:lang w:eastAsia="zh-CN"/>
        </w:rPr>
        <w:t>加油站油罐汽油通气管标识标注错误，</w:t>
      </w:r>
      <w:r>
        <w:rPr>
          <w:rFonts w:hint="eastAsia" w:ascii="Times New Roman" w:hAnsi="Times New Roman" w:cs="Times New Roman"/>
          <w:color w:val="auto"/>
          <w:sz w:val="28"/>
          <w:szCs w:val="28"/>
          <w:highlight w:val="none"/>
          <w:lang w:val="en-US" w:eastAsia="zh-CN"/>
        </w:rPr>
        <w:t>3）</w:t>
      </w:r>
      <w:r>
        <w:rPr>
          <w:rFonts w:hint="eastAsia" w:ascii="Times New Roman" w:hAnsi="Times New Roman" w:cs="Times New Roman"/>
          <w:color w:val="auto"/>
          <w:sz w:val="28"/>
          <w:szCs w:val="28"/>
          <w:highlight w:val="none"/>
          <w:lang w:eastAsia="zh-CN"/>
        </w:rPr>
        <w:t>站内泄漏检测仪显示4号油罐通道故障</w:t>
      </w:r>
      <w:r>
        <w:rPr>
          <w:rFonts w:hint="eastAsia" w:ascii="Times New Roman" w:hAnsi="Times New Roman" w:cs="Times New Roman"/>
          <w:color w:val="auto"/>
          <w:sz w:val="28"/>
          <w:szCs w:val="28"/>
          <w:highlight w:val="none"/>
        </w:rPr>
        <w:t>。</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11" w:name="_Toc17999"/>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highlight w:val="none"/>
        </w:rPr>
      </w:pPr>
      <w:bookmarkStart w:id="212" w:name="_Toc29776"/>
      <w:bookmarkStart w:id="213" w:name="_Toc14112"/>
      <w:bookmarkStart w:id="214" w:name="_Toc471312555"/>
      <w:bookmarkStart w:id="215" w:name="_Toc20468434"/>
      <w:bookmarkStart w:id="216" w:name="_Toc427852841"/>
      <w:bookmarkStart w:id="217" w:name="_Toc30200"/>
      <w:bookmarkStart w:id="218" w:name="_Toc9008"/>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龙南石油分公司冯湾加油站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2716D445">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《中国石化销售股份有限公司江西赣州龙南石油分公司冯湾加油站安全设施符合性诊断及整改设计》已补充</w:t>
            </w:r>
          </w:p>
        </w:tc>
      </w:tr>
      <w:tr w14:paraId="17813C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273575AF">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77EE29CA">
            <w:pPr>
              <w:rPr>
                <w:rFonts w:hint="eastAsia" w:ascii="宋体" w:hAnsi="宋体" w:cs="宋体"/>
                <w:color w:val="auto"/>
                <w:highlight w:val="none"/>
              </w:rPr>
            </w:pPr>
            <w:r>
              <w:rPr>
                <w:rFonts w:hint="eastAsia" w:cstheme="minorBidi"/>
                <w:color w:val="auto"/>
                <w:kern w:val="2"/>
                <w:sz w:val="21"/>
                <w:szCs w:val="24"/>
                <w:highlight w:val="none"/>
                <w:vertAlign w:val="baseline"/>
                <w:lang w:val="en-US" w:eastAsia="zh-CN" w:bidi="ar-SA"/>
              </w:rPr>
              <w:t>配电间门未采用防火门</w:t>
            </w:r>
          </w:p>
        </w:tc>
        <w:tc>
          <w:tcPr>
            <w:tcW w:w="3783" w:type="dxa"/>
            <w:shd w:val="clear" w:color="auto" w:fill="auto"/>
            <w:vAlign w:val="top"/>
          </w:tcPr>
          <w:p w14:paraId="12A7B49F">
            <w:pPr>
              <w:tabs>
                <w:tab w:val="left" w:pos="698"/>
              </w:tabs>
              <w:bidi w:val="0"/>
              <w:jc w:val="left"/>
              <w:rPr>
                <w:rFonts w:hint="eastAsia" w:ascii="宋体" w:hAnsi="宋体" w:cs="宋体"/>
                <w:color w:val="auto"/>
                <w:highlight w:val="none"/>
              </w:rPr>
            </w:pPr>
            <w:r>
              <w:rPr>
                <w:rFonts w:hint="eastAsia" w:cstheme="minorBidi"/>
                <w:color w:val="auto"/>
                <w:kern w:val="2"/>
                <w:sz w:val="21"/>
                <w:szCs w:val="24"/>
                <w:highlight w:val="none"/>
                <w:lang w:val="en-US" w:eastAsia="zh-CN" w:bidi="ar-SA"/>
              </w:rPr>
              <w:t>配电间设置对外开启的防火门。</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龙南石油分公司冯湾加油站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19" w:name="_Toc30942"/>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highlight w:val="none"/>
              </w:rPr>
            </w:pPr>
            <w:r>
              <w:rPr>
                <w:rFonts w:hint="default" w:ascii="宋体" w:hAnsi="宋体" w:cs="宋体"/>
                <w:i w:val="0"/>
                <w:iCs w:val="0"/>
                <w:color w:val="auto"/>
                <w:kern w:val="2"/>
                <w:sz w:val="21"/>
                <w:szCs w:val="21"/>
                <w:highlight w:val="none"/>
                <w:u w:val="none"/>
                <w:lang w:val="en-US" w:eastAsia="zh-CN" w:bidi="ar-SA"/>
              </w:rPr>
              <w:t>油罐卸油区静电接地夹不灵敏</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highlight w:val="none"/>
              </w:rPr>
            </w:pPr>
            <w:r>
              <w:rPr>
                <w:rFonts w:hint="eastAsia" w:ascii="宋体" w:hAnsi="宋体" w:cs="宋体"/>
                <w:i w:val="0"/>
                <w:iCs w:val="0"/>
                <w:color w:val="auto"/>
                <w:kern w:val="2"/>
                <w:sz w:val="21"/>
                <w:szCs w:val="21"/>
                <w:highlight w:val="none"/>
                <w:u w:val="none"/>
                <w:lang w:val="en-US" w:eastAsia="zh-CN" w:bidi="ar-SA"/>
              </w:rPr>
              <w:t>更换、调试静电接地装置</w:t>
            </w:r>
          </w:p>
        </w:tc>
      </w:tr>
      <w:tr w14:paraId="0AC0DE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6C6B41D0">
            <w:pPr>
              <w:jc w:val="center"/>
              <w:rPr>
                <w:rFonts w:hint="eastAsia" w:ascii="Times New Roman" w:hAnsi="Times New Roman" w:eastAsia="宋体" w:cs="Times New Roman"/>
                <w:color w:val="auto"/>
                <w:highlight w:val="none"/>
                <w:lang w:val="en-US" w:eastAsia="zh-CN"/>
              </w:rPr>
            </w:pPr>
            <w:bookmarkStart w:id="220" w:name="_Toc20468435"/>
            <w:bookmarkStart w:id="221" w:name="_Toc30644"/>
            <w:bookmarkStart w:id="222" w:name="_Toc30063"/>
            <w:bookmarkStart w:id="223" w:name="_Toc9821"/>
            <w:r>
              <w:rPr>
                <w:rFonts w:hint="eastAsia" w:ascii="Times New Roman" w:hAnsi="Times New Roman" w:cs="Times New Roman"/>
                <w:color w:val="auto"/>
                <w:highlight w:val="none"/>
                <w:lang w:val="en-US" w:eastAsia="zh-CN"/>
              </w:rPr>
              <w:t>2</w:t>
            </w:r>
          </w:p>
        </w:tc>
        <w:tc>
          <w:tcPr>
            <w:tcW w:w="4594" w:type="dxa"/>
            <w:shd w:val="clear" w:color="auto" w:fill="auto"/>
            <w:vAlign w:val="center"/>
          </w:tcPr>
          <w:p w14:paraId="00525175">
            <w:pPr>
              <w:keepNext w:val="0"/>
              <w:keepLines w:val="0"/>
              <w:widowControl/>
              <w:suppressLineNumbers w:val="0"/>
              <w:jc w:val="both"/>
              <w:textAlignment w:val="center"/>
              <w:rPr>
                <w:rFonts w:hint="default" w:ascii="宋体" w:hAnsi="宋体" w:cs="宋体"/>
                <w:i w:val="0"/>
                <w:iCs w:val="0"/>
                <w:color w:val="auto"/>
                <w:kern w:val="2"/>
                <w:sz w:val="21"/>
                <w:szCs w:val="21"/>
                <w:highlight w:val="none"/>
                <w:u w:val="none"/>
                <w:lang w:val="en-US" w:eastAsia="zh-CN" w:bidi="ar-SA"/>
              </w:rPr>
            </w:pPr>
            <w:r>
              <w:rPr>
                <w:rFonts w:hint="default" w:ascii="宋体" w:hAnsi="宋体" w:cs="宋体"/>
                <w:i w:val="0"/>
                <w:iCs w:val="0"/>
                <w:color w:val="auto"/>
                <w:kern w:val="2"/>
                <w:sz w:val="21"/>
                <w:szCs w:val="21"/>
                <w:highlight w:val="none"/>
                <w:u w:val="none"/>
                <w:lang w:val="en-US" w:eastAsia="zh-CN" w:bidi="ar-SA"/>
              </w:rPr>
              <w:t>加油站油罐</w:t>
            </w:r>
            <w:r>
              <w:rPr>
                <w:rFonts w:hint="eastAsia" w:ascii="宋体" w:hAnsi="宋体" w:cs="宋体"/>
                <w:i w:val="0"/>
                <w:iCs w:val="0"/>
                <w:color w:val="auto"/>
                <w:kern w:val="2"/>
                <w:sz w:val="21"/>
                <w:szCs w:val="21"/>
                <w:highlight w:val="none"/>
                <w:u w:val="none"/>
                <w:lang w:val="en-US" w:eastAsia="zh-CN" w:bidi="ar-SA"/>
              </w:rPr>
              <w:t>汽油</w:t>
            </w:r>
            <w:r>
              <w:rPr>
                <w:rFonts w:hint="default" w:ascii="宋体" w:hAnsi="宋体" w:cs="宋体"/>
                <w:i w:val="0"/>
                <w:iCs w:val="0"/>
                <w:color w:val="auto"/>
                <w:kern w:val="2"/>
                <w:sz w:val="21"/>
                <w:szCs w:val="21"/>
                <w:highlight w:val="none"/>
                <w:u w:val="none"/>
                <w:lang w:val="en-US" w:eastAsia="zh-CN" w:bidi="ar-SA"/>
              </w:rPr>
              <w:t>通气管标识标注错误</w:t>
            </w:r>
          </w:p>
        </w:tc>
        <w:tc>
          <w:tcPr>
            <w:tcW w:w="3783" w:type="dxa"/>
            <w:shd w:val="clear" w:color="auto" w:fill="auto"/>
            <w:vAlign w:val="center"/>
          </w:tcPr>
          <w:p w14:paraId="32C95455">
            <w:pPr>
              <w:keepNext w:val="0"/>
              <w:keepLines w:val="0"/>
              <w:widowControl/>
              <w:suppressLineNumbers w:val="0"/>
              <w:jc w:val="both"/>
              <w:textAlignment w:val="center"/>
              <w:rPr>
                <w:rFonts w:hint="eastAsia" w:ascii="宋体" w:hAnsi="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张贴对应汽油/柴油通气管专用标识</w:t>
            </w:r>
          </w:p>
        </w:tc>
      </w:tr>
      <w:tr w14:paraId="4CB7A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11E53448">
            <w:pPr>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4594" w:type="dxa"/>
            <w:shd w:val="clear" w:color="auto" w:fill="auto"/>
            <w:vAlign w:val="center"/>
          </w:tcPr>
          <w:p w14:paraId="1DD2CFB3">
            <w:pPr>
              <w:keepNext w:val="0"/>
              <w:keepLines w:val="0"/>
              <w:widowControl/>
              <w:suppressLineNumbers w:val="0"/>
              <w:jc w:val="both"/>
              <w:textAlignment w:val="center"/>
              <w:rPr>
                <w:rFonts w:hint="default" w:ascii="宋体" w:hAnsi="宋体" w:cs="宋体"/>
                <w:i w:val="0"/>
                <w:iCs w:val="0"/>
                <w:color w:val="auto"/>
                <w:kern w:val="2"/>
                <w:sz w:val="21"/>
                <w:szCs w:val="21"/>
                <w:highlight w:val="none"/>
                <w:u w:val="none"/>
                <w:lang w:val="en-US" w:eastAsia="zh-CN" w:bidi="ar-SA"/>
              </w:rPr>
            </w:pPr>
            <w:r>
              <w:rPr>
                <w:rFonts w:hint="default" w:asciiTheme="minorHAnsi" w:hAnsiTheme="minorHAnsi" w:eastAsiaTheme="minorEastAsia" w:cstheme="minorBidi"/>
                <w:color w:val="auto"/>
                <w:kern w:val="2"/>
                <w:sz w:val="21"/>
                <w:szCs w:val="24"/>
                <w:highlight w:val="none"/>
                <w:vertAlign w:val="baseline"/>
                <w:lang w:val="en-US" w:eastAsia="zh-CN" w:bidi="ar-SA"/>
              </w:rPr>
              <w:t>站内泄漏检测仪显示4号油罐通道故障</w:t>
            </w:r>
          </w:p>
        </w:tc>
        <w:tc>
          <w:tcPr>
            <w:tcW w:w="3783" w:type="dxa"/>
            <w:shd w:val="clear" w:color="auto" w:fill="auto"/>
            <w:vAlign w:val="center"/>
          </w:tcPr>
          <w:p w14:paraId="35A81842">
            <w:pPr>
              <w:keepNext w:val="0"/>
              <w:keepLines w:val="0"/>
              <w:widowControl/>
              <w:suppressLineNumbers w:val="0"/>
              <w:jc w:val="both"/>
              <w:textAlignment w:val="center"/>
              <w:rPr>
                <w:rFonts w:hint="eastAsia" w:ascii="宋体" w:hAnsi="宋体" w:cs="宋体"/>
                <w:i w:val="0"/>
                <w:iCs w:val="0"/>
                <w:color w:val="auto"/>
                <w:kern w:val="2"/>
                <w:sz w:val="21"/>
                <w:szCs w:val="21"/>
                <w:highlight w:val="none"/>
                <w:u w:val="none"/>
                <w:lang w:val="en-US" w:eastAsia="zh-CN" w:bidi="ar-SA"/>
              </w:rPr>
            </w:pPr>
            <w:r>
              <w:rPr>
                <w:rFonts w:hint="eastAsia" w:asciiTheme="minorHAnsi" w:hAnsiTheme="minorHAnsi" w:eastAsiaTheme="minorEastAsia" w:cstheme="minorBidi"/>
                <w:color w:val="auto"/>
                <w:kern w:val="2"/>
                <w:sz w:val="21"/>
                <w:szCs w:val="24"/>
                <w:highlight w:val="none"/>
                <w:vertAlign w:val="baseline"/>
                <w:lang w:val="en-US" w:eastAsia="zh-CN" w:bidi="ar-SA"/>
              </w:rPr>
              <w:t>完成</w:t>
            </w:r>
            <w:r>
              <w:rPr>
                <w:rFonts w:hint="eastAsia" w:cstheme="minorBidi"/>
                <w:color w:val="auto"/>
                <w:kern w:val="2"/>
                <w:sz w:val="21"/>
                <w:szCs w:val="24"/>
                <w:highlight w:val="none"/>
                <w:vertAlign w:val="baseline"/>
                <w:lang w:val="en-US" w:eastAsia="zh-CN" w:bidi="ar-SA"/>
              </w:rPr>
              <w:t>4</w:t>
            </w:r>
            <w:r>
              <w:rPr>
                <w:rFonts w:hint="eastAsia" w:asciiTheme="minorHAnsi" w:hAnsiTheme="minorHAnsi" w:eastAsiaTheme="minorEastAsia" w:cstheme="minorBidi"/>
                <w:color w:val="auto"/>
                <w:kern w:val="2"/>
                <w:sz w:val="21"/>
                <w:szCs w:val="24"/>
                <w:highlight w:val="none"/>
                <w:vertAlign w:val="baseline"/>
                <w:lang w:val="en-US" w:eastAsia="zh-CN" w:bidi="ar-SA"/>
              </w:rPr>
              <w:t>号油罐泄漏检测仪故障排查与修复</w:t>
            </w:r>
          </w:p>
        </w:tc>
      </w:tr>
    </w:tbl>
    <w:p w14:paraId="4D6EC2A5">
      <w:pPr>
        <w:outlineLvl w:val="1"/>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20"/>
      <w:r>
        <w:rPr>
          <w:rFonts w:hint="eastAsia" w:ascii="Times New Roman" w:hAnsi="Times New Roman" w:cs="宋体"/>
          <w:b/>
          <w:bCs/>
          <w:color w:val="auto"/>
          <w:sz w:val="28"/>
          <w:szCs w:val="28"/>
          <w:highlight w:val="none"/>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龙南石油分公司冯湾加油站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4" w:name="_Toc27939"/>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highlight w:val="none"/>
        </w:rPr>
      </w:pPr>
      <w:bookmarkStart w:id="225" w:name="_Toc59091927"/>
      <w:bookmarkStart w:id="226" w:name="_Toc59160145"/>
      <w:bookmarkStart w:id="227" w:name="_Toc59092822"/>
      <w:bookmarkStart w:id="228" w:name="_Toc59087153"/>
      <w:bookmarkStart w:id="229" w:name="_Toc59091646"/>
      <w:bookmarkStart w:id="230" w:name="_Toc59245419"/>
      <w:bookmarkStart w:id="231" w:name="_Toc59160081"/>
      <w:bookmarkStart w:id="232" w:name="_Toc59508645"/>
      <w:bookmarkStart w:id="233" w:name="_Toc59092445"/>
      <w:bookmarkStart w:id="234" w:name="_Toc59160017"/>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3"/>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7"/>
      <w:bookmarkEnd w:id="208"/>
      <w:bookmarkEnd w:id="209"/>
      <w:bookmarkStart w:id="235" w:name="_Toc343692278"/>
      <w:bookmarkStart w:id="236" w:name="_Toc7092"/>
      <w:bookmarkStart w:id="237" w:name="_Toc20557"/>
      <w:bookmarkStart w:id="238" w:name="_Toc12463"/>
      <w:r>
        <w:rPr>
          <w:rStyle w:val="35"/>
          <w:rFonts w:hint="eastAsia"/>
          <w:color w:val="auto"/>
          <w:highlight w:val="none"/>
        </w:rPr>
        <w:t>7</w:t>
      </w:r>
      <w:r>
        <w:rPr>
          <w:rStyle w:val="35"/>
          <w:color w:val="auto"/>
          <w:highlight w:val="none"/>
        </w:rPr>
        <w:t xml:space="preserve"> </w:t>
      </w:r>
      <w:r>
        <w:rPr>
          <w:rStyle w:val="35"/>
          <w:rFonts w:hint="eastAsia"/>
          <w:color w:val="auto"/>
          <w:highlight w:val="none"/>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highlight w:val="none"/>
        </w:rPr>
      </w:pPr>
      <w:bookmarkStart w:id="239" w:name="_Toc380625464"/>
      <w:bookmarkStart w:id="240" w:name="_Toc354428876"/>
      <w:bookmarkStart w:id="241" w:name="_Toc357981462"/>
      <w:bookmarkStart w:id="242" w:name="_Toc380626557"/>
      <w:bookmarkStart w:id="243" w:name="_Toc355247593"/>
      <w:bookmarkStart w:id="244" w:name="_Toc366836358"/>
      <w:bookmarkStart w:id="245" w:name="_Toc393417783"/>
      <w:bookmarkStart w:id="246" w:name="_Toc281404722"/>
      <w:bookmarkStart w:id="247" w:name="_Toc393417644"/>
      <w:bookmarkStart w:id="248" w:name="_Toc355247535"/>
      <w:bookmarkStart w:id="249" w:name="_Toc357981459"/>
      <w:bookmarkStart w:id="250" w:name="_Toc271270917"/>
      <w:bookmarkStart w:id="251" w:name="_Toc355738333"/>
      <w:bookmarkStart w:id="252" w:name="_Toc355738330"/>
      <w:bookmarkStart w:id="253" w:name="_Toc5214"/>
      <w:bookmarkStart w:id="254" w:name="_Toc355247532"/>
      <w:bookmarkStart w:id="255" w:name="_Toc354428873"/>
      <w:bookmarkStart w:id="256" w:name="_Toc357981665"/>
      <w:bookmarkStart w:id="257" w:name="_Toc281404720"/>
      <w:bookmarkStart w:id="258" w:name="_Toc355248941"/>
      <w:bookmarkStart w:id="259" w:name="_Toc389437342"/>
      <w:bookmarkStart w:id="260" w:name="_Toc389504461"/>
      <w:bookmarkStart w:id="261" w:name="_Toc387237701"/>
      <w:bookmarkStart w:id="262" w:name="_Toc389504183"/>
      <w:bookmarkStart w:id="263" w:name="_Toc355737798"/>
      <w:bookmarkStart w:id="264" w:name="_Toc355247596"/>
      <w:bookmarkStart w:id="265" w:name="_Toc355248938"/>
      <w:bookmarkStart w:id="266" w:name="_Toc29915"/>
      <w:bookmarkStart w:id="267" w:name="_Toc239869791"/>
      <w:bookmarkStart w:id="268" w:name="_Toc380626618"/>
      <w:bookmarkStart w:id="269" w:name="_Toc238875914"/>
      <w:bookmarkStart w:id="270" w:name="_Toc355257333"/>
      <w:bookmarkStart w:id="271" w:name="_Toc388623391"/>
      <w:bookmarkStart w:id="272" w:name="_Toc389504581"/>
      <w:bookmarkStart w:id="273" w:name="_Toc226003735"/>
      <w:bookmarkStart w:id="274" w:name="_Toc355737801"/>
      <w:bookmarkStart w:id="275" w:name="_Toc355257336"/>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龙南石油分公司冯湾加油站</w:t>
      </w:r>
      <w:r>
        <w:rPr>
          <w:rFonts w:hint="eastAsia" w:ascii="Times New Roman" w:hAnsi="Times New Roman" w:cs="Times New Roman"/>
          <w:color w:val="auto"/>
          <w:sz w:val="28"/>
          <w:szCs w:val="24"/>
          <w:highlight w:val="none"/>
        </w:rPr>
        <w:t>经营的汽油、柴油列入《危险化学品目录》（2015版、202</w:t>
      </w:r>
      <w:r>
        <w:rPr>
          <w:rFonts w:hint="eastAsia" w:ascii="Times New Roman" w:hAnsi="Times New Roman" w:cs="Times New Roman"/>
          <w:color w:val="auto"/>
          <w:sz w:val="28"/>
          <w:szCs w:val="24"/>
          <w:highlight w:val="none"/>
          <w:lang w:val="en-US" w:eastAsia="zh-CN"/>
        </w:rPr>
        <w:t>6</w:t>
      </w:r>
      <w:r>
        <w:rPr>
          <w:rFonts w:hint="eastAsia" w:ascii="Times New Roman" w:hAnsi="Times New Roman" w:cs="Times New Roman"/>
          <w:color w:val="auto"/>
          <w:sz w:val="28"/>
          <w:szCs w:val="24"/>
          <w:highlight w:val="none"/>
        </w:rPr>
        <w:t>年调整），该站存在的危险因素主要有火灾、爆炸，机械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龙南石油分公司冯湾加油站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龙南石油分公司冯湾加油站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Times New Roman"/>
          <w:color w:val="auto"/>
          <w:sz w:val="28"/>
          <w:szCs w:val="28"/>
          <w:highlight w:val="none"/>
          <w:lang w:val="en-US" w:eastAsia="zh-CN"/>
        </w:rPr>
        <w:t>Ⅱ</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中</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龙南石油分公司冯湾加油站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6" w:name="_Toc19828"/>
      <w:bookmarkStart w:id="277" w:name="_Toc5675"/>
      <w:r>
        <w:rPr>
          <w:rFonts w:hint="eastAsia" w:ascii="宋体" w:hAnsi="宋体"/>
          <w:color w:val="auto"/>
          <w:sz w:val="32"/>
          <w:szCs w:val="32"/>
          <w:highlight w:val="none"/>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39560870">
        <w:tblPrEx>
          <w:tblCellMar>
            <w:top w:w="0" w:type="dxa"/>
            <w:left w:w="108" w:type="dxa"/>
            <w:bottom w:w="0" w:type="dxa"/>
            <w:right w:w="108" w:type="dxa"/>
          </w:tblCellMar>
        </w:tblPrEx>
        <w:trPr>
          <w:jc w:val="center"/>
        </w:trPr>
        <w:tc>
          <w:tcPr>
            <w:tcW w:w="351" w:type="pct"/>
            <w:vAlign w:val="center"/>
          </w:tcPr>
          <w:p w14:paraId="1D8337A7">
            <w:pPr>
              <w:numPr>
                <w:ilvl w:val="0"/>
                <w:numId w:val="16"/>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28435E35">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br w:type="page"/>
      </w:r>
      <w:r>
        <w:rPr>
          <w:rFonts w:hint="eastAsia" w:ascii="Times New Roman" w:hAnsi="Times New Roman" w:cs="Times New Roman"/>
          <w:b/>
          <w:bCs/>
          <w:color w:val="auto"/>
          <w:sz w:val="28"/>
          <w:szCs w:val="28"/>
          <w:highlight w:val="none"/>
        </w:rPr>
        <w:t>现场照片：</w:t>
      </w:r>
    </w:p>
    <w:p w14:paraId="1406A20F">
      <w:pPr>
        <w:rPr>
          <w:rFonts w:hint="eastAsia" w:eastAsiaTheme="minorEastAsia"/>
          <w:color w:val="auto"/>
          <w:highlight w:val="none"/>
          <w:lang w:eastAsia="zh-CN"/>
        </w:rPr>
      </w:pPr>
    </w:p>
    <w:p w14:paraId="3EC8E38B">
      <w:pPr>
        <w:spacing w:line="240" w:lineRule="atLeast"/>
        <w:rPr>
          <w:rFonts w:hint="eastAsia" w:ascii="Times New Roman" w:hAnsi="Times New Roman" w:eastAsia="宋体" w:cs="Times New Roman"/>
          <w:b/>
          <w:bCs/>
          <w:color w:val="auto"/>
          <w:sz w:val="28"/>
          <w:szCs w:val="28"/>
          <w:highlight w:val="none"/>
          <w:lang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b/>
          <w:bCs/>
          <w:color w:val="auto"/>
          <w:sz w:val="28"/>
          <w:szCs w:val="28"/>
          <w:highlight w:val="none"/>
          <w:lang w:eastAsia="zh-CN"/>
        </w:rPr>
        <w:drawing>
          <wp:inline distT="0" distB="0" distL="114300" distR="114300">
            <wp:extent cx="5757545" cy="3240405"/>
            <wp:effectExtent l="0" t="0" r="14605" b="17145"/>
            <wp:docPr id="76" name="图片 76" descr="龙南冯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龙南冯湾"/>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p>
    <w:p w14:paraId="7ACD5846">
      <w:pPr>
        <w:spacing w:line="360" w:lineRule="auto"/>
        <w:rPr>
          <w:rFonts w:hint="eastAsia" w:ascii="Times New Roman" w:hAnsi="Times New Roman" w:eastAsia="宋体" w:cs="Times New Roman"/>
          <w:color w:val="auto"/>
          <w:highlight w:val="none"/>
          <w:lang w:eastAsia="zh-CN"/>
        </w:rPr>
      </w:pPr>
    </w:p>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56FF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龙南冯湾加油站</w:t>
    </w:r>
    <w:r>
      <w:rPr>
        <w:rFonts w:hint="eastAsia" w:cs="宋体"/>
      </w:rPr>
      <w:t xml:space="preserve">安全设施符合性诊断及整改设计安全设施竣工验收评价报告 </w:t>
    </w:r>
    <w:r>
      <w:rPr>
        <w:rFonts w:hint="eastAsia" w:cs="宋体"/>
        <w:lang w:val="en-US" w:eastAsia="zh-CN"/>
      </w:rPr>
      <w:t xml:space="preserve"> </w:t>
    </w:r>
    <w:r>
      <w:rPr>
        <w:rFonts w:hint="eastAsia" w:cs="宋体"/>
      </w:rPr>
      <w:t xml:space="preserve">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0228</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F9AE">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AD020B3"/>
    <w:multiLevelType w:val="singleLevel"/>
    <w:tmpl w:val="3AD020B3"/>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9"/>
  </w:num>
  <w:num w:numId="7">
    <w:abstractNumId w:val="4"/>
  </w:num>
  <w:num w:numId="8">
    <w:abstractNumId w:val="12"/>
  </w:num>
  <w:num w:numId="9">
    <w:abstractNumId w:val="11"/>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50F7C41"/>
    <w:rsid w:val="05B84E9D"/>
    <w:rsid w:val="06650F5A"/>
    <w:rsid w:val="06655FCC"/>
    <w:rsid w:val="06A83136"/>
    <w:rsid w:val="06BB1D69"/>
    <w:rsid w:val="06D849E3"/>
    <w:rsid w:val="07347E38"/>
    <w:rsid w:val="07A07BF6"/>
    <w:rsid w:val="080D690E"/>
    <w:rsid w:val="086F0829"/>
    <w:rsid w:val="08971538"/>
    <w:rsid w:val="08A05F2E"/>
    <w:rsid w:val="08E43B13"/>
    <w:rsid w:val="08FA7E41"/>
    <w:rsid w:val="090B5543"/>
    <w:rsid w:val="091D3BD5"/>
    <w:rsid w:val="09FC4AF5"/>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8A5650"/>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2CC2A1C"/>
    <w:rsid w:val="13174AE5"/>
    <w:rsid w:val="13A42ECD"/>
    <w:rsid w:val="13AC347F"/>
    <w:rsid w:val="14327E28"/>
    <w:rsid w:val="156972A1"/>
    <w:rsid w:val="16321ADC"/>
    <w:rsid w:val="16341343"/>
    <w:rsid w:val="163800C9"/>
    <w:rsid w:val="165F6DCC"/>
    <w:rsid w:val="16722061"/>
    <w:rsid w:val="16B632BB"/>
    <w:rsid w:val="16ED1FEF"/>
    <w:rsid w:val="171925FC"/>
    <w:rsid w:val="171E2633"/>
    <w:rsid w:val="174A6081"/>
    <w:rsid w:val="18482C3A"/>
    <w:rsid w:val="18894028"/>
    <w:rsid w:val="18DD6D07"/>
    <w:rsid w:val="192D03A2"/>
    <w:rsid w:val="19DD52EC"/>
    <w:rsid w:val="1A063956"/>
    <w:rsid w:val="1A5B5714"/>
    <w:rsid w:val="1AC76DF0"/>
    <w:rsid w:val="1AD02A29"/>
    <w:rsid w:val="1AFC6A9A"/>
    <w:rsid w:val="1B19291E"/>
    <w:rsid w:val="1C1C1428"/>
    <w:rsid w:val="1C4346C6"/>
    <w:rsid w:val="1CBD494F"/>
    <w:rsid w:val="1CDD12C2"/>
    <w:rsid w:val="1D906252"/>
    <w:rsid w:val="1DB10597"/>
    <w:rsid w:val="1E543774"/>
    <w:rsid w:val="1E6F1361"/>
    <w:rsid w:val="1EEC5F1F"/>
    <w:rsid w:val="1F3D11B5"/>
    <w:rsid w:val="1FB5426C"/>
    <w:rsid w:val="200902A2"/>
    <w:rsid w:val="204721E4"/>
    <w:rsid w:val="20476A09"/>
    <w:rsid w:val="204A02A8"/>
    <w:rsid w:val="208A2D9A"/>
    <w:rsid w:val="224C25C1"/>
    <w:rsid w:val="22F31550"/>
    <w:rsid w:val="231921B3"/>
    <w:rsid w:val="232F19D7"/>
    <w:rsid w:val="234B4A63"/>
    <w:rsid w:val="23554D03"/>
    <w:rsid w:val="244A3F2C"/>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269C2"/>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8157DC"/>
    <w:rsid w:val="2E905A1F"/>
    <w:rsid w:val="2F76782F"/>
    <w:rsid w:val="2F7B71FA"/>
    <w:rsid w:val="2F9130A0"/>
    <w:rsid w:val="30AC6958"/>
    <w:rsid w:val="30BD0622"/>
    <w:rsid w:val="30C776F3"/>
    <w:rsid w:val="30F55FF5"/>
    <w:rsid w:val="31553C95"/>
    <w:rsid w:val="31753C5C"/>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8E3894"/>
    <w:rsid w:val="39CF6DF4"/>
    <w:rsid w:val="3A0F1908"/>
    <w:rsid w:val="3A221BB7"/>
    <w:rsid w:val="3A845288"/>
    <w:rsid w:val="3A874DFA"/>
    <w:rsid w:val="3BC44F5A"/>
    <w:rsid w:val="3C011D0B"/>
    <w:rsid w:val="3CBF1EF5"/>
    <w:rsid w:val="3CFC1C86"/>
    <w:rsid w:val="3D2832C7"/>
    <w:rsid w:val="3D516CC2"/>
    <w:rsid w:val="3DEE2A12"/>
    <w:rsid w:val="3E1C544D"/>
    <w:rsid w:val="3E465454"/>
    <w:rsid w:val="3EB25A8F"/>
    <w:rsid w:val="3ED80551"/>
    <w:rsid w:val="3EF94F1B"/>
    <w:rsid w:val="3EFF2662"/>
    <w:rsid w:val="3F027924"/>
    <w:rsid w:val="3F243990"/>
    <w:rsid w:val="3F7F7C5E"/>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2079BC"/>
    <w:rsid w:val="483A0D83"/>
    <w:rsid w:val="48650A8D"/>
    <w:rsid w:val="48970EF2"/>
    <w:rsid w:val="48EA4432"/>
    <w:rsid w:val="48EB4379"/>
    <w:rsid w:val="49367F99"/>
    <w:rsid w:val="49BC705C"/>
    <w:rsid w:val="4A257073"/>
    <w:rsid w:val="4A7E5E83"/>
    <w:rsid w:val="4B0161CD"/>
    <w:rsid w:val="4B096BFE"/>
    <w:rsid w:val="4B1556DB"/>
    <w:rsid w:val="4B19393B"/>
    <w:rsid w:val="4B3814C1"/>
    <w:rsid w:val="4B506195"/>
    <w:rsid w:val="4C037D94"/>
    <w:rsid w:val="4C6D0CF6"/>
    <w:rsid w:val="4C7A46CB"/>
    <w:rsid w:val="4D117EAF"/>
    <w:rsid w:val="4D482619"/>
    <w:rsid w:val="4D573E80"/>
    <w:rsid w:val="4D9E12AE"/>
    <w:rsid w:val="4DB93CE6"/>
    <w:rsid w:val="4DC71290"/>
    <w:rsid w:val="4DD96B8E"/>
    <w:rsid w:val="4E1D2F71"/>
    <w:rsid w:val="4E263853"/>
    <w:rsid w:val="4E6332C9"/>
    <w:rsid w:val="4E75187A"/>
    <w:rsid w:val="4EF56E02"/>
    <w:rsid w:val="4F2C2030"/>
    <w:rsid w:val="4F431A16"/>
    <w:rsid w:val="4F625CFC"/>
    <w:rsid w:val="50CB28C3"/>
    <w:rsid w:val="51705201"/>
    <w:rsid w:val="520A7A55"/>
    <w:rsid w:val="52334025"/>
    <w:rsid w:val="524D28B3"/>
    <w:rsid w:val="53071EA5"/>
    <w:rsid w:val="531E0F9C"/>
    <w:rsid w:val="53787CAE"/>
    <w:rsid w:val="5382152B"/>
    <w:rsid w:val="53E45164"/>
    <w:rsid w:val="54025339"/>
    <w:rsid w:val="543E66CC"/>
    <w:rsid w:val="547C2BCE"/>
    <w:rsid w:val="54AA0D71"/>
    <w:rsid w:val="54E029AD"/>
    <w:rsid w:val="551410FD"/>
    <w:rsid w:val="55165148"/>
    <w:rsid w:val="559744C0"/>
    <w:rsid w:val="559A547B"/>
    <w:rsid w:val="55D346A2"/>
    <w:rsid w:val="56DC1833"/>
    <w:rsid w:val="57775044"/>
    <w:rsid w:val="57A0738E"/>
    <w:rsid w:val="57D936E4"/>
    <w:rsid w:val="57FF5F11"/>
    <w:rsid w:val="58387E39"/>
    <w:rsid w:val="58553E64"/>
    <w:rsid w:val="587B4B9C"/>
    <w:rsid w:val="58D073A5"/>
    <w:rsid w:val="590B5B1F"/>
    <w:rsid w:val="593E1A1C"/>
    <w:rsid w:val="595F3D47"/>
    <w:rsid w:val="599B004C"/>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41231"/>
    <w:rsid w:val="5FA94BFF"/>
    <w:rsid w:val="60043B33"/>
    <w:rsid w:val="605E4CD9"/>
    <w:rsid w:val="60D93EF7"/>
    <w:rsid w:val="61C815F8"/>
    <w:rsid w:val="621C0D9D"/>
    <w:rsid w:val="62380E16"/>
    <w:rsid w:val="62F16AC3"/>
    <w:rsid w:val="63D412FD"/>
    <w:rsid w:val="63F83144"/>
    <w:rsid w:val="64373C6C"/>
    <w:rsid w:val="64393E88"/>
    <w:rsid w:val="644B5969"/>
    <w:rsid w:val="64E83A14"/>
    <w:rsid w:val="650521AA"/>
    <w:rsid w:val="651A4726"/>
    <w:rsid w:val="65270184"/>
    <w:rsid w:val="66245681"/>
    <w:rsid w:val="66665840"/>
    <w:rsid w:val="670D2DDD"/>
    <w:rsid w:val="6765622F"/>
    <w:rsid w:val="686F6D95"/>
    <w:rsid w:val="687162A9"/>
    <w:rsid w:val="687D740A"/>
    <w:rsid w:val="68A40B37"/>
    <w:rsid w:val="68A94161"/>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F10209"/>
    <w:rsid w:val="72244460"/>
    <w:rsid w:val="728F7C61"/>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A405F"/>
    <w:rsid w:val="7AE50058"/>
    <w:rsid w:val="7B851309"/>
    <w:rsid w:val="7BA050EE"/>
    <w:rsid w:val="7BD21C71"/>
    <w:rsid w:val="7CF41358"/>
    <w:rsid w:val="7D166A24"/>
    <w:rsid w:val="7D53082A"/>
    <w:rsid w:val="7DA04A2D"/>
    <w:rsid w:val="7DA77B98"/>
    <w:rsid w:val="7DF93C3C"/>
    <w:rsid w:val="7E154BC6"/>
    <w:rsid w:val="7E7713DD"/>
    <w:rsid w:val="7ECA59B1"/>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72</Pages>
  <Words>6604</Words>
  <Characters>8159</Characters>
  <Lines>655</Lines>
  <Paragraphs>184</Paragraphs>
  <TotalTime>0</TotalTime>
  <ScaleCrop>false</ScaleCrop>
  <LinksUpToDate>false</LinksUpToDate>
  <CharactersWithSpaces>8386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2026-07-16T07:28:00Z</cp:lastPrinted>
  <dcterms:modified xsi:type="dcterms:W3CDTF">2026-07-16T15:11:08Z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